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tcPr>
          <w:p>
            <w:pPr>
              <w:jc w:val="center"/>
              <w:ind w:left="710"/>
              <w:spacing w:after="0"/>
              <w:rPr>
                <w:sz w:val="20"/>
                <w:szCs w:val="20"/>
                <w:color w:val="auto"/>
              </w:rPr>
            </w:pPr>
            <w:r>
              <w:rPr>
                <w:rFonts w:ascii="Arial" w:cs="Arial" w:eastAsia="Arial" w:hAnsi="Arial"/>
                <w:sz w:val="18"/>
                <w:szCs w:val="18"/>
                <w:b w:val="1"/>
                <w:bCs w:val="1"/>
                <w:color w:val="auto"/>
                <w:w w:val="96"/>
              </w:rPr>
              <w:t>Form 6-K</w:t>
            </w:r>
          </w:p>
        </w:tc>
        <w:tc>
          <w:tcPr>
            <w:tcW w:w="780" w:type="dxa"/>
            <w:vAlign w:val="bottom"/>
          </w:tcPr>
          <w:p>
            <w:pPr>
              <w:spacing w:after="0"/>
              <w:rPr>
                <w:sz w:val="20"/>
                <w:szCs w:val="20"/>
                <w:color w:val="auto"/>
              </w:rPr>
            </w:pPr>
          </w:p>
        </w:tc>
      </w:tr>
      <w:tr>
        <w:trPr>
          <w:trHeight w:val="414"/>
        </w:trPr>
        <w:tc>
          <w:tcPr>
            <w:tcW w:w="10640" w:type="dxa"/>
            <w:vAlign w:val="bottom"/>
          </w:tcPr>
          <w:p>
            <w:pPr>
              <w:jc w:val="center"/>
              <w:ind w:left="69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80" w:type="dxa"/>
            <w:vAlign w:val="bottom"/>
          </w:tcPr>
          <w:p>
            <w:pPr>
              <w:spacing w:after="0"/>
              <w:rPr>
                <w:sz w:val="24"/>
                <w:szCs w:val="24"/>
                <w:color w:val="auto"/>
              </w:rPr>
            </w:pPr>
          </w:p>
        </w:tc>
      </w:tr>
      <w:tr>
        <w:trPr>
          <w:trHeight w:val="234"/>
        </w:trPr>
        <w:tc>
          <w:tcPr>
            <w:tcW w:w="10640" w:type="dxa"/>
            <w:vAlign w:val="bottom"/>
          </w:tcPr>
          <w:p>
            <w:pPr>
              <w:jc w:val="center"/>
              <w:ind w:left="710"/>
              <w:spacing w:after="0"/>
              <w:rPr>
                <w:sz w:val="20"/>
                <w:szCs w:val="20"/>
                <w:color w:val="auto"/>
              </w:rPr>
            </w:pPr>
            <w:r>
              <w:rPr>
                <w:rFonts w:ascii="Arial" w:cs="Arial" w:eastAsia="Arial" w:hAnsi="Arial"/>
                <w:sz w:val="18"/>
                <w:szCs w:val="18"/>
                <w:b w:val="1"/>
                <w:bCs w:val="1"/>
                <w:color w:val="auto"/>
                <w:w w:val="98"/>
              </w:rPr>
              <w:t>EXCHANGE ACT OF 1934</w:t>
            </w:r>
          </w:p>
        </w:tc>
        <w:tc>
          <w:tcPr>
            <w:tcW w:w="78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For the month of July 2016</w:t>
            </w:r>
          </w:p>
        </w:tc>
        <w:tc>
          <w:tcPr>
            <w:tcW w:w="780" w:type="dxa"/>
            <w:vAlign w:val="bottom"/>
          </w:tcPr>
          <w:p>
            <w:pPr>
              <w:spacing w:after="0"/>
              <w:rPr>
                <w:sz w:val="24"/>
                <w:szCs w:val="24"/>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80" w:type="dxa"/>
            <w:vAlign w:val="bottom"/>
          </w:tcPr>
          <w:p>
            <w:pPr>
              <w:spacing w:after="0"/>
              <w:rPr>
                <w:sz w:val="24"/>
                <w:szCs w:val="24"/>
                <w:color w:val="auto"/>
              </w:rPr>
            </w:pPr>
          </w:p>
        </w:tc>
      </w:tr>
      <w:tr>
        <w:trPr>
          <w:trHeight w:val="418"/>
        </w:trPr>
        <w:tc>
          <w:tcPr>
            <w:tcW w:w="1064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GasLog Ltd</w:t>
            </w:r>
          </w:p>
        </w:tc>
        <w:tc>
          <w:tcPr>
            <w:tcW w:w="780" w:type="dxa"/>
            <w:vAlign w:val="bottom"/>
          </w:tcPr>
          <w:p>
            <w:pPr>
              <w:spacing w:after="0"/>
              <w:rPr>
                <w:sz w:val="24"/>
                <w:szCs w:val="24"/>
                <w:color w:val="auto"/>
              </w:rPr>
            </w:pPr>
          </w:p>
        </w:tc>
      </w:tr>
      <w:tr>
        <w:trPr>
          <w:trHeight w:val="230"/>
        </w:trPr>
        <w:tc>
          <w:tcPr>
            <w:tcW w:w="10640" w:type="dxa"/>
            <w:vAlign w:val="bottom"/>
          </w:tcPr>
          <w:p>
            <w:pPr>
              <w:jc w:val="center"/>
              <w:ind w:left="710"/>
              <w:spacing w:after="0"/>
              <w:rPr>
                <w:sz w:val="20"/>
                <w:szCs w:val="20"/>
                <w:color w:val="auto"/>
              </w:rPr>
            </w:pPr>
            <w:r>
              <w:rPr>
                <w:rFonts w:ascii="Arial" w:cs="Arial" w:eastAsia="Arial" w:hAnsi="Arial"/>
                <w:sz w:val="18"/>
                <w:szCs w:val="18"/>
                <w:color w:val="auto"/>
                <w:w w:val="91"/>
              </w:rPr>
              <w:t>(Translation of registrant’s name into English)</w:t>
            </w:r>
          </w:p>
        </w:tc>
        <w:tc>
          <w:tcPr>
            <w:tcW w:w="780" w:type="dxa"/>
            <w:vAlign w:val="bottom"/>
          </w:tcPr>
          <w:p>
            <w:pPr>
              <w:spacing w:after="0"/>
              <w:rPr>
                <w:sz w:val="20"/>
                <w:szCs w:val="20"/>
                <w:color w:val="auto"/>
              </w:rPr>
            </w:pPr>
          </w:p>
        </w:tc>
      </w:tr>
      <w:tr>
        <w:trPr>
          <w:trHeight w:val="418"/>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89"/>
              </w:rPr>
              <w:t>Gildo Pastor Center</w:t>
            </w:r>
          </w:p>
        </w:tc>
        <w:tc>
          <w:tcPr>
            <w:tcW w:w="780" w:type="dxa"/>
            <w:vAlign w:val="bottom"/>
          </w:tcPr>
          <w:p>
            <w:pPr>
              <w:spacing w:after="0"/>
              <w:rPr>
                <w:sz w:val="24"/>
                <w:szCs w:val="24"/>
                <w:color w:val="auto"/>
              </w:rPr>
            </w:pPr>
          </w:p>
        </w:tc>
      </w:tr>
      <w:tr>
        <w:trPr>
          <w:trHeight w:val="216"/>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89"/>
              </w:rPr>
              <w:t>7 Rue du Gabian</w:t>
            </w:r>
          </w:p>
        </w:tc>
        <w:tc>
          <w:tcPr>
            <w:tcW w:w="780" w:type="dxa"/>
            <w:vAlign w:val="bottom"/>
          </w:tcPr>
          <w:p>
            <w:pPr>
              <w:spacing w:after="0"/>
              <w:rPr>
                <w:sz w:val="18"/>
                <w:szCs w:val="18"/>
                <w:color w:val="auto"/>
              </w:rPr>
            </w:pPr>
          </w:p>
        </w:tc>
      </w:tr>
      <w:tr>
        <w:trPr>
          <w:trHeight w:val="216"/>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92"/>
              </w:rPr>
              <w:t>MC 98000, Monaco</w:t>
            </w:r>
          </w:p>
        </w:tc>
        <w:tc>
          <w:tcPr>
            <w:tcW w:w="780" w:type="dxa"/>
            <w:vAlign w:val="bottom"/>
          </w:tcPr>
          <w:p>
            <w:pPr>
              <w:spacing w:after="0"/>
              <w:rPr>
                <w:sz w:val="18"/>
                <w:szCs w:val="18"/>
                <w:color w:val="auto"/>
              </w:rPr>
            </w:pPr>
          </w:p>
        </w:tc>
      </w:tr>
      <w:tr>
        <w:trPr>
          <w:trHeight w:val="230"/>
        </w:trPr>
        <w:tc>
          <w:tcPr>
            <w:tcW w:w="10640" w:type="dxa"/>
            <w:vAlign w:val="bottom"/>
          </w:tcPr>
          <w:p>
            <w:pPr>
              <w:jc w:val="center"/>
              <w:ind w:left="690"/>
              <w:spacing w:after="0"/>
              <w:rPr>
                <w:sz w:val="20"/>
                <w:szCs w:val="20"/>
                <w:color w:val="auto"/>
              </w:rPr>
            </w:pPr>
            <w:r>
              <w:rPr>
                <w:rFonts w:ascii="Arial" w:cs="Arial" w:eastAsia="Arial" w:hAnsi="Arial"/>
                <w:sz w:val="18"/>
                <w:szCs w:val="18"/>
                <w:color w:val="auto"/>
                <w:w w:val="92"/>
              </w:rPr>
              <w:t>(Address of principal executive office)</w:t>
            </w:r>
          </w:p>
        </w:tc>
        <w:tc>
          <w:tcPr>
            <w:tcW w:w="780" w:type="dxa"/>
            <w:vAlign w:val="bottom"/>
          </w:tcPr>
          <w:p>
            <w:pPr>
              <w:spacing w:after="0"/>
              <w:rPr>
                <w:sz w:val="20"/>
                <w:szCs w:val="20"/>
                <w:color w:val="auto"/>
              </w:rPr>
            </w:pP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80" w:type="dxa"/>
            <w:vAlign w:val="bottom"/>
          </w:tcPr>
          <w:p>
            <w:pPr>
              <w:spacing w:after="0"/>
              <w:rPr>
                <w:sz w:val="24"/>
                <w:szCs w:val="24"/>
                <w:color w:val="auto"/>
              </w:rPr>
            </w:pPr>
          </w:p>
        </w:tc>
      </w:tr>
      <w:tr>
        <w:trPr>
          <w:trHeight w:val="452"/>
        </w:trPr>
        <w:tc>
          <w:tcPr>
            <w:tcW w:w="106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80" w:type="dxa"/>
            <w:vAlign w:val="bottom"/>
          </w:tcPr>
          <w:p>
            <w:pPr>
              <w:spacing w:after="0"/>
              <w:rPr>
                <w:sz w:val="24"/>
                <w:szCs w:val="24"/>
                <w:color w:val="auto"/>
              </w:rPr>
            </w:pPr>
          </w:p>
        </w:tc>
      </w:tr>
      <w:tr>
        <w:trPr>
          <w:trHeight w:val="41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80" w:type="dxa"/>
            <w:vAlign w:val="bottom"/>
          </w:tcPr>
          <w:p>
            <w:pPr>
              <w:ind w:left="440"/>
              <w:spacing w:after="0"/>
              <w:rPr>
                <w:sz w:val="20"/>
                <w:szCs w:val="20"/>
                <w:color w:val="auto"/>
              </w:rPr>
            </w:pPr>
            <w:r>
              <w:rPr>
                <w:rFonts w:ascii="Arial" w:cs="Arial" w:eastAsia="Arial" w:hAnsi="Arial"/>
                <w:sz w:val="18"/>
                <w:szCs w:val="18"/>
                <w:color w:val="auto"/>
              </w:rPr>
              <w:t>o</w:t>
            </w:r>
          </w:p>
        </w:tc>
      </w:tr>
      <w:tr>
        <w:trPr>
          <w:trHeight w:val="432"/>
        </w:trPr>
        <w:tc>
          <w:tcPr>
            <w:tcW w:w="106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80" w:type="dxa"/>
            <w:vAlign w:val="bottom"/>
          </w:tcPr>
          <w:p>
            <w:pPr>
              <w:ind w:left="440"/>
              <w:spacing w:after="0"/>
              <w:rPr>
                <w:sz w:val="20"/>
                <w:szCs w:val="20"/>
                <w:color w:val="auto"/>
              </w:rPr>
            </w:pPr>
            <w:r>
              <w:rPr>
                <w:rFonts w:ascii="Arial" w:cs="Arial" w:eastAsia="Arial" w:hAnsi="Arial"/>
                <w:sz w:val="18"/>
                <w:szCs w:val="18"/>
                <w:color w:val="auto"/>
              </w:rPr>
              <w:t>o</w:t>
            </w:r>
          </w:p>
        </w:tc>
      </w:tr>
      <w:tr>
        <w:trPr>
          <w:trHeight w:val="709"/>
        </w:trPr>
        <w:tc>
          <w:tcPr>
            <w:tcW w:w="10640" w:type="dxa"/>
            <w:vAlign w:val="bottom"/>
            <w:tcBorders>
              <w:bottom w:val="single" w:sz="8" w:color="C0C0C0"/>
            </w:tcBorders>
          </w:tcPr>
          <w:p>
            <w:pPr>
              <w:spacing w:after="0"/>
              <w:rPr>
                <w:sz w:val="24"/>
                <w:szCs w:val="24"/>
                <w:color w:val="auto"/>
              </w:rPr>
            </w:pPr>
          </w:p>
        </w:tc>
        <w:tc>
          <w:tcPr>
            <w:tcW w:w="7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 w:name="page2"/>
    <w:bookmarkEnd w:id="1"/>
    <w:p>
      <w:pPr>
        <w:ind w:firstLine="376"/>
        <w:spacing w:after="0" w:line="277" w:lineRule="auto"/>
        <w:rPr>
          <w:sz w:val="20"/>
          <w:szCs w:val="20"/>
          <w:color w:val="auto"/>
        </w:rPr>
      </w:pPr>
      <w:r>
        <w:rPr>
          <w:rFonts w:ascii="Arial" w:cs="Arial" w:eastAsia="Arial" w:hAnsi="Arial"/>
          <w:sz w:val="18"/>
          <w:szCs w:val="18"/>
          <w:color w:val="auto"/>
        </w:rPr>
        <w:t>The press release issued by GasLog Ltd on July 11, 2016 announcing the announcing the charter of Hull 2801 to Total for seven years is attached hereto as Exhibit 99.1.</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INCORPORATION BY REFERENCE</w:t>
      </w:r>
    </w:p>
    <w:p>
      <w:pPr>
        <w:spacing w:after="0" w:line="200" w:lineRule="exact"/>
        <w:rPr>
          <w:sz w:val="20"/>
          <w:szCs w:val="20"/>
          <w:color w:val="auto"/>
        </w:rPr>
      </w:pPr>
    </w:p>
    <w:p>
      <w:pPr>
        <w:spacing w:after="0" w:line="241" w:lineRule="exact"/>
        <w:rPr>
          <w:sz w:val="20"/>
          <w:szCs w:val="20"/>
          <w:color w:val="auto"/>
        </w:rPr>
      </w:pPr>
    </w:p>
    <w:p>
      <w:pPr>
        <w:ind w:right="140"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827" w:right="31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11, 2016</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Wogan</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1017"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the Charter of Hull 2801 to Total for Seven Years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Monaco – July 11, 2016 </w:t>
      </w:r>
      <w:r>
        <w:rPr>
          <w:rFonts w:ascii="Arial" w:cs="Arial" w:eastAsia="Arial" w:hAnsi="Arial"/>
          <w:sz w:val="18"/>
          <w:szCs w:val="18"/>
          <w:color w:val="auto"/>
        </w:rPr>
        <w:t>– GasLog Ltd. (“GasLog”, NYSE: GLOG), an international owner, operator and manager of liquefied natural gas (“LNG”) carriers,</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announces that it has signed a time charter party with Total Gas &amp; Power Chartering Limited (“Total”) to charter “Hull 2801” for a period of seven years. Hull 2801 was GasLog’s only newbuild vessel without a multi-year contract. The vessel is currently under construction at Hyundai Heavy Industries in South Korea and is due to be delivered in 2018.</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will charter the vessel from GasLog for a period of seven years, commencing in mid-2018 at a date to be finalized ahead of the commencement of the charter. A further option period of three years has been granted at the charterer’s option.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Following the successful charter of this vessel, all of GasLog’s six remaining newbuild vessels have firm, long-term charters of between 7 and 10 years.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daily charter rate is in line with GasLog’s average long-term charter rate and the gross contracted revenue from the contract is approximately $190 million over the seven-year firm period.</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GasLog Partners LP (“GasLog Partners”, NYSE: GLOP) has the right to acquire Hull 2801 pursuant to the omnibus agreement between GasLog and GasLog Partners. Securing a seven-year charter on this vessel extends the pipeline of future dropdown vessels from twelve to thirteen.</w:t>
      </w:r>
    </w:p>
    <w:p>
      <w:pPr>
        <w:spacing w:after="0" w:line="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Paul Wogan, Chief Executive Officer of GasLog Ltd., commented, “I am delighted to place our open newbuild on charter with Total for seven years. Total is both a leading and growing player in the global LNG industry and this meets our objective of broadening GasLog’s long-term customer base.</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charter rate is consistent with long-term industry averages, demonstrating the resilience of long term charter rates against the volatility of the short term market. The contracted EBITDA from this vessel means that GasLog has over $180 million of annualized inbuilt EBITDA from its eight newbuilds, two of which have already been delivered this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GasLog is an international owner, operator and manager of LNG carriers. GasLog’s fully-owned fleet includes 18 LNG carriers (including 12 ships in operation and 6 LNG carriers on order) and GasLog has four LNG carriers operating under its technical management for third parties. GasLog Partners LP, a master limited partnership formed by GasLog, owns a further eight LNG carriers. GasLog’s principal executive offices are at Gildo Pastor Center, 7 Rue du Gabian, MC 98000, Monaco. GasLog’s website is http://www.gaslogltd.com.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Jamie Buckland –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540"/>
        <w:spacing w:after="0" w:line="236" w:lineRule="auto"/>
        <w:rPr>
          <w:sz w:val="20"/>
          <w:szCs w:val="20"/>
          <w:color w:val="auto"/>
        </w:rPr>
      </w:pPr>
      <w:r>
        <w:rPr>
          <w:rFonts w:ascii="Arial" w:cs="Arial" w:eastAsia="Arial" w:hAnsi="Arial"/>
          <w:sz w:val="22"/>
          <w:szCs w:val="22"/>
          <w:color w:val="auto"/>
        </w:rPr>
        <w:t>general LNG shipping market conditions and trends, including spot and long-term charter rates, ship values, factors affecting supply and demand of LNG and LNG shipping and technological advancements; continued low prices for crude oil and petroleum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760"/>
        <w:spacing w:after="0" w:line="230" w:lineRule="auto"/>
        <w:rPr>
          <w:sz w:val="20"/>
          <w:szCs w:val="20"/>
          <w:color w:val="auto"/>
        </w:rPr>
      </w:pPr>
      <w:r>
        <w:rPr>
          <w:rFonts w:ascii="Arial" w:cs="Arial" w:eastAsia="Arial" w:hAnsi="Arial"/>
          <w:sz w:val="22"/>
          <w:szCs w:val="22"/>
          <w:color w:val="auto"/>
        </w:rPr>
        <w:t>our ability to enter into time charters with new and existing customers; changes in the ownership of our charterers;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our customers’ performance of their obligations under our time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our future operating performance, financial condition, liquidity and cash available for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Arial" w:cs="Arial" w:eastAsia="Arial" w:hAnsi="Arial"/>
          <w:sz w:val="22"/>
          <w:szCs w:val="22"/>
          <w:color w:val="auto"/>
        </w:rPr>
        <w:t>our ability to obtain financing to fund capital expenditures, acquisitions and other corporate activities, funding by banks of their financial commitments, and our ability to meet our restrictive covenants and other obligations under our credit facilities; future, pending or recent acquisitions of or orders for ships or other assets, business strategy, areas of possible expansion and expected capital spending or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600"/>
        <w:spacing w:after="0" w:line="230" w:lineRule="auto"/>
        <w:rPr>
          <w:sz w:val="20"/>
          <w:szCs w:val="20"/>
          <w:color w:val="auto"/>
        </w:rPr>
      </w:pPr>
      <w:r>
        <w:rPr>
          <w:rFonts w:ascii="Arial" w:cs="Arial" w:eastAsia="Arial" w:hAnsi="Arial"/>
          <w:sz w:val="22"/>
          <w:szCs w:val="22"/>
          <w:color w:val="auto"/>
        </w:rPr>
        <w:t>the time that it may take to construct and deliver newbuildings and the useful lives of our ships; number of off-hire days, drydocking requirements and insurance costs; fluctuations in currencies and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Arial" w:cs="Arial" w:eastAsia="Arial" w:hAnsi="Arial"/>
          <w:sz w:val="22"/>
          <w:szCs w:val="22"/>
          <w:color w:val="auto"/>
        </w:rPr>
        <w:t>our ability to maintain long-term relationships with major energy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Arial" w:cs="Arial" w:eastAsia="Arial" w:hAnsi="Arial"/>
          <w:sz w:val="22"/>
          <w:szCs w:val="22"/>
          <w:color w:val="auto"/>
        </w:rPr>
        <w:t>our ability to maximize the use of our ships, including the re-employment or disposal of ships not under time charter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Arial" w:cs="Arial" w:eastAsia="Arial" w:hAnsi="Arial"/>
          <w:sz w:val="22"/>
          <w:szCs w:val="22"/>
          <w:color w:val="auto"/>
        </w:rPr>
        <w:t>environmental and regulatory conditions, including changes in laws and regulations or actions taken by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Arial" w:cs="Arial" w:eastAsia="Arial" w:hAnsi="Arial"/>
          <w:sz w:val="22"/>
          <w:szCs w:val="22"/>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880"/>
        <w:spacing w:after="0" w:line="267" w:lineRule="auto"/>
        <w:rPr>
          <w:sz w:val="20"/>
          <w:szCs w:val="20"/>
          <w:color w:val="auto"/>
        </w:rPr>
      </w:pPr>
      <w:r>
        <w:rPr>
          <w:rFonts w:ascii="Arial" w:cs="Arial" w:eastAsia="Arial" w:hAnsi="Arial"/>
          <w:sz w:val="19"/>
          <w:szCs w:val="19"/>
          <w:color w:val="auto"/>
        </w:rPr>
        <w:t>risks inherent in ship operation, including the discharge of pollutants; availability of skilled labor, ship crews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280"/>
        <w:spacing w:after="0" w:line="230" w:lineRule="auto"/>
        <w:rPr>
          <w:sz w:val="20"/>
          <w:szCs w:val="20"/>
          <w:color w:val="auto"/>
        </w:rPr>
      </w:pPr>
      <w:r>
        <w:rPr>
          <w:rFonts w:ascii="Arial" w:cs="Arial" w:eastAsia="Arial" w:hAnsi="Arial"/>
          <w:sz w:val="22"/>
          <w:szCs w:val="22"/>
          <w:color w:val="auto"/>
        </w:rPr>
        <w:t>potential disruption of shipping routes due to accidents, political events, piracy or acts by terrorists; potential liability from future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any malfunction or disruption of information technology systems and networks that our operations rely on or any impact of a possible cybersecurity breach;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7" w:lineRule="auto"/>
        <w:rPr>
          <w:sz w:val="20"/>
          <w:szCs w:val="20"/>
          <w:color w:val="auto"/>
        </w:rPr>
      </w:pPr>
      <w:r>
        <w:rPr>
          <w:rFonts w:ascii="Arial" w:cs="Arial" w:eastAsia="Arial" w:hAnsi="Arial"/>
          <w:sz w:val="22"/>
          <w:szCs w:val="22"/>
          <w:color w:val="auto"/>
        </w:rPr>
        <w:t>other risks and uncertainties described in the Company’s Annual Report on Form 20-F filed with the SEC on March 14, 2016 and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79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2019-12-08T22:08:02Z</dcterms:created>
  <dcterms:modified xsi:type="dcterms:W3CDTF">2019-12-08T22:08:02Z</dcterms:modified>
</cp:coreProperties>
</file>