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February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340" w:firstLine="356"/>
        <w:spacing w:after="0" w:line="277" w:lineRule="auto"/>
        <w:rPr>
          <w:sz w:val="20"/>
          <w:szCs w:val="20"/>
          <w:color w:val="auto"/>
        </w:rPr>
      </w:pPr>
      <w:r>
        <w:rPr>
          <w:rFonts w:ascii="Arial" w:cs="Arial" w:eastAsia="Arial" w:hAnsi="Arial"/>
          <w:sz w:val="18"/>
          <w:szCs w:val="18"/>
          <w:color w:val="auto"/>
        </w:rPr>
        <w:t>The press release issued by GasLog Ltd. on February 16, 2018 relating to its results for the quarter and the year ended December 31, 2017 is attached hereto as Exhibit 99.1 and is incorporated herein by reference.</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tcPr>
          <w:p>
            <w:pPr>
              <w:jc w:val="center"/>
              <w:ind w:right="87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0460" w:type="dxa"/>
            <w:vAlign w:val="bottom"/>
            <w:tcBorders>
              <w:bottom w:val="single" w:sz="8" w:color="auto"/>
            </w:tcBorders>
          </w:tcPr>
          <w:p>
            <w:pPr>
              <w:ind w:left="48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Press Release dated February 16, 2018</w:t>
            </w:r>
          </w:p>
        </w:tc>
        <w:tc>
          <w:tcPr>
            <w:tcW w:w="4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06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20"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February 16, 2018</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by</w:t>
        <w:tab/>
        <w:t>/s/ Paul Wogan</w:t>
      </w:r>
    </w:p>
    <w:p>
      <w:pPr>
        <w:spacing w:after="0" w:line="23" w:lineRule="exact"/>
        <w:rPr>
          <w:sz w:val="24"/>
          <w:szCs w:val="24"/>
          <w:color w:val="auto"/>
        </w:rPr>
      </w:pPr>
    </w:p>
    <w:tbl>
      <w:tblPr>
        <w:tblLayout w:type="fixed"/>
        <w:tblInd w:w="61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Wogan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and the Year Ended December 31, 2017</w:t>
      </w:r>
    </w:p>
    <w:p>
      <w:pPr>
        <w:spacing w:after="0" w:line="21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MONACO, February 16, 2018, GasLog Ltd. and its subsidiaries (“GasLog” or “Group” or “Company”) (NYSE: GLOG)</w:t>
      </w:r>
      <w:r>
        <w:rPr>
          <w:rFonts w:ascii="Arial" w:cs="Arial" w:eastAsia="Arial" w:hAnsi="Arial"/>
          <w:sz w:val="18"/>
          <w:szCs w:val="18"/>
          <w:color w:val="auto"/>
        </w:rPr>
        <w:t>, an international owner,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 and manager of liquefied natural gas (“LNG”) carriers, today reported its unaudited financial results for the quarter and the year ended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of the Quarter and the Year</w:t>
      </w:r>
    </w:p>
    <w:p>
      <w:pPr>
        <w:spacing w:after="0" w:line="216" w:lineRule="exact"/>
        <w:rPr>
          <w:sz w:val="20"/>
          <w:szCs w:val="20"/>
          <w:color w:val="auto"/>
        </w:rPr>
      </w:pPr>
    </w:p>
    <w:p>
      <w:pPr>
        <w:ind w:left="660" w:right="40" w:hanging="652"/>
        <w:spacing w:after="0" w:line="22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of $135.8 million (Q4 2016: $126.5 million), Profit of $29.7 million (Q4 2016: $46.4 million) and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$0.08 (Q4 2016: $0.36) for the quarter ended December 31, 2017.</w:t>
      </w:r>
    </w:p>
    <w:p>
      <w:pPr>
        <w:ind w:left="620" w:hanging="612"/>
        <w:spacing w:after="0" w:line="206"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$89.7 million (Q4 2016: $84.8 million), Adjusted EBITDA</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$89.7 million (Q4 2016: $85.4 million), Adjusted Profit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$21.4</w:t>
      </w:r>
    </w:p>
    <w:p>
      <w:pPr>
        <w:ind w:left="660" w:right="280"/>
        <w:spacing w:after="0" w:line="219" w:lineRule="auto"/>
        <w:rPr>
          <w:rFonts w:ascii="Arial" w:cs="Arial" w:eastAsia="Arial" w:hAnsi="Arial"/>
          <w:sz w:val="17"/>
          <w:szCs w:val="17"/>
          <w:color w:val="auto"/>
        </w:rPr>
      </w:pPr>
      <w:r>
        <w:rPr>
          <w:rFonts w:ascii="Arial" w:cs="Arial" w:eastAsia="Arial" w:hAnsi="Arial"/>
          <w:sz w:val="18"/>
          <w:szCs w:val="18"/>
          <w:color w:val="auto"/>
        </w:rPr>
        <w:t>million (Q4 2016: $18.9 million) and Adjusted Loss per share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$0.02 (Q4 2016: Adjusted Earnings per share of $0.02) for the quarter ended December 31, 2017.</w:t>
      </w:r>
    </w:p>
    <w:p>
      <w:pPr>
        <w:ind w:left="660" w:right="180" w:hanging="652"/>
        <w:spacing w:after="0" w:line="219"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of $525.2 million (2016: $466.1 million), Profit of $84.2 million (2016: $28.1 million) and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$0.07 (2016: Loss per share of $0.39), for the year ended December 31, 2017.</w:t>
      </w:r>
    </w:p>
    <w:p>
      <w:pPr>
        <w:spacing w:after="0" w:line="1" w:lineRule="exact"/>
        <w:rPr>
          <w:rFonts w:ascii="Arial" w:cs="Arial" w:eastAsia="Arial" w:hAnsi="Arial"/>
          <w:sz w:val="18"/>
          <w:szCs w:val="18"/>
          <w:color w:val="auto"/>
        </w:rPr>
      </w:pPr>
    </w:p>
    <w:p>
      <w:pPr>
        <w:ind w:left="620" w:hanging="612"/>
        <w:spacing w:after="0" w:line="206"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$355.9 million (2016: $301.0 million), Adjusted EBITDA</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$356.0 million (2016: $302.4 million), Adjusted Profit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$78.7</w:t>
      </w:r>
    </w:p>
    <w:p>
      <w:pPr>
        <w:ind w:left="660" w:right="240"/>
        <w:spacing w:after="0" w:line="219" w:lineRule="auto"/>
        <w:rPr>
          <w:rFonts w:ascii="Arial" w:cs="Arial" w:eastAsia="Arial" w:hAnsi="Arial"/>
          <w:sz w:val="17"/>
          <w:szCs w:val="17"/>
          <w:color w:val="auto"/>
        </w:rPr>
      </w:pPr>
      <w:r>
        <w:rPr>
          <w:rFonts w:ascii="Arial" w:cs="Arial" w:eastAsia="Arial" w:hAnsi="Arial"/>
          <w:sz w:val="18"/>
          <w:szCs w:val="18"/>
          <w:color w:val="auto"/>
        </w:rPr>
        <w:t>million (2016: $57.5 million) and Adjusted Loss per share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of $0.00 (2016: Adjusted Loss per share of $0.03) for the year ended December 31, 2017.</w:t>
      </w:r>
    </w:p>
    <w:p>
      <w:pPr>
        <w:ind w:left="620" w:hanging="612"/>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Completed the drop-down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to GasLog Partners LP (“GasLog Partners” or the “Partnership”) for $185.9 million on October 20, 2017.</w:t>
      </w:r>
    </w:p>
    <w:p>
      <w:pPr>
        <w:spacing w:after="0" w:line="32" w:lineRule="exact"/>
        <w:rPr>
          <w:rFonts w:ascii="Arial" w:cs="Arial" w:eastAsia="Arial" w:hAnsi="Arial"/>
          <w:sz w:val="16"/>
          <w:szCs w:val="16"/>
          <w:color w:val="auto"/>
        </w:rPr>
      </w:pPr>
    </w:p>
    <w:p>
      <w:pPr>
        <w:ind w:left="660" w:right="80" w:hanging="652"/>
        <w:spacing w:after="0" w:line="281"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previously announced, confirmed the order for a 180,000 cubic meter (“cbm”) GTT Mark III Flex Plus LNG carrier with dual-fuel two-stroke engine propulsion (“LP-2S”) from Samsung Heavy Industries Co., Ltd. (“Samsung”) which is scheduled to be delivered in the third quarter of 2019.</w:t>
      </w:r>
    </w:p>
    <w:p>
      <w:pPr>
        <w:spacing w:after="0" w:line="1" w:lineRule="exact"/>
        <w:rPr>
          <w:rFonts w:ascii="Arial" w:cs="Arial" w:eastAsia="Arial" w:hAnsi="Arial"/>
          <w:sz w:val="16"/>
          <w:szCs w:val="16"/>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March 15,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 Quarter-end Highlights</w:t>
      </w:r>
    </w:p>
    <w:p>
      <w:pPr>
        <w:spacing w:after="0" w:line="216"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Delivery of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on January 8, 2018 and commencement of a short-term time charter agreement with a major LNG producer.</w:t>
      </w:r>
    </w:p>
    <w:p>
      <w:pPr>
        <w:spacing w:after="0" w:line="34" w:lineRule="exact"/>
        <w:rPr>
          <w:rFonts w:ascii="Arial" w:cs="Arial" w:eastAsia="Arial" w:hAnsi="Arial"/>
          <w:sz w:val="17"/>
          <w:szCs w:val="17"/>
          <w:color w:val="auto"/>
        </w:rPr>
      </w:pPr>
    </w:p>
    <w:p>
      <w:pPr>
        <w:ind w:left="660" w:right="180" w:hanging="652"/>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Amendment of the charter of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to Total Gas &amp; Power Chartering Limited (“Total”), a wholly owned subsidiary of Total S.A., such that the charter will commence on delivery of the vessel in March 2018 and expire in 2025.</w:t>
      </w:r>
    </w:p>
    <w:p>
      <w:pPr>
        <w:ind w:left="660" w:right="340" w:hanging="652"/>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 Partners completed a public offering of 8.200% Series B Cumulative Redeemable Perpetual Fixed to Floating Rate Preference Units (the “Series B Preference Units”), raising net proceeds of $111.0 million.</w:t>
      </w:r>
    </w:p>
    <w:p>
      <w:pPr>
        <w:ind w:left="660" w:right="360" w:hanging="652"/>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 Partners prepaid the outstanding $29.8 million of the junior tranche of the credit agreement entered into on February 18, 2016 (the “Five Vessel Refinancing”), due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5" w:lineRule="exact"/>
        <w:rPr>
          <w:sz w:val="20"/>
          <w:szCs w:val="20"/>
          <w:color w:val="auto"/>
        </w:rPr>
      </w:pPr>
    </w:p>
    <w:p>
      <w:pPr>
        <w:ind w:left="140" w:right="40" w:hanging="132"/>
        <w:spacing w:after="0" w:line="238" w:lineRule="auto"/>
        <w:tabs>
          <w:tab w:leader="none" w:pos="153"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Earnings/Loss per share (“EPS”) and Adjusted EPS are net of the profit attributable to the non-controlling interests of $20.8 million and the dividend on preferred stock of $2.5 million for the quarter ended December 31, 2017 ($15.1 million and $2.5 million, respectively, for the quarter ended December 31, 2016) and net of the profit attributable to the non-controlling interests of $68.7 million and the dividend on preferred stock of $10.1 million for the year ended December 31, 2017 ($49.5 million and $10.1 million, respectively, for the year ended December 31, 2016).</w:t>
      </w:r>
    </w:p>
    <w:p>
      <w:pPr>
        <w:spacing w:after="0" w:line="169" w:lineRule="exact"/>
        <w:rPr>
          <w:rFonts w:ascii="Arial" w:cs="Arial" w:eastAsia="Arial" w:hAnsi="Arial"/>
          <w:sz w:val="16"/>
          <w:szCs w:val="16"/>
          <w:color w:val="auto"/>
          <w:vertAlign w:val="superscript"/>
        </w:rPr>
      </w:pPr>
    </w:p>
    <w:p>
      <w:pPr>
        <w:ind w:left="140" w:right="20" w:hanging="132"/>
        <w:spacing w:after="0" w:line="222"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definitions and reconciliations of these measures to the most directly comparable financial measures calculated and presented in accordance with IFRS, please refer to Exhibit II at the end of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Paul Wogan, Chief Executive Officer, stated: “GasLog posted another strong quarter, achieving record quarterly and annual results for revenues and EBITDA due to improved earnings from our spot fleet and a strong uptime performance from our ships on charter, including our 2016 newbuild deliveries. We recently took delivery of the </w:t>
      </w:r>
      <w:r>
        <w:rPr>
          <w:rFonts w:ascii="Arial" w:cs="Arial" w:eastAsia="Arial" w:hAnsi="Arial"/>
          <w:sz w:val="18"/>
          <w:szCs w:val="18"/>
          <w:i w:val="1"/>
          <w:iCs w:val="1"/>
          <w:color w:val="auto"/>
        </w:rPr>
        <w:t>GasLog Houston</w:t>
      </w:r>
      <w:r>
        <w:rPr>
          <w:rFonts w:ascii="Arial" w:cs="Arial" w:eastAsia="Arial" w:hAnsi="Arial"/>
          <w:sz w:val="18"/>
          <w:szCs w:val="18"/>
          <w:color w:val="auto"/>
        </w:rPr>
        <w:t>, our first on the water vessel with LP-2S propulsion, and immediately placed her on a short-term charter with a major LNG producer.</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2017/2018 winter saw a significant increase in demand for LNG. In particular, China’s demand exceeded expectations as a result of cold weather and changes in energy and environmental policy. This strong demand from Asia pulled in LNG supply from multiple sources including the U.S., resulting in a significant tightening in the LNG shipping market which led to spot rates reaching multi-year highs. While we may see a seasonal moderation in spot rates as we exit the Northern Hemisphere winter, GasLog remains well positioned to benefit from the anticipated longer term market recovery through our five vessels currently trading in the spot market through the Cool Pool Limited (the “Cool Pool”) and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prior to the start of her long-term charter to Shell at the end of 2018.</w:t>
      </w:r>
    </w:p>
    <w:p>
      <w:pPr>
        <w:spacing w:after="0" w:line="18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are also encouraged by signs of continued LNG demand growth which will likely support development of new liquefaction capacity in the U.S. and elsewhere. For example, subsidiaries of Cheniere Energy Inc. (“Cheniere”) have recently announced contracts to supply Trafigura and China National Petroleum Corporation (“CNPC”). Combined with the progress made by other projects globally, we have increasing confidence that new projects will take final investment decisions (“FID”) in the next 12-18 months, many of which will require incremental shipping capacity.</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continue to grow our fleet through the order of a newbuild LNG carrier from Samsung. The vessel is currently unchartered but is expected to deliver into a stronger LNG shipping market in the third quarter of 2019. The Alexandroupolis Floating Storage and Regasification Unit (“FSRU”) project continues to move forward, with the Operation and Maintenance agreement nearing finalization, and negotiations with DEPA and Bulgarian Energy Holding (“BEH”) regarding equity participation progressing well. FID is expected in late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1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fourth quarter of 2017 witnessed the start-up of Chevron’s Wheatstone LNG project in Australia, Novatek’s Yamal Train 1 in Russia, and Dominion’s Cove Point project in the United States, building on the momentum in the expansion of global liquefaction capacity seen throughout 2017. In total, over 30 million tonnes per annum (“mtpa”) of new nameplate capacity came online in 2017, an increase of 11% over 2016. Looking ahead, Ichthys, Wheatstone Train</w:t>
      </w:r>
    </w:p>
    <w:p>
      <w:pPr>
        <w:sectPr>
          <w:pgSz w:w="11900" w:h="16838" w:orient="portrait"/>
          <w:cols w:equalWidth="0" w:num="1">
            <w:col w:w="11420"/>
          </w:cols>
          <w:pgMar w:left="240" w:top="121" w:right="239" w:bottom="0" w:gutter="0" w:footer="0" w:header="0"/>
        </w:sectPr>
      </w:pPr>
    </w:p>
    <w:bookmarkStart w:id="2" w:name="page3"/>
    <w:bookmarkEnd w:id="2"/>
    <w:p>
      <w:pPr>
        <w:ind w:right="200"/>
        <w:spacing w:after="0" w:line="277" w:lineRule="auto"/>
        <w:rPr>
          <w:sz w:val="20"/>
          <w:szCs w:val="20"/>
          <w:color w:val="auto"/>
        </w:rPr>
      </w:pPr>
      <w:r>
        <w:rPr>
          <w:rFonts w:ascii="Arial" w:cs="Arial" w:eastAsia="Arial" w:hAnsi="Arial"/>
          <w:sz w:val="18"/>
          <w:szCs w:val="18"/>
          <w:color w:val="auto"/>
        </w:rPr>
        <w:t>2, Cameroon LNG, Elba Island, Prelude and Yamal Train 2 are expected to begin production this year adding a further approximately 25 mtpa of nameplate capacity, a projected increase of 9% over 2017.</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out, the long-term outlook for the LNG market remains positive as witnessed by Cheniere’s recent sale and purchase agreements with Trafigura under which it agreed to supply 1 mtpa of LNG over 15 years beginning in 2019 and with CNPC under which it agreed to supply 1.2 mtpa of LNG for up to 25 years commencing in 2018. Tohoku Electric has contracted to purchase 0.2 mtpa from Area 1 in Mozambique. While only one FID was made last year (ENI’s 3.4 mtpa Coral FLNG), various sources project a shortfall of LNG by between 2021 and 2023, implying the need for additional project sanctions over the next 1-3 years.</w:t>
      </w:r>
    </w:p>
    <w:p>
      <w:pPr>
        <w:spacing w:after="0" w:line="6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Demand for LNG in 2017 was stronger than expected, growing an estimated 12% over 2016. More specifically, Chinese demand grew by 44% year-on-year, overtaking South Korea as the world’s second largest consumer of LNG as the country seeks to introduce more natural gas into its energy mix. Elsewhere in Asia, demand from Japan remained steady while South Korea and Taiwan grew 10% and 14%, respectively. Strong seasonal demand from Asia drove spot LNG prices to over $11/million British thermal units (“mmbtu”) in early 2018 widening the west-east arbitrage window for sending Atlantic Basin LNG into Asia, expanding tonne miles and driving incremental demand for LNG shipping capacity.</w:t>
      </w:r>
    </w:p>
    <w:p>
      <w:pPr>
        <w:spacing w:after="0" w:line="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LNG shipping spot market, tri-fuel diesel electric (“TFDE”) headline rates, as reported by Clarksons, rose through the end of the fourth quarter, reaching a peak of $82,000 per day in late December, an increase of 82% from the same time in 2016. While headline rates have fallen in recent weeks to approximately $73,000 per day, this improvement in rates, combined with only ten newbuild orders last year, gives us confidence in the sustainability of the current market recovery. While we expect there to be seasonality in both LNG prices and LNG shipping spot rates during 2018, the longer-term outlook for LNG shipping day rates remains positive.</w:t>
      </w:r>
    </w:p>
    <w:p>
      <w:pPr>
        <w:spacing w:after="0" w:line="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It may take time before the strength in the spot market observed this winter translates into the multi-year charter market as we are in the early stages of the recovery. However, we are observing increasing levels of tendering activity for charters ranging from multi-month to multi-year. In addition, some off-takers for LNG projects scheduled to begin production over the next two years have yet to secure their shipping requirements. We expect a number of vessels for these projects to be sourced from vessels currently operating in the short-term market, but also expect the coming increase in LNG supply to require additional LNG carriers beyond those currently on the water and in the orderbook.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Houston</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On January 8, 2018, GasLog took delivery of the </w:t>
      </w:r>
      <w:r>
        <w:rPr>
          <w:rFonts w:ascii="Arial" w:cs="Arial" w:eastAsia="Arial" w:hAnsi="Arial"/>
          <w:sz w:val="17"/>
          <w:szCs w:val="17"/>
          <w:i w:val="1"/>
          <w:iCs w:val="1"/>
          <w:color w:val="auto"/>
        </w:rPr>
        <w:t>GasLog Houston</w:t>
      </w:r>
      <w:r>
        <w:rPr>
          <w:rFonts w:ascii="Arial" w:cs="Arial" w:eastAsia="Arial" w:hAnsi="Arial"/>
          <w:sz w:val="17"/>
          <w:szCs w:val="17"/>
          <w:color w:val="auto"/>
        </w:rPr>
        <w:t>, a LNG carrier of 174,000 cbm with LP-2S propulsion constructed by Hyundai Heavy Industries Co., Ltd. (“Hyundai”). The vessel is currently on a short-term charter to a major LNG producer and thereafter will trade in the short-term market until the commencement of its multi-year charter party with a subsidiary of Shell, from the end of 2018 until April 2028.</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Issuance of Series B Preference Units</w:t>
      </w:r>
    </w:p>
    <w:p>
      <w:pPr>
        <w:spacing w:after="0" w:line="1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January 17, 2018, GasLog Partners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$111.0 million. The Series B Preference Units are listed on the New York Stock Exchange under the symbol “GLOP PR B”. The initial distribution on the Series B Preference Units will be payable on March 15,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Vessel</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January 12, 2018, GasLog entered into a shipbuilding contract with Samsung for the construction of a 180,000 cbm GTT Mark III Flex LNG Carrier with LP-2S propulsion (Hull No. 2213) that is scheduled to be delivered in the second quarter of 2020. This vessel will now be the vessel to be chartered to Pioneer Shipping Limited, a wholly owned a subsidiary of Centrica plc (“Centrica”) for an initial period of approximately seven years, as previously announced on October 20, 2016. The 180,000 cbm GTT Mark III Flex Plus LNG Carrier with LP-2S propulsion (Hull No. 2212) as referenced in the highlights and to be delivered in the third quarter of 2019 is currently without charter.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Drop-down of the </w:t>
      </w:r>
      <w:r>
        <w:rPr>
          <w:rFonts w:ascii="Arial" w:cs="Arial" w:eastAsia="Arial" w:hAnsi="Arial"/>
          <w:sz w:val="18"/>
          <w:szCs w:val="18"/>
          <w:b w:val="1"/>
          <w:bCs w:val="1"/>
          <w:i w:val="1"/>
          <w:iCs w:val="1"/>
          <w:u w:val="single" w:color="auto"/>
          <w:color w:val="auto"/>
        </w:rPr>
        <w:t>Solaris</w:t>
      </w:r>
      <w:r>
        <w:rPr>
          <w:rFonts w:ascii="Arial" w:cs="Arial" w:eastAsia="Arial" w:hAnsi="Arial"/>
          <w:sz w:val="18"/>
          <w:szCs w:val="18"/>
          <w:b w:val="1"/>
          <w:bCs w:val="1"/>
          <w:u w:val="single" w:color="auto"/>
          <w:color w:val="auto"/>
        </w:rPr>
        <w:t xml:space="preserve"> to GasLog Partners</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On September 19, 2017, GasLog entered into a share purchase agreement for the drop-down to GasLog Partners of 100% of the ownership interest in GAS-eight Ltd., the entity that owns the </w:t>
      </w:r>
      <w:r>
        <w:rPr>
          <w:rFonts w:ascii="Arial" w:cs="Arial" w:eastAsia="Arial" w:hAnsi="Arial"/>
          <w:sz w:val="17"/>
          <w:szCs w:val="17"/>
          <w:i w:val="1"/>
          <w:iCs w:val="1"/>
          <w:color w:val="auto"/>
        </w:rPr>
        <w:t>Solaris</w:t>
      </w:r>
      <w:r>
        <w:rPr>
          <w:rFonts w:ascii="Arial" w:cs="Arial" w:eastAsia="Arial" w:hAnsi="Arial"/>
          <w:sz w:val="17"/>
          <w:szCs w:val="17"/>
          <w:color w:val="auto"/>
        </w:rPr>
        <w:t>, for an aggregate purchase price of $185.9 million, which includes outstanding debt of $116.5 million and $1.0 million for the positive net working capital balance transferred with the entity. The acquisition closed on October 20, 2017.</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At-the-market Common Equity Offering Programme (the “ATM Programme”)</w:t>
      </w:r>
    </w:p>
    <w:p>
      <w:pPr>
        <w:spacing w:after="0" w:line="10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May 16, 2017, GasLog Partners commenced an ATM Programme under which the Partnership may, from time to time, raise equity through the issuance and sale of new common units having an aggregate offering value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size of the ATM Programme was increased to $144.0 million and UBS Securities LLC was included as a sales agent. During the fourth quarter of 2017, GasLog Partners issued and received payment for 385,520 common units at a weighted average price of $23.31 per common unit for total gross proceeds of $9.0 million and net proceeds of $8.5 million, after broker commissions of $0.1 million and other expenses of $0.4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the commencement of the ATM Programme through December 31, 2017, GasLog Partners has issued and received payment for a total of 2,737,405 common units, with cumulative gross proceeds of $62.9 million, at a weighted average price of $22.97 per unit, representing a discount of 0.5% to the volume weighted average trading price of GasLog Partners’ common units on the days on which new common units were issued. Cumulative net proceeds have been $61.2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Transactions</w:t>
      </w:r>
    </w:p>
    <w:p>
      <w:pPr>
        <w:spacing w:after="0" w:line="2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January 5, 2018, GasLog, through GasLog Partners, prepaid $29.8 million of the junior tranche of the Five Vessel Refinancing, which would have been due in April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November 16, 2017, the board of directors declared a dividend on the Series A Preference Shares of $0.546875 per share, or $2.5 million in the aggregate, payable on January 2, 2018 to holders of record as of December 29, 2017. GasLog paid the declared dividend to the transfer agent on December 29, 2017.</w:t>
      </w:r>
    </w:p>
    <w:p>
      <w:pPr>
        <w:sectPr>
          <w:pgSz w:w="11900" w:h="16838" w:orient="portrait"/>
          <w:cols w:equalWidth="0" w:num="1">
            <w:col w:w="11420"/>
          </w:cols>
          <w:pgMar w:left="240" w:top="125" w:right="239" w:bottom="0" w:gutter="0" w:footer="0" w:header="0"/>
        </w:sectPr>
      </w:pPr>
    </w:p>
    <w:bookmarkStart w:id="3" w:name="page4"/>
    <w:bookmarkEnd w:id="3"/>
    <w:p>
      <w:pPr>
        <w:ind w:right="300"/>
        <w:spacing w:after="0" w:line="277" w:lineRule="auto"/>
        <w:rPr>
          <w:sz w:val="20"/>
          <w:szCs w:val="20"/>
          <w:color w:val="auto"/>
        </w:rPr>
      </w:pPr>
      <w:r>
        <w:rPr>
          <w:rFonts w:ascii="Arial" w:cs="Arial" w:eastAsia="Arial" w:hAnsi="Arial"/>
          <w:sz w:val="18"/>
          <w:szCs w:val="18"/>
          <w:color w:val="auto"/>
        </w:rPr>
        <w:t>On February 15, 2018, the board of directors declared a quarterly cash dividend of $0.14 per common share payable on March 15, 2018 to shareholders of record as of March 5,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For the three months ended</w:t>
            </w:r>
          </w:p>
        </w:tc>
        <w:tc>
          <w:tcPr>
            <w:tcW w:w="28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For the year ended</w:t>
            </w:r>
          </w:p>
        </w:tc>
      </w:tr>
      <w:tr>
        <w:trPr>
          <w:trHeight w:val="119"/>
        </w:trPr>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tcBorders>
              <w:top w:val="single" w:sz="8" w:color="auto"/>
            </w:tcBorders>
          </w:tcPr>
          <w:p>
            <w:pPr>
              <w:jc w:val="right"/>
              <w:ind w:right="134"/>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 except per share data</w:t>
            </w: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135,772</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466,059</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gridSpan w:val="2"/>
          </w:tcPr>
          <w:p>
            <w:pPr>
              <w:spacing w:after="0" w:line="216"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84,756</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89,655</w:t>
            </w:r>
          </w:p>
        </w:tc>
        <w:tc>
          <w:tcPr>
            <w:tcW w:w="1240" w:type="dxa"/>
            <w:vAlign w:val="bottom"/>
          </w:tcPr>
          <w:p>
            <w:pPr>
              <w:jc w:val="right"/>
              <w:spacing w:after="0"/>
              <w:rPr>
                <w:sz w:val="20"/>
                <w:szCs w:val="20"/>
                <w:color w:val="auto"/>
              </w:rPr>
            </w:pPr>
            <w:r>
              <w:rPr>
                <w:rFonts w:ascii="Arial" w:cs="Arial" w:eastAsia="Arial" w:hAnsi="Arial"/>
                <w:sz w:val="18"/>
                <w:szCs w:val="18"/>
                <w:color w:val="auto"/>
              </w:rPr>
              <w:t>301,023</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355,902</w:t>
            </w: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85,406</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302,386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356,048</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46,426</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29,685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28,051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84,209</w:t>
            </w: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Profit</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18,853</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21,438</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57,495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78,724</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Profit/(loss) attributable to the owners of GasLog</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31,322</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8,934</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(21,486)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15,506</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EPS, basic</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305"/>
        </w:trPr>
        <w:tc>
          <w:tcPr>
            <w:tcW w:w="546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(1)</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3" w:lineRule="exact"/>
        <w:rPr>
          <w:sz w:val="20"/>
          <w:szCs w:val="20"/>
          <w:color w:val="auto"/>
        </w:rPr>
      </w:pPr>
    </w:p>
    <w:p>
      <w:pPr>
        <w:ind w:left="140" w:right="60" w:hanging="127"/>
        <w:spacing w:after="0" w:line="223"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7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There were 2,050 and 8,317 operating days for the quarter and the year ended December 31, 2017, respectively (2,078 and 7,439 operating days for the quarter and the year ended December 31, 2016, respectively). The decrease in operating days in the fourth quarter of 2017 as compared to the fourth quarter of 2016 resulted mainly from the increased off-hire days due to a scheduled dry-docking and repairs partially offset by an increase from the delivery of the </w:t>
      </w:r>
      <w:r>
        <w:rPr>
          <w:rFonts w:ascii="Arial" w:cs="Arial" w:eastAsia="Arial" w:hAnsi="Arial"/>
          <w:sz w:val="17"/>
          <w:szCs w:val="17"/>
          <w:i w:val="1"/>
          <w:iCs w:val="1"/>
          <w:color w:val="auto"/>
        </w:rPr>
        <w:t xml:space="preserve">GasLog Gibraltar </w:t>
      </w:r>
      <w:r>
        <w:rPr>
          <w:rFonts w:ascii="Arial" w:cs="Arial" w:eastAsia="Arial" w:hAnsi="Arial"/>
          <w:sz w:val="17"/>
          <w:szCs w:val="17"/>
          <w:color w:val="auto"/>
        </w:rPr>
        <w:t>on October 31, 2016. The year-on-year increase in operating days resulted mainly from the deliveries of the</w:t>
      </w:r>
      <w:r>
        <w:rPr>
          <w:rFonts w:ascii="Arial" w:cs="Arial" w:eastAsia="Arial" w:hAnsi="Arial"/>
          <w:sz w:val="17"/>
          <w:szCs w:val="17"/>
          <w:i w:val="1"/>
          <w:iCs w:val="1"/>
          <w:color w:val="auto"/>
        </w:rPr>
        <w:t xml:space="preserve"> GasLog 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Glasgow</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Gibraltar </w:t>
      </w:r>
      <w:r>
        <w:rPr>
          <w:rFonts w:ascii="Arial" w:cs="Arial" w:eastAsia="Arial" w:hAnsi="Arial"/>
          <w:sz w:val="17"/>
          <w:szCs w:val="17"/>
          <w:color w:val="auto"/>
        </w:rPr>
        <w:t>on March 29, 2016, June 30, 2016, September 30, 2016 and October 31, 2016,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combined with fewer off-hire days due to scheduled dry-dockings and repairs.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Revenues were $135.8 million and $525.2 million for the quarter and the year ended December 31, 2017, respectively ($126.5 million and $466.1 million for the quarter and the year ended December 31, 2016, respectively). The increase in revenues in the fourth quarter of 2017, as compared to the fourth quarter of 2016 was mainly attributable to the increased revenues from vessels operating in the spot market, while the year-on-year increase in revenues was mainly driven by the full operation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increased revenues from vessels operating in the spot market.</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Vessel operating and supervision costs were $35.6 million and $122.5 million for the quarter and the year ended December 31, 2017, respectively ($29.4 million and $112.6 million for the quarter and the year ended December 31, 2016, respectively). The increase in vessel operating and supervision costs for the quarter and the year ended December 31, 2017 was mainly driven by the increase in ownership days due to the full operation of the 2016 deliveries and an increase in crew wages and technical maintenance expenses.</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Voyage expenses and commissions were $1.3 million and $8.2 million for the quarter and the year ended December 31, 2017, respectively ($2.5 million and $15.2 million for the quarter and the year ended December 31, 2016, respectively). The decrease resulted mainly from the movement in net allocation of the Cool Pool results.</w:t>
      </w:r>
    </w:p>
    <w:p>
      <w:pPr>
        <w:spacing w:after="0" w:line="16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Depreciation was $34.6 million and $137.2 million for the quarter and the year ended December 31, 2017, respectively ($33.9 million and $123.0 million for the quarter and the year ended December 31, 2016, respectively). The increase resulted from the increase in the average number of vessels in our fleet.</w:t>
      </w:r>
    </w:p>
    <w:p>
      <w:pPr>
        <w:spacing w:after="0" w:line="1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General and administrative expenses were $9.6 million and $39.9 million for the quarter and the year ended December 31, 2017, respectively ($10.3 million and $38.6 million for the quarter and the year ended December 31, 2016, respectively). The decrease in general and administrative expenses in the fourth quarter of 2017 as compared to the fourth quarter of 2016 was mainly attributable to the decrease of foreign exchange losses, while the year-on-year increase was mainly driven by an increase in employee costs and share-based compensation expense, partially offset by the decrease of foreign exchange losses.</w:t>
      </w:r>
    </w:p>
    <w:p>
      <w:pPr>
        <w:spacing w:after="0" w:line="1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Financial costs were $34.9 million and $139.2 million for the quarter and the year ended December 31, 2017, respectively ($30.6 million and $137.3 million for the quarter and the year ended December 31, 2016, respectively). The increase in financial costs in the fourth quarter of 2017 as compared to the fourth quarter of 2016 was mainly attributable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the increased average debt outstanding as a result of the U.S. bond offering completed in March 2017 and the increased weighted average interest rate. The year-on-year increase in financial costs was mainly driven by the increased average debt outstanding as a result of the debt drawdowns for the new vessels delivered in 2016 the U.S. bond offering and the increased weighted average interest rate, partially offset by the write-off of $18.2 million of unamortized loan issuance costs associated with re-financing which occurred during 2016. An analysis of financial costs is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For the three months ended</w:t>
            </w:r>
          </w:p>
        </w:tc>
        <w:tc>
          <w:tcPr>
            <w:tcW w:w="2880" w:type="dxa"/>
            <w:vAlign w:val="bottom"/>
            <w:gridSpan w:val="5"/>
          </w:tcPr>
          <w:p>
            <w:pPr>
              <w:ind w:left="800"/>
              <w:spacing w:after="0"/>
              <w:rPr>
                <w:sz w:val="20"/>
                <w:szCs w:val="20"/>
                <w:color w:val="auto"/>
              </w:rPr>
            </w:pPr>
            <w:r>
              <w:rPr>
                <w:rFonts w:ascii="Arial" w:cs="Arial" w:eastAsia="Arial" w:hAnsi="Arial"/>
                <w:sz w:val="14"/>
                <w:szCs w:val="14"/>
                <w:b w:val="1"/>
                <w:bCs w:val="1"/>
                <w:color w:val="auto"/>
              </w:rPr>
              <w:t>For the year ended</w:t>
            </w:r>
          </w:p>
        </w:tc>
      </w:tr>
      <w:tr>
        <w:trPr>
          <w:trHeight w:val="119"/>
        </w:trPr>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gridSpan w:val="2"/>
          </w:tcPr>
          <w:p>
            <w:pPr>
              <w:spacing w:after="0"/>
              <w:rPr>
                <w:sz w:val="10"/>
                <w:szCs w:val="10"/>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2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2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costs</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546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and write-off of deferred loan and bond issuance costs</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and premium</w:t>
            </w:r>
          </w:p>
        </w:tc>
        <w:tc>
          <w:tcPr>
            <w:tcW w:w="1240" w:type="dxa"/>
            <w:vAlign w:val="bottom"/>
          </w:tcPr>
          <w:p>
            <w:pPr>
              <w:jc w:val="right"/>
              <w:spacing w:after="0"/>
              <w:rPr>
                <w:sz w:val="20"/>
                <w:szCs w:val="20"/>
                <w:color w:val="auto"/>
              </w:rPr>
            </w:pPr>
            <w:r>
              <w:rPr>
                <w:rFonts w:ascii="Arial" w:cs="Arial" w:eastAsia="Arial" w:hAnsi="Arial"/>
                <w:sz w:val="18"/>
                <w:szCs w:val="18"/>
                <w:color w:val="auto"/>
              </w:rPr>
              <w:t>2,895</w:t>
            </w:r>
          </w:p>
        </w:tc>
        <w:tc>
          <w:tcPr>
            <w:tcW w:w="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3,063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35,141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12,398</w:t>
            </w:r>
          </w:p>
        </w:tc>
        <w:tc>
          <w:tcPr>
            <w:tcW w:w="80" w:type="dxa"/>
            <w:vAlign w:val="bottom"/>
          </w:tcPr>
          <w:p>
            <w:pPr>
              <w:spacing w:after="0"/>
              <w:rPr>
                <w:sz w:val="20"/>
                <w:szCs w:val="20"/>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21,474</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21,132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76,495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85,813</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w w:val="97"/>
              </w:rPr>
              <w:t>Interest expense on bonds and realized loss on cross-currency swaps</w:t>
            </w:r>
          </w:p>
        </w:tc>
        <w:tc>
          <w:tcPr>
            <w:tcW w:w="1240" w:type="dxa"/>
            <w:vAlign w:val="bottom"/>
          </w:tcPr>
          <w:p>
            <w:pPr>
              <w:jc w:val="right"/>
              <w:spacing w:after="0"/>
              <w:rPr>
                <w:sz w:val="20"/>
                <w:szCs w:val="20"/>
                <w:color w:val="auto"/>
              </w:rPr>
            </w:pPr>
            <w:r>
              <w:rPr>
                <w:rFonts w:ascii="Arial" w:cs="Arial" w:eastAsia="Arial" w:hAnsi="Arial"/>
                <w:sz w:val="18"/>
                <w:szCs w:val="18"/>
                <w:color w:val="auto"/>
              </w:rPr>
              <w:t>3,033</w:t>
            </w:r>
          </w:p>
        </w:tc>
        <w:tc>
          <w:tcPr>
            <w:tcW w:w="3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7,588</w:t>
            </w:r>
          </w:p>
        </w:tc>
        <w:tc>
          <w:tcPr>
            <w:tcW w:w="1240" w:type="dxa"/>
            <w:vAlign w:val="bottom"/>
          </w:tcPr>
          <w:p>
            <w:pPr>
              <w:jc w:val="right"/>
              <w:spacing w:after="0"/>
              <w:rPr>
                <w:sz w:val="20"/>
                <w:szCs w:val="20"/>
                <w:color w:val="auto"/>
              </w:rPr>
            </w:pPr>
            <w:r>
              <w:rPr>
                <w:rFonts w:ascii="Arial" w:cs="Arial" w:eastAsia="Arial" w:hAnsi="Arial"/>
                <w:sz w:val="18"/>
                <w:szCs w:val="18"/>
                <w:color w:val="auto"/>
              </w:rPr>
              <w:t>11,723</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27,085</w:t>
            </w:r>
          </w:p>
        </w:tc>
        <w:tc>
          <w:tcPr>
            <w:tcW w:w="8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charge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10,875</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Loss arising on bond repurchase at a premium</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2,120</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costs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8"/>
                <w:szCs w:val="18"/>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30,560</w:t>
            </w:r>
          </w:p>
        </w:tc>
        <w:tc>
          <w:tcPr>
            <w:tcW w:w="3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34,870</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137,316</w:t>
            </w:r>
          </w:p>
        </w:tc>
        <w:tc>
          <w:tcPr>
            <w:tcW w:w="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63" w:gutter="0" w:footer="0" w:header="0"/>
        </w:sectPr>
      </w:pPr>
    </w:p>
    <w:bookmarkStart w:id="4" w:name="page5"/>
    <w:bookmarkEnd w:id="4"/>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Gain on swaps was $8.6 million and $2.0 million for the quarter and the year ended December 31, 2017, respectively (a gain of $26.0 million and a loss of $13.4 million for the quarter and the year ended December 31, 2016, respectively). The decrease in gain on swaps in the fourth quarter of 2017 as compared to the fourth quarter of 2016 was mainly attributable to a decrease of $19.7 million in gain from mark-to-market valuation of our derivative financial instruments carried at fair value through profit or loss, partially offset by a decrease of $2.4 million in realized loss on derivative financial instruments held for trading. The year-on-year increase in gain on swaps was mainly driven by the decrease of $19.1 million in recycled loss that was reclassified from equity to the statement of profit or loss relating to the cumulative loss from the period that the hedges of the interest rate swaps terminated in July 2016 were effective and the decrease of $4.3 million in realized loss on derivative financial instruments held for trading, partially offset by the decrease of $8.0 million in gain from mark-to-market valuation of our derivative financial instruments carried at fair value through profit or loss. An analysis of (gain)/loss on swaps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For the three months ended</w:t>
            </w:r>
          </w:p>
        </w:tc>
        <w:tc>
          <w:tcPr>
            <w:tcW w:w="28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year ended</w:t>
            </w:r>
          </w:p>
        </w:tc>
      </w:tr>
      <w:tr>
        <w:trPr>
          <w:trHeight w:val="119"/>
        </w:trPr>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1260" w:type="dxa"/>
            <w:vAlign w:val="bottom"/>
            <w:tcBorders>
              <w:top w:val="single" w:sz="8" w:color="auto"/>
            </w:tcBorders>
          </w:tcPr>
          <w:p>
            <w:pPr>
              <w:jc w:val="right"/>
              <w:ind w:right="136"/>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gridSpan w:val="2"/>
          </w:tcPr>
          <w:p>
            <w:pPr>
              <w:spacing w:after="0"/>
              <w:rPr>
                <w:sz w:val="10"/>
                <w:szCs w:val="10"/>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(Gain)/loss on swaps</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Realized loss/(gain) on interest rate swaps held for trading</w:t>
            </w:r>
          </w:p>
        </w:tc>
        <w:tc>
          <w:tcPr>
            <w:tcW w:w="1240" w:type="dxa"/>
            <w:vAlign w:val="bottom"/>
          </w:tcPr>
          <w:p>
            <w:pPr>
              <w:jc w:val="right"/>
              <w:spacing w:after="0"/>
              <w:rPr>
                <w:sz w:val="20"/>
                <w:szCs w:val="20"/>
                <w:color w:val="auto"/>
              </w:rPr>
            </w:pPr>
            <w:r>
              <w:rPr>
                <w:rFonts w:ascii="Arial" w:cs="Arial" w:eastAsia="Arial" w:hAnsi="Arial"/>
                <w:sz w:val="18"/>
                <w:szCs w:val="18"/>
                <w:color w:val="auto"/>
              </w:rPr>
              <w:t>2,258</w:t>
            </w:r>
          </w:p>
        </w:tc>
        <w:tc>
          <w:tcPr>
            <w:tcW w:w="3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40" w:type="dxa"/>
            <w:vAlign w:val="bottom"/>
          </w:tcPr>
          <w:p>
            <w:pPr>
              <w:jc w:val="right"/>
              <w:spacing w:after="0"/>
              <w:rPr>
                <w:sz w:val="20"/>
                <w:szCs w:val="20"/>
                <w:color w:val="auto"/>
              </w:rPr>
            </w:pPr>
            <w:r>
              <w:rPr>
                <w:rFonts w:ascii="Arial" w:cs="Arial" w:eastAsia="Arial" w:hAnsi="Arial"/>
                <w:sz w:val="18"/>
                <w:szCs w:val="18"/>
                <w:color w:val="auto"/>
              </w:rPr>
              <w:t>8,435</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4,112</w:t>
            </w:r>
          </w:p>
        </w:tc>
        <w:tc>
          <w:tcPr>
            <w:tcW w:w="8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on interest rate swaps held for trading</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(28,223)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(8,536)</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(10,570)</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23,514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4,368</w:t>
            </w:r>
          </w:p>
        </w:tc>
        <w:tc>
          <w:tcPr>
            <w:tcW w:w="8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Ineffective portion on cash flow hedges</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(25,965</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(8,610</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13,419</w:t>
            </w:r>
          </w:p>
        </w:tc>
        <w:tc>
          <w:tcPr>
            <w:tcW w:w="2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Profit was $29.7 million and $84.2 million for the quarter and the year ended December 31, 2017, respectively ($46.4 million and $28.1 million for the quarter and the year ended December 31, 2016, respectively). The decrease in profit in the fourth quarter of 2017 as compared to the fourth quarter of 2016 was mainly attributable to the decrease in gain on swaps and the increase in financial costs, partially offset by the increase in profit from operations due to the factors mentioned above. The year-on-year increase was mainly driven by the increase in profit from operations due to the factors mentioned above and the increase in gain on swaps.</w:t>
      </w:r>
    </w:p>
    <w:p>
      <w:pPr>
        <w:spacing w:after="0" w:line="18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Adjusted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$21.4 million and $78.7 million for the quarter and the year ended December 31, 2017, respectively ($18.9 million and $57.5 million for the quarter and the year ended December 31, 2016, respectively), adjusted for the effects of the non-cash gain/loss on swaps, the write-off and accelerated amortization of unamortized loan/bond fees and premium, as well as the net foreign exchange losses.</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Profit attributable to the owners of GasLog was $8.9 million and $15.5 million for the quarter and the year ended December 31, 2017, respectively (profit of $31.3 million and loss of $21.5 million for the quarter and the year ended December 31, 2016, respectively). The decrease in profit attributable to the owners of GasLog in the fourth quarter of 2017, as compared to the fourth quarter of 2016 resulted mainly from the respective movement in profit mentioned above and the increased amount allocated to third parties as a result of GasLog Partners’ equity offerings in January and May 2017, its ATM Programme initiated in May 2017 and the drop-down of four vessels. The year-on-year increase in profit attributable to the owners of GasLog for the year resulted mainly from the respective movement in profit mentioned above, partially offset by the increased amount allocated to third parties as a result of GasLog Partners’ equity offerings in August 2016, January 2017 and May 2017, and its ATM Programme initiated in May 2017, and the associated drop-down of four vessels.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EBITDA</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was $89.7 million and $355.9 million for the quarter and the year ended December 31, 2017, respectively ($84.8 million and $301.0 million for the quarter and the year ended December 31, 2016, respectively). The increases in EBITDA were driven by the increases in revenues and the decreases in voyage expenses, partially offset by the increases in vessel operating expenses and the movements in the general administrative expenses as discussed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$89.7 million and $356.0 million for the quarter and the year ended December 31, 2017, respectively ($85.4 million and $302.4 million for the quarter and the year ended December 31, 2016, respectively).</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Earnings per share was $0.08 and $0.07 for the quarter and the year ended December 31, 2017, respectively (earnings of $0.36 and a loss of $0.39 per share for the quarter and the year ended December 31, 2016, respectively).</w:t>
      </w:r>
    </w:p>
    <w:p>
      <w:pPr>
        <w:spacing w:after="0" w:line="170"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Adjusted Loss per share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$0.02 and $0.00 per share for the quarter and the year ended December 31, 2017, respectively (earnings of $0.02 and a loss of $0.03 per share for the quarter and the year ended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0" w:right="40" w:hanging="132"/>
        <w:spacing w:after="0" w:line="238" w:lineRule="auto"/>
        <w:tabs>
          <w:tab w:leader="none" w:pos="145"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29" w:lineRule="exact"/>
        <w:rPr>
          <w:sz w:val="20"/>
          <w:szCs w:val="20"/>
          <w:color w:val="auto"/>
        </w:rPr>
      </w:pPr>
    </w:p>
    <w:p>
      <w:pPr>
        <w:jc w:val="both"/>
        <w:ind w:right="160"/>
        <w:spacing w:after="0" w:line="325" w:lineRule="auto"/>
        <w:rPr>
          <w:sz w:val="20"/>
          <w:szCs w:val="20"/>
          <w:color w:val="auto"/>
        </w:rPr>
      </w:pPr>
      <w:r>
        <w:rPr>
          <w:rFonts w:ascii="Arial" w:cs="Arial" w:eastAsia="Arial" w:hAnsi="Arial"/>
          <w:sz w:val="16"/>
          <w:szCs w:val="16"/>
          <w:color w:val="auto"/>
        </w:rPr>
        <w:t>GasLog’s contracted charter revenues are estimated to increase from $486.0 million for the fiscal year 2017 to $498.3 million for the fiscal year 2019, based on contracts in effect as of December 31, 2017, without including any extension options. As of December 31, 2017, the total future firm contracted revenue stood at $3.1 billion</w:t>
      </w:r>
      <w:r>
        <w:rPr>
          <w:rFonts w:ascii="Arial" w:cs="Arial" w:eastAsia="Arial" w:hAnsi="Arial"/>
          <w:sz w:val="20"/>
          <w:szCs w:val="20"/>
          <w:color w:val="auto"/>
          <w:vertAlign w:val="superscript"/>
        </w:rPr>
        <w:t>(1)</w:t>
      </w:r>
      <w:r>
        <w:rPr>
          <w:rFonts w:ascii="Arial" w:cs="Arial" w:eastAsia="Arial" w:hAnsi="Arial"/>
          <w:sz w:val="16"/>
          <w:szCs w:val="16"/>
          <w:color w:val="auto"/>
        </w:rPr>
        <w:t>, including the twelve vessels owned by GasLog Partners, but excluding the vessels operating in the spot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0" w:lineRule="exact"/>
        <w:rPr>
          <w:sz w:val="20"/>
          <w:szCs w:val="20"/>
          <w:color w:val="auto"/>
        </w:rPr>
      </w:pPr>
    </w:p>
    <w:p>
      <w:pPr>
        <w:ind w:right="240" w:firstLine="8"/>
        <w:spacing w:after="0" w:line="238" w:lineRule="auto"/>
        <w:tabs>
          <w:tab w:leader="none" w:pos="141"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2017, GasLog had $384.1 million of cash and cash equivalents, of which $189.9 million was held in time deposits and the remaining balance in current accounts.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As of December 31, 2017, GasLog had an aggregate of $2.5 billion of indebtedness outstanding under its credit facilities and bond agreements, of which $179.4 million was repayable within one year, and a $213.4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$6.3 million was repayable within one year.</w:t>
      </w:r>
    </w:p>
    <w:p>
      <w:pPr>
        <w:sectPr>
          <w:pgSz w:w="11900" w:h="16864" w:orient="portrait"/>
          <w:cols w:equalWidth="0" w:num="1">
            <w:col w:w="11420"/>
          </w:cols>
          <w:pgMar w:left="240" w:top="125" w:right="239" w:bottom="0" w:gutter="0" w:footer="0" w:header="0"/>
        </w:sectPr>
      </w:pPr>
    </w:p>
    <w:bookmarkStart w:id="5" w:name="page6"/>
    <w:bookmarkEnd w:id="5"/>
    <w:p>
      <w:pPr>
        <w:ind w:right="500"/>
        <w:spacing w:after="0" w:line="277" w:lineRule="auto"/>
        <w:rPr>
          <w:sz w:val="20"/>
          <w:szCs w:val="20"/>
          <w:color w:val="auto"/>
        </w:rPr>
      </w:pPr>
      <w:r>
        <w:rPr>
          <w:rFonts w:ascii="Arial" w:cs="Arial" w:eastAsia="Arial" w:hAnsi="Arial"/>
          <w:sz w:val="18"/>
          <w:szCs w:val="18"/>
          <w:color w:val="auto"/>
        </w:rPr>
        <w:t>As of December 31, 2017, there was undrawn available capacity of $100.0 million under the revolving credit facility of the Legacy Facility Refinancing entered into on July 19, 2016.</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As of December 31, 2017, GasLog’s total commitments for capital expenditures are related to four LNG carriers on order and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which was delivered in 2018, which have a gross aggregate contract price of approximately $1.0 billion. As of December 31, 2017, the total remaining balance of the contract prices of the aforementioned newbuildings was $882.6 million which GasLog expects to be funded with the $664.0 million undrawn capacity under the financing agreement entered into on October 16, 2015, as well as cash balances, cash from operations, cash from future equity offerings in relation to drop-downs to the Partnership, if any, and borrowings under new and existing debt agreements.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2017, GasLog’s current assets totaled $417.1 million while current liabilities totaled $294.9 million, resulting in a positive working capital position of $122.2 million.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GasLog has hedged 53.9% of its expected floating interest rate exposure on its outstanding debt (excluding the finance lease liability)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February 16,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Cargo</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Charter</w:t>
            </w: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Charterer</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Propulsion</w:t>
            </w:r>
          </w:p>
        </w:tc>
        <w:tc>
          <w:tcPr>
            <w:tcW w:w="15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gridSpan w:val="3"/>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Built</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5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500" w:type="dxa"/>
            <w:vAlign w:val="bottom"/>
            <w:gridSpan w:val="2"/>
          </w:tcPr>
          <w:p>
            <w:pPr>
              <w:jc w:val="center"/>
              <w:ind w:right="140"/>
              <w:spacing w:after="0" w:line="172" w:lineRule="exact"/>
              <w:rPr>
                <w:sz w:val="20"/>
                <w:szCs w:val="20"/>
                <w:color w:val="auto"/>
              </w:rPr>
            </w:pPr>
            <w:r>
              <w:rPr>
                <w:rFonts w:ascii="Arial" w:cs="Arial" w:eastAsia="Arial" w:hAnsi="Arial"/>
                <w:sz w:val="14"/>
                <w:szCs w:val="14"/>
                <w:b w:val="1"/>
                <w:bCs w:val="1"/>
                <w:color w:val="auto"/>
                <w:w w:val="92"/>
              </w:rPr>
              <w:t>Expiration</w:t>
            </w:r>
            <w:r>
              <w:rPr>
                <w:rFonts w:ascii="Arial" w:cs="Arial" w:eastAsia="Arial" w:hAnsi="Arial"/>
                <w:sz w:val="17"/>
                <w:szCs w:val="17"/>
                <w:b w:val="1"/>
                <w:bCs w:val="1"/>
                <w:color w:val="auto"/>
                <w:w w:val="92"/>
                <w:vertAlign w:val="superscript"/>
              </w:rPr>
              <w:t>(1)</w:t>
            </w:r>
          </w:p>
        </w:tc>
        <w:tc>
          <w:tcPr>
            <w:tcW w:w="1180" w:type="dxa"/>
            <w:vAlign w:val="bottom"/>
            <w:gridSpan w:val="2"/>
          </w:tcPr>
          <w:p>
            <w:pPr>
              <w:ind w:left="280"/>
              <w:spacing w:after="0" w:line="172" w:lineRule="exact"/>
              <w:rPr>
                <w:sz w:val="20"/>
                <w:szCs w:val="20"/>
                <w:color w:val="auto"/>
              </w:rPr>
            </w:pPr>
            <w:r>
              <w:rPr>
                <w:rFonts w:ascii="Arial" w:cs="Arial" w:eastAsia="Arial" w:hAnsi="Arial"/>
                <w:sz w:val="14"/>
                <w:szCs w:val="14"/>
                <w:b w:val="1"/>
                <w:bCs w:val="1"/>
                <w:color w:val="auto"/>
              </w:rPr>
              <w:t>Period</w:t>
            </w:r>
            <w:r>
              <w:rPr>
                <w:rFonts w:ascii="Arial" w:cs="Arial" w:eastAsia="Arial" w:hAnsi="Arial"/>
                <w:sz w:val="17"/>
                <w:szCs w:val="17"/>
                <w:b w:val="1"/>
                <w:bCs w:val="1"/>
                <w:color w:val="auto"/>
                <w:vertAlign w:val="superscript"/>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3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i w:val="1"/>
                <w:iCs w:val="1"/>
                <w:color w:val="auto"/>
              </w:rPr>
              <w:t>GasLog Savannah</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3"/>
                <w:szCs w:val="23"/>
                <w:color w:val="auto"/>
                <w:w w:val="89"/>
                <w:vertAlign w:val="superscript"/>
              </w:rPr>
              <w:t>(3)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TFDE</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00" w:type="dxa"/>
            <w:vAlign w:val="bottom"/>
            <w:gridSpan w:val="2"/>
          </w:tcPr>
          <w:p>
            <w:pPr>
              <w:ind w:left="60"/>
              <w:spacing w:after="0"/>
              <w:rPr>
                <w:sz w:val="20"/>
                <w:szCs w:val="20"/>
                <w:color w:val="auto"/>
              </w:rPr>
            </w:pPr>
            <w:r>
              <w:rPr>
                <w:rFonts w:ascii="Arial" w:cs="Arial" w:eastAsia="Arial" w:hAnsi="Arial"/>
                <w:sz w:val="18"/>
                <w:szCs w:val="18"/>
                <w:i w:val="1"/>
                <w:iCs w:val="1"/>
                <w:color w:val="auto"/>
              </w:rPr>
              <w:t>GasLog Singapore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155,000</w:t>
            </w:r>
          </w:p>
        </w:tc>
        <w:tc>
          <w:tcPr>
            <w:tcW w:w="1560" w:type="dxa"/>
            <w:vAlign w:val="bottom"/>
            <w:gridSpan w:val="2"/>
          </w:tcPr>
          <w:p>
            <w:pPr>
              <w:jc w:val="center"/>
              <w:ind w:right="160"/>
              <w:spacing w:after="0" w:line="21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3"/>
                <w:szCs w:val="23"/>
                <w:color w:val="auto"/>
                <w:w w:val="89"/>
                <w:vertAlign w:val="superscript"/>
              </w:rPr>
              <w:t>(3)</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3400" w:type="dxa"/>
            <w:vAlign w:val="bottom"/>
            <w:gridSpan w:val="2"/>
            <w:shd w:val="clear" w:color="auto" w:fill="CCEEFF"/>
          </w:tcPr>
          <w:p>
            <w:pPr>
              <w:ind w:left="60"/>
              <w:spacing w:after="0" w:line="216" w:lineRule="exact"/>
              <w:rPr>
                <w:sz w:val="20"/>
                <w:szCs w:val="20"/>
                <w:color w:val="auto"/>
              </w:rPr>
            </w:pPr>
            <w:r>
              <w:rPr>
                <w:rFonts w:ascii="Arial" w:cs="Arial" w:eastAsia="Arial" w:hAnsi="Arial"/>
                <w:sz w:val="18"/>
                <w:szCs w:val="18"/>
                <w:i w:val="1"/>
                <w:iCs w:val="1"/>
                <w:color w:val="auto"/>
              </w:rPr>
              <w:t>GasLog Skagen</w:t>
            </w:r>
            <w:r>
              <w:rPr>
                <w:rFonts w:ascii="Arial" w:cs="Arial" w:eastAsia="Arial" w:hAnsi="Arial"/>
                <w:sz w:val="23"/>
                <w:szCs w:val="23"/>
                <w:color w:val="auto"/>
                <w:vertAlign w:val="superscript"/>
              </w:rPr>
              <w:t>(5)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155,000</w:t>
            </w: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shd w:val="clear" w:color="auto" w:fill="CCEEFF"/>
          </w:tcPr>
          <w:p>
            <w:pPr>
              <w:jc w:val="center"/>
              <w:ind w:right="160"/>
              <w:spacing w:after="0" w:line="216" w:lineRule="exact"/>
              <w:rPr>
                <w:sz w:val="20"/>
                <w:szCs w:val="20"/>
                <w:color w:val="auto"/>
              </w:rPr>
            </w:pPr>
            <w:r>
              <w:rPr>
                <w:rFonts w:ascii="Arial" w:cs="Arial" w:eastAsia="Arial" w:hAnsi="Arial"/>
                <w:sz w:val="18"/>
                <w:szCs w:val="18"/>
                <w:color w:val="auto"/>
                <w:w w:val="88"/>
              </w:rPr>
              <w:t>August 2019</w:t>
            </w:r>
            <w:r>
              <w:rPr>
                <w:rFonts w:ascii="Arial" w:cs="Arial" w:eastAsia="Arial" w:hAnsi="Arial"/>
                <w:sz w:val="23"/>
                <w:szCs w:val="23"/>
                <w:color w:val="auto"/>
                <w:w w:val="88"/>
                <w:vertAlign w:val="superscript"/>
              </w:rPr>
              <w:t>(4)</w:t>
            </w: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00" w:type="dxa"/>
            <w:vAlign w:val="bottom"/>
            <w:gridSpan w:val="2"/>
          </w:tcPr>
          <w:p>
            <w:pPr>
              <w:ind w:left="60"/>
              <w:spacing w:after="0"/>
              <w:rPr>
                <w:sz w:val="20"/>
                <w:szCs w:val="20"/>
                <w:color w:val="auto"/>
              </w:rPr>
            </w:pPr>
            <w:r>
              <w:rPr>
                <w:rFonts w:ascii="Arial" w:cs="Arial" w:eastAsia="Arial" w:hAnsi="Arial"/>
                <w:sz w:val="18"/>
                <w:szCs w:val="18"/>
                <w:i w:val="1"/>
                <w:iCs w:val="1"/>
                <w:color w:val="auto"/>
              </w:rPr>
              <w:t>GasLog Chelsea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153,600</w:t>
            </w:r>
          </w:p>
        </w:tc>
        <w:tc>
          <w:tcPr>
            <w:tcW w:w="1560" w:type="dxa"/>
            <w:vAlign w:val="bottom"/>
            <w:gridSpan w:val="2"/>
          </w:tcPr>
          <w:p>
            <w:pPr>
              <w:jc w:val="center"/>
              <w:ind w:right="160"/>
              <w:spacing w:after="0" w:line="21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3"/>
                <w:szCs w:val="23"/>
                <w:color w:val="auto"/>
                <w:w w:val="89"/>
                <w:vertAlign w:val="superscript"/>
              </w:rPr>
              <w:t>(3)</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34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GasLog Saratoga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155,000</w:t>
            </w:r>
          </w:p>
        </w:tc>
        <w:tc>
          <w:tcPr>
            <w:tcW w:w="1560" w:type="dxa"/>
            <w:vAlign w:val="bottom"/>
            <w:gridSpan w:val="2"/>
            <w:shd w:val="clear" w:color="auto" w:fill="CCEEFF"/>
          </w:tcPr>
          <w:p>
            <w:pPr>
              <w:jc w:val="center"/>
              <w:ind w:right="160"/>
              <w:spacing w:after="0" w:line="21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3"/>
                <w:szCs w:val="23"/>
                <w:color w:val="auto"/>
                <w:w w:val="89"/>
                <w:vertAlign w:val="superscript"/>
              </w:rPr>
              <w:t>(3)</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00" w:type="dxa"/>
            <w:vAlign w:val="bottom"/>
            <w:gridSpan w:val="2"/>
          </w:tcPr>
          <w:p>
            <w:pPr>
              <w:ind w:left="60"/>
              <w:spacing w:after="0"/>
              <w:rPr>
                <w:sz w:val="20"/>
                <w:szCs w:val="20"/>
                <w:color w:val="auto"/>
              </w:rPr>
            </w:pPr>
            <w:r>
              <w:rPr>
                <w:rFonts w:ascii="Arial" w:cs="Arial" w:eastAsia="Arial" w:hAnsi="Arial"/>
                <w:sz w:val="18"/>
                <w:szCs w:val="18"/>
                <w:i w:val="1"/>
                <w:iCs w:val="1"/>
                <w:color w:val="auto"/>
              </w:rPr>
              <w:t>Methane Lydon Volney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145,000</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Steam</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October 2020</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34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Methane Becki Anne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w:t>
            </w: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March 2024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2027-2029</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00" w:type="dxa"/>
            <w:vAlign w:val="bottom"/>
            <w:gridSpan w:val="2"/>
          </w:tcPr>
          <w:p>
            <w:pPr>
              <w:ind w:left="60"/>
              <w:spacing w:after="0" w:line="216" w:lineRule="exact"/>
              <w:rPr>
                <w:sz w:val="20"/>
                <w:szCs w:val="20"/>
                <w:color w:val="auto"/>
              </w:rPr>
            </w:pPr>
            <w:r>
              <w:rPr>
                <w:rFonts w:ascii="Arial" w:cs="Arial" w:eastAsia="Arial" w:hAnsi="Arial"/>
                <w:sz w:val="18"/>
                <w:szCs w:val="18"/>
                <w:i w:val="1"/>
                <w:iCs w:val="1"/>
                <w:color w:val="auto"/>
              </w:rPr>
              <w:t>GasLog Salem</w:t>
            </w:r>
            <w:r>
              <w:rPr>
                <w:rFonts w:ascii="Arial" w:cs="Arial" w:eastAsia="Arial" w:hAnsi="Arial"/>
                <w:sz w:val="23"/>
                <w:szCs w:val="23"/>
                <w:color w:val="auto"/>
                <w:vertAlign w:val="superscript"/>
              </w:rPr>
              <w:t>(5)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155,000</w:t>
            </w:r>
          </w:p>
        </w:tc>
        <w:tc>
          <w:tcPr>
            <w:tcW w:w="1560" w:type="dxa"/>
            <w:vAlign w:val="bottom"/>
            <w:gridSpan w:val="2"/>
          </w:tcPr>
          <w:p>
            <w:pPr>
              <w:jc w:val="center"/>
              <w:ind w:right="160"/>
              <w:spacing w:after="0" w:line="21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3"/>
                <w:szCs w:val="23"/>
                <w:color w:val="auto"/>
                <w:w w:val="89"/>
                <w:vertAlign w:val="superscript"/>
              </w:rPr>
              <w:t>(3)</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34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GasLog Glasgow</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174,000</w:t>
            </w: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2026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400" w:type="dxa"/>
            <w:vAlign w:val="bottom"/>
            <w:gridSpan w:val="2"/>
          </w:tcPr>
          <w:p>
            <w:pPr>
              <w:ind w:left="60"/>
              <w:spacing w:after="0"/>
              <w:rPr>
                <w:sz w:val="20"/>
                <w:szCs w:val="20"/>
                <w:color w:val="auto"/>
              </w:rPr>
            </w:pPr>
            <w:r>
              <w:rPr>
                <w:rFonts w:ascii="Arial" w:cs="Arial" w:eastAsia="Arial" w:hAnsi="Arial"/>
                <w:sz w:val="18"/>
                <w:szCs w:val="18"/>
                <w:i w:val="1"/>
                <w:iCs w:val="1"/>
                <w:color w:val="auto"/>
              </w:rPr>
              <w:t>GasLog Gibraltar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174,000</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TFDE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October 2023</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2028-2031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34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GasLog Houston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174,000</w:t>
            </w: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LP-2S</w:t>
            </w:r>
          </w:p>
        </w:tc>
        <w:tc>
          <w:tcPr>
            <w:tcW w:w="1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April 2028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2031-2034</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February 16,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Cargo</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Charter</w:t>
            </w: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Capacity</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Charterer</w:t>
            </w: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Propulsion</w:t>
            </w:r>
          </w:p>
        </w:tc>
        <w:tc>
          <w:tcPr>
            <w:tcW w:w="17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Built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(cbm)</w:t>
            </w:r>
          </w:p>
        </w:tc>
        <w:tc>
          <w:tcPr>
            <w:tcW w:w="11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740" w:type="dxa"/>
            <w:vAlign w:val="bottom"/>
            <w:gridSpan w:val="2"/>
          </w:tcPr>
          <w:p>
            <w:pPr>
              <w:jc w:val="center"/>
              <w:ind w:right="160"/>
              <w:spacing w:after="0" w:line="172" w:lineRule="exact"/>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17"/>
                <w:szCs w:val="17"/>
                <w:b w:val="1"/>
                <w:bCs w:val="1"/>
                <w:color w:val="auto"/>
                <w:w w:val="94"/>
                <w:vertAlign w:val="superscript"/>
              </w:rPr>
              <w:t>(1)</w:t>
            </w:r>
          </w:p>
        </w:tc>
        <w:tc>
          <w:tcPr>
            <w:tcW w:w="1360" w:type="dxa"/>
            <w:vAlign w:val="bottom"/>
            <w:gridSpan w:val="2"/>
          </w:tcPr>
          <w:p>
            <w:pPr>
              <w:ind w:left="380"/>
              <w:spacing w:after="0" w:line="172" w:lineRule="exact"/>
              <w:rPr>
                <w:sz w:val="20"/>
                <w:szCs w:val="20"/>
                <w:color w:val="auto"/>
              </w:rPr>
            </w:pPr>
            <w:r>
              <w:rPr>
                <w:rFonts w:ascii="Arial" w:cs="Arial" w:eastAsia="Arial" w:hAnsi="Arial"/>
                <w:sz w:val="14"/>
                <w:szCs w:val="14"/>
                <w:b w:val="1"/>
                <w:bCs w:val="1"/>
                <w:color w:val="auto"/>
              </w:rPr>
              <w:t>Period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3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i w:val="1"/>
                <w:iCs w:val="1"/>
                <w:color w:val="auto"/>
              </w:rPr>
              <w:t>GasLog Shanghai</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TFDE</w:t>
            </w: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May 2018</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362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Santiago</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155,000</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TFDE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July 2018</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Sydney</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155,000</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7"/>
              </w:rPr>
              <w:t>TFDE</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2018</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362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Seattle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155,000</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TFDE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December 2020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2025-2030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Solaris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155,000</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7"/>
              </w:rPr>
              <w:t>TFDE</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2021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2026-2031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362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Greece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174,000</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TFDE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March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Geneva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174,000</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7"/>
              </w:rPr>
              <w:t>TFDE</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2023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2028-2031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362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Steam</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April 2020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Steam</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October 2019</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2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Steam</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2020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Steam</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December 2019</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62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Steam</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December 2020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2023-2025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Bareboat Vessel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Cargo</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Charter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Propulsion</w:t>
            </w:r>
          </w:p>
        </w:tc>
        <w:tc>
          <w:tcPr>
            <w:tcW w:w="14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Built</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3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17"/>
                <w:szCs w:val="17"/>
                <w:b w:val="1"/>
                <w:bCs w:val="1"/>
                <w:color w:val="auto"/>
                <w:w w:val="94"/>
                <w:vertAlign w:val="superscript"/>
              </w:rPr>
              <w:t>(1)</w:t>
            </w:r>
          </w:p>
        </w:tc>
        <w:tc>
          <w:tcPr>
            <w:tcW w:w="1240" w:type="dxa"/>
            <w:vAlign w:val="bottom"/>
            <w:gridSpan w:val="2"/>
          </w:tcPr>
          <w:p>
            <w:pPr>
              <w:jc w:val="center"/>
              <w:ind w:right="120"/>
              <w:spacing w:after="0" w:line="172" w:lineRule="exact"/>
              <w:rPr>
                <w:sz w:val="20"/>
                <w:szCs w:val="20"/>
                <w:color w:val="auto"/>
              </w:rPr>
            </w:pPr>
            <w:r>
              <w:rPr>
                <w:rFonts w:ascii="Arial" w:cs="Arial" w:eastAsia="Arial" w:hAnsi="Arial"/>
                <w:sz w:val="14"/>
                <w:szCs w:val="14"/>
                <w:b w:val="1"/>
                <w:bCs w:val="1"/>
                <w:color w:val="auto"/>
                <w:w w:val="90"/>
              </w:rPr>
              <w:t>Period</w:t>
            </w:r>
            <w:r>
              <w:rPr>
                <w:rFonts w:ascii="Arial" w:cs="Arial" w:eastAsia="Arial" w:hAnsi="Arial"/>
                <w:sz w:val="17"/>
                <w:szCs w:val="17"/>
                <w:b w:val="1"/>
                <w:bCs w:val="1"/>
                <w:color w:val="auto"/>
                <w:w w:val="90"/>
                <w:vertAlign w:val="superscript"/>
              </w:rPr>
              <w:t>(2)</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Methane Julia Louise</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TFDE</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2029-2031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400" w:right="60" w:hanging="392"/>
        <w:spacing w:after="0" w:line="249" w:lineRule="auto"/>
        <w:tabs>
          <w:tab w:leader="none" w:pos="400" w:val="left"/>
        </w:tabs>
        <w:numPr>
          <w:ilvl w:val="0"/>
          <w:numId w:val="6"/>
        </w:numPr>
        <w:rPr>
          <w:rFonts w:ascii="Arial" w:cs="Arial" w:eastAsia="Arial" w:hAnsi="Arial"/>
          <w:sz w:val="15"/>
          <w:szCs w:val="15"/>
          <w:color w:val="auto"/>
          <w:vertAlign w:val="superscript"/>
        </w:rPr>
      </w:pPr>
      <w:r>
        <w:rPr>
          <w:rFonts w:ascii="Arial" w:cs="Arial" w:eastAsia="Arial" w:hAnsi="Arial"/>
          <w:sz w:val="12"/>
          <w:szCs w:val="12"/>
          <w:color w:val="auto"/>
        </w:rPr>
        <w:t xml:space="preserve">The period shown reflects the expiration of the minimum optional period and the maximum optional period. The charterers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have unilateral options to extend the term of the time charters for periods ranging from five to ten years, provided that the charterers provide us with advance notices of declaration of any option in accordance with the terms of the applicable charter. The charterers of the </w:t>
      </w:r>
      <w:r>
        <w:rPr>
          <w:rFonts w:ascii="Arial" w:cs="Arial" w:eastAsia="Arial" w:hAnsi="Arial"/>
          <w:sz w:val="12"/>
          <w:szCs w:val="12"/>
          <w:i w:val="1"/>
          <w:iCs w:val="1"/>
          <w:color w:val="auto"/>
        </w:rPr>
        <w:t>Methane Lydon Volney,</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have unilateral options to extend the term of the related time charters for a period of either three or five years at their election, provided that the charterers provide us with advance notices of declaration of any option in accordance with the terms of the applicable charter. The charterer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Glasgow</w:t>
      </w:r>
      <w:r>
        <w:rPr>
          <w:rFonts w:ascii="Arial" w:cs="Arial" w:eastAsia="Arial" w:hAnsi="Arial"/>
          <w:sz w:val="12"/>
          <w:szCs w:val="12"/>
          <w:color w:val="auto"/>
        </w:rPr>
        <w:t xml:space="preserve"> has the right to extend the charters for a period of five years at the charterer’s option. The charterer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2"/>
          <w:szCs w:val="12"/>
          <w:i w:val="1"/>
          <w:iCs w:val="1"/>
          <w:color w:val="auto"/>
        </w:rPr>
        <w:t>GasLog Houston</w:t>
      </w:r>
      <w:r>
        <w:rPr>
          <w:rFonts w:ascii="Arial" w:cs="Arial" w:eastAsia="Arial" w:hAnsi="Arial"/>
          <w:sz w:val="12"/>
          <w:szCs w:val="12"/>
          <w:color w:val="auto"/>
        </w:rPr>
        <w:t xml:space="preserve"> has the right to extend the charter by two additional periods of</w:t>
      </w:r>
    </w:p>
    <w:p>
      <w:pPr>
        <w:spacing w:after="0" w:line="1" w:lineRule="exact"/>
        <w:rPr>
          <w:rFonts w:ascii="Arial" w:cs="Arial" w:eastAsia="Arial" w:hAnsi="Arial"/>
          <w:sz w:val="15"/>
          <w:szCs w:val="15"/>
          <w:color w:val="auto"/>
          <w:vertAlign w:val="superscript"/>
        </w:rPr>
      </w:pPr>
    </w:p>
    <w:p>
      <w:pPr>
        <w:ind w:left="400" w:hanging="392"/>
        <w:spacing w:after="0" w:line="182" w:lineRule="auto"/>
        <w:tabs>
          <w:tab w:leader="none" w:pos="400" w:val="left"/>
        </w:tabs>
        <w:numPr>
          <w:ilvl w:val="0"/>
          <w:numId w:val="6"/>
        </w:numPr>
        <w:rPr>
          <w:rFonts w:ascii="Arial" w:cs="Arial" w:eastAsia="Arial" w:hAnsi="Arial"/>
          <w:sz w:val="17"/>
          <w:szCs w:val="17"/>
          <w:color w:val="auto"/>
          <w:vertAlign w:val="subscript"/>
        </w:rPr>
      </w:pPr>
      <w:r>
        <w:rPr>
          <w:rFonts w:ascii="Arial" w:cs="Arial" w:eastAsia="Arial" w:hAnsi="Arial"/>
          <w:sz w:val="14"/>
          <w:szCs w:val="14"/>
          <w:color w:val="auto"/>
        </w:rPr>
        <w:t>three years, provided that the charterer provides us with advance notice of declaration.</w:t>
      </w:r>
    </w:p>
    <w:p>
      <w:pPr>
        <w:ind w:left="400" w:hanging="392"/>
        <w:spacing w:after="0" w:line="182" w:lineRule="auto"/>
        <w:tabs>
          <w:tab w:leader="none" w:pos="400" w:val="left"/>
        </w:tabs>
        <w:numPr>
          <w:ilvl w:val="0"/>
          <w:numId w:val="6"/>
        </w:numPr>
        <w:rPr>
          <w:rFonts w:ascii="Arial" w:cs="Arial" w:eastAsia="Arial" w:hAnsi="Arial"/>
          <w:sz w:val="17"/>
          <w:szCs w:val="17"/>
          <w:color w:val="auto"/>
          <w:vertAlign w:val="subscript"/>
        </w:rPr>
      </w:pPr>
      <w:r>
        <w:rPr>
          <w:rFonts w:ascii="Arial" w:cs="Arial" w:eastAsia="Arial" w:hAnsi="Arial"/>
          <w:sz w:val="14"/>
          <w:szCs w:val="14"/>
          <w:color w:val="auto"/>
        </w:rPr>
        <w:t>Vessels operating in the spot market that participate in The Cool Pool Limited (the “Cool Pool”).</w:t>
      </w:r>
    </w:p>
    <w:p>
      <w:pPr>
        <w:ind w:left="400"/>
        <w:spacing w:after="0"/>
        <w:rPr>
          <w:rFonts w:ascii="Arial" w:cs="Arial" w:eastAsia="Arial" w:hAnsi="Arial"/>
          <w:sz w:val="17"/>
          <w:szCs w:val="17"/>
          <w:color w:val="auto"/>
          <w:vertAlign w:val="subscript"/>
        </w:rPr>
      </w:pPr>
      <w:r>
        <w:rPr>
          <w:rFonts w:ascii="Arial" w:cs="Arial" w:eastAsia="Arial" w:hAnsi="Arial"/>
          <w:sz w:val="13"/>
          <w:szCs w:val="13"/>
          <w:color w:val="auto"/>
        </w:rPr>
        <w:t xml:space="preserve">On April 28, 2017, the Group signed an amendment to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seasonal time charter agreement, pursuant to which the seasonal charter of the vessel, due to expire in April 2021,</w:t>
      </w:r>
    </w:p>
    <w:p>
      <w:pPr>
        <w:ind w:left="400" w:hanging="392"/>
        <w:spacing w:after="0" w:line="182" w:lineRule="auto"/>
        <w:tabs>
          <w:tab w:leader="none" w:pos="400" w:val="left"/>
        </w:tabs>
        <w:numPr>
          <w:ilvl w:val="0"/>
          <w:numId w:val="6"/>
        </w:numPr>
        <w:rPr>
          <w:rFonts w:ascii="Arial" w:cs="Arial" w:eastAsia="Arial" w:hAnsi="Arial"/>
          <w:sz w:val="17"/>
          <w:szCs w:val="17"/>
          <w:color w:val="auto"/>
          <w:vertAlign w:val="subscript"/>
        </w:rPr>
      </w:pPr>
      <w:r>
        <w:rPr>
          <w:rFonts w:ascii="Arial" w:cs="Arial" w:eastAsia="Arial" w:hAnsi="Arial"/>
          <w:sz w:val="14"/>
          <w:szCs w:val="14"/>
          <w:color w:val="auto"/>
        </w:rPr>
        <w:t>was replaced by a continuous time charter for a period of 2.4 years ending in August 2019.</w:t>
      </w:r>
    </w:p>
    <w:p>
      <w:pPr>
        <w:ind w:left="400" w:right="180"/>
        <w:spacing w:after="0" w:line="314" w:lineRule="auto"/>
        <w:rPr>
          <w:rFonts w:ascii="Arial" w:cs="Arial" w:eastAsia="Arial" w:hAnsi="Arial"/>
          <w:sz w:val="17"/>
          <w:szCs w:val="17"/>
          <w:color w:val="auto"/>
          <w:vertAlign w:val="subscript"/>
        </w:rPr>
      </w:pPr>
      <w:r>
        <w:rPr>
          <w:rFonts w:ascii="Arial" w:cs="Arial" w:eastAsia="Arial" w:hAnsi="Arial"/>
          <w:sz w:val="12"/>
          <w:szCs w:val="12"/>
          <w:color w:val="auto"/>
        </w:rPr>
        <w:t xml:space="preserve">On December 6, 2017, a deed of novation and amendment of the charter party agreement of the </w:t>
      </w:r>
      <w:r>
        <w:rPr>
          <w:rFonts w:ascii="Arial" w:cs="Arial" w:eastAsia="Arial" w:hAnsi="Arial"/>
          <w:sz w:val="12"/>
          <w:szCs w:val="12"/>
          <w:i w:val="1"/>
          <w:iCs w:val="1"/>
          <w:color w:val="auto"/>
        </w:rPr>
        <w:t>GasLog Skagen</w:t>
      </w:r>
      <w:r>
        <w:rPr>
          <w:rFonts w:ascii="Arial" w:cs="Arial" w:eastAsia="Arial" w:hAnsi="Arial"/>
          <w:sz w:val="12"/>
          <w:szCs w:val="12"/>
          <w:color w:val="auto"/>
        </w:rPr>
        <w:t xml:space="preserve"> with Shell was signed between the Group and Shell to substitute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Salem </w:t>
      </w:r>
      <w:r>
        <w:rPr>
          <w:rFonts w:ascii="Arial" w:cs="Arial" w:eastAsia="Arial" w:hAnsi="Arial"/>
          <w:sz w:val="12"/>
          <w:szCs w:val="12"/>
          <w:color w:val="auto"/>
        </w:rPr>
        <w:t>for the</w:t>
      </w:r>
      <w:r>
        <w:rPr>
          <w:rFonts w:ascii="Arial" w:cs="Arial" w:eastAsia="Arial" w:hAnsi="Arial"/>
          <w:sz w:val="12"/>
          <w:szCs w:val="12"/>
          <w:i w:val="1"/>
          <w:iCs w:val="1"/>
          <w:color w:val="auto"/>
        </w:rPr>
        <w:t xml:space="preserve"> GasLog Skagen </w:t>
      </w:r>
      <w:r>
        <w:rPr>
          <w:rFonts w:ascii="Arial" w:cs="Arial" w:eastAsia="Arial" w:hAnsi="Arial"/>
          <w:sz w:val="12"/>
          <w:szCs w:val="12"/>
          <w:color w:val="auto"/>
        </w:rPr>
        <w:t>in the execution of the charter party. The substitution will take effect after the completion of the</w:t>
      </w:r>
      <w:r>
        <w:rPr>
          <w:rFonts w:ascii="Arial" w:cs="Arial" w:eastAsia="Arial" w:hAnsi="Arial"/>
          <w:sz w:val="12"/>
          <w:szCs w:val="12"/>
          <w:i w:val="1"/>
          <w:iCs w:val="1"/>
          <w:color w:val="auto"/>
        </w:rPr>
        <w:t xml:space="preserve"> GasLog Skagen’s </w:t>
      </w:r>
      <w:r>
        <w:rPr>
          <w:rFonts w:ascii="Arial" w:cs="Arial" w:eastAsia="Arial" w:hAnsi="Arial"/>
          <w:sz w:val="12"/>
          <w:szCs w:val="12"/>
          <w:color w:val="auto"/>
        </w:rPr>
        <w:t>dry-docking in the third quarter of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ectPr>
          <w:pgSz w:w="11900" w:h="16838" w:orient="portrait"/>
          <w:cols w:equalWidth="0" w:num="1">
            <w:col w:w="11460"/>
          </w:cols>
          <w:pgMar w:left="240" w:top="341" w:right="199" w:bottom="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GasLog has four newbuildings on order at Samsung and one newbuilding on order at Hyundai. Our vessels presently under construction are on schedule and within budget: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Cargo</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Estimated Charter</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LNG Carrier</w:t>
            </w:r>
          </w:p>
        </w:tc>
        <w:tc>
          <w:tcPr>
            <w:tcW w:w="1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Built</w:t>
            </w:r>
            <w:r>
              <w:rPr>
                <w:rFonts w:ascii="Arial" w:cs="Arial" w:eastAsia="Arial" w:hAnsi="Arial"/>
                <w:sz w:val="17"/>
                <w:szCs w:val="17"/>
                <w:b w:val="1"/>
                <w:bCs w:val="1"/>
                <w:color w:val="auto"/>
                <w:w w:val="93"/>
                <w:vertAlign w:val="superscript"/>
              </w:rPr>
              <w:t>(1)</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Shipyard</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Propulsion</w:t>
            </w: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1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740" w:type="dxa"/>
            <w:vAlign w:val="bottom"/>
            <w:gridSpan w:val="2"/>
          </w:tcPr>
          <w:p>
            <w:pPr>
              <w:jc w:val="center"/>
              <w:ind w:right="120"/>
              <w:spacing w:after="0" w:line="172" w:lineRule="exact"/>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17"/>
                <w:szCs w:val="17"/>
                <w:b w:val="1"/>
                <w:bCs w:val="1"/>
                <w:color w:val="auto"/>
                <w:w w:val="94"/>
                <w:vertAlign w:val="superscript"/>
              </w:rPr>
              <w:t>(2)</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Hull No. 2130</w:t>
            </w: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Q1 2018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Samsung</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Hull No. 2801</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Q1 2018</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Hyundai</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174,000</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Total</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LP-2S</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2131</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Q1 2019</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Samsung</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174,000</w:t>
            </w: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Shell</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LP-2S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Hull No. 2212</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Q3 2019</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Samsung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180,000</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LP-2S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2213</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Q2 2020</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Samsung</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Centrica</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LP-2S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ind w:left="260" w:hanging="252"/>
        <w:spacing w:after="0" w:line="197" w:lineRule="auto"/>
        <w:tabs>
          <w:tab w:leader="none" w:pos="2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GasLog will host a conference call to discuss its results for the fourth quarter of 2017 at 8:30 a.m. EST (1:30 p.m. GMT) on Friday, February 16, 2018. Paul Wogan, Chief Executive Officer, and Alastair Maxwell,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+1 855 282 5963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7262819</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live webcast of the conference call will also be available on the investor relations page of the Company’s website at http://www.gaslogltd.com/investor-relations.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12:00 p.m. EST (5:00 p.m. GMT) on Friday, February 16, 2018 until 11:59 p.m. EST (4:59 a.m. GMT) on Friday, February 23,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7262819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replay will also be available via a webcast in the investor relations page of the Company’s website at http://www.gaslogltd.com/investor-relations.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28 LNG carriers (23 ships on the water and five on order). GasLog also has an additional LNG carrier which was sold to a subsidiary of Mitsui Co., Ltd. and leased back under a long-term bareboat charter. GasLog’s consolidated fleet includes twelve LNG carriers in operation owned by GasLog’s subsidiary, GasLog Partners.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300" w:hanging="188"/>
        <w:spacing w:after="0" w:line="258" w:lineRule="auto"/>
        <w:tabs>
          <w:tab w:leader="none" w:pos="479"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480" w:hanging="148"/>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9" w:lineRule="exact"/>
        <w:rPr>
          <w:rFonts w:ascii="Arial" w:cs="Arial" w:eastAsia="Arial" w:hAnsi="Arial"/>
          <w:sz w:val="18"/>
          <w:szCs w:val="18"/>
          <w:color w:val="auto"/>
        </w:rPr>
      </w:pPr>
    </w:p>
    <w:p>
      <w:pPr>
        <w:ind w:left="480" w:hanging="15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480" w:hanging="15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480" w:hanging="15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ectPr>
          <w:pgSz w:w="11900" w:h="16838" w:orient="portrait"/>
          <w:cols w:equalWidth="0" w:num="1">
            <w:col w:w="11420"/>
          </w:cols>
          <w:pgMar w:left="240" w:top="341" w:right="239" w:bottom="0" w:gutter="0" w:footer="0" w:header="0"/>
        </w:sectPr>
      </w:pPr>
    </w:p>
    <w:bookmarkStart w:id="7" w:name="page8"/>
    <w:bookmarkEnd w:id="7"/>
    <w:p>
      <w:pPr>
        <w:spacing w:after="0" w:line="18" w:lineRule="exact"/>
        <w:rPr>
          <w:sz w:val="20"/>
          <w:szCs w:val="20"/>
          <w:color w:val="auto"/>
        </w:rPr>
      </w:pPr>
    </w:p>
    <w:p>
      <w:pPr>
        <w:ind w:left="520" w:right="520" w:hanging="196"/>
        <w:spacing w:after="0" w:line="256" w:lineRule="auto"/>
        <w:tabs>
          <w:tab w:leader="none" w:pos="47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which may impact the rate at which we can charter such vessels;</w:t>
      </w:r>
    </w:p>
    <w:p>
      <w:pPr>
        <w:ind w:left="480" w:hanging="156"/>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520" w:hanging="188"/>
        <w:spacing w:after="0" w:line="250" w:lineRule="auto"/>
        <w:tabs>
          <w:tab w:leader="none" w:pos="47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80" w:hanging="148"/>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32" w:lineRule="exact"/>
        <w:rPr>
          <w:rFonts w:ascii="Arial" w:cs="Arial" w:eastAsia="Arial" w:hAnsi="Arial"/>
          <w:sz w:val="16"/>
          <w:szCs w:val="16"/>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520" w:right="20" w:hanging="188"/>
        <w:spacing w:after="0" w:line="281" w:lineRule="auto"/>
        <w:tabs>
          <w:tab w:leader="none" w:pos="47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6"/>
          <w:szCs w:val="16"/>
          <w:color w:val="auto"/>
        </w:rPr>
      </w:pPr>
    </w:p>
    <w:p>
      <w:pPr>
        <w:ind w:left="480" w:hanging="148"/>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in ship operation, including the risk of accidents, collisions and the discharge of pollutants;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0" w:hanging="14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23" w:lineRule="exact"/>
        <w:rPr>
          <w:rFonts w:ascii="Arial" w:cs="Arial" w:eastAsia="Arial" w:hAnsi="Arial"/>
          <w:sz w:val="18"/>
          <w:szCs w:val="18"/>
          <w:color w:val="auto"/>
        </w:rPr>
      </w:pPr>
    </w:p>
    <w:p>
      <w:pPr>
        <w:ind w:left="480" w:hanging="14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520" w:right="300" w:hanging="188"/>
        <w:spacing w:after="0" w:line="250" w:lineRule="auto"/>
        <w:tabs>
          <w:tab w:leader="none" w:pos="4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520" w:right="840" w:hanging="188"/>
        <w:spacing w:after="0" w:line="261" w:lineRule="auto"/>
        <w:tabs>
          <w:tab w:leader="none" w:pos="4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 2017 and available at http://www.sec.gov.</w:t>
      </w:r>
    </w:p>
    <w:p>
      <w:pPr>
        <w:spacing w:after="0" w:line="18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 - Unaudited Interim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2016</w:t>
            </w: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2017</w:t>
            </w:r>
          </w:p>
        </w:tc>
      </w:tr>
      <w:tr>
        <w:trPr>
          <w:trHeight w:val="196"/>
        </w:trPr>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9,511</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6,265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20,800</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12,045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1,824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Tangible fixed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3,889,047</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3,772,566</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96,356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166,655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222,004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214,329</w:t>
            </w: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4,244,908</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4,217,820</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57"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9,256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Dividends receivable and other amounts due from related parties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3,065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Inventories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8,461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4,326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18,000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227,024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384,092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4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270,256</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417,071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46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4,515,164</w:t>
            </w:r>
          </w:p>
        </w:tc>
        <w:tc>
          <w:tcPr>
            <w:tcW w:w="3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4,634,891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Equity and liabilities</w:t>
            </w:r>
          </w:p>
        </w:tc>
        <w:tc>
          <w:tcPr>
            <w:tcW w:w="24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Share capital</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810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966,974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Reserves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10,160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18,347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4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(10,861)</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Accumulated deficit</w:t>
            </w:r>
          </w:p>
        </w:tc>
        <w:tc>
          <w:tcPr>
            <w:tcW w:w="4460" w:type="dxa"/>
            <w:vAlign w:val="bottom"/>
            <w:gridSpan w:val="3"/>
          </w:tcPr>
          <w:p>
            <w:pPr>
              <w:jc w:val="right"/>
              <w:ind w:right="240"/>
              <w:spacing w:after="0"/>
              <w:rPr>
                <w:sz w:val="20"/>
                <w:szCs w:val="20"/>
                <w:color w:val="auto"/>
              </w:rPr>
            </w:pPr>
            <w:r>
              <w:rPr>
                <w:rFonts w:ascii="Arial" w:cs="Arial" w:eastAsia="Arial" w:hAnsi="Arial"/>
                <w:sz w:val="18"/>
                <w:szCs w:val="18"/>
                <w:color w:val="auto"/>
              </w:rPr>
              <w:t>(21,486)</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4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945,643</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918,029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564,039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845,105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4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1,509,682</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2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7,255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841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7,854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93,386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147,448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179,367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liability, current portion</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5,946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46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262,835</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294,857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2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22,485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Borrowings, non-current portion</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2,504,578</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4460" w:type="dxa"/>
            <w:vAlign w:val="bottom"/>
            <w:gridSpan w:val="3"/>
          </w:tcPr>
          <w:p>
            <w:pPr>
              <w:jc w:val="right"/>
              <w:ind w:right="300"/>
              <w:spacing w:after="0"/>
              <w:rPr>
                <w:sz w:val="20"/>
                <w:szCs w:val="20"/>
                <w:color w:val="auto"/>
              </w:rPr>
            </w:pPr>
            <w:r>
              <w:rPr>
                <w:rFonts w:ascii="Arial" w:cs="Arial" w:eastAsia="Arial" w:hAnsi="Arial"/>
                <w:sz w:val="18"/>
                <w:szCs w:val="18"/>
                <w:color w:val="auto"/>
              </w:rPr>
              <w:t>214,455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207,126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1,129</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46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2,742,647</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2,576,900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4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4,515,164</w:t>
            </w:r>
          </w:p>
        </w:tc>
        <w:tc>
          <w:tcPr>
            <w:tcW w:w="3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4,634,891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60" w:type="dxa"/>
            <w:vAlign w:val="bottom"/>
            <w:vMerge w:val="restart"/>
          </w:tcPr>
          <w:p>
            <w:pPr>
              <w:jc w:val="right"/>
              <w:ind w:right="1770"/>
              <w:spacing w:after="0"/>
              <w:rPr>
                <w:sz w:val="20"/>
                <w:szCs w:val="20"/>
                <w:color w:val="auto"/>
              </w:rPr>
            </w:pPr>
            <w:r>
              <w:rPr>
                <w:rFonts w:ascii="Arial" w:cs="Arial" w:eastAsia="Arial" w:hAnsi="Arial"/>
                <w:sz w:val="18"/>
                <w:szCs w:val="18"/>
                <w:color w:val="auto"/>
              </w:rPr>
              <w:t>9</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For the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tcPr>
          <w:p>
            <w:pPr>
              <w:jc w:val="right"/>
              <w:ind w:right="192"/>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466,059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(29,390)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(35,595)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(112,632)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(122,486)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(33,936)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(34,581)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(122,957)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(137,187)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(38,642)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50,394</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54,619</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Financial costs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(30,560)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(34,870)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(137,316)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(139,181)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Gain/(loss) on swaps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25,965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8,610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(13,419)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(3,968)</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(148,593)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(133,347)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46,426</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29,685</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Owners of the Group</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31,322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15,104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20,751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49,537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Earnings/(loss) per share — basic and diluted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0.08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jc w:val="right"/>
              <w:ind w:right="473"/>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condensed consolidated statements of cash flows</w:t>
      </w:r>
    </w:p>
    <w:p>
      <w:pPr>
        <w:sectPr>
          <w:pgSz w:w="11900" w:h="16838" w:orient="portrait"/>
          <w:cols w:equalWidth="0" w:num="1">
            <w:col w:w="11460"/>
          </w:cols>
          <w:pgMar w:left="240" w:top="121" w:right="19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For the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0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tcPr>
          <w:p>
            <w:pPr>
              <w:jc w:val="right"/>
              <w:ind w:right="191"/>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Profit for the year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28,051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Depreciation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122,957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137,187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Unrealized foreign exchange loss/(gain) on cash and cash equivalents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1,020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swaps held for trading including ineffective portion of cash flow hedges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23,514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defined benefit obligations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296,030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354,424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Movements in working capital</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39,290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335,320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Interest paid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(78,788)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(126,631)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256,532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223,630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(761,513)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Dividends received from associate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Return of contributed capital from associate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received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(771,242)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360" w:type="dxa"/>
            <w:vAlign w:val="bottom"/>
          </w:tcPr>
          <w:p>
            <w:pPr>
              <w:jc w:val="right"/>
              <w:spacing w:after="0"/>
              <w:rPr>
                <w:sz w:val="20"/>
                <w:szCs w:val="20"/>
                <w:color w:val="auto"/>
              </w:rPr>
            </w:pPr>
            <w:r>
              <w:rPr>
                <w:rFonts w:ascii="Arial" w:cs="Arial" w:eastAsia="Arial" w:hAnsi="Arial"/>
                <w:sz w:val="18"/>
                <w:szCs w:val="18"/>
                <w:color w:val="auto"/>
              </w:rPr>
              <w:t>2,274,318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and finance leaseback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Bank loans and bonds repayments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(1,983,576)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(397,008)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of loan issuance costs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(44,125)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w w:val="99"/>
              </w:rPr>
              <w:t>Proceeds from GasLog Partners’ common unit offerings (net of underwriting discounts and commissions)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52,731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from GasLog Partners’ preference unit offering (net of underwriting discounts and commissions)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for cross currency swaps’ termination/modification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(31,986)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 for NOK bond repurchase at a premium</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(2,120)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for interest rate swaps’ termination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Proceeds from entering into interest rate swaps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25,465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(99,207)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62,718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Payments for vessel held under finance lease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Payments for finance lease liability</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439,766</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(75,964)</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157,068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year</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302,988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227,024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EBITDA is defined as earnings before depreciation, amortization, financial income and costs, gain/loss on swaps and taxes. Adjusted EBITDA is defined as EBITDA before foreign exchange gains/losses. Adjusted Profit represents earnings before write-off and accelerated amortization of unamortized loan fees/bond fees and premium, foreign exchange gains/losses and non-cash gain/loss on swaps that includes (if any) (a) unrealized gain/loss on derivative financial instruments held for trading and (b) recycled loss of cash flow hedges reclassified to profit or loss.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w:t>
      </w:r>
    </w:p>
    <w:p>
      <w:pPr>
        <w:sectPr>
          <w:pgSz w:w="11900" w:h="16838" w:orient="portrait"/>
          <w:cols w:equalWidth="0" w:num="1">
            <w:col w:w="11460"/>
          </w:cols>
          <w:pgMar w:left="240" w:top="121" w:right="199" w:bottom="0" w:gutter="0" w:footer="0" w:header="0"/>
        </w:sectPr>
      </w:pPr>
    </w:p>
    <w:bookmarkStart w:id="10" w:name="page11"/>
    <w:bookmarkEnd w:id="10"/>
    <w:p>
      <w:pPr>
        <w:ind w:right="40"/>
        <w:spacing w:after="0" w:line="297" w:lineRule="auto"/>
        <w:rPr>
          <w:sz w:val="20"/>
          <w:szCs w:val="20"/>
          <w:color w:val="auto"/>
        </w:rPr>
      </w:pPr>
      <w:r>
        <w:rPr>
          <w:rFonts w:ascii="Arial" w:cs="Arial" w:eastAsia="Arial" w:hAnsi="Arial"/>
          <w:sz w:val="16"/>
          <w:szCs w:val="16"/>
          <w:color w:val="auto"/>
        </w:rPr>
        <w:t>whether to purchase and/or to continue to hold our common shares. This is achieved by excluding the potentially disparate effects between periods of, in the case of EBITDA and Adjusted EBITDA, financial costs,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to EBITDA and 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33,936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34,581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122,957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137,187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34,870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Financial income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(Gain)/loss on swaps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(25,965)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13,419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EBITDA</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84,756</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89,655</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301,023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355,902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net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85,406</w:t>
            </w: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89,666</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302,386</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356,048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Profit to Adjusted Profit:</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Non-cash (gain)/loss on swaps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(28,223)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(8,471)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4,984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Write-off and accelerated amortization of unamortized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loan/bond fees and premium</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23,097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Foreign exchange losses, net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650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18,853</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21,438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57,495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78,724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4"/>
                <w:szCs w:val="24"/>
                <w:color w:val="auto"/>
              </w:rPr>
            </w:pPr>
          </w:p>
        </w:tc>
        <w:tc>
          <w:tcPr>
            <w:tcW w:w="1360" w:type="dxa"/>
            <w:vAlign w:val="bottom"/>
          </w:tcPr>
          <w:p>
            <w:pPr>
              <w:jc w:val="right"/>
              <w:ind w:right="476"/>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Earnings/(Loss) Per Share to Adjusted Earnings/(Loss)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shares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Profit/(loss) for the period attributable to owners of the Group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Less: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Dividend on Preference Shares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(10,063)</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182"/>
        </w:trPr>
        <w:tc>
          <w:tcPr>
            <w:tcW w:w="5000" w:type="dxa"/>
            <w:vAlign w:val="bottom"/>
          </w:tcPr>
          <w:p>
            <w:pPr>
              <w:spacing w:after="0" w:line="182" w:lineRule="exact"/>
              <w:rPr>
                <w:sz w:val="20"/>
                <w:szCs w:val="20"/>
                <w:color w:val="auto"/>
              </w:rPr>
            </w:pPr>
            <w:r>
              <w:rPr>
                <w:rFonts w:ascii="Arial" w:cs="Arial" w:eastAsia="Arial" w:hAnsi="Arial"/>
                <w:sz w:val="18"/>
                <w:szCs w:val="18"/>
                <w:color w:val="auto"/>
                <w:w w:val="97"/>
              </w:rPr>
              <w:t>Profit/(loss) for the period available to owners of the Group used</w:t>
            </w: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in EPS calculation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28,806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6,418</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(31,549)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80,553,503</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80,673,054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80,534,702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80,622,788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Earnings/(loss) per share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3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2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7"/>
              </w:rPr>
              <w:t>Profit/(loss) for the period available to owners of the Group used</w:t>
            </w:r>
          </w:p>
        </w:tc>
        <w:tc>
          <w:tcPr>
            <w:tcW w:w="1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(31,549</w:t>
            </w:r>
            <w:r>
              <w:rPr>
                <w:rFonts w:ascii="Arial" w:cs="Arial" w:eastAsia="Arial" w:hAnsi="Arial"/>
                <w:sz w:val="18"/>
                <w:szCs w:val="18"/>
                <w:b w:val="1"/>
                <w:bCs w:val="1"/>
                <w:color w:val="auto"/>
              </w:rPr>
              <w:t>)</w:t>
            </w: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EPS calculation</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28,806</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6,418</w:t>
            </w:r>
          </w:p>
        </w:tc>
        <w:tc>
          <w:tcPr>
            <w:tcW w:w="1640" w:type="dxa"/>
            <w:vAlign w:val="bottom"/>
            <w:gridSpan w:val="2"/>
            <w:vMerge w:val="continue"/>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Plus: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Non-cash (gain)/loss on swaps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(28,223)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(8,471)</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(6,137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Write-off and accelerated amortization of unamortized</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loan/bond fees and premium</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23,097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net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profit/(loss) attributable to owners of the Group</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80,553,503</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80,673,054</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80,534,702</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80,622,788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Adjusted earnings/(loss) per share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2019-12-08T01:28:43Z</dcterms:created>
  <dcterms:modified xsi:type="dcterms:W3CDTF">2019-12-08T01:28:43Z</dcterms:modified>
</cp:coreProperties>
</file>