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left="340" w:right="1120"/>
        <w:spacing w:after="0" w:line="286" w:lineRule="auto"/>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UNDER THE SECURITIES EXCHANGE ACT OF 1934</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December 2023</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File Number 001-35466</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GasLog Ltd.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 GasLog LNG Services Ltd.</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69 Akti Miaouli, 18537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Piraeus, Greece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tc>
        <w:tc>
          <w:tcPr>
            <w:tcW w:w="1300" w:type="dxa"/>
            <w:vAlign w:val="bottom"/>
          </w:tcPr>
          <w:p>
            <w:pPr>
              <w:spacing w:after="0"/>
              <w:rPr>
                <w:sz w:val="20"/>
                <w:szCs w:val="20"/>
                <w:color w:val="auto"/>
              </w:rPr>
            </w:pPr>
          </w:p>
        </w:tc>
      </w:tr>
      <w:tr>
        <w:trPr>
          <w:trHeight w:val="460"/>
        </w:trPr>
        <w:tc>
          <w:tcPr>
            <w:tcW w:w="994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tc>
        <w:tc>
          <w:tcPr>
            <w:tcW w:w="1300" w:type="dxa"/>
            <w:vAlign w:val="bottom"/>
          </w:tcPr>
          <w:p>
            <w:pPr>
              <w:spacing w:after="0"/>
              <w:rPr>
                <w:sz w:val="24"/>
                <w:szCs w:val="24"/>
                <w:color w:val="auto"/>
              </w:rPr>
            </w:pPr>
          </w:p>
        </w:tc>
      </w:tr>
      <w:tr>
        <w:trPr>
          <w:trHeight w:val="432"/>
        </w:trPr>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tc>
        <w:tc>
          <w:tcPr>
            <w:tcW w:w="130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p>
        </w:tc>
        <w:tc>
          <w:tcPr>
            <w:tcW w:w="130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rPr>
              <w:t>☐</w:t>
            </w:r>
          </w:p>
        </w:tc>
      </w:tr>
      <w:tr>
        <w:trPr>
          <w:trHeight w:val="269"/>
        </w:trPr>
        <w:tc>
          <w:tcPr>
            <w:tcW w:w="99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r>
      <w:tr>
        <w:trPr>
          <w:trHeight w:val="163"/>
        </w:trPr>
        <w:tc>
          <w:tcPr>
            <w:tcW w:w="99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r>
      <w:tr>
        <w:trPr>
          <w:trHeight w:val="196"/>
        </w:trPr>
        <w:tc>
          <w:tcPr>
            <w:tcW w:w="9940" w:type="dxa"/>
            <w:vAlign w:val="bottom"/>
            <w:tcBorders>
              <w:bottom w:val="single" w:sz="8" w:color="BFBFBF"/>
            </w:tcBorders>
          </w:tcPr>
          <w:p>
            <w:pPr>
              <w:spacing w:after="0"/>
              <w:rPr>
                <w:sz w:val="17"/>
                <w:szCs w:val="17"/>
                <w:color w:val="auto"/>
              </w:rPr>
            </w:pPr>
          </w:p>
        </w:tc>
        <w:tc>
          <w:tcPr>
            <w:tcW w:w="1300" w:type="dxa"/>
            <w:vAlign w:val="bottom"/>
            <w:tcBorders>
              <w:bottom w:val="single" w:sz="8" w:color="BFBFBF"/>
            </w:tcBorders>
          </w:tcPr>
          <w:p>
            <w:pPr>
              <w:spacing w:after="0"/>
              <w:rPr>
                <w:sz w:val="17"/>
                <w:szCs w:val="17"/>
                <w:color w:val="auto"/>
              </w:rPr>
            </w:pPr>
          </w:p>
        </w:tc>
      </w:tr>
    </w:tbl>
    <w:p>
      <w:pPr>
        <w:sectPr>
          <w:pgSz w:w="11900" w:h="16838" w:orient="portrait"/>
          <w:cols w:equalWidth="0" w:num="1">
            <w:col w:w="11240"/>
          </w:cols>
          <w:pgMar w:left="320" w:top="516" w:right="339" w:bottom="1440" w:gutter="0" w:footer="0" w:header="0"/>
        </w:sectPr>
      </w:pPr>
    </w:p>
    <w:bookmarkStart w:id="1" w:name="page2"/>
    <w:bookmarkEnd w:id="1"/>
    <w:p>
      <w:pPr>
        <w:ind w:firstLine="356"/>
        <w:spacing w:after="0" w:line="282" w:lineRule="auto"/>
        <w:rPr>
          <w:sz w:val="20"/>
          <w:szCs w:val="20"/>
          <w:color w:val="auto"/>
        </w:rPr>
      </w:pPr>
      <w:r>
        <w:rPr>
          <w:rFonts w:ascii="Times New Roman" w:cs="Times New Roman" w:eastAsia="Times New Roman" w:hAnsi="Times New Roman"/>
          <w:sz w:val="18"/>
          <w:szCs w:val="18"/>
          <w:color w:val="auto"/>
        </w:rPr>
        <w:t>The press release issued by GasLog Ltd. on December 28, 2023 announcing the completion of the previously announced partial redemption of its Series A Preference Shares is attached hereto as Exhibit 99.1.</w:t>
      </w:r>
    </w:p>
    <w:p>
      <w:pPr>
        <w:spacing w:after="0" w:line="200" w:lineRule="exact"/>
        <w:rPr>
          <w:sz w:val="20"/>
          <w:szCs w:val="20"/>
          <w:color w:val="auto"/>
        </w:rPr>
      </w:pPr>
    </w:p>
    <w:p>
      <w:pPr>
        <w:spacing w:after="0" w:line="39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EXHIBIT LIST</w:t>
      </w:r>
    </w:p>
    <w:p>
      <w:pPr>
        <w:spacing w:after="0" w:line="22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Exhibit</w:t>
      </w:r>
      <w:r>
        <w:rPr>
          <w:sz w:val="20"/>
          <w:szCs w:val="20"/>
          <w:color w:val="auto"/>
        </w:rPr>
        <w:tab/>
      </w:r>
      <w:r>
        <w:rPr>
          <w:rFonts w:ascii="Times New Roman" w:cs="Times New Roman" w:eastAsia="Times New Roman" w:hAnsi="Times New Roman"/>
          <w:sz w:val="18"/>
          <w:szCs w:val="18"/>
          <w:color w:val="auto"/>
        </w:rPr>
        <w:t>Description</w:t>
      </w:r>
    </w:p>
    <w:p>
      <w:pPr>
        <w:spacing w:after="0" w:line="22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dated December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337" w:right="739" w:bottom="1440" w:gutter="0" w:footer="0" w:header="0"/>
        </w:sectPr>
      </w:pPr>
    </w:p>
    <w:bookmarkStart w:id="2" w:name="page3"/>
    <w:bookmarkEnd w:id="2"/>
    <w:p>
      <w:pPr>
        <w:jc w:val="center"/>
        <w:ind w:right="-61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3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28, 2023</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GASLOG LTD.,</w:t>
      </w:r>
    </w:p>
    <w:p>
      <w:pPr>
        <w:spacing w:after="0" w:line="225" w:lineRule="exact"/>
        <w:rPr>
          <w:sz w:val="20"/>
          <w:szCs w:val="20"/>
          <w:color w:val="auto"/>
        </w:rPr>
      </w:pPr>
    </w:p>
    <w:p>
      <w:pPr>
        <w:ind w:left="5640"/>
        <w:spacing w:after="0"/>
        <w:tabs>
          <w:tab w:leader="none" w:pos="59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24942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Paolo Enoizi</w:t>
      </w:r>
    </w:p>
    <w:p>
      <w:pPr>
        <w:spacing w:after="0" w:line="27" w:lineRule="exact"/>
        <w:rPr>
          <w:sz w:val="20"/>
          <w:szCs w:val="20"/>
          <w:color w:val="auto"/>
        </w:rPr>
      </w:pPr>
    </w:p>
    <w:p>
      <w:pPr>
        <w:ind w:left="596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ectPr>
          <w:pgSz w:w="11900" w:h="16838" w:orient="portrait"/>
          <w:cols w:equalWidth="0" w:num="1">
            <w:col w:w="10640"/>
          </w:cols>
          <w:pgMar w:left="320" w:top="337" w:right="9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GasLog Ltd. Completes Partial Redemption of Series A Preference Shares</w:t>
      </w:r>
    </w:p>
    <w:p>
      <w:pPr>
        <w:spacing w:after="0" w:line="225"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Hamilton, Bermuda, December 28, 2023 — </w:t>
      </w:r>
      <w:r>
        <w:rPr>
          <w:rFonts w:ascii="Times New Roman" w:cs="Times New Roman" w:eastAsia="Times New Roman" w:hAnsi="Times New Roman"/>
          <w:sz w:val="18"/>
          <w:szCs w:val="18"/>
          <w:color w:val="auto"/>
        </w:rPr>
        <w:t>GasLog Ltd. (“GasLog” or “Company”) (NYSE: GLOG.PRA) announced today that the Company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completed the previously announced redemption of 4,341,681 shares of its outstanding 8.75% Series A Cumulative Redeemable Perpetual Preference Shares (the “Series A Preference Shares”, and the redemption thereof, the “Partial Redemption”). The redemption price of the Series A Preference Shares was $25.00 per share plus accrued and unpaid dividends in respect of the Series A Preference Shares up to, but not including, the redemption date of December 28, 2023. The Company funded the Partial Redemption with proceeds of borrowings under its existing $2.8 billion Five-Year Sustainability-Linked Senior Secured Reducing Revolving Credit Facility.</w:t>
      </w:r>
    </w:p>
    <w:p>
      <w:pPr>
        <w:spacing w:after="0" w:line="186"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Series A Preference Shares redeemed in connection with the Partial Redemption are no longer outstanding and all rights with respect to such stock have ceased and terminated. The Series A Preference Shares not redeemed in connection with the Partial Redemption shall remain issued and outstanding and subject to all the terms provided in the Certificate of Designations.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Email: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ir@gaslogltd.com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GasLog</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GasLog is an international owner, operator and manager of LNG carriers providing support to international energy companies as part of their LNG logistics chain. GasLog’s fleet consists of 37 LNG carriers (32 on the water, four under construction and one vessel undergoing conversion into a floating storage and regasification unit, or “FSRU”).</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GasLog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Other factors that might cause future results and outcomes to differ include, but are not limited to, the other risks and uncertainties described in GasLog's Annual Report on Form 20-F filed with the SEC on March 3, 2023, available at http://www.sec.gov. Accordingly, you should not unduly rely on any forward-looking statements.</w:t>
      </w:r>
    </w:p>
    <w:p>
      <w:pPr>
        <w:spacing w:after="0" w:line="188"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2023-12-28T15:14:58Z</dcterms:created>
  <dcterms:modified xsi:type="dcterms:W3CDTF">2023-12-28T15:14:58Z</dcterms:modified>
</cp:coreProperties>
</file>