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EF505F"/>
        </w:rPr>
        <w:t>As filed with the Securities and Exchange Commission on July 10, 2020.</w:t>
      </w:r>
    </w:p>
    <w:p>
      <w:pPr>
        <w:spacing w:after="0" w:line="225" w:lineRule="exact"/>
        <w:rPr>
          <w:sz w:val="24"/>
          <w:szCs w:val="24"/>
          <w:color w:val="auto"/>
        </w:rPr>
      </w:pPr>
    </w:p>
    <w:p>
      <w:pPr>
        <w:ind w:left="912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139065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F-3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144145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GASLOG LTD.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(Translation of Registrant's Name into English)</w:t>
      </w:r>
    </w:p>
    <w:p>
      <w:pPr>
        <w:sectPr>
          <w:pgSz w:w="11900" w:h="16838" w:orient="portrait"/>
          <w:cols w:equalWidth="0" w:num="1">
            <w:col w:w="11240"/>
          </w:cols>
          <w:pgMar w:left="320" w:top="685" w:right="339" w:bottom="0" w:gutter="0" w:footer="0" w:header="0"/>
        </w:sectPr>
      </w:pPr>
    </w:p>
    <w:p>
      <w:pPr>
        <w:spacing w:after="0" w:line="204" w:lineRule="exact"/>
        <w:rPr>
          <w:sz w:val="24"/>
          <w:szCs w:val="24"/>
          <w:color w:val="auto"/>
        </w:rPr>
      </w:pPr>
    </w:p>
    <w:p>
      <w:pPr>
        <w:jc w:val="center"/>
        <w:ind w:left="2000"/>
        <w:spacing w:after="0"/>
        <w:rPr>
          <w:sz w:val="20"/>
          <w:szCs w:val="20"/>
          <w:color w:val="auto"/>
        </w:rPr>
      </w:pPr>
      <w:r>
        <w:rPr>
          <w:rFonts w:ascii="Arial" w:cs="Arial" w:eastAsia="Arial" w:hAnsi="Arial"/>
          <w:sz w:val="13"/>
          <w:szCs w:val="13"/>
          <w:b w:val="1"/>
          <w:bCs w:val="1"/>
          <w:color w:val="auto"/>
        </w:rPr>
        <w:t>Bermuda</w:t>
      </w:r>
    </w:p>
    <w:p>
      <w:pPr>
        <w:spacing w:after="0" w:line="13" w:lineRule="exact"/>
        <w:rPr>
          <w:sz w:val="24"/>
          <w:szCs w:val="24"/>
          <w:color w:val="auto"/>
        </w:rPr>
      </w:pPr>
    </w:p>
    <w:p>
      <w:pPr>
        <w:jc w:val="center"/>
        <w:ind w:left="2000"/>
        <w:spacing w:after="0"/>
        <w:rPr>
          <w:sz w:val="20"/>
          <w:szCs w:val="20"/>
          <w:color w:val="auto"/>
        </w:rPr>
      </w:pPr>
      <w:r>
        <w:rPr>
          <w:rFonts w:ascii="Arial" w:cs="Arial" w:eastAsia="Arial" w:hAnsi="Arial"/>
          <w:sz w:val="12"/>
          <w:szCs w:val="12"/>
          <w:color w:val="auto"/>
        </w:rPr>
        <w:t>(State or other Jurisdiction of Incorporation or</w:t>
      </w:r>
    </w:p>
    <w:p>
      <w:pPr>
        <w:spacing w:after="0" w:line="11" w:lineRule="exact"/>
        <w:rPr>
          <w:sz w:val="24"/>
          <w:szCs w:val="24"/>
          <w:color w:val="auto"/>
        </w:rPr>
      </w:pPr>
    </w:p>
    <w:p>
      <w:pPr>
        <w:jc w:val="center"/>
        <w:ind w:left="2000"/>
        <w:spacing w:after="0"/>
        <w:rPr>
          <w:sz w:val="20"/>
          <w:szCs w:val="20"/>
          <w:color w:val="auto"/>
        </w:rPr>
      </w:pPr>
      <w:r>
        <w:rPr>
          <w:rFonts w:ascii="Arial" w:cs="Arial" w:eastAsia="Arial" w:hAnsi="Arial"/>
          <w:sz w:val="13"/>
          <w:szCs w:val="13"/>
          <w:color w:val="auto"/>
        </w:rPr>
        <w:t>Organization)</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jc w:val="center"/>
        <w:ind w:right="2860"/>
        <w:spacing w:after="0"/>
        <w:rPr>
          <w:sz w:val="20"/>
          <w:szCs w:val="20"/>
          <w:color w:val="auto"/>
        </w:rPr>
      </w:pPr>
      <w:r>
        <w:rPr>
          <w:rFonts w:ascii="Arial" w:cs="Arial" w:eastAsia="Arial" w:hAnsi="Arial"/>
          <w:sz w:val="13"/>
          <w:szCs w:val="13"/>
          <w:b w:val="1"/>
          <w:bCs w:val="1"/>
          <w:color w:val="auto"/>
        </w:rPr>
        <w:t>N/A</w:t>
      </w:r>
    </w:p>
    <w:p>
      <w:pPr>
        <w:spacing w:after="0" w:line="13" w:lineRule="exact"/>
        <w:rPr>
          <w:sz w:val="24"/>
          <w:szCs w:val="24"/>
          <w:color w:val="auto"/>
        </w:rPr>
      </w:pPr>
    </w:p>
    <w:p>
      <w:pPr>
        <w:jc w:val="center"/>
        <w:ind w:right="2860"/>
        <w:spacing w:after="0"/>
        <w:rPr>
          <w:sz w:val="20"/>
          <w:szCs w:val="20"/>
          <w:color w:val="auto"/>
        </w:rPr>
      </w:pPr>
      <w:r>
        <w:rPr>
          <w:rFonts w:ascii="Arial" w:cs="Arial" w:eastAsia="Arial" w:hAnsi="Arial"/>
          <w:sz w:val="12"/>
          <w:szCs w:val="12"/>
          <w:color w:val="auto"/>
        </w:rPr>
        <w:t>(I.R.S. Employer Identification No.)</w:t>
      </w:r>
    </w:p>
    <w:p>
      <w:pPr>
        <w:spacing w:after="0" w:line="360" w:lineRule="exact"/>
        <w:rPr>
          <w:sz w:val="24"/>
          <w:szCs w:val="24"/>
          <w:color w:val="auto"/>
        </w:rPr>
      </w:pPr>
    </w:p>
    <w:p>
      <w:pPr>
        <w:sectPr>
          <w:pgSz w:w="11900" w:h="16838" w:orient="portrait"/>
          <w:cols w:equalWidth="0" w:num="2">
            <w:col w:w="5700" w:space="720"/>
            <w:col w:w="4820"/>
          </w:cols>
          <w:pgMar w:left="320" w:top="685" w:right="339"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 GasLog LNG Services Ltd.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69 Akti Miaouli</w:t>
      </w:r>
    </w:p>
    <w:p>
      <w:pPr>
        <w:jc w:val="center"/>
        <w:spacing w:after="0"/>
        <w:rPr>
          <w:sz w:val="20"/>
          <w:szCs w:val="20"/>
          <w:color w:val="auto"/>
        </w:rPr>
      </w:pPr>
      <w:r>
        <w:rPr>
          <w:rFonts w:ascii="Arial" w:cs="Arial" w:eastAsia="Arial" w:hAnsi="Arial"/>
          <w:sz w:val="13"/>
          <w:szCs w:val="13"/>
          <w:b w:val="1"/>
          <w:bCs w:val="1"/>
          <w:color w:val="auto"/>
        </w:rPr>
        <w:t>18537 Piraeus, Greece</w:t>
      </w:r>
    </w:p>
    <w:p>
      <w:pPr>
        <w:jc w:val="center"/>
        <w:spacing w:after="0"/>
        <w:rPr>
          <w:sz w:val="20"/>
          <w:szCs w:val="20"/>
          <w:color w:val="auto"/>
        </w:rPr>
      </w:pPr>
      <w:r>
        <w:rPr>
          <w:rFonts w:ascii="Arial" w:cs="Arial" w:eastAsia="Arial" w:hAnsi="Arial"/>
          <w:sz w:val="13"/>
          <w:szCs w:val="13"/>
          <w:b w:val="1"/>
          <w:bCs w:val="1"/>
          <w:color w:val="auto"/>
        </w:rPr>
        <w:t>+30 210 459 1000</w:t>
      </w:r>
    </w:p>
    <w:p>
      <w:pPr>
        <w:jc w:val="center"/>
        <w:spacing w:after="0"/>
        <w:rPr>
          <w:sz w:val="20"/>
          <w:szCs w:val="20"/>
          <w:color w:val="auto"/>
        </w:rPr>
      </w:pPr>
      <w:r>
        <w:rPr>
          <w:rFonts w:ascii="Arial" w:cs="Arial" w:eastAsia="Arial" w:hAnsi="Arial"/>
          <w:sz w:val="13"/>
          <w:szCs w:val="13"/>
          <w:color w:val="auto"/>
        </w:rPr>
        <w:t>(Address and telephone number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Puglisi &amp; Associates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850 Library Avenue, Suite 204</w:t>
      </w:r>
    </w:p>
    <w:p>
      <w:pPr>
        <w:jc w:val="center"/>
        <w:spacing w:after="0"/>
        <w:rPr>
          <w:sz w:val="20"/>
          <w:szCs w:val="20"/>
          <w:color w:val="auto"/>
        </w:rPr>
      </w:pPr>
      <w:r>
        <w:rPr>
          <w:rFonts w:ascii="Arial" w:cs="Arial" w:eastAsia="Arial" w:hAnsi="Arial"/>
          <w:sz w:val="13"/>
          <w:szCs w:val="13"/>
          <w:b w:val="1"/>
          <w:bCs w:val="1"/>
          <w:color w:val="auto"/>
        </w:rPr>
        <w:t>Newark, Delaware 19711</w:t>
      </w:r>
    </w:p>
    <w:p>
      <w:pPr>
        <w:jc w:val="center"/>
        <w:spacing w:after="0"/>
        <w:rPr>
          <w:sz w:val="20"/>
          <w:szCs w:val="20"/>
          <w:color w:val="auto"/>
        </w:rPr>
      </w:pPr>
      <w:r>
        <w:rPr>
          <w:rFonts w:ascii="Arial" w:cs="Arial" w:eastAsia="Arial" w:hAnsi="Arial"/>
          <w:sz w:val="13"/>
          <w:szCs w:val="13"/>
          <w:b w:val="1"/>
          <w:bCs w:val="1"/>
          <w:color w:val="auto"/>
        </w:rPr>
        <w:t>(302) 738-6680</w:t>
      </w:r>
    </w:p>
    <w:p>
      <w:pPr>
        <w:jc w:val="center"/>
        <w:spacing w:after="0"/>
        <w:rPr>
          <w:sz w:val="20"/>
          <w:szCs w:val="20"/>
          <w:color w:val="auto"/>
        </w:rPr>
      </w:pPr>
      <w:r>
        <w:rPr>
          <w:rFonts w:ascii="Arial" w:cs="Arial" w:eastAsia="Arial" w:hAnsi="Arial"/>
          <w:sz w:val="13"/>
          <w:szCs w:val="13"/>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With copies to:</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 Scott Bennett, Esq.</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Cravath, Swaine &amp; Moore LLP</w:t>
      </w:r>
    </w:p>
    <w:p>
      <w:pPr>
        <w:jc w:val="center"/>
        <w:spacing w:after="0"/>
        <w:rPr>
          <w:sz w:val="20"/>
          <w:szCs w:val="20"/>
          <w:color w:val="auto"/>
        </w:rPr>
      </w:pPr>
      <w:r>
        <w:rPr>
          <w:rFonts w:ascii="Arial" w:cs="Arial" w:eastAsia="Arial" w:hAnsi="Arial"/>
          <w:sz w:val="13"/>
          <w:szCs w:val="13"/>
          <w:b w:val="1"/>
          <w:bCs w:val="1"/>
          <w:color w:val="auto"/>
        </w:rPr>
        <w:t>Worldwide Plaza</w:t>
      </w:r>
    </w:p>
    <w:p>
      <w:pPr>
        <w:jc w:val="center"/>
        <w:spacing w:after="0"/>
        <w:rPr>
          <w:sz w:val="20"/>
          <w:szCs w:val="20"/>
          <w:color w:val="auto"/>
        </w:rPr>
      </w:pPr>
      <w:r>
        <w:rPr>
          <w:rFonts w:ascii="Arial" w:cs="Arial" w:eastAsia="Arial" w:hAnsi="Arial"/>
          <w:sz w:val="13"/>
          <w:szCs w:val="13"/>
          <w:b w:val="1"/>
          <w:bCs w:val="1"/>
          <w:color w:val="auto"/>
        </w:rPr>
        <w:t>825 Eighth Avenue</w:t>
      </w:r>
    </w:p>
    <w:p>
      <w:pPr>
        <w:jc w:val="center"/>
        <w:spacing w:after="0"/>
        <w:rPr>
          <w:sz w:val="20"/>
          <w:szCs w:val="20"/>
          <w:color w:val="auto"/>
        </w:rPr>
      </w:pPr>
      <w:r>
        <w:rPr>
          <w:rFonts w:ascii="Arial" w:cs="Arial" w:eastAsia="Arial" w:hAnsi="Arial"/>
          <w:sz w:val="13"/>
          <w:szCs w:val="13"/>
          <w:b w:val="1"/>
          <w:bCs w:val="1"/>
          <w:color w:val="auto"/>
        </w:rPr>
        <w:t>New York, New York 10019</w:t>
      </w:r>
    </w:p>
    <w:p>
      <w:pPr>
        <w:jc w:val="center"/>
        <w:spacing w:after="0"/>
        <w:rPr>
          <w:sz w:val="20"/>
          <w:szCs w:val="20"/>
          <w:color w:val="auto"/>
        </w:rPr>
      </w:pPr>
      <w:r>
        <w:rPr>
          <w:rFonts w:ascii="Arial" w:cs="Arial" w:eastAsia="Arial" w:hAnsi="Arial"/>
          <w:sz w:val="13"/>
          <w:szCs w:val="13"/>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380"/>
        <w:spacing w:after="0"/>
        <w:rPr>
          <w:sz w:val="20"/>
          <w:szCs w:val="20"/>
          <w:color w:val="auto"/>
        </w:rPr>
      </w:pPr>
      <w:r>
        <w:rPr>
          <w:rFonts w:ascii="Arial" w:cs="Arial" w:eastAsia="Arial" w:hAnsi="Arial"/>
          <w:sz w:val="13"/>
          <w:szCs w:val="13"/>
          <w:b w:val="1"/>
          <w:bCs w:val="1"/>
          <w:i w:val="1"/>
          <w:iCs w:val="1"/>
          <w:color w:val="auto"/>
        </w:rPr>
        <w:t>Approximate Date of Commencement of Proposed Sale of the Securities to the Public</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time to time after the effective date of this Registration Statement.</w:t>
      </w:r>
    </w:p>
    <w:p>
      <w:pPr>
        <w:spacing w:after="0" w:line="217"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If only securities being registered on this Form are being offered pursuant to dividend or interest reinvestment plans, please check the following box. o</w:t>
      </w:r>
    </w:p>
    <w:p>
      <w:pPr>
        <w:spacing w:after="0" w:line="190" w:lineRule="exact"/>
        <w:rPr>
          <w:sz w:val="24"/>
          <w:szCs w:val="24"/>
          <w:color w:val="auto"/>
        </w:rPr>
      </w:pPr>
    </w:p>
    <w:p>
      <w:pPr>
        <w:ind w:left="38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240" w:lineRule="exact"/>
        <w:rPr>
          <w:sz w:val="24"/>
          <w:szCs w:val="24"/>
          <w:color w:val="auto"/>
        </w:rPr>
      </w:pPr>
    </w:p>
    <w:p>
      <w:pPr>
        <w:ind w:right="280" w:firstLine="371"/>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460" w:firstLine="371"/>
        <w:spacing w:after="0" w:line="274"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right="140" w:firstLine="371"/>
        <w:spacing w:after="0" w:line="274" w:lineRule="auto"/>
        <w:rPr>
          <w:sz w:val="20"/>
          <w:szCs w:val="20"/>
          <w:color w:val="auto"/>
        </w:rPr>
      </w:pPr>
      <w:r>
        <w:rPr>
          <w:rFonts w:ascii="Arial" w:cs="Arial" w:eastAsia="Arial" w:hAnsi="Arial"/>
          <w:sz w:val="13"/>
          <w:szCs w:val="13"/>
          <w:color w:val="auto"/>
        </w:rPr>
        <w:t>If this Form is a registration statement pursuant to General Instruction I.C. or a post-effective amendment thereto that shall become effective upon filing with the Commission pursuant to Rule 462(e) under the Securities Act, check the following box. o</w:t>
      </w:r>
    </w:p>
    <w:p>
      <w:pPr>
        <w:spacing w:after="0" w:line="172" w:lineRule="exact"/>
        <w:rPr>
          <w:sz w:val="24"/>
          <w:szCs w:val="24"/>
          <w:color w:val="auto"/>
        </w:rPr>
      </w:pPr>
    </w:p>
    <w:p>
      <w:pPr>
        <w:ind w:right="460" w:firstLine="371"/>
        <w:spacing w:after="0" w:line="274" w:lineRule="auto"/>
        <w:rPr>
          <w:sz w:val="20"/>
          <w:szCs w:val="20"/>
          <w:color w:val="auto"/>
        </w:rPr>
      </w:pPr>
      <w:r>
        <w:rPr>
          <w:rFonts w:ascii="Arial" w:cs="Arial" w:eastAsia="Arial" w:hAnsi="Arial"/>
          <w:sz w:val="13"/>
          <w:szCs w:val="13"/>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pacing w:after="0" w:line="172"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3"/>
          <w:szCs w:val="13"/>
          <w:color w:val="auto"/>
        </w:rPr>
        <w:t>Emerging Growth Company o</w:t>
      </w:r>
    </w:p>
    <w:p>
      <w:pPr>
        <w:sectPr>
          <w:pgSz w:w="11900" w:h="16838" w:orient="portrait"/>
          <w:cols w:equalWidth="0" w:num="1">
            <w:col w:w="11240"/>
          </w:cols>
          <w:pgMar w:left="320" w:top="685" w:right="339" w:bottom="0" w:gutter="0" w:footer="0" w:header="0"/>
          <w:type w:val="continuous"/>
        </w:sectPr>
      </w:pPr>
    </w:p>
    <w:bookmarkStart w:id="1" w:name="page2"/>
    <w:bookmarkEnd w:id="1"/>
    <w:p>
      <w:pPr>
        <w:ind w:right="180" w:firstLine="371"/>
        <w:spacing w:after="0" w:line="274" w:lineRule="auto"/>
        <w:rPr>
          <w:sz w:val="20"/>
          <w:szCs w:val="20"/>
          <w:color w:val="auto"/>
        </w:rPr>
      </w:pPr>
      <w:r>
        <w:rPr>
          <w:rFonts w:ascii="Arial" w:cs="Arial" w:eastAsia="Arial" w:hAnsi="Arial"/>
          <w:sz w:val="13"/>
          <w:szCs w:val="13"/>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40"/>
        </w:trPr>
        <w:tc>
          <w:tcPr>
            <w:tcW w:w="320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r>
      <w:tr>
        <w:trPr>
          <w:trHeight w:val="129"/>
        </w:trPr>
        <w:tc>
          <w:tcPr>
            <w:tcW w:w="3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20" w:type="dxa"/>
            <w:vAlign w:val="bottom"/>
          </w:tcPr>
          <w:p>
            <w:pPr>
              <w:jc w:val="center"/>
              <w:ind w:left="13"/>
              <w:spacing w:after="0" w:line="129" w:lineRule="exact"/>
              <w:rPr>
                <w:sz w:val="20"/>
                <w:szCs w:val="20"/>
                <w:color w:val="auto"/>
              </w:rPr>
            </w:pPr>
            <w:r>
              <w:rPr>
                <w:rFonts w:ascii="Arial" w:cs="Arial" w:eastAsia="Arial" w:hAnsi="Arial"/>
                <w:sz w:val="13"/>
                <w:szCs w:val="13"/>
                <w:b w:val="1"/>
                <w:bCs w:val="1"/>
                <w:color w:val="auto"/>
                <w:w w:val="95"/>
              </w:rPr>
              <w:t>Proposed Maximum</w:t>
            </w:r>
          </w:p>
        </w:tc>
        <w:tc>
          <w:tcPr>
            <w:tcW w:w="1420" w:type="dxa"/>
            <w:vAlign w:val="bottom"/>
          </w:tcPr>
          <w:p>
            <w:pPr>
              <w:jc w:val="center"/>
              <w:ind w:right="33"/>
              <w:spacing w:after="0" w:line="129" w:lineRule="exact"/>
              <w:rPr>
                <w:sz w:val="20"/>
                <w:szCs w:val="20"/>
                <w:color w:val="auto"/>
              </w:rPr>
            </w:pPr>
            <w:r>
              <w:rPr>
                <w:rFonts w:ascii="Arial" w:cs="Arial" w:eastAsia="Arial" w:hAnsi="Arial"/>
                <w:sz w:val="13"/>
                <w:szCs w:val="13"/>
                <w:b w:val="1"/>
                <w:bCs w:val="1"/>
                <w:color w:val="auto"/>
                <w:w w:val="93"/>
              </w:rPr>
              <w:t>Proposed Maximum</w:t>
            </w:r>
          </w:p>
        </w:tc>
        <w:tc>
          <w:tcPr>
            <w:tcW w:w="10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5"/>
              </w:rPr>
              <w:t>Amount of</w:t>
            </w:r>
          </w:p>
        </w:tc>
      </w:tr>
      <w:tr>
        <w:trPr>
          <w:trHeight w:val="148"/>
        </w:trPr>
        <w:tc>
          <w:tcPr>
            <w:tcW w:w="3200" w:type="dxa"/>
            <w:vAlign w:val="bottom"/>
          </w:tcPr>
          <w:p>
            <w:pPr>
              <w:jc w:val="center"/>
              <w:ind w:left="193"/>
              <w:spacing w:after="0"/>
              <w:rPr>
                <w:sz w:val="20"/>
                <w:szCs w:val="20"/>
                <w:color w:val="auto"/>
              </w:rPr>
            </w:pPr>
            <w:r>
              <w:rPr>
                <w:rFonts w:ascii="Arial" w:cs="Arial" w:eastAsia="Arial" w:hAnsi="Arial"/>
                <w:sz w:val="13"/>
                <w:szCs w:val="13"/>
                <w:b w:val="1"/>
                <w:bCs w:val="1"/>
                <w:color w:val="auto"/>
                <w:w w:val="92"/>
              </w:rPr>
              <w:t>Title of Each Class of Securities</w:t>
            </w:r>
          </w:p>
        </w:tc>
        <w:tc>
          <w:tcPr>
            <w:tcW w:w="1520" w:type="dxa"/>
            <w:vAlign w:val="bottom"/>
          </w:tcPr>
          <w:p>
            <w:pPr>
              <w:jc w:val="center"/>
              <w:ind w:left="353"/>
              <w:spacing w:after="0"/>
              <w:rPr>
                <w:sz w:val="20"/>
                <w:szCs w:val="20"/>
                <w:color w:val="auto"/>
              </w:rPr>
            </w:pPr>
            <w:r>
              <w:rPr>
                <w:rFonts w:ascii="Arial" w:cs="Arial" w:eastAsia="Arial" w:hAnsi="Arial"/>
                <w:sz w:val="13"/>
                <w:szCs w:val="13"/>
                <w:b w:val="1"/>
                <w:bCs w:val="1"/>
                <w:color w:val="auto"/>
                <w:w w:val="93"/>
              </w:rPr>
              <w:t>Amount to be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2"/>
              </w:rPr>
              <w:t>Aggregate Price</w:t>
            </w:r>
          </w:p>
        </w:tc>
        <w:tc>
          <w:tcPr>
            <w:tcW w:w="142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Aggregate Offering</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4"/>
              </w:rPr>
              <w:t>Registration</w:t>
            </w:r>
          </w:p>
        </w:tc>
      </w:tr>
      <w:tr>
        <w:trPr>
          <w:trHeight w:val="203"/>
        </w:trPr>
        <w:tc>
          <w:tcPr>
            <w:tcW w:w="3200" w:type="dxa"/>
            <w:vAlign w:val="bottom"/>
            <w:tcBorders>
              <w:bottom w:val="single" w:sz="8" w:color="auto"/>
            </w:tcBorders>
          </w:tcPr>
          <w:p>
            <w:pPr>
              <w:jc w:val="center"/>
              <w:ind w:left="193"/>
              <w:spacing w:after="0"/>
              <w:rPr>
                <w:sz w:val="20"/>
                <w:szCs w:val="20"/>
                <w:color w:val="auto"/>
              </w:rPr>
            </w:pPr>
            <w:r>
              <w:rPr>
                <w:rFonts w:ascii="Arial" w:cs="Arial" w:eastAsia="Arial" w:hAnsi="Arial"/>
                <w:sz w:val="13"/>
                <w:szCs w:val="13"/>
                <w:b w:val="1"/>
                <w:bCs w:val="1"/>
                <w:color w:val="auto"/>
                <w:w w:val="92"/>
              </w:rPr>
              <w:t>to be Registered</w:t>
            </w:r>
          </w:p>
        </w:tc>
        <w:tc>
          <w:tcPr>
            <w:tcW w:w="1520" w:type="dxa"/>
            <w:vAlign w:val="bottom"/>
            <w:tcBorders>
              <w:bottom w:val="single" w:sz="8" w:color="auto"/>
            </w:tcBorders>
          </w:tcPr>
          <w:p>
            <w:pPr>
              <w:jc w:val="center"/>
              <w:ind w:left="353"/>
              <w:spacing w:after="0" w:line="203" w:lineRule="exact"/>
              <w:rPr>
                <w:sz w:val="20"/>
                <w:szCs w:val="20"/>
                <w:color w:val="auto"/>
              </w:rPr>
            </w:pPr>
            <w:r>
              <w:rPr>
                <w:rFonts w:ascii="Arial" w:cs="Arial" w:eastAsia="Arial" w:hAnsi="Arial"/>
                <w:sz w:val="13"/>
                <w:szCs w:val="13"/>
                <w:b w:val="1"/>
                <w:bCs w:val="1"/>
                <w:color w:val="auto"/>
                <w:w w:val="86"/>
              </w:rPr>
              <w:t>Registered</w:t>
            </w:r>
            <w:r>
              <w:rPr>
                <w:rFonts w:ascii="Arial" w:cs="Arial" w:eastAsia="Arial" w:hAnsi="Arial"/>
                <w:sz w:val="22"/>
                <w:szCs w:val="22"/>
                <w:b w:val="1"/>
                <w:bCs w:val="1"/>
                <w:color w:val="auto"/>
                <w:w w:val="86"/>
                <w:vertAlign w:val="superscript"/>
              </w:rPr>
              <w:t>(1)</w:t>
            </w:r>
          </w:p>
        </w:tc>
        <w:tc>
          <w:tcPr>
            <w:tcW w:w="1420" w:type="dxa"/>
            <w:vAlign w:val="bottom"/>
            <w:tcBorders>
              <w:bottom w:val="single" w:sz="8" w:color="auto"/>
            </w:tcBorders>
          </w:tcPr>
          <w:p>
            <w:pPr>
              <w:jc w:val="center"/>
              <w:ind w:left="13"/>
              <w:spacing w:after="0" w:line="203"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2"/>
                <w:szCs w:val="22"/>
                <w:b w:val="1"/>
                <w:bCs w:val="1"/>
                <w:color w:val="auto"/>
                <w:w w:val="91"/>
                <w:vertAlign w:val="superscript"/>
              </w:rPr>
              <w:t>(2)</w:t>
            </w:r>
          </w:p>
        </w:tc>
        <w:tc>
          <w:tcPr>
            <w:tcW w:w="14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4"/>
              </w:rPr>
              <w:t>Price</w:t>
            </w:r>
          </w:p>
        </w:tc>
        <w:tc>
          <w:tcPr>
            <w:tcW w:w="10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3"/>
                <w:szCs w:val="13"/>
                <w:b w:val="1"/>
                <w:bCs w:val="1"/>
                <w:color w:val="auto"/>
                <w:w w:val="79"/>
              </w:rPr>
              <w:t>Fee</w:t>
            </w:r>
            <w:r>
              <w:rPr>
                <w:rFonts w:ascii="Arial" w:cs="Arial" w:eastAsia="Arial" w:hAnsi="Arial"/>
                <w:sz w:val="22"/>
                <w:szCs w:val="22"/>
                <w:b w:val="1"/>
                <w:bCs w:val="1"/>
                <w:color w:val="auto"/>
                <w:w w:val="79"/>
                <w:vertAlign w:val="superscript"/>
              </w:rPr>
              <w:t>(2)</w:t>
            </w:r>
          </w:p>
        </w:tc>
      </w:tr>
      <w:tr>
        <w:trPr>
          <w:trHeight w:val="167"/>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Shares, par value $0.01 per share</w:t>
            </w:r>
          </w:p>
        </w:tc>
        <w:tc>
          <w:tcPr>
            <w:tcW w:w="1520" w:type="dxa"/>
            <w:vAlign w:val="bottom"/>
            <w:tcBorders>
              <w:bottom w:val="single" w:sz="8" w:color="auto"/>
            </w:tcBorders>
          </w:tcPr>
          <w:p>
            <w:pPr>
              <w:jc w:val="center"/>
              <w:ind w:left="353"/>
              <w:spacing w:after="0"/>
              <w:rPr>
                <w:sz w:val="20"/>
                <w:szCs w:val="20"/>
                <w:color w:val="auto"/>
              </w:rPr>
            </w:pPr>
            <w:r>
              <w:rPr>
                <w:rFonts w:ascii="Arial" w:cs="Arial" w:eastAsia="Arial" w:hAnsi="Arial"/>
                <w:sz w:val="13"/>
                <w:szCs w:val="13"/>
                <w:color w:val="auto"/>
                <w:w w:val="93"/>
              </w:rPr>
              <w:t>7,900,000</w:t>
            </w:r>
          </w:p>
        </w:tc>
        <w:tc>
          <w:tcPr>
            <w:tcW w:w="14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w w:val="92"/>
              </w:rPr>
              <w:t>$2.78</w:t>
            </w:r>
          </w:p>
        </w:tc>
        <w:tc>
          <w:tcPr>
            <w:tcW w:w="14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w w:val="94"/>
              </w:rPr>
              <w:t>$21,962,000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$2,850.67</w:t>
            </w: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Including an indeterminate number of common shares which may be issued by GasLog Ltd. with respect to such common shares by way of a share dividend, share split or in connection with a share combination, recapitalization, merger, consolidation or otherwise.</w:t>
      </w:r>
    </w:p>
    <w:p>
      <w:pPr>
        <w:spacing w:after="0" w:line="90" w:lineRule="exact"/>
        <w:rPr>
          <w:rFonts w:ascii="Arial" w:cs="Arial" w:eastAsia="Arial" w:hAnsi="Arial"/>
          <w:sz w:val="13"/>
          <w:szCs w:val="13"/>
          <w:color w:val="auto"/>
        </w:rPr>
      </w:pPr>
    </w:p>
    <w:p>
      <w:pPr>
        <w:ind w:left="540" w:right="380" w:hanging="532"/>
        <w:spacing w:after="0" w:line="317"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457(c) under the Securities Act of 1933, as amended. The price per unit and proposed maximum aggregate offering price are based on the average of the high and low sale prices per share of the common shares on July 6, 2020 as reported on the New York Stock Exchange.</w:t>
      </w:r>
    </w:p>
    <w:p>
      <w:pPr>
        <w:spacing w:after="0" w:line="146" w:lineRule="exact"/>
        <w:rPr>
          <w:sz w:val="20"/>
          <w:szCs w:val="20"/>
          <w:color w:val="auto"/>
        </w:rPr>
      </w:pPr>
    </w:p>
    <w:p>
      <w:pPr>
        <w:ind w:right="160" w:firstLine="3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EF505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EF505F"/>
        </w:rPr>
        <w:t>SUBJECT TO COMPLETION, DATED JULY 10,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7,900,000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1701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60"/>
        <w:spacing w:after="0"/>
        <w:rPr>
          <w:sz w:val="20"/>
          <w:szCs w:val="20"/>
          <w:color w:val="auto"/>
        </w:rPr>
      </w:pPr>
      <w:r>
        <w:rPr>
          <w:rFonts w:ascii="Arial" w:cs="Arial" w:eastAsia="Arial" w:hAnsi="Arial"/>
          <w:sz w:val="24"/>
          <w:szCs w:val="24"/>
          <w:b w:val="1"/>
          <w:bCs w:val="1"/>
          <w:color w:val="auto"/>
        </w:rPr>
        <w:t>Common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161290</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This prospectus relates to the possible resale, from time to time, of up to 7,900,000 shares of our common shares, par value $0.01 per share, by the selling shareholders named herein or their pledgees, donees, transferees or other successors in interest. We will not receive any of the proceeds from any such sales of common shares. Such common shares may also be sold in transactions exempt from registration under the Securities Act of 1933 as amended (the "Securities Act"), rather than under this prospectus.</w:t>
      </w:r>
    </w:p>
    <w:p>
      <w:pPr>
        <w:spacing w:after="0" w:line="197" w:lineRule="exact"/>
        <w:rPr>
          <w:sz w:val="20"/>
          <w:szCs w:val="20"/>
          <w:color w:val="auto"/>
        </w:rPr>
      </w:pPr>
    </w:p>
    <w:p>
      <w:pPr>
        <w:jc w:val="both"/>
        <w:ind w:right="40" w:firstLine="348"/>
        <w:spacing w:after="0" w:line="335" w:lineRule="auto"/>
        <w:rPr>
          <w:sz w:val="20"/>
          <w:szCs w:val="20"/>
          <w:color w:val="auto"/>
        </w:rPr>
      </w:pPr>
      <w:r>
        <w:rPr>
          <w:rFonts w:ascii="Arial" w:cs="Arial" w:eastAsia="Arial" w:hAnsi="Arial"/>
          <w:sz w:val="15"/>
          <w:szCs w:val="15"/>
          <w:color w:val="auto"/>
        </w:rPr>
        <w:t>The common shares covered by this prospectus may be offered and sold from time to time in one or more transactions, which may be through one or more underwriters, dealers and agents, or directly to the purchasers. The names of any underwriters, dealers or agents, if any, will be included in a supplement to this prospectus. For additional information on the methods of sale that may be used by the selling shareholders, please read "Plan of Distribution".</w:t>
      </w:r>
    </w:p>
    <w:p>
      <w:pPr>
        <w:spacing w:after="0" w:line="142"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describes some of the general terms that may apply to these common shares and the general manner in which they may be offered. The specific terms of any common shares to be offered, and the specific manner in which they may be offered, may be described in one or more supplements to this prospectus. A prospectus supplement may also add, update or change information contained in this prospectus.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shares are traded on the New York Stock Exchange under the symbol "GLOG".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principal executive offices are located at 69 Akti Miaouli 18537, Piraeus Greece. Our telephone number at such address is +30 210 459 1000.</w:t>
      </w:r>
    </w:p>
    <w:p>
      <w:pPr>
        <w:spacing w:after="0" w:line="229" w:lineRule="exact"/>
        <w:rPr>
          <w:sz w:val="20"/>
          <w:szCs w:val="20"/>
          <w:color w:val="auto"/>
        </w:rPr>
      </w:pPr>
    </w:p>
    <w:p>
      <w:pPr>
        <w:ind w:right="320" w:firstLine="351"/>
        <w:spacing w:after="0" w:line="256" w:lineRule="auto"/>
        <w:rPr>
          <w:sz w:val="20"/>
          <w:szCs w:val="20"/>
          <w:color w:val="auto"/>
        </w:rPr>
      </w:pPr>
      <w:r>
        <w:rPr>
          <w:rFonts w:ascii="Arial" w:cs="Arial" w:eastAsia="Arial" w:hAnsi="Arial"/>
          <w:sz w:val="22"/>
          <w:szCs w:val="22"/>
          <w:b w:val="1"/>
          <w:bCs w:val="1"/>
          <w:color w:val="auto"/>
        </w:rPr>
        <w:t>Investing in our securities involves risks. Before buying any securities you should carefully read the section entitled "Risk Factors" on page 5 of this prospectus.</w:t>
      </w:r>
    </w:p>
    <w:p>
      <w:pPr>
        <w:spacing w:after="0" w:line="175"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Consent under the Bermuda Exchange Control Act 1972 (and its related regulations) has been obtained from the Bermuda Monetary Authority for the issue and transfer of our offered common shares to and between residents and non-residents of Bermuda for exchange control purposes provided our common shares remain listed on an appointed stock exchange, which includes the New York Stock Exchange. This prospectus may be filed with the Registrar of Companies in Bermuda in accordance with Bermuda law. In granting such consent and in accepting this prospectus for filing, neither the Bermuda Monetary Authority nor the Registrar of Companies in Bermuda accepts any responsibility for our financial soundness or the correctness of any of the statements made or opinions expressed in this prospectus.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3840"/>
              <w:spacing w:after="0"/>
              <w:rPr>
                <w:sz w:val="20"/>
                <w:szCs w:val="20"/>
                <w:color w:val="auto"/>
              </w:rPr>
            </w:pPr>
            <w:r>
              <w:rPr>
                <w:rFonts w:ascii="Arial" w:cs="Arial" w:eastAsia="Arial" w:hAnsi="Arial"/>
                <w:sz w:val="18"/>
                <w:szCs w:val="18"/>
                <w:color w:val="auto"/>
              </w:rPr>
              <w:t>The date of this prospectus is</w:t>
            </w:r>
          </w:p>
        </w:tc>
        <w:tc>
          <w:tcPr>
            <w:tcW w:w="4840" w:type="dxa"/>
            <w:vAlign w:val="bottom"/>
          </w:tcPr>
          <w:p>
            <w:pPr>
              <w:jc w:val="right"/>
              <w:ind w:right="3732"/>
              <w:spacing w:after="0"/>
              <w:rPr>
                <w:sz w:val="20"/>
                <w:szCs w:val="20"/>
                <w:color w:val="auto"/>
              </w:rPr>
            </w:pPr>
            <w:r>
              <w:rPr>
                <w:rFonts w:ascii="Arial" w:cs="Arial" w:eastAsia="Arial" w:hAnsi="Arial"/>
                <w:sz w:val="18"/>
                <w:szCs w:val="18"/>
                <w:color w:val="auto"/>
              </w:rPr>
              <w:t>, 2020.</w:t>
            </w:r>
          </w:p>
        </w:tc>
      </w:tr>
      <w:tr>
        <w:trPr>
          <w:trHeight w:val="228"/>
        </w:trPr>
        <w:tc>
          <w:tcPr>
            <w:tcW w:w="640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2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880" w:type="dxa"/>
            <w:vAlign w:val="bottom"/>
          </w:tcPr>
          <w:p>
            <w:pPr>
              <w:spacing w:after="0"/>
              <w:rPr>
                <w:sz w:val="19"/>
                <w:szCs w:val="19"/>
                <w:color w:val="auto"/>
              </w:rPr>
            </w:pPr>
          </w:p>
        </w:tc>
      </w:tr>
      <w:tr>
        <w:trPr>
          <w:trHeight w:val="648"/>
        </w:trPr>
        <w:tc>
          <w:tcPr>
            <w:tcW w:w="8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880" w:type="dxa"/>
            <w:vAlign w:val="bottom"/>
          </w:tcPr>
          <w:p>
            <w:pPr>
              <w:spacing w:after="0"/>
              <w:rPr>
                <w:sz w:val="24"/>
                <w:szCs w:val="24"/>
                <w:color w:val="auto"/>
              </w:rPr>
            </w:pPr>
          </w:p>
        </w:tc>
      </w:tr>
      <w:tr>
        <w:trPr>
          <w:trHeight w:val="426"/>
        </w:trPr>
        <w:tc>
          <w:tcPr>
            <w:tcW w:w="8240" w:type="dxa"/>
            <w:vAlign w:val="bottom"/>
          </w:tcPr>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FORWARD-LOOKING STATEMENTS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COMPANY</w:t>
              </w:r>
            </w:hyperlink>
          </w:p>
        </w:tc>
        <w:tc>
          <w:tcPr>
            <w:tcW w:w="18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3</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SERVICE OF PROCESS AND ENFORCEMENT OF LIABILITIES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6</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ABOUT THIS PROSPECTUS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WHERE YOU CAN FIND ADDITIONAL INFORMATION</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INCORPORATION OF CERTAIN INFORMATION BY REFERENCE</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8</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USE OF PROCEEDS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9</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CAPITALIZATION AND INDEBTEDNESS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9</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SHARE CAPITAL</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10</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SELLING SHAREHOLDERS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11</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PLAN OF DISTRIBUTION</w:t>
              </w:r>
            </w:hyperlink>
          </w:p>
        </w:tc>
        <w:tc>
          <w:tcPr>
            <w:tcW w:w="188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13</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EXPENSES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16</w:t>
              </w:r>
            </w:hyperlink>
          </w:p>
        </w:tc>
      </w:tr>
      <w:tr>
        <w:trPr>
          <w:trHeight w:val="216"/>
        </w:trPr>
        <w:tc>
          <w:tcPr>
            <w:tcW w:w="8240" w:type="dxa"/>
            <w:vAlign w:val="bottom"/>
          </w:tcPr>
          <w:p>
            <w:pPr>
              <w:ind w:left="1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MATTERS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17</w:t>
              </w:r>
            </w:hyperlink>
          </w:p>
        </w:tc>
      </w:tr>
      <w:tr>
        <w:trPr>
          <w:trHeight w:val="222"/>
        </w:trPr>
        <w:tc>
          <w:tcPr>
            <w:tcW w:w="8240" w:type="dxa"/>
            <w:vAlign w:val="bottom"/>
          </w:tcPr>
          <w:p>
            <w:pPr>
              <w:ind w:left="1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EXPERTS</w:t>
              </w:r>
            </w:hyperlink>
          </w:p>
        </w:tc>
        <w:tc>
          <w:tcPr>
            <w:tcW w:w="188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17</w:t>
              </w:r>
            </w:hyperlink>
          </w:p>
        </w:tc>
      </w:tr>
    </w:tbl>
    <w:p>
      <w:pPr>
        <w:spacing w:after="0" w:line="21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86" w:lineRule="auto"/>
        <w:rPr>
          <w:sz w:val="20"/>
          <w:szCs w:val="20"/>
          <w:color w:val="auto"/>
        </w:rPr>
      </w:pPr>
      <w:r>
        <w:rPr>
          <w:rFonts w:ascii="Arial" w:cs="Arial" w:eastAsia="Arial" w:hAnsi="Arial"/>
          <w:sz w:val="16"/>
          <w:szCs w:val="16"/>
          <w:color w:val="auto"/>
        </w:rPr>
        <w:t>All statements in this prospectus (and the documents incorporated by reference herein)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108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38" w:lineRule="exact"/>
        <w:rPr>
          <w:rFonts w:ascii="Arial" w:cs="Arial" w:eastAsia="Arial" w:hAnsi="Arial"/>
          <w:sz w:val="18"/>
          <w:szCs w:val="18"/>
          <w:color w:val="auto"/>
        </w:rPr>
      </w:pPr>
    </w:p>
    <w:p>
      <w:pPr>
        <w:ind w:left="1080" w:right="30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potential disruption to the LNG, LNG shipping and financial markets caused by global shutdown as a result of the COVID-19 pandemic;</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52"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207"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38"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3"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the section entitled "Risk Factors" of this prospectus (and in the "Risk Factors" described in our Annual Report on Form 20-F as well as the updated risk factors included in Exhibit 99.2 of our Report on Form 6-K furnished to the SEC on May 7, 2020, each as incorporated herein by reference).</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the common shares.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Unless otherwise indicated, references in this prospectus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"GasLog", the "Company", the "Group", the "Issuer","we", "our", "us" or similar terms refer to GasLog Ltd. or any one or more of its subsidiaries (including GasLog Partners LP) or their predecessors, or to such entities collectively, except that when such terms are used in this prospectus in reference to the common shares they refer to GasLog Ltd.;</w:t>
      </w:r>
    </w:p>
    <w:p>
      <w:pPr>
        <w:spacing w:after="0" w:line="220" w:lineRule="exact"/>
        <w:rPr>
          <w:rFonts w:ascii="Arial" w:cs="Arial" w:eastAsia="Arial" w:hAnsi="Arial"/>
          <w:sz w:val="18"/>
          <w:szCs w:val="18"/>
          <w:color w:val="auto"/>
        </w:rPr>
      </w:pPr>
    </w:p>
    <w:p>
      <w:pPr>
        <w:ind w:left="1080" w:right="200" w:hanging="532"/>
        <w:spacing w:after="0" w:line="33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"GasLog Partners" or the "Partnership", refers to GasLog Partners LP, a master limited partnership formed by GasLog to acquire, own and operate liquefied natural gas carriers under multi-year charters, or any one or more of GasLog Partners' subsidiaries;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"GasLog LNG Services" refers to GasLog LNG Services Ltd., our wholly owned subsidiary;</w:t>
      </w:r>
    </w:p>
    <w:p>
      <w:pPr>
        <w:spacing w:after="0" w:line="238"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"Shell" refers to Royal Dutch Shell plc, or any one or more of its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"BG Group" refers to BG Group plc. BG Group was acquired by Shell on February 15,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"Samsung" refers to Samsung Heavy Industries Co., Ltd. or any one or more of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"NYSE" refers to the New York Stock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"SEC" refers to the U.S. Securities and Exchange Commission;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"dollars" and "$" refers to, and amounts are presented in, U.S. dollars;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"LNG" refers to liquefied natural gas;</w:t>
      </w:r>
    </w:p>
    <w:p>
      <w:pPr>
        <w:spacing w:after="0" w:line="225" w:lineRule="exact"/>
        <w:rPr>
          <w:sz w:val="20"/>
          <w:szCs w:val="20"/>
          <w:color w:val="auto"/>
        </w:rPr>
      </w:pPr>
    </w:p>
    <w:p>
      <w:pPr>
        <w:ind w:right="120" w:firstLine="348"/>
        <w:spacing w:after="0" w:line="288"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Our owned and bareboat fleet as of July 10, 2020, consists of 35 LNG carriers, including 30 ships on the water and five LNG carriers on order at Samsung. This includes 15 LNG carriers in operation that are owned by GasLog Partners, with which we have entered into certain agreements governing our relationship, including purchase options for certain of our ships. We currently manage and operate 30 LNG carriers including our 14 wholly-owned ships in operation, 14 of the 15 ships contributed or sold to the Partnership (the other is managed by a subsidiary of Shell), the bareboat vessel and one LNG carrier owned by an entity in which we have a 25.0% interest. We are also supervising the construction of our newbuildings. We operate our vessels primarily under term charters of one year or longer with nine vessels, of which four are owned by GasLog Partners, currently trading in the spot and short-term market. As of March 31, 2020, these contracts are expected to provide total contracted revenues of $3.8 billion during their initial terms, which expire between 2020 and 2032.</w:t>
      </w:r>
    </w:p>
    <w:p>
      <w:pPr>
        <w:spacing w:after="0" w:line="173"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wholly-owned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With over 19 years of technical management experience, including 16 years as sole technical manager of BG Group plc's owned fleet of LNG carriers, we have established a track record for the efficient, safe and reliable operation of LNG carriers which is evidenced by our safety performance and the limited off-hire days of the 30 ships currently operating under our management.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common shares are listed on the NYSE under the ticker symbol "GLOG". If any securities are to be listed or quoted on any other securities exchange or quotation system, the applicable prospectus supplement will so state.</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maintain our principal executive offices at 69 Akti Miaouli, 18537 Piraeus, Greece. Our telephone number at that address is +30 210 459 1000. We are registered with the Registrar of Companies in Bermuda under registration number 33928. We maintain a registered office in Bermuda at Clarendon House, 2 Church Street, Hamilton, HM 11, Bermuda.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Investing in the common shares to be offered pursuant to this prospectus may involve a high degree of risk. You should carefully consider the important factors set forth under the heading "Risk Factors" in our most recent Annual Report on Form 20-F as well as the updated risk factors included in Exhibit 99.2 of our Report on Form 6-K filed with the SEC on May 7, 2020, each filed with the SEC and incorporated herein by reference and in the accompanying prospectus supplement for such issuance before investing in any common shares that may be offered. For further details, see the section entitled "Where You Can Find Additional Information".</w:t>
      </w:r>
    </w:p>
    <w:p>
      <w:pPr>
        <w:spacing w:after="0" w:line="20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pay dividends and lower the trading price of our common shares. The risks referred to above are not the only ones that may exist. Additional risks not currently known by us or that we deem immaterial may also impair our business operations. You may lose all or a part of your investment.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a Bermuda exempted company. Our registered address in Bermuda is Clarendon House, 2 Church Street, Hamilton, HM 11, Bermuda. As a result, the rights of holders of our common shares will be governed by Bermuda law and our memorandum of association and bye-laws. The rights of shareholders under Bermuda law may differ from the rights of shareholders of companies incorporated in other jurisdictions.</w:t>
      </w:r>
    </w:p>
    <w:p>
      <w:pPr>
        <w:spacing w:after="0" w:line="160"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98"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is part of a registration statement that we filed with the SEC using a shelf registration process. This prospectus relates to the possible resale, from time to time, of up to 7,900,000 of our common shares, par value $0.01 per share, by the selling shareholders named herein or their pledgees, donees, transferees or other successors in interest. This prospectus provides you with a general description of the common shares such selling shareholders may offer. This prospectus does not cover the issuance of any of our common shares by us to the selling shareholders, and we will not receive any of the proceeds from any sale of common shares by the selling shareholders. Except for underwriting discounts and selling commissions, if any, transfer taxes, if any, and the fees and expenses of any underwriters, dealers or agents, we have agreed to pay the expenses incurred in connection with the registration of the common shares owned by the selling shareholders covered by this prospectus.</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Each time the selling shareholders, or their pledgees, donees, transferees or other successors in interest, sell common shares, we will provide you with this prospectus, and in some cases a prospectus supplement that will contain specific information about the terms of that offering. That prospectus supplement may include additional risk factors or other special considerations applicable to those particular common shares.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headings "Incorporation of Certain Information by Reference" and "Where You Can Find Additional Information".</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with respect to the offer and sale of common shares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common shares offered by this prospectus and GasLog Ltd., reference is made to the registration statement.</w:t>
      </w:r>
    </w:p>
    <w:p>
      <w:pPr>
        <w:spacing w:after="0" w:line="17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incorporates by reference the following documents:</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u w:val="single" w:color="auto"/>
          <w:color w:val="0000EE"/>
        </w:rPr>
      </w:pPr>
      <w:hyperlink r:id="rId27">
        <w:r>
          <w:rPr>
            <w:rFonts w:ascii="Arial" w:cs="Arial" w:eastAsia="Arial" w:hAnsi="Arial"/>
            <w:sz w:val="16"/>
            <w:szCs w:val="16"/>
            <w:u w:val="single" w:color="auto"/>
            <w:color w:val="0000EE"/>
          </w:rPr>
          <w:t>our Annual Report on Form 20-F for the year ended December 31, 2019, filed with the SEC on March 6, 2020 (the "2019 Annual Report");</w:t>
        </w:r>
      </w:hyperlink>
    </w:p>
    <w:p>
      <w:pPr>
        <w:spacing w:after="0" w:line="275" w:lineRule="exact"/>
        <w:rPr>
          <w:rFonts w:ascii="Arial" w:cs="Arial" w:eastAsia="Arial" w:hAnsi="Arial"/>
          <w:sz w:val="16"/>
          <w:szCs w:val="16"/>
          <w:u w:val="single" w:color="auto"/>
          <w:color w:val="0000EE"/>
        </w:rPr>
      </w:pPr>
    </w:p>
    <w:p>
      <w:pPr>
        <w:ind w:left="1080" w:right="140" w:hanging="532"/>
        <w:spacing w:after="0" w:line="268" w:lineRule="auto"/>
        <w:tabs>
          <w:tab w:leader="none" w:pos="1080" w:val="left"/>
        </w:tabs>
        <w:numPr>
          <w:ilvl w:val="0"/>
          <w:numId w:val="5"/>
        </w:numPr>
        <w:rPr>
          <w:rFonts w:ascii="Arial" w:cs="Arial" w:eastAsia="Arial" w:hAnsi="Arial"/>
          <w:sz w:val="18"/>
          <w:szCs w:val="18"/>
          <w:color w:val="0000EE"/>
        </w:rPr>
      </w:pPr>
      <w:hyperlink r:id="rId28">
        <w:r>
          <w:rPr>
            <w:rFonts w:ascii="Arial" w:cs="Arial" w:eastAsia="Arial" w:hAnsi="Arial"/>
            <w:sz w:val="18"/>
            <w:szCs w:val="18"/>
            <w:color w:val="auto"/>
          </w:rPr>
          <w:t xml:space="preserve">our Current Reports on Form 6-K furnished to the SEC on </w:t>
        </w:r>
        <w:r>
          <w:rPr>
            <w:rFonts w:ascii="Arial" w:cs="Arial" w:eastAsia="Arial" w:hAnsi="Arial"/>
            <w:sz w:val="18"/>
            <w:szCs w:val="18"/>
            <w:u w:val="single" w:color="auto"/>
            <w:color w:val="0000EE"/>
          </w:rPr>
          <w:t>March 16,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 xml:space="preserve">June 22, 2020 </w:t>
        </w:r>
      </w:hyperlink>
      <w:hyperlink r:id="rId28">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June 29, 2020</w:t>
        </w:r>
      </w:hyperlink>
      <w:hyperlink r:id="rId28">
        <w:r>
          <w:rPr>
            <w:rFonts w:ascii="Arial" w:cs="Arial" w:eastAsia="Arial" w:hAnsi="Arial"/>
            <w:sz w:val="18"/>
            <w:szCs w:val="18"/>
            <w:color w:val="000000"/>
          </w:rPr>
          <w:t>; and</w:t>
        </w:r>
      </w:hyperlink>
    </w:p>
    <w:p>
      <w:pPr>
        <w:spacing w:after="0" w:line="199" w:lineRule="exact"/>
        <w:rPr>
          <w:rFonts w:ascii="Arial" w:cs="Arial" w:eastAsia="Arial" w:hAnsi="Arial"/>
          <w:sz w:val="18"/>
          <w:szCs w:val="18"/>
          <w:color w:val="0000EE"/>
        </w:rPr>
      </w:pPr>
    </w:p>
    <w:p>
      <w:pPr>
        <w:ind w:left="1080" w:hanging="532"/>
        <w:spacing w:after="0" w:line="268" w:lineRule="auto"/>
        <w:tabs>
          <w:tab w:leader="none" w:pos="1080" w:val="left"/>
        </w:tabs>
        <w:numPr>
          <w:ilvl w:val="0"/>
          <w:numId w:val="5"/>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the description of our common shares which is contained in our registration statement on Form 8-A (File No. 001-35466), filed with the SEC on</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March 21, 2012, including any amendment or report filed for the purpose of updating such description.</w:t>
        </w:r>
      </w:hyperlink>
    </w:p>
    <w:p>
      <w:pPr>
        <w:spacing w:after="0" w:line="186" w:lineRule="exact"/>
        <w:rPr>
          <w:rFonts w:ascii="Arial" w:cs="Arial" w:eastAsia="Arial" w:hAnsi="Arial"/>
          <w:sz w:val="18"/>
          <w:szCs w:val="18"/>
          <w:color w:val="auto"/>
        </w:rPr>
      </w:pPr>
    </w:p>
    <w:p>
      <w:pPr>
        <w:ind w:right="360" w:firstLine="348"/>
        <w:spacing w:after="0" w:line="298"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our common shares made by this prospectus has been terminated. In all cases, you should rely on the later information over different information included in this prospectus or any accompanying prospectus supplement.</w:t>
      </w:r>
    </w:p>
    <w:p>
      <w:pPr>
        <w:spacing w:after="0" w:line="166" w:lineRule="exact"/>
        <w:rPr>
          <w:rFonts w:ascii="Arial" w:cs="Arial" w:eastAsia="Arial" w:hAnsi="Arial"/>
          <w:sz w:val="18"/>
          <w:szCs w:val="18"/>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We will provide, free of charge upon written or oral request, to each person to whom this prospectus is delivered, including any beneficial owner of the common shares,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8"/>
          <w:szCs w:val="18"/>
          <w:i w:val="1"/>
          <w:iCs w:val="1"/>
          <w:color w:val="auto"/>
        </w:rPr>
        <w:t>www.gaslogltd.com</w:t>
      </w:r>
      <w:r>
        <w:rPr>
          <w:rFonts w:ascii="Arial" w:cs="Arial" w:eastAsia="Arial" w:hAnsi="Arial"/>
          <w:sz w:val="18"/>
          <w:szCs w:val="18"/>
          <w:color w:val="auto"/>
        </w:rPr>
        <w:t>. Requests for such information should be made to us at the following address:</w:t>
      </w:r>
    </w:p>
    <w:p>
      <w:pPr>
        <w:spacing w:after="0" w:line="19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GasLog Ltd.</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69 Akti Miaouli</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18537 Piraeus, Greece</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+30 210 459 1000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219" w:lineRule="exact"/>
        <w:rPr>
          <w:rFonts w:ascii="Arial" w:cs="Arial" w:eastAsia="Arial" w:hAnsi="Arial"/>
          <w:sz w:val="18"/>
          <w:szCs w:val="18"/>
          <w:color w:val="auto"/>
        </w:rPr>
      </w:pPr>
    </w:p>
    <w:p>
      <w:pPr>
        <w:ind w:right="360" w:firstLine="344"/>
        <w:spacing w:after="0" w:line="259" w:lineRule="auto"/>
        <w:rPr>
          <w:sz w:val="20"/>
          <w:szCs w:val="20"/>
          <w:color w:val="auto"/>
        </w:rPr>
      </w:pPr>
      <w:r>
        <w:rPr>
          <w:rFonts w:ascii="Arial" w:cs="Arial" w:eastAsia="Arial" w:hAnsi="Arial"/>
          <w:sz w:val="18"/>
          <w:szCs w:val="18"/>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1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not receive any of the proceeds from any sale of common shares by the selling shareholders, or by their respective pledgees, donees, transferees or other successors in interest.</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 AND INDEBTEDNESS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table sets forth our capitalization as of March 31, 2020. You should read this information in conjunction with the financial information incorporated by reference into this prospectus. Because we will not receive any of the proceeds from any sale of common shares by the selling shareholders, the capitalization information below is not adjusted to reflect such sales.</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-165100</wp:posOffset>
            </wp:positionV>
            <wp:extent cx="498919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4" w:lineRule="auto"/>
        <w:rPr>
          <w:sz w:val="20"/>
          <w:szCs w:val="20"/>
          <w:color w:val="auto"/>
        </w:rPr>
      </w:pPr>
      <w:r>
        <w:rPr>
          <w:rFonts w:ascii="Arial" w:cs="Arial" w:eastAsia="Arial" w:hAnsi="Arial"/>
          <w:sz w:val="18"/>
          <w:szCs w:val="18"/>
          <w:color w:val="auto"/>
        </w:rPr>
        <w:t>Borrowings, current portion</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ind w:left="1700"/>
        <w:spacing w:after="0" w:line="207" w:lineRule="auto"/>
        <w:rPr>
          <w:sz w:val="20"/>
          <w:szCs w:val="20"/>
          <w:color w:val="auto"/>
        </w:rPr>
      </w:pPr>
      <w:r>
        <w:rPr>
          <w:rFonts w:ascii="Arial" w:cs="Arial" w:eastAsia="Arial" w:hAnsi="Arial"/>
          <w:sz w:val="16"/>
          <w:szCs w:val="16"/>
          <w:color w:val="auto"/>
        </w:rPr>
        <w:t>Borrowings, non-current portion</w:t>
      </w:r>
      <w:r>
        <w:rPr>
          <w:rFonts w:ascii="Arial" w:cs="Arial" w:eastAsia="Arial" w:hAnsi="Arial"/>
          <w:sz w:val="26"/>
          <w:szCs w:val="26"/>
          <w:color w:val="auto"/>
          <w:vertAlign w:val="superscript"/>
        </w:rPr>
        <w:t>(2)</w:t>
      </w:r>
    </w:p>
    <w:p>
      <w:pPr>
        <w:ind w:left="1700"/>
        <w:spacing w:after="0"/>
        <w:rPr>
          <w:sz w:val="20"/>
          <w:szCs w:val="20"/>
          <w:color w:val="auto"/>
        </w:rPr>
      </w:pPr>
      <w:r>
        <w:rPr>
          <w:rFonts w:ascii="Arial" w:cs="Arial" w:eastAsia="Arial" w:hAnsi="Arial"/>
          <w:sz w:val="18"/>
          <w:szCs w:val="18"/>
          <w:color w:val="auto"/>
        </w:rPr>
        <w:t>Lease liability, current portion</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Lease liability,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-114935</wp:posOffset>
            </wp:positionV>
            <wp:extent cx="49891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debt</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line="204" w:lineRule="auto"/>
        <w:rPr>
          <w:sz w:val="20"/>
          <w:szCs w:val="20"/>
          <w:color w:val="auto"/>
        </w:rPr>
      </w:pPr>
      <w:r>
        <w:rPr>
          <w:rFonts w:ascii="Arial" w:cs="Arial" w:eastAsia="Arial" w:hAnsi="Arial"/>
          <w:sz w:val="18"/>
          <w:szCs w:val="18"/>
          <w:color w:val="auto"/>
        </w:rPr>
        <w:t>Preference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-1905</wp:posOffset>
            </wp:positionV>
            <wp:extent cx="498919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ind w:left="1700"/>
        <w:spacing w:after="0" w:line="185" w:lineRule="auto"/>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(3)</w:t>
      </w:r>
    </w:p>
    <w:p>
      <w:pPr>
        <w:ind w:left="1700"/>
        <w:spacing w:after="0" w:line="185" w:lineRule="auto"/>
        <w:rPr>
          <w:sz w:val="20"/>
          <w:szCs w:val="20"/>
          <w:color w:val="auto"/>
        </w:rPr>
      </w:pPr>
      <w:r>
        <w:rPr>
          <w:rFonts w:ascii="Arial" w:cs="Arial" w:eastAsia="Arial" w:hAnsi="Arial"/>
          <w:sz w:val="18"/>
          <w:szCs w:val="18"/>
          <w:color w:val="auto"/>
        </w:rPr>
        <w:t>Contributed surplus</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wp:posOffset>
            </wp:positionV>
            <wp:extent cx="498919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Reserves</w:t>
      </w:r>
    </w:p>
    <w:p>
      <w:pPr>
        <w:ind w:left="1700"/>
        <w:spacing w:after="0" w:line="191" w:lineRule="auto"/>
        <w:rPr>
          <w:sz w:val="20"/>
          <w:szCs w:val="20"/>
          <w:color w:val="auto"/>
        </w:rPr>
      </w:pPr>
      <w:r>
        <w:rPr>
          <w:rFonts w:ascii="Arial" w:cs="Arial" w:eastAsia="Arial" w:hAnsi="Arial"/>
          <w:sz w:val="18"/>
          <w:szCs w:val="18"/>
          <w:color w:val="auto"/>
        </w:rPr>
        <w:t>Treasury shares</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-3175</wp:posOffset>
            </wp:positionV>
            <wp:extent cx="49891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Accumulated deficit</w:t>
      </w:r>
    </w:p>
    <w:p>
      <w:pPr>
        <w:ind w:left="1700"/>
        <w:spacing w:after="0" w:line="200" w:lineRule="auto"/>
        <w:rPr>
          <w:sz w:val="20"/>
          <w:szCs w:val="20"/>
          <w:color w:val="auto"/>
        </w:rPr>
      </w:pPr>
      <w:r>
        <w:rPr>
          <w:rFonts w:ascii="Arial" w:cs="Arial" w:eastAsia="Arial" w:hAnsi="Arial"/>
          <w:sz w:val="18"/>
          <w:szCs w:val="18"/>
          <w:color w:val="auto"/>
        </w:rPr>
        <w:t>Non-controlling interest</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-2540</wp:posOffset>
            </wp:positionV>
            <wp:extent cx="49891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b w:val="1"/>
          <w:bCs w:val="1"/>
          <w:color w:val="auto"/>
        </w:rPr>
        <w:t>Total equity</w:t>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109220</wp:posOffset>
            </wp:positionV>
            <wp:extent cx="131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As of March 31,</w:t>
      </w:r>
    </w:p>
    <w:p>
      <w:pPr>
        <w:spacing w:after="0" w:line="25"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-635</wp:posOffset>
            </wp:positionV>
            <wp:extent cx="720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jc w:val="center"/>
        <w:ind w:right="1940"/>
        <w:spacing w:after="0"/>
        <w:rPr>
          <w:sz w:val="20"/>
          <w:szCs w:val="20"/>
          <w:color w:val="auto"/>
        </w:rPr>
      </w:pPr>
      <w:r>
        <w:rPr>
          <w:rFonts w:ascii="Arial" w:cs="Arial" w:eastAsia="Arial" w:hAnsi="Arial"/>
          <w:sz w:val="11"/>
          <w:szCs w:val="11"/>
          <w:b w:val="1"/>
          <w:bCs w:val="1"/>
          <w:color w:val="auto"/>
        </w:rPr>
        <w:t>(in thousands of</w:t>
      </w:r>
    </w:p>
    <w:p>
      <w:pPr>
        <w:spacing w:after="0" w:line="24"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U.S. dollars)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214,700</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3,028,319</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9,694</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193,445</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3,446,158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-115570</wp:posOffset>
            </wp:positionV>
            <wp:extent cx="7200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29210</wp:posOffset>
            </wp:positionV>
            <wp:extent cx="7200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8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810</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746,073</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13,854</w:t>
      </w:r>
    </w:p>
    <w:p>
      <w:pPr>
        <w:spacing w:after="0" w:line="6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(4,159)</w:t>
      </w:r>
    </w:p>
    <w:p>
      <w:pPr>
        <w:spacing w:after="0" w:line="15"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(139,311)</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946,861</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1,564,174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-115570</wp:posOffset>
            </wp:positionV>
            <wp:extent cx="7200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5,010,332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-115570</wp:posOffset>
            </wp:positionV>
            <wp:extent cx="7200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29210</wp:posOffset>
            </wp:positionV>
            <wp:extent cx="7200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46355</wp:posOffset>
            </wp:positionV>
            <wp:extent cx="7200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40" w:space="720"/>
            <w:col w:w="2860"/>
          </w:cols>
          <w:pgMar w:left="320" w:top="131" w:right="359" w:bottom="1440" w:gutter="0" w:footer="0" w:header="0"/>
          <w:type w:val="continuous"/>
        </w:sectPr>
      </w:pPr>
    </w:p>
    <w:p>
      <w:pPr>
        <w:spacing w:after="0" w:line="193" w:lineRule="exact"/>
        <w:rPr>
          <w:sz w:val="20"/>
          <w:szCs w:val="20"/>
          <w:color w:val="auto"/>
        </w:rPr>
      </w:pPr>
    </w:p>
    <w:p>
      <w:pPr>
        <w:ind w:left="2240" w:right="20" w:hanging="547"/>
        <w:spacing w:after="0" w:line="257" w:lineRule="auto"/>
        <w:tabs>
          <w:tab w:leader="none" w:pos="224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Our indebtedness, other than under our NOK denominated bonds issued under the agreement signed on November 27, 2019, between GasLog and the bond trustee, as amended (the "NOK 2024 Bonds") and the 8.875% senior unsecured notes due in 2022 and issued in March 2017 and May 2019 (the "8.875% Senior Notes"), is secured by mortgages on our owned ships and is guaranteed by the Company or a combination of the Company and GasLog Partners, in the case of the Partnership's indebtedness. The NOK 2024 Bonds and the 8.875% Senior Notes (the carrying amounts of which, net of unamortized financing costs and premium as of March 31, 2020, are $84.2 million and $323.1 million, respectively) are unsecured. Borrowings presented do not include our scheduled debt payments and our prepayments since March 31, 2020 totaling</w:t>
      </w:r>
    </w:p>
    <w:p>
      <w:pPr>
        <w:spacing w:after="0" w:line="3" w:lineRule="exact"/>
        <w:rPr>
          <w:rFonts w:ascii="Arial" w:cs="Arial" w:eastAsia="Arial" w:hAnsi="Arial"/>
          <w:sz w:val="27"/>
          <w:szCs w:val="27"/>
          <w:color w:val="auto"/>
          <w:vertAlign w:val="superscript"/>
        </w:rPr>
      </w:pPr>
    </w:p>
    <w:p>
      <w:pPr>
        <w:ind w:left="2240"/>
        <w:spacing w:after="0"/>
        <w:rPr>
          <w:rFonts w:ascii="Arial" w:cs="Arial" w:eastAsia="Arial" w:hAnsi="Arial"/>
          <w:sz w:val="27"/>
          <w:szCs w:val="27"/>
          <w:color w:val="auto"/>
          <w:vertAlign w:val="superscript"/>
        </w:rPr>
      </w:pPr>
      <w:r>
        <w:rPr>
          <w:rFonts w:ascii="Arial" w:cs="Arial" w:eastAsia="Arial" w:hAnsi="Arial"/>
          <w:sz w:val="18"/>
          <w:szCs w:val="18"/>
          <w:color w:val="auto"/>
        </w:rPr>
        <w:t>$69.4 million and our debt proceeds of $298.7 million.</w:t>
      </w:r>
    </w:p>
    <w:p>
      <w:pPr>
        <w:spacing w:after="0" w:line="232" w:lineRule="exact"/>
        <w:rPr>
          <w:rFonts w:ascii="Arial" w:cs="Arial" w:eastAsia="Arial" w:hAnsi="Arial"/>
          <w:sz w:val="27"/>
          <w:szCs w:val="27"/>
          <w:color w:val="auto"/>
          <w:vertAlign w:val="superscript"/>
        </w:rPr>
      </w:pPr>
    </w:p>
    <w:p>
      <w:pPr>
        <w:ind w:left="2240" w:right="200" w:hanging="547"/>
        <w:spacing w:after="0" w:line="194" w:lineRule="auto"/>
        <w:tabs>
          <w:tab w:leader="none" w:pos="224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Borrowings presented at March 31, 2020, are shown net of $52.4 million of loan issuance costs that are being amortized over the term of the respective borrowings.</w:t>
      </w:r>
    </w:p>
    <w:p>
      <w:pPr>
        <w:spacing w:after="0" w:line="111" w:lineRule="exact"/>
        <w:rPr>
          <w:rFonts w:ascii="Arial" w:cs="Arial" w:eastAsia="Arial" w:hAnsi="Arial"/>
          <w:sz w:val="29"/>
          <w:szCs w:val="29"/>
          <w:color w:val="auto"/>
          <w:vertAlign w:val="superscript"/>
        </w:rPr>
      </w:pPr>
    </w:p>
    <w:p>
      <w:pPr>
        <w:ind w:left="2240" w:hanging="547"/>
        <w:spacing w:after="0"/>
        <w:tabs>
          <w:tab w:leader="none" w:pos="224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Does not include any shares that may be issued under the Company's 2013 Omnibus Incentive Compensation Plan. At</w:t>
      </w:r>
    </w:p>
    <w:p>
      <w:pPr>
        <w:spacing w:after="0" w:line="7" w:lineRule="exact"/>
        <w:rPr>
          <w:rFonts w:ascii="Arial" w:cs="Arial" w:eastAsia="Arial" w:hAnsi="Arial"/>
          <w:sz w:val="28"/>
          <w:szCs w:val="28"/>
          <w:color w:val="auto"/>
          <w:vertAlign w:val="superscript"/>
        </w:rPr>
      </w:pPr>
    </w:p>
    <w:p>
      <w:pPr>
        <w:ind w:left="2240"/>
        <w:spacing w:after="0" w:line="313" w:lineRule="auto"/>
        <w:rPr>
          <w:rFonts w:ascii="Arial" w:cs="Arial" w:eastAsia="Arial" w:hAnsi="Arial"/>
          <w:sz w:val="28"/>
          <w:szCs w:val="28"/>
          <w:color w:val="auto"/>
          <w:vertAlign w:val="superscript"/>
        </w:rPr>
      </w:pPr>
      <w:r>
        <w:rPr>
          <w:rFonts w:ascii="Arial" w:cs="Arial" w:eastAsia="Arial" w:hAnsi="Arial"/>
          <w:sz w:val="16"/>
          <w:szCs w:val="16"/>
          <w:color w:val="auto"/>
        </w:rPr>
        <w:t>March 31, 2020, our share capital consisted of 80,993,126 issued common shares, 445,375 issued treasury shares and 4,600,000 Preference Shares issued and outstanding. Does not include the 14,400,000 common shares issued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pursuant to the private placements of unregistered common shares (the "Private Placements") since March 31, 2020.</w:t>
      </w:r>
    </w:p>
    <w:p>
      <w:pPr>
        <w:spacing w:after="0" w:line="248" w:lineRule="exact"/>
        <w:rPr>
          <w:sz w:val="20"/>
          <w:szCs w:val="20"/>
          <w:color w:val="auto"/>
        </w:rPr>
      </w:pPr>
    </w:p>
    <w:p>
      <w:pPr>
        <w:ind w:left="2240" w:right="60" w:hanging="547"/>
        <w:spacing w:after="0" w:line="194" w:lineRule="auto"/>
        <w:tabs>
          <w:tab w:leader="none" w:pos="22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Does not include the total gross proceeds of $36.0 million through the Private Placements and the $6.6 million common and preferred dividends declared since March 31, 2020.</w:t>
      </w:r>
    </w:p>
    <w:p>
      <w:pPr>
        <w:spacing w:after="0" w:line="113" w:lineRule="exact"/>
        <w:rPr>
          <w:rFonts w:ascii="Arial" w:cs="Arial" w:eastAsia="Arial" w:hAnsi="Arial"/>
          <w:sz w:val="29"/>
          <w:szCs w:val="29"/>
          <w:color w:val="auto"/>
          <w:vertAlign w:val="superscript"/>
        </w:rPr>
      </w:pPr>
    </w:p>
    <w:p>
      <w:pPr>
        <w:ind w:left="2240" w:hanging="547"/>
        <w:spacing w:after="0"/>
        <w:tabs>
          <w:tab w:leader="none" w:pos="22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Does not include the $11.6 million common and preferred dividends declared since March 31, 2020.</w:t>
      </w: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More information on our share capital is included under "Item 10. Additional Information" in the 2019 Annual Report.</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description of our common shares can be found in our registration statement on the description of our common shares which is contained in our registration statement on Form 8-A (File No. 001-35466), filed with the SEC on March 21, 2012, including any amendment or report filed for the purpose of updating such description.</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This prospectus covers the public resale of the shares owned by the selling shareholders named below. All of the 7,900,000 common shares registered hereby were originally issued and sold by the Company in private placements that closed on June 29 2020. The Company entered into stock purchase agreements, each dated June 22, 2020 (the "Stock Purchase Agreements"), with each of the selling shareholders named below, pursuant to which 7,900,000 common shares were sold at $2.50 per share.</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is registering these 7,900,000 common shares to permit the selling shareholders, or their pledgees, donees, transferees or other successors in interest, to resell or otherwise dispose of the common shares in the manner contemplated under "Plan of Distribution" below. Information concerning the selling shareholders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w:t>
      </w:r>
    </w:p>
    <w:p>
      <w:pPr>
        <w:spacing w:after="0" w:line="20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table below, which was prepared based on information publicly filed or supplied to us by the selling shareholders, lists the selling shareholders and other information regarding the beneficial ownership of the common shares held by the selling shareholders (determined in accordance with the rules and regulations of the SEC). The third and fourth columns list the number and percentage of common shares beneficially owned by each selling shareholder prior to this offering, assuming for the purpose of such percentage, 95,114,166 common shares outstanding as of June 29, 2020. The fifth column lists the maximum number of common shares being offered in this prospectus by each selling shareholder. The sixth and seventh columns list the number and percentage of common shares owned by each selling shareholder after this offering, assuming the sale of all of the common shares offered by the selling shareholders pursuant to this prospectus. The selling shareholders may sell all, some or none of their shares pursuant to this prospectus.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Common Shares</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Common Shares</w:t>
            </w:r>
          </w:p>
        </w:tc>
        <w:tc>
          <w:tcPr>
            <w:tcW w:w="1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Common Shares</w:t>
            </w:r>
          </w:p>
        </w:tc>
      </w:tr>
      <w:tr>
        <w:trPr>
          <w:trHeight w:val="148"/>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3"/>
              </w:rPr>
              <w:t>Beneficially Owned</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Registered Hereby</w:t>
            </w:r>
          </w:p>
        </w:tc>
        <w:tc>
          <w:tcPr>
            <w:tcW w:w="1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3"/>
              </w:rPr>
              <w:t>Beneficially Owned</w:t>
            </w:r>
          </w:p>
        </w:tc>
      </w:tr>
      <w:tr>
        <w:trPr>
          <w:trHeight w:val="161"/>
        </w:trPr>
        <w:tc>
          <w:tcPr>
            <w:tcW w:w="1000" w:type="dxa"/>
            <w:vAlign w:val="bottom"/>
          </w:tcPr>
          <w:p>
            <w:pPr>
              <w:spacing w:after="0"/>
              <w:rPr>
                <w:sz w:val="14"/>
                <w:szCs w:val="14"/>
                <w:color w:val="auto"/>
              </w:rPr>
            </w:pPr>
          </w:p>
        </w:tc>
        <w:tc>
          <w:tcPr>
            <w:tcW w:w="2580" w:type="dxa"/>
            <w:vAlign w:val="bottom"/>
            <w:gridSpan w:val="3"/>
          </w:tcPr>
          <w:p>
            <w:pPr>
              <w:ind w:left="200"/>
              <w:spacing w:after="0"/>
              <w:rPr>
                <w:sz w:val="20"/>
                <w:szCs w:val="20"/>
                <w:color w:val="auto"/>
              </w:rPr>
            </w:pPr>
            <w:r>
              <w:rPr>
                <w:rFonts w:ascii="Arial" w:cs="Arial" w:eastAsia="Arial" w:hAnsi="Arial"/>
                <w:sz w:val="13"/>
                <w:szCs w:val="13"/>
                <w:b w:val="1"/>
                <w:bCs w:val="1"/>
                <w:color w:val="auto"/>
              </w:rPr>
              <w:t>Selling Shareholders</w:t>
            </w:r>
          </w:p>
        </w:tc>
        <w:tc>
          <w:tcPr>
            <w:tcW w:w="160" w:type="dxa"/>
            <w:vAlign w:val="bottom"/>
          </w:tcPr>
          <w:p>
            <w:pPr>
              <w:spacing w:after="0"/>
              <w:rPr>
                <w:sz w:val="14"/>
                <w:szCs w:val="14"/>
                <w:color w:val="auto"/>
              </w:rPr>
            </w:pPr>
          </w:p>
        </w:tc>
        <w:tc>
          <w:tcPr>
            <w:tcW w:w="20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Prior to Offering</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for Sale</w:t>
            </w:r>
          </w:p>
        </w:tc>
        <w:tc>
          <w:tcPr>
            <w:tcW w:w="19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9"/>
              </w:rPr>
              <w:t>After Offering</w:t>
            </w:r>
          </w:p>
        </w:tc>
      </w:tr>
      <w:tr>
        <w:trPr>
          <w:trHeight w:val="142"/>
        </w:trPr>
        <w:tc>
          <w:tcPr>
            <w:tcW w:w="17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Beneficial Owner</w:t>
            </w:r>
          </w:p>
        </w:tc>
        <w:tc>
          <w:tcPr>
            <w:tcW w:w="184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3"/>
                <w:szCs w:val="13"/>
                <w:b w:val="1"/>
                <w:bCs w:val="1"/>
                <w:color w:val="auto"/>
              </w:rPr>
              <w:t>Selling Shareholder</w:t>
            </w:r>
          </w:p>
        </w:tc>
        <w:tc>
          <w:tcPr>
            <w:tcW w:w="160" w:type="dxa"/>
            <w:vAlign w:val="bottom"/>
          </w:tcPr>
          <w:p>
            <w:pPr>
              <w:spacing w:after="0"/>
              <w:rPr>
                <w:sz w:val="12"/>
                <w:szCs w:val="12"/>
                <w:color w:val="auto"/>
              </w:rPr>
            </w:pPr>
          </w:p>
        </w:tc>
        <w:tc>
          <w:tcPr>
            <w:tcW w:w="10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Number</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7"/>
              </w:rPr>
              <w:t>Number</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Number</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9"/>
              </w:rPr>
              <w:t>Percentage</w:t>
            </w:r>
          </w:p>
        </w:tc>
        <w:tc>
          <w:tcPr>
            <w:tcW w:w="160" w:type="dxa"/>
            <w:vAlign w:val="bottom"/>
          </w:tcPr>
          <w:p>
            <w:pPr>
              <w:spacing w:after="0"/>
              <w:rPr>
                <w:sz w:val="12"/>
                <w:szCs w:val="12"/>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17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w w:val="98"/>
              </w:rPr>
              <w:t>Alexander S. Onassis</w:t>
            </w:r>
          </w:p>
        </w:tc>
        <w:tc>
          <w:tcPr>
            <w:tcW w:w="1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Olympic LNG</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4"/>
        </w:trPr>
        <w:tc>
          <w:tcPr>
            <w:tcW w:w="1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Foundation</w:t>
            </w:r>
          </w:p>
        </w:tc>
        <w:tc>
          <w:tcPr>
            <w:tcW w:w="18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Investments Ltd.</w:t>
            </w:r>
            <w:r>
              <w:rPr>
                <w:rFonts w:ascii="Arial" w:cs="Arial" w:eastAsia="Arial" w:hAnsi="Arial"/>
                <w:sz w:val="29"/>
                <w:szCs w:val="29"/>
                <w:color w:val="auto"/>
                <w:vertAlign w:val="superscript"/>
              </w:rPr>
              <w:t>(1)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11,164,904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7,164,904</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9"/>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Fabbian Investments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1740" w:type="dxa"/>
            <w:vAlign w:val="bottom"/>
            <w:gridSpan w:val="3"/>
          </w:tcPr>
          <w:p>
            <w:pPr>
              <w:ind w:left="20"/>
              <w:spacing w:after="0"/>
              <w:rPr>
                <w:sz w:val="20"/>
                <w:szCs w:val="20"/>
                <w:color w:val="auto"/>
              </w:rPr>
            </w:pPr>
            <w:r>
              <w:rPr>
                <w:rFonts w:ascii="Arial" w:cs="Arial" w:eastAsia="Arial" w:hAnsi="Arial"/>
                <w:sz w:val="18"/>
                <w:szCs w:val="18"/>
                <w:color w:val="auto"/>
              </w:rPr>
              <w:t>Mr. Tung Chee Chen</w:t>
            </w:r>
          </w:p>
        </w:tc>
        <w:tc>
          <w:tcPr>
            <w:tcW w:w="1840" w:type="dxa"/>
            <w:vAlign w:val="bottom"/>
          </w:tcPr>
          <w:p>
            <w:pPr>
              <w:ind w:left="20"/>
              <w:spacing w:after="0" w:line="263" w:lineRule="exact"/>
              <w:rPr>
                <w:sz w:val="20"/>
                <w:szCs w:val="20"/>
                <w:color w:val="auto"/>
              </w:rPr>
            </w:pPr>
            <w:r>
              <w:rPr>
                <w:rFonts w:ascii="Arial" w:cs="Arial" w:eastAsia="Arial" w:hAnsi="Arial"/>
                <w:sz w:val="18"/>
                <w:szCs w:val="18"/>
                <w:color w:val="auto"/>
              </w:rPr>
              <w:t>Limited</w:t>
            </w:r>
            <w:r>
              <w:rPr>
                <w:rFonts w:ascii="Arial" w:cs="Arial" w:eastAsia="Arial" w:hAnsi="Arial"/>
                <w:sz w:val="29"/>
                <w:szCs w:val="29"/>
                <w:color w:val="auto"/>
                <w:vertAlign w:val="superscript"/>
              </w:rPr>
              <w:t>(2)</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2,000,000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Ship Finance Maritime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1740" w:type="dxa"/>
            <w:vAlign w:val="bottom"/>
            <w:gridSpan w:val="3"/>
            <w:shd w:val="clear" w:color="auto" w:fill="CCEEFF"/>
          </w:tcPr>
          <w:p>
            <w:pPr>
              <w:ind w:left="20"/>
              <w:spacing w:after="0" w:line="263" w:lineRule="exact"/>
              <w:rPr>
                <w:sz w:val="20"/>
                <w:szCs w:val="20"/>
                <w:color w:val="auto"/>
              </w:rPr>
            </w:pPr>
            <w:r>
              <w:rPr>
                <w:rFonts w:ascii="Arial" w:cs="Arial" w:eastAsia="Arial" w:hAnsi="Arial"/>
                <w:sz w:val="18"/>
                <w:szCs w:val="18"/>
                <w:color w:val="auto"/>
              </w:rPr>
              <w:t>Various</w:t>
            </w:r>
            <w:r>
              <w:rPr>
                <w:rFonts w:ascii="Arial" w:cs="Arial" w:eastAsia="Arial" w:hAnsi="Arial"/>
                <w:sz w:val="29"/>
                <w:szCs w:val="29"/>
                <w:color w:val="auto"/>
                <w:vertAlign w:val="superscript"/>
              </w:rPr>
              <w:t>(3)</w:t>
            </w:r>
          </w:p>
        </w:tc>
        <w:tc>
          <w:tcPr>
            <w:tcW w:w="18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Corporation</w:t>
            </w:r>
            <w:r>
              <w:rPr>
                <w:rFonts w:ascii="Arial" w:cs="Arial" w:eastAsia="Arial" w:hAnsi="Arial"/>
                <w:sz w:val="29"/>
                <w:szCs w:val="29"/>
                <w:color w:val="auto"/>
                <w:vertAlign w:val="superscript"/>
              </w:rPr>
              <w:t>(4)</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1,545,000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3"/>
          </w:tcPr>
          <w:p>
            <w:pPr>
              <w:ind w:left="20"/>
              <w:spacing w:after="0"/>
              <w:rPr>
                <w:sz w:val="20"/>
                <w:szCs w:val="20"/>
                <w:color w:val="auto"/>
              </w:rPr>
            </w:pPr>
            <w:r>
              <w:rPr>
                <w:rFonts w:ascii="Arial" w:cs="Arial" w:eastAsia="Arial" w:hAnsi="Arial"/>
                <w:sz w:val="18"/>
                <w:szCs w:val="18"/>
                <w:color w:val="auto"/>
              </w:rPr>
              <w:t>Mark Denning</w:t>
            </w:r>
          </w:p>
        </w:tc>
        <w:tc>
          <w:tcPr>
            <w:tcW w:w="1840" w:type="dxa"/>
            <w:vAlign w:val="bottom"/>
          </w:tcPr>
          <w:p>
            <w:pPr>
              <w:ind w:left="20"/>
              <w:spacing w:after="0" w:line="256" w:lineRule="exact"/>
              <w:rPr>
                <w:sz w:val="20"/>
                <w:szCs w:val="20"/>
                <w:color w:val="auto"/>
              </w:rPr>
            </w:pPr>
            <w:r>
              <w:rPr>
                <w:rFonts w:ascii="Arial" w:cs="Arial" w:eastAsia="Arial" w:hAnsi="Arial"/>
                <w:sz w:val="18"/>
                <w:szCs w:val="18"/>
                <w:color w:val="auto"/>
              </w:rPr>
              <w:t>Mark Denning</w:t>
            </w:r>
            <w:r>
              <w:rPr>
                <w:rFonts w:ascii="Arial" w:cs="Arial" w:eastAsia="Arial" w:hAnsi="Arial"/>
                <w:sz w:val="29"/>
                <w:szCs w:val="29"/>
                <w:color w:val="auto"/>
                <w:vertAlign w:val="superscript"/>
              </w:rPr>
              <w:t>(5)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692,850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292,850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17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Bruce Blythe</w:t>
            </w:r>
            <w:r>
              <w:rPr>
                <w:rFonts w:ascii="Arial" w:cs="Arial" w:eastAsia="Arial" w:hAnsi="Arial"/>
                <w:sz w:val="29"/>
                <w:szCs w:val="29"/>
                <w:color w:val="auto"/>
                <w:vertAlign w:val="superscript"/>
              </w:rPr>
              <w:t>(6)</w:t>
            </w:r>
          </w:p>
        </w:tc>
        <w:tc>
          <w:tcPr>
            <w:tcW w:w="1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Bruce Blythe</w:t>
            </w:r>
            <w:r>
              <w:rPr>
                <w:rFonts w:ascii="Arial" w:cs="Arial" w:eastAsia="Arial" w:hAnsi="Arial"/>
                <w:sz w:val="29"/>
                <w:szCs w:val="29"/>
                <w:color w:val="auto"/>
                <w:vertAlign w:val="superscript"/>
              </w:rPr>
              <w:t>(7)</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365"/>
        </w:trPr>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Jean Haramis</w:t>
            </w:r>
          </w:p>
        </w:tc>
        <w:tc>
          <w:tcPr>
            <w:tcW w:w="12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Jean Haramis</w:t>
            </w:r>
            <w:r>
              <w:rPr>
                <w:rFonts w:ascii="Arial" w:cs="Arial" w:eastAsia="Arial" w:hAnsi="Arial"/>
                <w:sz w:val="29"/>
                <w:szCs w:val="29"/>
                <w:color w:val="auto"/>
                <w:vertAlign w:val="superscript"/>
              </w:rPr>
              <w:t>(8)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338,700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238,700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1" w:lineRule="exact"/>
        <w:rPr>
          <w:sz w:val="20"/>
          <w:szCs w:val="20"/>
          <w:color w:val="auto"/>
        </w:rPr>
      </w:pPr>
    </w:p>
    <w:p>
      <w:pPr>
        <w:ind w:left="1680" w:hanging="549"/>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1.0% of our outstanding common shares.</w:t>
      </w:r>
    </w:p>
    <w:p>
      <w:pPr>
        <w:spacing w:after="0" w:line="239" w:lineRule="exact"/>
        <w:rPr>
          <w:sz w:val="20"/>
          <w:szCs w:val="20"/>
          <w:color w:val="auto"/>
        </w:rPr>
      </w:pPr>
    </w:p>
    <w:p>
      <w:pPr>
        <w:ind w:left="1680" w:right="660" w:hanging="549"/>
        <w:spacing w:after="0" w:line="194" w:lineRule="auto"/>
        <w:tabs>
          <w:tab w:leader="none" w:pos="16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business address of Olympic LNG Investments Ltd. is Conyers Corporate Services (Bermuda) Limited, Clarendon House, 2 Church Street, Hamilton, HM 11, Bermuda.</w:t>
      </w:r>
    </w:p>
    <w:p>
      <w:pPr>
        <w:spacing w:after="0" w:line="211" w:lineRule="exact"/>
        <w:rPr>
          <w:rFonts w:ascii="Arial" w:cs="Arial" w:eastAsia="Arial" w:hAnsi="Arial"/>
          <w:sz w:val="29"/>
          <w:szCs w:val="29"/>
          <w:color w:val="auto"/>
          <w:vertAlign w:val="superscript"/>
        </w:rPr>
      </w:pPr>
    </w:p>
    <w:p>
      <w:pPr>
        <w:ind w:left="5540" w:right="400" w:hanging="4409"/>
        <w:spacing w:after="0" w:line="372" w:lineRule="auto"/>
        <w:tabs>
          <w:tab w:leader="none" w:pos="1672"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business address of Fabbian Investments Limited is c/o SFSL, 33/F Harbour Centre, 25 Harbour Road, Wanchai, Hong Kong.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hanging="549"/>
        <w:spacing w:after="0" w:line="251" w:lineRule="auto"/>
        <w:tabs>
          <w:tab w:leader="none" w:pos="1680"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Paolo Mondini owns 55% of the common shares held by Ship Finance Maritime Corporation and may have beneficial ownership over all of the common shares held by Ship Finance Maritime Corporation. Olivier Felter, Riccardo Ravano, Mario Spaventi, Massimo Banchero, Yannis Haramis, Fabio Montauti d'Harcourt, Sebastiano Portunato, Giuseppe Pratolongo, Norifumi Yamamoto, Lenko Milin and Luigi Pratolongo each own less than 10% of the common shares held by Ship Finance Maritime Corporation and disclaim beneficial ownership of these common shares except to the extent of their pecuniary interest therein.</w:t>
      </w:r>
    </w:p>
    <w:p>
      <w:pPr>
        <w:spacing w:after="0" w:line="215" w:lineRule="exact"/>
        <w:rPr>
          <w:rFonts w:ascii="Arial" w:cs="Arial" w:eastAsia="Arial" w:hAnsi="Arial"/>
          <w:sz w:val="27"/>
          <w:szCs w:val="27"/>
          <w:color w:val="auto"/>
          <w:vertAlign w:val="superscript"/>
        </w:rPr>
      </w:pPr>
    </w:p>
    <w:p>
      <w:pPr>
        <w:ind w:left="1680" w:right="340" w:hanging="549"/>
        <w:spacing w:after="0" w:line="194" w:lineRule="auto"/>
        <w:tabs>
          <w:tab w:leader="none" w:pos="16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business address of Ship Finance Maritime Corporation is c/o Shamrock Maritime SARL, 6 Boulevard des Moulins, Monaco, Monaco MC98000.</w:t>
      </w:r>
    </w:p>
    <w:p>
      <w:pPr>
        <w:spacing w:after="0" w:line="100" w:lineRule="exact"/>
        <w:rPr>
          <w:rFonts w:ascii="Arial" w:cs="Arial" w:eastAsia="Arial" w:hAnsi="Arial"/>
          <w:sz w:val="29"/>
          <w:szCs w:val="29"/>
          <w:color w:val="auto"/>
          <w:vertAlign w:val="superscript"/>
        </w:rPr>
      </w:pPr>
    </w:p>
    <w:p>
      <w:pPr>
        <w:ind w:left="1680" w:hanging="549"/>
        <w:spacing w:after="0"/>
        <w:tabs>
          <w:tab w:leader="none" w:pos="16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address of Mark Denning is Lot 9 The Albany, South Ocean Boulevard, New Providence Island, The Bahamas.</w:t>
      </w:r>
    </w:p>
    <w:p>
      <w:pPr>
        <w:spacing w:after="0" w:line="160" w:lineRule="exact"/>
        <w:rPr>
          <w:rFonts w:ascii="Arial" w:cs="Arial" w:eastAsia="Arial" w:hAnsi="Arial"/>
          <w:sz w:val="29"/>
          <w:szCs w:val="29"/>
          <w:color w:val="auto"/>
          <w:vertAlign w:val="superscript"/>
        </w:rPr>
      </w:pPr>
    </w:p>
    <w:p>
      <w:pPr>
        <w:ind w:left="1680" w:hanging="549"/>
        <w:spacing w:after="0" w:line="195" w:lineRule="auto"/>
        <w:tabs>
          <w:tab w:leader="none" w:pos="16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Bruce Blythe is a member of our board of directors.</w:t>
      </w:r>
    </w:p>
    <w:p>
      <w:pPr>
        <w:spacing w:after="0" w:line="161" w:lineRule="exact"/>
        <w:rPr>
          <w:rFonts w:ascii="Arial" w:cs="Arial" w:eastAsia="Arial" w:hAnsi="Arial"/>
          <w:sz w:val="29"/>
          <w:szCs w:val="29"/>
          <w:color w:val="auto"/>
          <w:vertAlign w:val="superscript"/>
        </w:rPr>
      </w:pPr>
    </w:p>
    <w:p>
      <w:pPr>
        <w:ind w:left="1680" w:hanging="549"/>
        <w:spacing w:after="0" w:line="205" w:lineRule="auto"/>
        <w:tabs>
          <w:tab w:leader="none" w:pos="16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address of Bruce Blythe is 22 Minera Mews, London, United Kingdom SW1 W9JD.</w:t>
      </w:r>
    </w:p>
    <w:p>
      <w:pPr>
        <w:spacing w:after="0" w:line="147" w:lineRule="exact"/>
        <w:rPr>
          <w:rFonts w:ascii="Arial" w:cs="Arial" w:eastAsia="Arial" w:hAnsi="Arial"/>
          <w:sz w:val="29"/>
          <w:szCs w:val="29"/>
          <w:color w:val="auto"/>
          <w:vertAlign w:val="superscript"/>
        </w:rPr>
      </w:pPr>
    </w:p>
    <w:p>
      <w:pPr>
        <w:ind w:left="1680" w:hanging="549"/>
        <w:spacing w:after="0" w:line="205" w:lineRule="auto"/>
        <w:tabs>
          <w:tab w:leader="none" w:pos="16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The address of Jean Haramis is Le Continental Bloc A, 7th Fl Place de Moulins, Monaco, Monaco MC 98000.</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Any selling shareholder, or their pledgees, donees, transferees or other successors in interest, may offer and sell, from time to time, the common shares covered by this prospectus and any applicable prospectus supplement. We have registered the common shares covered by this prospectus for offer and sale to permit the selling shareholders to sell such common shares without restriction in the open market. Registration of the common shares covered by this prospectus does not mean, however, that those common shares necessarily will be offered or sold.</w:t>
      </w:r>
    </w:p>
    <w:p>
      <w:pPr>
        <w:spacing w:after="0" w:line="16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common shares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207" w:lineRule="exact"/>
        <w:rPr>
          <w:sz w:val="20"/>
          <w:szCs w:val="20"/>
          <w:color w:val="auto"/>
        </w:rPr>
      </w:pPr>
    </w:p>
    <w:p>
      <w:pPr>
        <w:ind w:left="1080" w:right="2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NYSE or any other national securities exchange or U.S. inter-dealer system of a registered national securities association on which our common shares may be listed or quoted at the time of sale;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settlement of short sales entered into after the date of the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sales "at the market" to or through a market-maker;</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any combination of the above.</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Broker-dealer transactions may include:</w:t>
      </w:r>
    </w:p>
    <w:p>
      <w:pPr>
        <w:spacing w:after="0" w:line="199" w:lineRule="exact"/>
        <w:rPr>
          <w:sz w:val="20"/>
          <w:szCs w:val="20"/>
          <w:color w:val="auto"/>
        </w:rPr>
      </w:pPr>
    </w:p>
    <w:p>
      <w:pPr>
        <w:ind w:left="1080" w:right="1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of the common shares by a broker-dealer as principal and resales of the common shares by the broker-dealer for its account pursuant to this prospectus;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in which the broker-dealer solicits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firstLine="351"/>
        <w:spacing w:after="0" w:line="331" w:lineRule="auto"/>
        <w:rPr>
          <w:sz w:val="20"/>
          <w:szCs w:val="20"/>
          <w:color w:val="auto"/>
        </w:rPr>
      </w:pPr>
      <w:r>
        <w:rPr>
          <w:rFonts w:ascii="Arial" w:cs="Arial" w:eastAsia="Arial" w:hAnsi="Arial"/>
          <w:sz w:val="16"/>
          <w:szCs w:val="16"/>
          <w:color w:val="auto"/>
        </w:rPr>
        <w:t>In addition, the selling shareholders, or their pledgees, donees, transferees or other successors in interest, may sell any common shares covered by this prospectus in private transactions or under Rule 144 of the Securities Act, rather than pursuant to this prospectus.</w:t>
      </w:r>
    </w:p>
    <w:p>
      <w:pPr>
        <w:spacing w:after="0" w:line="14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connection with the sale of common shares covered by this prospectus, broker-dealers may receive commissions or other compensation from the selling shareholders in the form of commissions, discounts or concessions. Broker-dealers may also receive compensation from purchasers of the common shares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the selling shareholders or from purchasers of the common shares for whom they act as agents. Underwriters may sell the common shares to or through dealers, and such dealers may receive compensation in the form of discounts, concessions or commissions from the underwriters and/or commissions from the purchasers for whom they may act as agents. The selling shareholders and any underwriters, broker-dealers or agents that participate in the distribution of the common shares may be deemed to be "underwriters" within the meaning of the Securities Act, and any profit on the sale of the common shares by them and any discounts, commissions or concessions received by any of those underwriters, broker-dealers or agents may be deemed to be underwriting discounts and commissions under the Securities Act.</w:t>
      </w:r>
    </w:p>
    <w:p>
      <w:pPr>
        <w:spacing w:after="0" w:line="17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distribution of the common shares covered by this prospectus or otherwise, the selling shareholders, or their pledgees, donees, transferees or other successors in interest, may enter into hedging transactions with broker-dealers or other financial institutions to the extent permitted by our trading policy. In connection with such transactions, broker-dealers or other financial institutions may engage in short sales of our common shares in the course of hedging the positions they assume with the selling shareholders. The selling shareholders may also sell common shares short and deliver the common shares offered by this prospectus to close out our short positions. The selling shareholders may also enter into option or other transactions with broker-dealers or other financial institutions, which require the delivery to such broker-dealer or other financial institution of common shares offered by this prospectus, which common shares such broker-dealer or other financial institution may resell pursuant to this prospectus, as supplemented or amended to reflect such transaction. The selling shareholders may also from time to time pledge common shares pursuant to the margin provisions of any customer agreements with brokers. Upon default, the broker may offer and sell such pledged common shares from time to time pursuant to this prospectus, as supplemented or amended to reflect such transaction. In addition, the shares may be sold by banks to hedge derivative positions entered into with those banks by the selling shareholders, relating to their shares, to the extent any such transactions are permitted under the company trading policy.</w:t>
      </w:r>
    </w:p>
    <w:p>
      <w:pPr>
        <w:spacing w:after="0" w:line="180" w:lineRule="exact"/>
        <w:rPr>
          <w:sz w:val="20"/>
          <w:szCs w:val="20"/>
          <w:color w:val="auto"/>
        </w:rPr>
      </w:pPr>
    </w:p>
    <w:p>
      <w:pPr>
        <w:ind w:right="20" w:firstLine="341"/>
        <w:spacing w:after="0" w:line="309" w:lineRule="auto"/>
        <w:rPr>
          <w:sz w:val="20"/>
          <w:szCs w:val="20"/>
          <w:color w:val="auto"/>
        </w:rPr>
      </w:pPr>
      <w:r>
        <w:rPr>
          <w:rFonts w:ascii="Arial" w:cs="Arial" w:eastAsia="Arial" w:hAnsi="Arial"/>
          <w:sz w:val="15"/>
          <w:szCs w:val="15"/>
          <w:color w:val="auto"/>
        </w:rPr>
        <w:t>At any time a particular offer of the common shares covered by this prospectus is made, a revised prospectus or prospectus supplement, if required, will be distributed which will set forth the aggregate amount of common shares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common shares, name or names of any underwriters, dealers, brokers or agents, any discounts, commissions, concessions and other items constituting compensation from the selling shareholders, any discounts, commissions or concessions allowed or re-allowed or paid to dealers and the names of the selling shareholders and the number of common shares being offered by them. Such prospectus supplement, and, if necessary, a post-effective amendment to the registration statement of which this prospectus is a part, will be filed with the SEC to reflect the disclosure of additional information with respect to the distribution of the common shares covered by this prospectus. In order to comply with the securities laws of certain states, if applicable, the common shares sold under this prospectus may only be sold through registered or licensed broker-dealers.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 in some states the common shares may not be sold unless they have been registered or qualified for sale in the applicable state or an exemption from registration or qualification requirements is available and is complied with.</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connection with an underwritten offering, the selling shareholders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common shares will be obligated to purchase all of the covered common shares if any such common shares are purchased. The selling shareholders may grant to the underwriter or underwriters an option to purchase additional common shares at the public offering price, as may be set forth in the revised prospectus or applicable prospectus supplement. If the selling shareholders grant any such option, the terms of the option will be set forth in the revised prospectus or applicable prospectus supplement.</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a requirement by the Financial Industry Regulatory Authority ("FINRA"), the maximum commission or discount to be received by any FINRA member or independent broker-dealer may not be greater than 8% of the gross proceeds received by any selling shareholder for the sale of any common shares being registered pursuant to SEC Rule 415 under the Securities Act. If more than 5% of the net proceeds of any offering of common shares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19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Underwriters, agents, brokers or dealers may be entitled, pursuant to relevant agreements entered into with the selling shareholders, to indemnification by the selling shareholders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20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Except for underwriting discounts and selling commissions, if any, transfer taxes, if any, and the fees and expenses of any underwriters, dealers or agents, which are to be paid by the selling shareholders, we have agreed to pay the expenses incurred in connection with the registration of the common shares owned by the selling shareholders covered by this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following are the expenses estimated to be incurred by us in connection with a possible offering of the common shares registered under this registration statement.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7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2,850.67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Printing</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NYSE Fees</w:t>
            </w:r>
          </w:p>
        </w:tc>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FINRA Fee</w:t>
            </w:r>
          </w:p>
        </w:tc>
        <w:tc>
          <w:tcPr>
            <w:tcW w:w="3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3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281,850.</w:t>
            </w:r>
            <w:r>
              <w:rPr>
                <w:rFonts w:ascii="Arial" w:cs="Arial" w:eastAsia="Arial" w:hAnsi="Arial"/>
                <w:sz w:val="18"/>
                <w:szCs w:val="18"/>
                <w:u w:val="single" w:color="auto"/>
                <w:color w:val="auto"/>
                <w:w w:val="93"/>
              </w:rPr>
              <w:t>67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20" w:type="dxa"/>
            <w:vAlign w:val="bottom"/>
            <w:vMerge w:val="restart"/>
          </w:tcPr>
          <w:p>
            <w:pPr>
              <w:jc w:val="right"/>
              <w:ind w:right="2572"/>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validity of the common shares offered hereby and certain other matters relating to Bermuda law will be passed upon for us by Conyers Dill &amp; Pearman Limited, Bermuda. We are also advised by Cravath, Swaine &amp; Moore LLP, New York, New York.</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20-F and the effectiveness of GasLog Ltd.'s internal control over financial reporting have been audited by Deloitte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offices of Deloitte LLP are located at 1 New Street Square, EC4A 3HQ, London, United Kingdom.</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98 of the Bermuda Companies Act 1981 (the "Companies Act") provides generally that a Bermuda company may indemnify its directors and officers against any liability which by virtue of any rule of law would otherwise be imposed on them in respect of any negligence, default, breach of duty or breach of trust, except in cases where such liability arises from fraud or dishonesty of which such director or officer may be guilty in relation to the company. Section 98 further provides that a Bermuda company may indemnify its directors and officers against any liability incurred by them in defending any proceedings, whether civil or criminal, in which judgment is awarded in their favor or in which they are acquitted or granted relief by the Supreme Court of Bermuda pursuant to section 281 of the Companies Act. The Company's bye-laws provide that we shall indemnify our officers and directors in respect of their actions and omissions, except in respect of their fraud or dishonesty. Our bye-laws also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73"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Section 98A of the Companies Act and the Company's bye-laws permit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60"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also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ectPr>
          <w:pgSz w:w="11900" w:h="16838" w:orient="portrait"/>
          <w:cols w:equalWidth="0" w:num="1">
            <w:col w:w="11140"/>
          </w:cols>
          <w:pgMar w:left="320" w:top="131" w:right="439" w:bottom="1440" w:gutter="0" w:footer="0" w:header="0"/>
        </w:sectPr>
      </w:pPr>
    </w:p>
    <w:p>
      <w:pPr>
        <w:spacing w:after="0" w:line="1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31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5066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Amended Memorandum of Association of GasLog Ltd.</w:t>
      </w:r>
      <w:r>
        <w:rPr>
          <w:rFonts w:ascii="Arial" w:cs="Arial" w:eastAsia="Arial" w:hAnsi="Arial"/>
          <w:sz w:val="29"/>
          <w:szCs w:val="29"/>
          <w:color w:val="auto"/>
          <w:vertAlign w:val="superscript"/>
        </w:rPr>
        <w:t>(1)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Form of Bye-laws of GasLog Ltd.</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Specimen Share Certificate</w:t>
      </w:r>
      <w:r>
        <w:rPr>
          <w:rFonts w:ascii="Arial" w:cs="Arial" w:eastAsia="Arial" w:hAnsi="Arial"/>
          <w:sz w:val="29"/>
          <w:szCs w:val="29"/>
          <w:color w:val="auto"/>
          <w:vertAlign w:val="superscript"/>
        </w:rPr>
        <w:t>(1)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Opinion of Conyers Dill &amp; Pearman Limited, special counsel to the Company as to Bermuda law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300"/>
        <w:spacing w:after="0" w:line="268" w:lineRule="auto"/>
        <w:rPr>
          <w:sz w:val="20"/>
          <w:szCs w:val="20"/>
          <w:color w:val="auto"/>
        </w:rPr>
      </w:pPr>
      <w:r>
        <w:rPr>
          <w:rFonts w:ascii="Arial" w:cs="Arial" w:eastAsia="Arial" w:hAnsi="Arial"/>
          <w:sz w:val="18"/>
          <w:szCs w:val="18"/>
          <w:color w:val="auto"/>
        </w:rPr>
        <w:t>Consent of Conyers Dill &amp; Pearman Limited, special counsel to the Company as to Bermuda law (included in Exhibit 5.1)</w:t>
      </w:r>
    </w:p>
    <w:p>
      <w:pPr>
        <w:spacing w:after="0" w:line="186"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1980" w:space="160"/>
            <w:col w:w="9000"/>
          </w:cols>
          <w:pgMar w:left="320" w:top="131" w:right="4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20"/>
        <w:spacing w:after="0"/>
        <w:tabs>
          <w:tab w:leader="none" w:pos="5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7003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5" w:lineRule="exact"/>
        <w:rPr>
          <w:sz w:val="20"/>
          <w:szCs w:val="20"/>
          <w:color w:val="auto"/>
        </w:rPr>
      </w:pPr>
    </w:p>
    <w:p>
      <w:pPr>
        <w:ind w:left="1660"/>
        <w:spacing w:after="0"/>
        <w:tabs>
          <w:tab w:leader="none" w:pos="21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74930</wp:posOffset>
            </wp:positionV>
            <wp:extent cx="1499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19" w:lineRule="exact"/>
        <w:rPr>
          <w:sz w:val="20"/>
          <w:szCs w:val="20"/>
          <w:color w:val="auto"/>
        </w:rPr>
      </w:pPr>
    </w:p>
    <w:p>
      <w:pPr>
        <w:ind w:left="1680" w:right="500" w:hanging="549"/>
        <w:spacing w:after="0" w:line="212" w:lineRule="auto"/>
        <w:tabs>
          <w:tab w:leader="none" w:pos="1680" w:val="left"/>
        </w:tabs>
        <w:numPr>
          <w:ilvl w:val="0"/>
          <w:numId w:val="13"/>
        </w:numPr>
        <w:rPr>
          <w:rFonts w:ascii="Arial" w:cs="Arial" w:eastAsia="Arial" w:hAnsi="Arial"/>
          <w:sz w:val="27"/>
          <w:szCs w:val="27"/>
          <w:color w:val="auto"/>
          <w:vertAlign w:val="superscript"/>
        </w:rPr>
      </w:pPr>
      <w:r>
        <w:rPr>
          <w:rFonts w:ascii="Arial" w:cs="Arial" w:eastAsia="Arial" w:hAnsi="Arial"/>
          <w:sz w:val="16"/>
          <w:szCs w:val="16"/>
          <w:color w:val="auto"/>
        </w:rPr>
        <w:t>Previously filed as an exhibit to GasLog Ltd.'s Registration Statement on Form F-1 (File No. 333-179034), filed with the SEC on March 16, 2012, or an amendment thereto, and hereby incorporated by reference to such Registration Statement.</w:t>
      </w:r>
    </w:p>
    <w:p>
      <w:pPr>
        <w:spacing w:after="0" w:line="224" w:lineRule="exact"/>
        <w:rPr>
          <w:rFonts w:ascii="Arial" w:cs="Arial" w:eastAsia="Arial" w:hAnsi="Arial"/>
          <w:sz w:val="27"/>
          <w:szCs w:val="27"/>
          <w:color w:val="auto"/>
          <w:vertAlign w:val="superscript"/>
        </w:rPr>
      </w:pPr>
    </w:p>
    <w:p>
      <w:pPr>
        <w:ind w:left="1680" w:right="40" w:hanging="549"/>
        <w:spacing w:after="0" w:line="194" w:lineRule="auto"/>
        <w:tabs>
          <w:tab w:leader="none" w:pos="16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Previously filed as an exhibit to GasLog Ltd.'s Form 6-K, filed with the SEC on June 29, 2020, and hereby incorporated by reference to such Form 6-K.</w:t>
      </w:r>
    </w:p>
    <w:p>
      <w:pPr>
        <w:spacing w:after="0" w:line="20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1240" w:hanging="253"/>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540" w:right="120" w:firstLine="403"/>
        <w:spacing w:after="0" w:line="253" w:lineRule="auto"/>
        <w:tabs>
          <w:tab w:leader="none" w:pos="12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if, in the aggregate, the changes in volume and price represent no more than 20 percent change in the maximum aggregate offering price set forth in the "Calculation of Registration Fee" table in the effective registration statement; and</w:t>
      </w:r>
    </w:p>
    <w:p>
      <w:pPr>
        <w:spacing w:after="0" w:line="200" w:lineRule="exact"/>
        <w:rPr>
          <w:rFonts w:ascii="Arial" w:cs="Arial" w:eastAsia="Arial" w:hAnsi="Arial"/>
          <w:sz w:val="18"/>
          <w:szCs w:val="18"/>
          <w:color w:val="auto"/>
        </w:rPr>
      </w:pPr>
    </w:p>
    <w:p>
      <w:pPr>
        <w:ind w:left="540" w:right="540" w:firstLine="359"/>
        <w:spacing w:after="0" w:line="268" w:lineRule="auto"/>
        <w:tabs>
          <w:tab w:leader="none" w:pos="1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this registration statement.</w:t>
      </w:r>
    </w:p>
    <w:p>
      <w:pPr>
        <w:spacing w:after="0" w:line="197" w:lineRule="exact"/>
        <w:rPr>
          <w:sz w:val="20"/>
          <w:szCs w:val="20"/>
          <w:color w:val="auto"/>
        </w:rPr>
      </w:pPr>
    </w:p>
    <w:p>
      <w:pPr>
        <w:ind w:right="200" w:firstLine="348"/>
        <w:spacing w:after="0" w:line="369" w:lineRule="auto"/>
        <w:rPr>
          <w:sz w:val="20"/>
          <w:szCs w:val="20"/>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00"/>
        <w:spacing w:after="0" w:line="331" w:lineRule="auto"/>
        <w:rPr>
          <w:sz w:val="20"/>
          <w:szCs w:val="20"/>
          <w:color w:val="auto"/>
        </w:rPr>
      </w:pPr>
      <w:r>
        <w:rPr>
          <w:rFonts w:ascii="Arial" w:cs="Arial" w:eastAsia="Arial" w:hAnsi="Arial"/>
          <w:sz w:val="16"/>
          <w:szCs w:val="16"/>
          <w:color w:val="auto"/>
        </w:rPr>
        <w:t>financial statements and information are contained in periodic reports filed with or furnished to the SEC by the registrant pursuant to Section 13 or Section 15(d) of the Securities Exchange Act of 1934, as amended, that are incorporated by reference in this Form F-3.</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sz w:val="20"/>
          <w:szCs w:val="20"/>
          <w:color w:val="auto"/>
        </w:rPr>
      </w:pPr>
    </w:p>
    <w:p>
      <w:pPr>
        <w:ind w:left="540" w:right="240" w:firstLine="359"/>
        <w:spacing w:after="0" w:line="268" w:lineRule="auto"/>
        <w:tabs>
          <w:tab w:leader="none" w:pos="12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540" w:firstLine="359"/>
        <w:spacing w:after="0" w:line="286" w:lineRule="auto"/>
        <w:tabs>
          <w:tab w:leader="none" w:pos="12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this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6" w:lineRule="exact"/>
        <w:rPr>
          <w:sz w:val="20"/>
          <w:szCs w:val="20"/>
          <w:color w:val="auto"/>
        </w:rPr>
      </w:pPr>
    </w:p>
    <w:p>
      <w:pPr>
        <w:ind w:left="1240" w:hanging="253"/>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540" w:right="580" w:firstLine="403"/>
        <w:spacing w:after="0" w:line="268" w:lineRule="auto"/>
        <w:tabs>
          <w:tab w:leader="none" w:pos="12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60" w:firstLine="348"/>
        <w:spacing w:after="0" w:line="323" w:lineRule="auto"/>
        <w:rPr>
          <w:sz w:val="20"/>
          <w:szCs w:val="20"/>
          <w:color w:val="auto"/>
        </w:rPr>
      </w:pPr>
      <w:r>
        <w:rPr>
          <w:rFonts w:ascii="Arial" w:cs="Arial" w:eastAsia="Arial" w:hAnsi="Arial"/>
          <w:sz w:val="15"/>
          <w:szCs w:val="15"/>
          <w:color w:val="auto"/>
        </w:rPr>
        <w:t>That, for purposes of determining any liability under the Securities Act,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F-3 and has duly caused this Registration Statement to be signed on its behalf by the undersigned, thereunto duly authorized, in Greece, on July 10, 2020.</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64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71120</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8" w:lineRule="exact"/>
        <w:rPr>
          <w:sz w:val="20"/>
          <w:szCs w:val="20"/>
          <w:color w:val="auto"/>
        </w:rPr>
      </w:pPr>
    </w:p>
    <w:p>
      <w:pPr>
        <w:ind w:left="6040"/>
        <w:spacing w:after="0"/>
        <w:tabs>
          <w:tab w:leader="none" w:pos="6700" w:val="left"/>
        </w:tabs>
        <w:rPr>
          <w:sz w:val="20"/>
          <w:szCs w:val="20"/>
          <w:color w:val="auto"/>
        </w:rPr>
      </w:pPr>
      <w:r>
        <w:rPr>
          <w:rFonts w:ascii="Arial" w:cs="Arial" w:eastAsia="Arial" w:hAnsi="Arial"/>
          <w:sz w:val="18"/>
          <w:szCs w:val="18"/>
          <w:color w:val="auto"/>
        </w:rPr>
        <w:t>Name:</w:t>
        <w:tab/>
        <w:t>Paul Wogan</w:t>
      </w:r>
    </w:p>
    <w:p>
      <w:pPr>
        <w:spacing w:after="0" w:line="15" w:lineRule="exact"/>
        <w:rPr>
          <w:sz w:val="20"/>
          <w:szCs w:val="20"/>
          <w:color w:val="auto"/>
        </w:rPr>
      </w:pPr>
    </w:p>
    <w:p>
      <w:pPr>
        <w:ind w:left="604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each of Paul Wogan and Achilleas Tasioulas his true and lawful attorney-in-fact and agent, with full powers of substitution and re-substitution, for him and in his name, place and stead, in any and all capacities, to sign any or all amendments (including post-effective amendments) and exhibits to this Registration Statement on Form F-3, and to any registration statement filed under Rule 462(b) under the Securities Act, and to file the same, with all exhibits thereto, and other documents in connection therewith, with the SEC and the Registrar of Companies of Bermuda,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his substitute or substitutes, may lawfully do or cause to be done by virtue hereof.</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10th day of July, 2020.</w:t>
      </w:r>
    </w:p>
    <w:p>
      <w:pPr>
        <w:spacing w:after="0" w:line="181" w:lineRule="exact"/>
        <w:rPr>
          <w:sz w:val="20"/>
          <w:szCs w:val="20"/>
          <w:color w:val="auto"/>
        </w:rPr>
      </w:pPr>
    </w:p>
    <w:p>
      <w:pPr>
        <w:ind w:left="1140"/>
        <w:spacing w:after="0"/>
        <w:tabs>
          <w:tab w:leader="none" w:pos="78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Paul Wogan</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Achilleas Tasioulas</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Peter G. Livanos</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BRUCE L. BLYTHE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Bruce L. Blythe</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DONALD J. KINTZER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Donald J. Kintzer</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JULIAN METHERELL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71120</wp:posOffset>
            </wp:positionV>
            <wp:extent cx="27514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Julian Metherell</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27514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0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 Anthony S. Papadimitriou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4780" w:space="720"/>
            <w:col w:w="5720"/>
          </w:cols>
          <w:pgMar w:left="320" w:top="131" w:right="3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AUTHORIZED UNITED STATES REPRESENTATIVE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 of the Securities Act of 1933, the undersigned, the duly authorized representative in the United States of the aforementioned Registrant, has signed this Registration Statement on July 10, 2020.</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PUGLISI &amp; ASSOCIATES</w:t>
      </w:r>
    </w:p>
    <w:p>
      <w:pPr>
        <w:spacing w:after="0" w:line="252" w:lineRule="exact"/>
        <w:rPr>
          <w:sz w:val="20"/>
          <w:szCs w:val="20"/>
          <w:color w:val="auto"/>
        </w:rPr>
      </w:pPr>
    </w:p>
    <w:p>
      <w:pPr>
        <w:ind w:left="564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71120</wp:posOffset>
            </wp:positionV>
            <wp:extent cx="2597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8" w:lineRule="exact"/>
        <w:rPr>
          <w:sz w:val="20"/>
          <w:szCs w:val="20"/>
          <w:color w:val="auto"/>
        </w:rPr>
      </w:pPr>
    </w:p>
    <w:p>
      <w:pPr>
        <w:ind w:left="6040"/>
        <w:spacing w:after="0"/>
        <w:tabs>
          <w:tab w:leader="none" w:pos="6700" w:val="left"/>
        </w:tabs>
        <w:rPr>
          <w:sz w:val="20"/>
          <w:szCs w:val="20"/>
          <w:color w:val="auto"/>
        </w:rPr>
      </w:pPr>
      <w:r>
        <w:rPr>
          <w:rFonts w:ascii="Arial" w:cs="Arial" w:eastAsia="Arial" w:hAnsi="Arial"/>
          <w:sz w:val="18"/>
          <w:szCs w:val="18"/>
          <w:color w:val="auto"/>
        </w:rPr>
        <w:t>Name:</w:t>
        <w:tab/>
        <w:t>Donald J. Puglisi</w:t>
      </w:r>
    </w:p>
    <w:p>
      <w:pPr>
        <w:spacing w:after="0" w:line="15" w:lineRule="exact"/>
        <w:rPr>
          <w:sz w:val="20"/>
          <w:szCs w:val="20"/>
          <w:color w:val="auto"/>
        </w:rPr>
      </w:pPr>
    </w:p>
    <w:p>
      <w:pPr>
        <w:ind w:left="604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Managing Director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60"/>
          </w:cols>
          <w:pgMar w:left="320" w:top="131" w:right="5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200"/>
          </w:cols>
          <w:pgMar w:left="320" w:top="131" w:right="379" w:bottom="1440" w:gutter="0" w:footer="0" w:header="0"/>
        </w:sectPr>
      </w:pP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531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5066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5" w:lineRule="exact"/>
        <w:rPr>
          <w:sz w:val="20"/>
          <w:szCs w:val="20"/>
          <w:color w:val="auto"/>
        </w:rPr>
      </w:pPr>
    </w:p>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Amended Memorandum of Association of GasLog Ltd.</w:t>
        </w:r>
      </w:hyperlink>
      <w:r>
        <w:rPr>
          <w:rFonts w:ascii="Arial" w:cs="Arial" w:eastAsia="Arial" w:hAnsi="Arial"/>
          <w:sz w:val="29"/>
          <w:szCs w:val="29"/>
          <w:u w:val="single" w:color="auto"/>
          <w:color w:val="0000EE"/>
          <w:vertAlign w:val="superscript"/>
        </w:rPr>
        <w:t>(1)</w:t>
      </w:r>
    </w:p>
    <w:p>
      <w:pPr>
        <w:spacing w:after="0" w:line="159" w:lineRule="exact"/>
        <w:rPr>
          <w:sz w:val="20"/>
          <w:szCs w:val="20"/>
          <w:color w:val="auto"/>
        </w:rPr>
      </w:pPr>
    </w:p>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Form of Bye-laws of GasLog Ltd.</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Specimen Share Certificate</w:t>
        </w:r>
      </w:hyperlink>
      <w:r>
        <w:rPr>
          <w:rFonts w:ascii="Arial" w:cs="Arial" w:eastAsia="Arial" w:hAnsi="Arial"/>
          <w:sz w:val="29"/>
          <w:szCs w:val="29"/>
          <w:u w:val="single" w:color="auto"/>
          <w:color w:val="0000EE"/>
          <w:vertAlign w:val="superscript"/>
        </w:rPr>
        <w:t>(1)</w:t>
      </w:r>
    </w:p>
    <w:p>
      <w:pPr>
        <w:spacing w:after="0" w:line="166" w:lineRule="exact"/>
        <w:rPr>
          <w:sz w:val="20"/>
          <w:szCs w:val="20"/>
          <w:color w:val="auto"/>
        </w:rPr>
      </w:pPr>
    </w:p>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Registration Rights Agreement</w:t>
        </w:r>
      </w:hyperlink>
      <w:r>
        <w:rPr>
          <w:rFonts w:ascii="Arial" w:cs="Arial" w:eastAsia="Arial" w:hAnsi="Arial"/>
          <w:sz w:val="29"/>
          <w:szCs w:val="29"/>
          <w:u w:val="single" w:color="auto"/>
          <w:color w:val="0000EE"/>
          <w:vertAlign w:val="superscript"/>
        </w:rPr>
        <w:t>(2)</w:t>
      </w:r>
    </w:p>
    <w:p>
      <w:pPr>
        <w:spacing w:after="0" w:line="165" w:lineRule="exact"/>
        <w:rPr>
          <w:sz w:val="20"/>
          <w:szCs w:val="20"/>
          <w:color w:val="auto"/>
        </w:rPr>
      </w:pPr>
    </w:p>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Opinion of Conyers Dill &amp; Pearman Limited, special counsel to the Company as to Bermuda law</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Consent of Independent Registered Public Accounting Firm</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Consent of Conyers Dill &amp; Pearman Limited (included in Exhibit 5.1)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Powers of Attorney (included on the signature page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79375</wp:posOffset>
            </wp:positionV>
            <wp:extent cx="1499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160"/>
            <w:col w:w="9060"/>
          </w:cols>
          <w:pgMar w:left="320" w:top="131" w:right="379" w:bottom="1440" w:gutter="0" w:footer="0" w:header="0"/>
          <w:type w:val="continuous"/>
        </w:sectPr>
      </w:pPr>
    </w:p>
    <w:p>
      <w:pPr>
        <w:spacing w:after="0" w:line="147" w:lineRule="exact"/>
        <w:rPr>
          <w:sz w:val="20"/>
          <w:szCs w:val="20"/>
          <w:color w:val="auto"/>
        </w:rPr>
      </w:pPr>
    </w:p>
    <w:p>
      <w:pPr>
        <w:ind w:left="1680" w:right="460" w:hanging="549"/>
        <w:spacing w:after="0" w:line="212" w:lineRule="auto"/>
        <w:tabs>
          <w:tab w:leader="none" w:pos="1680"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Previously filed as an exhibit to GasLog Ltd.'s Registration Statement on Form F-1 (File No. 333-179034), filed with the SEC on March 16, 2012, or an amendment thereto, and hereby incorporated by reference to such Registration Statement.</w:t>
      </w:r>
    </w:p>
    <w:p>
      <w:pPr>
        <w:spacing w:after="0" w:line="224" w:lineRule="exact"/>
        <w:rPr>
          <w:rFonts w:ascii="Arial" w:cs="Arial" w:eastAsia="Arial" w:hAnsi="Arial"/>
          <w:sz w:val="27"/>
          <w:szCs w:val="27"/>
          <w:color w:val="auto"/>
          <w:vertAlign w:val="superscript"/>
        </w:rPr>
      </w:pPr>
    </w:p>
    <w:p>
      <w:pPr>
        <w:ind w:left="1680" w:hanging="549"/>
        <w:spacing w:after="0" w:line="194" w:lineRule="auto"/>
        <w:tabs>
          <w:tab w:leader="none" w:pos="16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Previously filed as an exhibit to GasLog Ltd.'s Form 6-K, filed with the SEC on June 29, 2020, and hereby incorporated by reference to such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spacing w:after="0"/>
        <w:rPr>
          <w:rFonts w:ascii="Arial" w:cs="Arial" w:eastAsia="Arial" w:hAnsi="Arial"/>
          <w:sz w:val="22"/>
          <w:szCs w:val="22"/>
          <w:color w:val="0000EE"/>
        </w:rPr>
      </w:pPr>
      <w:hyperlink w:anchor="page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 July 2020</w:t>
      </w:r>
    </w:p>
    <w:p>
      <w:pPr>
        <w:spacing w:after="0" w:line="252"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Matter No.:475365</w:t>
      </w:r>
    </w:p>
    <w:p>
      <w:pPr>
        <w:spacing w:after="0" w:line="15"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Doc Ref: 17525623v2</w:t>
      </w:r>
    </w:p>
    <w:p>
      <w:pPr>
        <w:spacing w:after="0" w:line="9" w:lineRule="exact"/>
        <w:rPr>
          <w:sz w:val="20"/>
          <w:szCs w:val="20"/>
          <w:color w:val="auto"/>
        </w:rPr>
      </w:pPr>
    </w:p>
    <w:p>
      <w:pPr>
        <w:jc w:val="right"/>
        <w:ind w:right="1100"/>
        <w:spacing w:after="0"/>
        <w:rPr>
          <w:sz w:val="20"/>
          <w:szCs w:val="20"/>
          <w:color w:val="auto"/>
        </w:rPr>
      </w:pPr>
      <w:r>
        <w:rPr>
          <w:rFonts w:ascii="Arial" w:cs="Arial" w:eastAsia="Arial" w:hAnsi="Arial"/>
          <w:sz w:val="18"/>
          <w:szCs w:val="18"/>
          <w:color w:val="auto"/>
        </w:rPr>
        <w:t>1 441 299 4926</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victor.richards@conyersdill.com</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GasLog Ltd.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Hamilton HM11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Bermuda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GasLog Ltd. (the "Company")</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acted as special Bermuda legal counsel to the Company in connection with a registration statement on form F3, filed with the U.S. Securities and Exchange Commission (the "Commission") on 10 July 2020 (the "Registration Statement", which term does not include any other document or agreement whether or not specifically referred to therein or attached as an exhibit or schedule thereto) relating to the registration under the U.S. Securities Act of 1933, as amended, (the "Securities Act") of an aggregate of 7,900,000 common shares, par value US$0.01 each of which are being resold by certain selling shareholders of the Company or their donees, pledgees, transferees or other successors in interest (the "Selling Shareholders") (the "Issued Shares").</w:t>
      </w:r>
    </w:p>
    <w:p>
      <w:pPr>
        <w:spacing w:after="0" w:line="169"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color w:val="auto"/>
        </w:rPr>
        <w:t>For the purposes of giving this opinion, we have examined a copy of the Registration Statement. We have also reviewed the memorandum of association and the bye-laws of the Company, each certified by the Assistant Company Secretary on 10 July 2020, an excerpt of minutes of a meeting of its directors held on</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21 June, 2020 certified by the Assistant Company Secretary, (together, the "Resolutions") and such other documents and made such enquiries as to questions of law as we have deemed necessary in order to render the opinion set forth below. For the purposes of our opinion paragraph 2 below, we have reviewed and relied upon the register of members of the Company dated 8 July 2020, certified by the Assistant Company Secretary.</w:t>
      </w:r>
    </w:p>
    <w:p>
      <w:pPr>
        <w:spacing w:after="0" w:line="1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Registration Statement and other documents reviewed by us, (d) that the Resolutions were passed at one or more duly convened, constituted and quorate meetings, or by unanimous written resolutions, remain in full force and effect and have not been rescinded or amended, and (e) that there is no provision of the law of any jurisdiction, other than Bermuda, which would have any implication in relation to the opinions expressed herein.</w:t>
      </w:r>
    </w:p>
    <w:p>
      <w:pPr>
        <w:spacing w:after="0" w:line="17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offering of the Issued Shares by the Selling Shareholders and is not to be relied upon in respect of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On the basis of and subject to the foregoing, we are of the opinion that:</w:t>
      </w:r>
    </w:p>
    <w:p>
      <w:pPr>
        <w:spacing w:after="0" w:line="239" w:lineRule="exact"/>
        <w:rPr>
          <w:sz w:val="20"/>
          <w:szCs w:val="20"/>
          <w:color w:val="auto"/>
        </w:rPr>
      </w:pPr>
    </w:p>
    <w:p>
      <w:pPr>
        <w:ind w:left="1080" w:right="10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 authority or to pay any Bermuda government fees or tax which would make it liable to be struck off the Register of Companies and thereby cease to exist under the laws of Bermuda).</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Issued Shares are validly issued, fully paid and non-assessable.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our firm under the caption "Legal Matters" in the prospectus forming a part of the Registration Statement.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CONYERS DILL &amp; PEARMAN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Conyers Dill &amp; Pearman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19"/>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 5.1</w:t>
        </w:r>
      </w:hyperlink>
    </w:p>
    <w:p>
      <w:pPr>
        <w:sectPr>
          <w:pgSz w:w="11900" w:h="16838" w:orient="portrait"/>
          <w:cols w:equalWidth="0" w:num="1">
            <w:col w:w="10139"/>
          </w:cols>
          <w:pgMar w:left="320" w:top="820" w:right="1440" w:bottom="1440" w:gutter="0" w:footer="0" w:header="0"/>
        </w:sectPr>
      </w:pPr>
    </w:p>
    <w:bookmarkStart w:id="33" w:name="page34"/>
    <w:bookmarkEnd w:id="33"/>
    <w:p>
      <w:pPr>
        <w:spacing w:after="0"/>
        <w:rPr>
          <w:rFonts w:ascii="Arial" w:cs="Arial" w:eastAsia="Arial" w:hAnsi="Arial"/>
          <w:sz w:val="22"/>
          <w:szCs w:val="22"/>
          <w:color w:val="0000EE"/>
        </w:rPr>
      </w:pPr>
      <w:hyperlink w:anchor="page3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Form F-3 of our reports dated March 6, 2020 relating to the financial statements of GasLog Ltd. (the "Company") and the effectiveness of the Company's internal control over financial reporting, appearing in the Annual Report on Form 20-F of the Company for the year ended December 31, 2019. We also consent to the reference to us under the heading "Experts" in such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July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139"/>
      </w:cols>
      <w:pgMar w:left="32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upperLetter"/>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27" Type="http://schemas.openxmlformats.org/officeDocument/2006/relationships/hyperlink" Target="http://www.sec.gov/Archives/edgar/data/1534126/000104746920001264/a2240842z20-f.htm" TargetMode="External"/><Relationship Id="rId28" Type="http://schemas.openxmlformats.org/officeDocument/2006/relationships/hyperlink" Target="http://www.sec.gov/Archives/edgar/data/1534126/000110465920062031/a20-19547_26k.htm" TargetMode="External"/><Relationship Id="rId29" Type="http://schemas.openxmlformats.org/officeDocument/2006/relationships/hyperlink" Target="http://www.sec.gov/Archives/edgar/data/1534126/000110465920075500/a20-23125_16k.htm" TargetMode="External"/><Relationship Id="rId30" Type="http://schemas.openxmlformats.org/officeDocument/2006/relationships/hyperlink" Target="http://www.sec.gov/Archives/edgar/data/1534126/000110465920078018/a20-23632_16k.htm" TargetMode="External"/><Relationship Id="rId31" Type="http://schemas.openxmlformats.org/officeDocument/2006/relationships/hyperlink" Target="http://www.sec.gov/Archives/edgar/data/1534126/000093041312001706/c68993_8a12b.htm" TargetMode="External"/><Relationship Id="rId81" Type="http://schemas.openxmlformats.org/officeDocument/2006/relationships/hyperlink" Target="http://www.sec.gov/Archives/edgar/data/1534126/000093041312001544/c67840_ex3-1.htm" TargetMode="External"/><Relationship Id="rId82" Type="http://schemas.openxmlformats.org/officeDocument/2006/relationships/hyperlink" Target="http://www.sec.gov/Archives/edgar/data/1534126/000093041312001544/c67840_ex3-2.htm" TargetMode="External"/><Relationship Id="rId83" Type="http://schemas.openxmlformats.org/officeDocument/2006/relationships/hyperlink" Target="http://www.sec.gov/Archives/edgar/data/1534126/000093041312001544/c67840_ex4-1.htm" TargetMode="External"/><Relationship Id="rId84" Type="http://schemas.openxmlformats.org/officeDocument/2006/relationships/hyperlink" Target="http://www.sec.gov/Archives/edgar/data/1534126/000110465920078018/a20-23632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2020-07-10T11:27:12Z</dcterms:created>
  <dcterms:modified xsi:type="dcterms:W3CDTF">2020-07-10T11:27:12Z</dcterms:modified>
</cp:coreProperties>
</file>