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For the month of February 2022</w:t>
            </w:r>
          </w:p>
        </w:tc>
        <w:tc>
          <w:tcPr>
            <w:tcW w:w="206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2060" w:type="dxa"/>
            <w:vAlign w:val="bottom"/>
          </w:tcPr>
          <w:p>
            <w:pPr>
              <w:spacing w:after="0"/>
              <w:rPr>
                <w:sz w:val="24"/>
                <w:szCs w:val="24"/>
                <w:color w:val="auto"/>
              </w:rPr>
            </w:pPr>
          </w:p>
        </w:tc>
      </w:tr>
      <w:tr>
        <w:trPr>
          <w:trHeight w:val="418"/>
        </w:trPr>
        <w:tc>
          <w:tcPr>
            <w:tcW w:w="9180" w:type="dxa"/>
            <w:vAlign w:val="bottom"/>
          </w:tcPr>
          <w:p>
            <w:pPr>
              <w:jc w:val="center"/>
              <w:ind w:left="1970"/>
              <w:spacing w:after="0"/>
              <w:rPr>
                <w:sz w:val="20"/>
                <w:szCs w:val="20"/>
                <w:color w:val="auto"/>
              </w:rPr>
            </w:pPr>
            <w:r>
              <w:rPr>
                <w:rFonts w:ascii="Arial" w:cs="Arial" w:eastAsia="Arial" w:hAnsi="Arial"/>
                <w:sz w:val="18"/>
                <w:szCs w:val="18"/>
                <w:b w:val="1"/>
                <w:bCs w:val="1"/>
                <w:color w:val="auto"/>
                <w:w w:val="91"/>
              </w:rPr>
              <w:t>GasLog Ltd.</w:t>
            </w:r>
          </w:p>
        </w:tc>
        <w:tc>
          <w:tcPr>
            <w:tcW w:w="2060" w:type="dxa"/>
            <w:vAlign w:val="bottom"/>
          </w:tcPr>
          <w:p>
            <w:pPr>
              <w:spacing w:after="0"/>
              <w:rPr>
                <w:sz w:val="24"/>
                <w:szCs w:val="24"/>
                <w:color w:val="auto"/>
              </w:rPr>
            </w:pPr>
          </w:p>
        </w:tc>
      </w:tr>
      <w:tr>
        <w:trPr>
          <w:trHeight w:val="230"/>
        </w:trPr>
        <w:tc>
          <w:tcPr>
            <w:tcW w:w="9180" w:type="dxa"/>
            <w:vAlign w:val="bottom"/>
          </w:tcPr>
          <w:p>
            <w:pPr>
              <w:jc w:val="center"/>
              <w:ind w:left="1970"/>
              <w:spacing w:after="0"/>
              <w:rPr>
                <w:sz w:val="20"/>
                <w:szCs w:val="20"/>
                <w:color w:val="auto"/>
              </w:rPr>
            </w:pPr>
            <w:r>
              <w:rPr>
                <w:rFonts w:ascii="Arial" w:cs="Arial" w:eastAsia="Arial" w:hAnsi="Arial"/>
                <w:sz w:val="18"/>
                <w:szCs w:val="18"/>
                <w:color w:val="auto"/>
                <w:w w:val="91"/>
              </w:rPr>
              <w:t>(Translation of registrant’s name into English)</w:t>
            </w:r>
          </w:p>
        </w:tc>
        <w:tc>
          <w:tcPr>
            <w:tcW w:w="2060" w:type="dxa"/>
            <w:vAlign w:val="bottom"/>
          </w:tcPr>
          <w:p>
            <w:pPr>
              <w:spacing w:after="0"/>
              <w:rPr>
                <w:sz w:val="20"/>
                <w:szCs w:val="20"/>
                <w:color w:val="auto"/>
              </w:rPr>
            </w:pPr>
          </w:p>
        </w:tc>
      </w:tr>
      <w:tr>
        <w:trPr>
          <w:trHeight w:val="418"/>
        </w:trPr>
        <w:tc>
          <w:tcPr>
            <w:tcW w:w="9180" w:type="dxa"/>
            <w:vAlign w:val="bottom"/>
          </w:tcPr>
          <w:p>
            <w:pPr>
              <w:jc w:val="center"/>
              <w:ind w:left="1970"/>
              <w:spacing w:after="0"/>
              <w:rPr>
                <w:sz w:val="20"/>
                <w:szCs w:val="20"/>
                <w:color w:val="auto"/>
              </w:rPr>
            </w:pPr>
            <w:r>
              <w:rPr>
                <w:rFonts w:ascii="Arial" w:cs="Arial" w:eastAsia="Arial" w:hAnsi="Arial"/>
                <w:sz w:val="18"/>
                <w:szCs w:val="18"/>
                <w:color w:val="auto"/>
                <w:w w:val="92"/>
              </w:rPr>
              <w:t>c/o GasLog LNG Services Ltd.</w:t>
            </w:r>
          </w:p>
        </w:tc>
        <w:tc>
          <w:tcPr>
            <w:tcW w:w="2060" w:type="dxa"/>
            <w:vAlign w:val="bottom"/>
          </w:tcPr>
          <w:p>
            <w:pPr>
              <w:spacing w:after="0"/>
              <w:rPr>
                <w:sz w:val="24"/>
                <w:szCs w:val="24"/>
                <w:color w:val="auto"/>
              </w:rPr>
            </w:pPr>
          </w:p>
        </w:tc>
      </w:tr>
      <w:tr>
        <w:trPr>
          <w:trHeight w:val="216"/>
        </w:trPr>
        <w:tc>
          <w:tcPr>
            <w:tcW w:w="9180" w:type="dxa"/>
            <w:vAlign w:val="bottom"/>
          </w:tcPr>
          <w:p>
            <w:pPr>
              <w:jc w:val="center"/>
              <w:ind w:left="1990"/>
              <w:spacing w:after="0"/>
              <w:rPr>
                <w:sz w:val="20"/>
                <w:szCs w:val="20"/>
                <w:color w:val="auto"/>
              </w:rPr>
            </w:pPr>
            <w:r>
              <w:rPr>
                <w:rFonts w:ascii="Arial" w:cs="Arial" w:eastAsia="Arial" w:hAnsi="Arial"/>
                <w:sz w:val="18"/>
                <w:szCs w:val="18"/>
                <w:color w:val="auto"/>
                <w:w w:val="95"/>
              </w:rPr>
              <w:t>69 Akti Miaouli, 18537</w:t>
            </w:r>
          </w:p>
        </w:tc>
        <w:tc>
          <w:tcPr>
            <w:tcW w:w="2060" w:type="dxa"/>
            <w:vAlign w:val="bottom"/>
          </w:tcPr>
          <w:p>
            <w:pPr>
              <w:spacing w:after="0"/>
              <w:rPr>
                <w:sz w:val="18"/>
                <w:szCs w:val="18"/>
                <w:color w:val="auto"/>
              </w:rPr>
            </w:pPr>
          </w:p>
        </w:tc>
      </w:tr>
      <w:tr>
        <w:trPr>
          <w:trHeight w:val="216"/>
        </w:trPr>
        <w:tc>
          <w:tcPr>
            <w:tcW w:w="9180" w:type="dxa"/>
            <w:vAlign w:val="bottom"/>
          </w:tcPr>
          <w:p>
            <w:pPr>
              <w:jc w:val="center"/>
              <w:ind w:left="1970"/>
              <w:spacing w:after="0"/>
              <w:rPr>
                <w:sz w:val="20"/>
                <w:szCs w:val="20"/>
                <w:color w:val="auto"/>
              </w:rPr>
            </w:pPr>
            <w:r>
              <w:rPr>
                <w:rFonts w:ascii="Arial" w:cs="Arial" w:eastAsia="Arial" w:hAnsi="Arial"/>
                <w:sz w:val="18"/>
                <w:szCs w:val="18"/>
                <w:color w:val="auto"/>
                <w:w w:val="86"/>
              </w:rPr>
              <w:t>Piraeus, Greece</w:t>
            </w:r>
          </w:p>
        </w:tc>
        <w:tc>
          <w:tcPr>
            <w:tcW w:w="2060" w:type="dxa"/>
            <w:vAlign w:val="bottom"/>
          </w:tcPr>
          <w:p>
            <w:pPr>
              <w:spacing w:after="0"/>
              <w:rPr>
                <w:sz w:val="18"/>
                <w:szCs w:val="18"/>
                <w:color w:val="auto"/>
              </w:rPr>
            </w:pPr>
          </w:p>
        </w:tc>
      </w:tr>
      <w:tr>
        <w:trPr>
          <w:trHeight w:val="230"/>
        </w:trPr>
        <w:tc>
          <w:tcPr>
            <w:tcW w:w="9180" w:type="dxa"/>
            <w:vAlign w:val="bottom"/>
          </w:tcPr>
          <w:p>
            <w:pPr>
              <w:jc w:val="center"/>
              <w:ind w:left="1990"/>
              <w:spacing w:after="0"/>
              <w:rPr>
                <w:sz w:val="20"/>
                <w:szCs w:val="20"/>
                <w:color w:val="auto"/>
              </w:rPr>
            </w:pPr>
            <w:r>
              <w:rPr>
                <w:rFonts w:ascii="Arial" w:cs="Arial" w:eastAsia="Arial" w:hAnsi="Arial"/>
                <w:sz w:val="18"/>
                <w:szCs w:val="18"/>
                <w:color w:val="auto"/>
                <w:w w:val="92"/>
              </w:rPr>
              <w:t>(Address of principal executive office)</w:t>
            </w:r>
          </w:p>
        </w:tc>
        <w:tc>
          <w:tcPr>
            <w:tcW w:w="206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060" w:type="dxa"/>
            <w:vAlign w:val="bottom"/>
          </w:tcPr>
          <w:p>
            <w:pPr>
              <w:spacing w:after="0"/>
              <w:rPr>
                <w:sz w:val="24"/>
                <w:szCs w:val="24"/>
                <w:color w:val="auto"/>
              </w:rPr>
            </w:pPr>
          </w:p>
        </w:tc>
      </w:tr>
      <w:tr>
        <w:trPr>
          <w:trHeight w:val="452"/>
        </w:trPr>
        <w:tc>
          <w:tcPr>
            <w:tcW w:w="91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tc>
        <w:tc>
          <w:tcPr>
            <w:tcW w:w="2060" w:type="dxa"/>
            <w:vAlign w:val="bottom"/>
          </w:tcPr>
          <w:p>
            <w:pPr>
              <w:spacing w:after="0"/>
              <w:rPr>
                <w:sz w:val="24"/>
                <w:szCs w:val="24"/>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9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1" w:name="page2"/>
    <w:bookmarkEnd w:id="1"/>
    <w:p>
      <w:pPr>
        <w:ind w:firstLine="376"/>
        <w:spacing w:after="0" w:line="277" w:lineRule="auto"/>
        <w:rPr>
          <w:sz w:val="20"/>
          <w:szCs w:val="20"/>
          <w:color w:val="auto"/>
        </w:rPr>
      </w:pPr>
      <w:r>
        <w:rPr>
          <w:rFonts w:ascii="Arial" w:cs="Arial" w:eastAsia="Arial" w:hAnsi="Arial"/>
          <w:sz w:val="18"/>
          <w:szCs w:val="18"/>
          <w:color w:val="auto"/>
        </w:rPr>
        <w:t>The press release issued by GasLog Ltd. on February 24, 2022, relating to its results for the three-month period ended December 31, 2021, is attached hereto as Exhibit 99.1.</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February 24,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35" w:right="39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98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3128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Paul Wogan</w:t>
      </w:r>
    </w:p>
    <w:p>
      <w:pPr>
        <w:spacing w:after="0" w:line="23" w:lineRule="exact"/>
        <w:rPr>
          <w:sz w:val="20"/>
          <w:szCs w:val="20"/>
          <w:color w:val="auto"/>
        </w:rPr>
      </w:pPr>
    </w:p>
    <w:p>
      <w:pPr>
        <w:ind w:left="632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908"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Reports Financial Results for the Three-Month Period Ended December 31, 2021</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Hamilton, Bermuda, February 24, 2022, GasLog Ltd. and its subsidiaries (“GasLog”, “Group” or “Company”) (NYSE: GLOG-PA)</w:t>
      </w:r>
      <w:r>
        <w:rPr>
          <w:rFonts w:ascii="Arial" w:cs="Arial" w:eastAsia="Arial" w:hAnsi="Arial"/>
          <w:sz w:val="18"/>
          <w:szCs w:val="18"/>
          <w:color w:val="auto"/>
        </w:rPr>
        <w:t>, 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owner, operator and manager of liquefied natural gas (“LNG”) carriers, today reported its financial results for the quarter ended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Gastrade S.A. (“Gastrade”) Final Investment Decision (“FID”)</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January 28, 2022, the shareholders of Gastrade, a private limited company licensed to develop an independent natural gas system, in which GasLog owns a 20% shareholding, took the FID for the construction of a regasification terminal in Alexandroupolis. The FID is the last and most important milestone before the project enters the construction phase. The Floating Storage and Regasification Unit (“FSRU”) will be connected to the National Natural Gas Transmission System of Greece with a 28.0 km long pipeline, through which the gasified LNG will be transmitted to the markets of Greece, Bulgaria and the wider region. The terminal is expected to be operational by the end of 2023, with the contracted regasification capacity already reaching up to 50% of its technical capacity of 5.5 billion square meters per year.</w:t>
      </w:r>
    </w:p>
    <w:p>
      <w:pPr>
        <w:spacing w:after="0" w:line="19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To facilitate the reception, storage and regasification of LNG, on February 2, 2022, GasLog agreed to the sale of the </w:t>
      </w:r>
      <w:r>
        <w:rPr>
          <w:rFonts w:ascii="Arial" w:cs="Arial" w:eastAsia="Arial" w:hAnsi="Arial"/>
          <w:sz w:val="18"/>
          <w:szCs w:val="18"/>
          <w:i w:val="1"/>
          <w:iCs w:val="1"/>
          <w:color w:val="auto"/>
        </w:rPr>
        <w:t>GasLog Chelsea</w:t>
      </w:r>
      <w:r>
        <w:rPr>
          <w:rFonts w:ascii="Arial" w:cs="Arial" w:eastAsia="Arial" w:hAnsi="Arial"/>
          <w:sz w:val="18"/>
          <w:szCs w:val="18"/>
          <w:color w:val="auto"/>
        </w:rPr>
        <w:t>, a 153,600 cubic meter (“cbm”) tri-fuel diesel electric propulsion (“TFDE”) LNG carrier built in 2013, to Gastrade following its conversion to an FSRU. In connection therewith, on January 28, 2022, GasLog issued to Keppel Shipyard Ltd. a Final Notice to Proceed with the conversion. The conversion is expected to be completed by the fourth quarter of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and Lease-Back Arrangements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On January 26, 2022, GasLog signed a Heads of Agreement with a wholly-owned subsidiary of China Development Bank Leasing (“CDBL”) for the sale and lease-back of the </w:t>
      </w:r>
      <w:r>
        <w:rPr>
          <w:rFonts w:ascii="Arial" w:cs="Arial" w:eastAsia="Arial" w:hAnsi="Arial"/>
          <w:sz w:val="18"/>
          <w:szCs w:val="18"/>
          <w:i w:val="1"/>
          <w:iCs w:val="1"/>
          <w:color w:val="auto"/>
        </w:rPr>
        <w:t>GasLog Skagen</w:t>
      </w:r>
      <w:r>
        <w:rPr>
          <w:rFonts w:ascii="Arial" w:cs="Arial" w:eastAsia="Arial" w:hAnsi="Arial"/>
          <w:sz w:val="18"/>
          <w:szCs w:val="18"/>
          <w:color w:val="auto"/>
        </w:rPr>
        <w:t>, a 155,000 cbm TFDE LNG carrier built in 2013. The vessel will be sold and leased back under a bareboat charter with CDBL for a period of five years with no repurchase option or obligation. This transaction will be completed in the first quarter of 2022 and is expected to release $21.4 million of incremental net liquidity (net sale proceeds less debt prepayment) to the Group, while the vessel remains on its charter with Chevron Asia Pacific Shipping Pte. Ltd. (“Chevron”).</w:t>
      </w:r>
    </w:p>
    <w:p>
      <w:pPr>
        <w:spacing w:after="0" w:line="188"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 xml:space="preserve">On October 26, 2021, GasLog Partners LP (“GasLog Partners” or the “Partnership”) and GasLog completed the sale and lease-back of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Shanghai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GasLog Salem</w:t>
      </w:r>
      <w:r>
        <w:rPr>
          <w:rFonts w:ascii="Arial" w:cs="Arial" w:eastAsia="Arial" w:hAnsi="Arial"/>
          <w:sz w:val="16"/>
          <w:szCs w:val="16"/>
          <w:color w:val="auto"/>
        </w:rPr>
        <w:t>, two 155,000 cbm TFDE LNG carriers, built in 2013 and 2015, respectively, with a wholly-owned subsidiary of CDBL,</w:t>
      </w:r>
      <w:r>
        <w:rPr>
          <w:rFonts w:ascii="Arial" w:cs="Arial" w:eastAsia="Arial" w:hAnsi="Arial"/>
          <w:sz w:val="16"/>
          <w:szCs w:val="16"/>
          <w:i w:val="1"/>
          <w:iCs w:val="1"/>
          <w:color w:val="auto"/>
        </w:rPr>
        <w:t xml:space="preserve"> </w:t>
      </w:r>
      <w:r>
        <w:rPr>
          <w:rFonts w:ascii="Arial" w:cs="Arial" w:eastAsia="Arial" w:hAnsi="Arial"/>
          <w:sz w:val="16"/>
          <w:szCs w:val="16"/>
          <w:color w:val="auto"/>
        </w:rPr>
        <w:t>releasing $42.8 million of incremental net liquidity (net sale proceeds less debt prepayment) to the Group. The vessels were sold and leased back under bareboat charters with CDBL for a period of five years with no repurchase option or obligation, resulting in the recognition of a total loss on disposal of $1.1 million. The vessels remain on their charters with a wholly owned subsidiary of Gunvor Group Ltd. (“Gunvor”).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Newbuilding Orders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November 30, 2021, GasLog entered into four shipbuilding contracts with Daewoo Shipbuilding and Marine Engineering Co., Ltd. (“Daewoo”) for the construction of four 174,000 cbm LNG carriers with the latest generation MEGI propulsion that are scheduled to be delivered in 2024 and 2025. Post quarter end, on February 2, 2022, GasLog entered into a time charter party agreement with Mitsui &amp; Co., Ltd. (“Mitsui”), to charter one of the newbuildings for a period of nine years, commencing in the fourth quarter of 2024. In addition, on February 8, 2022, GasLog entered into two time charter agreements with a major LNG producer to charter two of the newbuildings for a period of ten years each, commencing upon delivery of each vessel from the shipyard in the third and fourth quarter of 2025.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Impairment Loss</w:t>
      </w:r>
    </w:p>
    <w:p>
      <w:pPr>
        <w:spacing w:after="0" w:line="22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In the quarter ended December 31, 2021, the Group recognized an aggregate non-cash impairment loss of $125.8 million with respect to five Steam turbine propulsion (“Steam”) vessels owned by the Partnership and one Steam vessel owned by GasLog, in accordance with International Financial Reporting Standards (“IFRS”), as compared to an aggregate impairment loss of $6.2 million for the same period in 2020. The principal factors that led to the recognition of a non-cash impairment loss in the fourth quarter of 2021 included the differences of the ship broker estimates of our Steam vessels’ fair market values compared to their carrying values, as well as reduced expectations of the long-term rates for these older technology vessels. In addition, in the quarter ended December 31, 2021, GasLog recognized a non-cash impairment loss of $11.0 million with respect to some of the historical FSRU conversion costs from which future economic benefits are no longer expected to flow to the Group.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Charter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 the first quarter of 2022, GasLog extended the time charter of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with Gunvor for an additional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Chief Executive Officer Transition</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Paul Wogan, Chief Executive Officer (“CEO”) of GasLog, has informed the board of directors of GasLog (the “Board”) that he intends to retire from his role as CEO effective March 9, 2022. He will remain in an advisory role through the second quarter of 2022 in order to ensure a smooth transition. The Board is pleased to appoint Paolo Enoizi, currently Chief Operating Officer ("COO") of the Company as well as CEO of GasLog Partners, as CEO of GasLog, effective March 10,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Declarations</w:t>
      </w:r>
    </w:p>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On November 15, 2021, the board of directors declared a dividend on the Series A Preference Shares of $0.546875 per share, or $2.5 million in the aggregate, payable on January 1, 2022, to holders of record as of December 31, 2021. GasLog paid the declared dividend to the transfer agent on December 31, 2021.</w:t>
      </w:r>
    </w:p>
    <w:p>
      <w:pPr>
        <w:spacing w:after="0" w:line="184"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On November 15, 2021, the board of directors declared a quarterly cash dividend of $0.15 per common share, or $14.3 million in the aggregate, paid on November 18, 2021, to shareholders of record as of November 17, 2021. On the same date, the board of directors declared a quarterly cash dividend of $0.10 per common share, or $9.5 million in the aggregate, payable on February 28, 2022, to shareholders of record as of February 25,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r>
              <w:rPr>
                <w:rFonts w:ascii="Arial" w:cs="Arial" w:eastAsia="Arial" w:hAnsi="Arial"/>
                <w:sz w:val="18"/>
                <w:szCs w:val="18"/>
                <w:b w:val="1"/>
                <w:bCs w:val="1"/>
                <w:color w:val="auto"/>
              </w:rPr>
              <w:t>Financial Summary</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420" w:type="dxa"/>
            <w:vAlign w:val="bottom"/>
          </w:tcPr>
          <w:p>
            <w:pPr>
              <w:spacing w:after="0"/>
              <w:rPr>
                <w:sz w:val="20"/>
                <w:szCs w:val="20"/>
                <w:color w:val="auto"/>
              </w:rPr>
            </w:pPr>
            <w:r>
              <w:rPr>
                <w:rFonts w:ascii="Arial" w:cs="Arial" w:eastAsia="Arial" w:hAnsi="Arial"/>
                <w:sz w:val="18"/>
                <w:szCs w:val="18"/>
                <w:b w:val="1"/>
                <w:bCs w:val="1"/>
                <w:i w:val="1"/>
                <w:iCs w:val="1"/>
                <w:color w:val="auto"/>
              </w:rPr>
              <w:t>Amounts in thousands of U.S. dollars except per share data</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6"/>
              </w:rPr>
              <w:t>For the three months ended</w:t>
            </w:r>
          </w:p>
        </w:tc>
      </w:tr>
      <w:tr>
        <w:trPr>
          <w:trHeight w:val="216"/>
        </w:trPr>
        <w:tc>
          <w:tcPr>
            <w:tcW w:w="6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64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223,078</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Profit/(loss) for the period</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45,948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(59,981)</w:t>
            </w:r>
          </w:p>
        </w:tc>
      </w:tr>
      <w:tr>
        <w:trPr>
          <w:trHeight w:val="257"/>
        </w:trPr>
        <w:tc>
          <w:tcPr>
            <w:tcW w:w="64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164,896</w:t>
            </w:r>
          </w:p>
        </w:tc>
      </w:tr>
      <w:tr>
        <w:trPr>
          <w:trHeight w:val="390"/>
        </w:trPr>
        <w:tc>
          <w:tcPr>
            <w:tcW w:w="6420" w:type="dxa"/>
            <w:vAlign w:val="bottom"/>
          </w:tcPr>
          <w:p>
            <w:pPr>
              <w:spacing w:after="0"/>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1</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47,236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63,344</w:t>
            </w:r>
          </w:p>
        </w:tc>
      </w:tr>
    </w:tbl>
    <w:p>
      <w:pPr>
        <w:spacing w:after="0" w:line="68" w:lineRule="exact"/>
        <w:rPr>
          <w:sz w:val="20"/>
          <w:szCs w:val="20"/>
          <w:color w:val="auto"/>
        </w:rPr>
      </w:pPr>
    </w:p>
    <w:p>
      <w:pPr>
        <w:jc w:val="both"/>
        <w:ind w:left="340" w:hanging="332"/>
        <w:spacing w:after="0" w:line="219" w:lineRule="auto"/>
        <w:tabs>
          <w:tab w:leader="none" w:pos="340" w:val="left"/>
        </w:tabs>
        <w:numPr>
          <w:ilvl w:val="0"/>
          <w:numId w:val="1"/>
        </w:numPr>
        <w:rPr>
          <w:rFonts w:ascii="Arial" w:cs="Arial" w:eastAsia="Arial" w:hAnsi="Arial"/>
          <w:sz w:val="29"/>
          <w:szCs w:val="29"/>
          <w:color w:val="auto"/>
          <w:vertAlign w:val="superscript"/>
        </w:rPr>
      </w:pPr>
      <w:r>
        <w:rPr>
          <w:rFonts w:ascii="Arial" w:cs="Arial" w:eastAsia="Arial" w:hAnsi="Arial"/>
          <w:sz w:val="17"/>
          <w:szCs w:val="17"/>
          <w:color w:val="auto"/>
        </w:rPr>
        <w:t>Adjusted EBITDA and Adjusted Profit are non-GAAP financial measures and should not be used in isolation or as substitutes for GasLog’s financial results presented in accordance with IFRS. For the definitions and reconciliations of these measures to the most directly comparable financial measures calculated and presented in accordance with IFRS, please refer to Exhibit II at the end of this press release.</w:t>
      </w:r>
    </w:p>
    <w:p>
      <w:pPr>
        <w:spacing w:after="0" w:line="203"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There were 3,220 available days for the quarter ended December 31, 2021, as compared to 2,847 available days for the quarter ended December 31, 2020. Available days represent total calendar days in the period after deducting off-hire days where vessels are undergoing dry-dockings and unavailable days (i.e. days before and after a dry-docking where the vessel has limited practical ability for chartering opportunities). The increase in available days was mainly driven by the deliveries of the GasLog wholly owned vessels, the </w:t>
      </w:r>
      <w:r>
        <w:rPr>
          <w:rFonts w:ascii="Arial" w:cs="Arial" w:eastAsia="Arial" w:hAnsi="Arial"/>
          <w:sz w:val="16"/>
          <w:szCs w:val="16"/>
          <w:i w:val="1"/>
          <w:iCs w:val="1"/>
          <w:color w:val="auto"/>
        </w:rPr>
        <w:t>GasLog Georgetown,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Galveston,</w:t>
      </w:r>
      <w:r>
        <w:rPr>
          <w:rFonts w:ascii="Arial" w:cs="Arial" w:eastAsia="Arial" w:hAnsi="Arial"/>
          <w:sz w:val="16"/>
          <w:szCs w:val="16"/>
          <w:color w:val="auto"/>
        </w:rPr>
        <w:t xml:space="preserve"> the </w:t>
      </w:r>
      <w:r>
        <w:rPr>
          <w:rFonts w:ascii="Arial" w:cs="Arial" w:eastAsia="Arial" w:hAnsi="Arial"/>
          <w:sz w:val="16"/>
          <w:szCs w:val="16"/>
          <w:i w:val="1"/>
          <w:iCs w:val="1"/>
          <w:color w:val="auto"/>
        </w:rPr>
        <w:t>GasLog Wellington</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 xml:space="preserve">GasLog Winchester </w:t>
      </w:r>
      <w:r>
        <w:rPr>
          <w:rFonts w:ascii="Arial" w:cs="Arial" w:eastAsia="Arial" w:hAnsi="Arial"/>
          <w:sz w:val="16"/>
          <w:szCs w:val="16"/>
          <w:color w:val="auto"/>
        </w:rPr>
        <w:t>on November 16, 2020, January 4, 2021, June 15, 2021 and August 24, 2021, respectively, the increased utilization of the vessels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in the spot market and the decrease in off-hire days for scheduled dry-dockings (45 dry-docking off-hire days in the three-month period ended December 31, 2020 compared to nil dry-docking off-hire days in the three-month period ended December 31, 2021).</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Revenues were $223.1 million for the quarter ended December 31, 2021 ($192.6 million for the quarter ended December 31, 2020). The increase in revenues is mainly attributable to an increase of $22.5 million due to the aforementioned deliveries of the GasLog wholly-owned vessels and to an increase of $7.9 million from the improved performance of our spot fleet in the fourth quarter of 2021, in line with the ongoing improvement of the LNG shipping market observed in 2021.</w:t>
      </w:r>
    </w:p>
    <w:p>
      <w:pPr>
        <w:spacing w:after="0" w:line="18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Loss for the period was $60.0 million for the quarter ended December 31, 2021 (profit of $45.9 million for the quarter ended December 31, 2020). The decrease in Profit is mainly attributable to the decrease in profit from operations, which is mainly affected by the increase in impairment loss recognized, the increased depreciation due to the increased fleet from the newbuilding deliveries, partially offset by the increase in revenues, as discussed above. The decrease in profit from operations is partially offset by an increase in gain on derivatives, mainly due to the increase in the mark-to-market valuation of derivatives held for trading which were carried at fair value through profit or loss.</w:t>
      </w:r>
    </w:p>
    <w:p>
      <w:pPr>
        <w:spacing w:after="0" w:line="17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Adjusted EBITDA was $164.9 million for the quarter ended December 31, 2021 ($138.3 million for the quarter ended December 31, 2020). The increase in Adjusted EBITDA is mainly attributable to the increase in revenues of $30.5 million, as discussed above and a decrease of $2.5 million in general and administrative expenses – adjusted for the effects of the restructuring costs, the foreign exchange gains, net and the costs relating to the transaction with BlackRock’s Global Energy &amp; Power Infrastructure team (the “Transaction”) (such costs, the “Transaction Costs”) - due to decreased foreign exchange losses from the favorable movement of the Euro (“EUR”)/U.S. dollar (“USD”) exchange rate in the fourth quarter of 2021 and reduced employee and legal costs. The above variances were partially offset by an increase of $3.2 million in vessel operating expenses mainly due to the increased fleet from the newbuilding deliveries, which was partially offset by a decrease in technical maintenance expenses primarily in connection with increased maintenance needs of the fleet in the fourth quarter of 2020 compared to the same period in 2021.</w:t>
      </w:r>
    </w:p>
    <w:p>
      <w:pPr>
        <w:spacing w:after="0" w:line="178"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 xml:space="preserve">Adjusted Profit was $63.3 million for the quarter ended December 31, 2021 ($47.2 million for the quarter ended December 31, 2020). The increase in Adjusted Profit is mainly attributable to the decrease in Profit for the period as discussed above, adjusted for the effects of the impairment loss recognized in 2021, the write-off of unamortized loan fees as a result of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Salem</w:t>
      </w:r>
      <w:r>
        <w:rPr>
          <w:rFonts w:ascii="Arial" w:cs="Arial" w:eastAsia="Arial" w:hAnsi="Arial"/>
          <w:sz w:val="17"/>
          <w:szCs w:val="17"/>
          <w:color w:val="auto"/>
        </w:rPr>
        <w:t xml:space="preserve"> debt prepayments pursuant to the sale and leaseback transactions completed in October 2021, the restructuring costs, the non-cash gain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the foreign exchange gains, net, the net unrealized foreign exchange gains on cash and bonds, the Transaction Costs and the impairment loss.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2021, GasLog had $282.2 million of cash and cash equivalents.</w:t>
      </w:r>
    </w:p>
    <w:p>
      <w:pPr>
        <w:spacing w:after="0" w:line="225"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 xml:space="preserve">As of December 31, 2021, GasLog had an aggregate of $3.7 billion of indebtedness outstanding under its credit facilities and bond agreements, of which $553.2 million is repayable within one year ($315.0 million of which relates to the 8.875% Senior Notes), and $302.9 million of lease liabilities mainly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of which $30.9 million is payable within one year. GasLog has hedged 43.7% of its expected floating interest rate exposure on its outstanding debt (excluding the lease liabilities and the 8.875% Senior Notes) as of December 31, 2021.</w:t>
      </w:r>
    </w:p>
    <w:p>
      <w:pPr>
        <w:spacing w:after="0" w:line="18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As of December 31, 2021, GasLog’s current assets totaled $325.6 million, while current liabilities totaled $779.1 million, resulting in a negative working capital position of $453.5 million. Current liabilities include $315.0 million relating to the 8.875% Senior Notes, that mature on March 22, 2022 and which we have successfully refinanced with the Note Purchase Agreement with certain affiliates of the Carlyle Group and EIG, and Wilmington Trust (London) as administrative agent, for an amount of up to $325.0 million of 7.75% Notes due in 2029 (the “Refinancing”) entered into on September 24, 2021, and $69.8 million of unearned revenue in relation to hires received in advance of December 31, 2021 (which represents a non-cash liability that will be recognized as revenue in January 2022 as the services are rendered).</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for at least twelve months from the date of this report will be available cash, cash from operations and existing borrowings and the Refinancing of the 8.875% Senior Notes we concluded in September 2021.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GasLog Partners Preference Unit Repurchase Programme</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March 2021, GasLog Partners established a preference unit repurchase programme (the “Repurchase Programme”), which authorized the repurchase of preference units through March 31, 2023. In the three months ended December 31, 2021, GasLog Partners repurchased and cancelled a total of 130,093 8.200% Series B Cumulative Redeemable Perpetual Fixed to Floating Rate Preference Units (the “Series B Preference Units”) and 114,548 8.500% Cumulative Redeemable Perpetual Fixed to Floating Rate Series C Preference Units (the “Series C Preference Units”) under the Repurchase Programme for an aggregate amount of $6.0 million, including commissions.</w:t>
      </w:r>
    </w:p>
    <w:p>
      <w:pPr>
        <w:spacing w:after="0" w:line="18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the year ended December 31, 2021, and since inception of the Repurchase Programme, GasLog Partners has repurchased and cancelled an aggregate of 464,429 Series B Preference Units and 269,549 Series C Preference Units at a weighted average price of $25.00 per preference unit for both Series. The total amount paid during the period for repurchases of preference units was $18.4 million, including commissions.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Fleet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24, 2022, our wholly owned fleet consisted of the following vessels: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Year</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Charterer (for</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9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Vessel Name</w:t>
            </w:r>
          </w:p>
        </w:tc>
        <w:tc>
          <w:tcPr>
            <w:tcW w:w="10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Cbm</w:t>
            </w:r>
          </w:p>
        </w:tc>
        <w:tc>
          <w:tcPr>
            <w:tcW w:w="200" w:type="dxa"/>
            <w:vAlign w:val="bottom"/>
            <w:vMerge w:val="restart"/>
          </w:tcPr>
          <w:p>
            <w:pPr>
              <w:spacing w:after="0"/>
              <w:rPr>
                <w:sz w:val="12"/>
                <w:szCs w:val="12"/>
                <w:color w:val="auto"/>
              </w:rPr>
            </w:pPr>
          </w:p>
        </w:tc>
        <w:tc>
          <w:tcPr>
            <w:tcW w:w="17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1"/>
              </w:rPr>
              <w:t>contracts of more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Propulsion</w:t>
            </w:r>
          </w:p>
        </w:tc>
        <w:tc>
          <w:tcPr>
            <w:tcW w:w="100" w:type="dxa"/>
            <w:vAlign w:val="bottom"/>
            <w:vMerge w:val="restart"/>
          </w:tcPr>
          <w:p>
            <w:pPr>
              <w:spacing w:after="0"/>
              <w:rPr>
                <w:sz w:val="12"/>
                <w:szCs w:val="12"/>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Charter Expiration</w:t>
            </w:r>
            <w:r>
              <w:rPr>
                <w:rFonts w:ascii="Arial" w:cs="Arial" w:eastAsia="Arial" w:hAnsi="Arial"/>
                <w:sz w:val="23"/>
                <w:szCs w:val="23"/>
                <w:b w:val="1"/>
                <w:bCs w:val="1"/>
                <w:color w:val="auto"/>
                <w:vertAlign w:val="superscript"/>
              </w:rPr>
              <w:t>(1)</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20" w:type="dxa"/>
            <w:vAlign w:val="bottom"/>
          </w:tcPr>
          <w:p>
            <w:pPr>
              <w:jc w:val="right"/>
              <w:ind w:right="428"/>
              <w:spacing w:after="0"/>
              <w:rPr>
                <w:sz w:val="20"/>
                <w:szCs w:val="20"/>
                <w:color w:val="auto"/>
              </w:rPr>
            </w:pPr>
            <w:r>
              <w:rPr>
                <w:rFonts w:ascii="Arial" w:cs="Arial" w:eastAsia="Arial" w:hAnsi="Arial"/>
                <w:sz w:val="14"/>
                <w:szCs w:val="14"/>
                <w:b w:val="1"/>
                <w:bCs w:val="1"/>
                <w:color w:val="auto"/>
              </w:rPr>
              <w:t>Built</w:t>
            </w:r>
          </w:p>
        </w:tc>
        <w:tc>
          <w:tcPr>
            <w:tcW w:w="2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than six months)</w:t>
            </w:r>
          </w:p>
        </w:tc>
        <w:tc>
          <w:tcPr>
            <w:tcW w:w="1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60" w:type="dxa"/>
            <w:vAlign w:val="bottom"/>
            <w:gridSpan w:val="2"/>
          </w:tcPr>
          <w:p>
            <w:pPr>
              <w:ind w:left="280"/>
              <w:spacing w:after="0" w:line="176" w:lineRule="exact"/>
              <w:rPr>
                <w:sz w:val="20"/>
                <w:szCs w:val="20"/>
                <w:color w:val="auto"/>
              </w:rPr>
            </w:pPr>
            <w:r>
              <w:rPr>
                <w:rFonts w:ascii="Arial" w:cs="Arial" w:eastAsia="Arial" w:hAnsi="Arial"/>
                <w:sz w:val="13"/>
                <w:szCs w:val="13"/>
                <w:b w:val="1"/>
                <w:bCs w:val="1"/>
                <w:color w:val="auto"/>
              </w:rPr>
              <w:t>Period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83"/>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1</w:t>
            </w:r>
          </w:p>
        </w:tc>
        <w:tc>
          <w:tcPr>
            <w:tcW w:w="1980" w:type="dxa"/>
            <w:vAlign w:val="bottom"/>
            <w:tcBorders>
              <w:top w:val="single" w:sz="8" w:color="auto"/>
            </w:tcBorders>
            <w:shd w:val="clear" w:color="auto" w:fill="CCEEFF"/>
          </w:tcPr>
          <w:p>
            <w:pPr>
              <w:ind w:left="200"/>
              <w:spacing w:after="0" w:line="183" w:lineRule="exact"/>
              <w:rPr>
                <w:sz w:val="20"/>
                <w:szCs w:val="20"/>
                <w:color w:val="auto"/>
              </w:rPr>
            </w:pPr>
            <w:r>
              <w:rPr>
                <w:rFonts w:ascii="Arial" w:cs="Arial" w:eastAsia="Arial" w:hAnsi="Arial"/>
                <w:sz w:val="13"/>
                <w:szCs w:val="13"/>
                <w:i w:val="1"/>
                <w:iCs w:val="1"/>
                <w:color w:val="auto"/>
              </w:rPr>
              <w:t xml:space="preserve">GasLog Chelsea </w:t>
            </w:r>
            <w:r>
              <w:rPr>
                <w:rFonts w:ascii="Arial" w:cs="Arial" w:eastAsia="Arial" w:hAnsi="Arial"/>
                <w:sz w:val="21"/>
                <w:szCs w:val="21"/>
                <w:i w:val="1"/>
                <w:iCs w:val="1"/>
                <w:color w:val="auto"/>
                <w:vertAlign w:val="superscript"/>
              </w:rPr>
              <w:t>(3)</w:t>
            </w: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2010</w:t>
            </w: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153,600</w:t>
            </w:r>
          </w:p>
        </w:tc>
        <w:tc>
          <w:tcPr>
            <w:tcW w:w="2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Spot Market</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TFDE</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center"/>
              <w:ind w:left="48"/>
              <w:spacing w:after="0"/>
              <w:rPr>
                <w:sz w:val="20"/>
                <w:szCs w:val="20"/>
                <w:color w:val="auto"/>
              </w:rPr>
            </w:pPr>
            <w:r>
              <w:rPr>
                <w:rFonts w:ascii="Arial" w:cs="Arial" w:eastAsia="Arial" w:hAnsi="Arial"/>
                <w:sz w:val="14"/>
                <w:szCs w:val="14"/>
                <w:color w:val="auto"/>
                <w:w w:val="99"/>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ind w:left="31"/>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20"/>
                <w:szCs w:val="20"/>
                <w:color w:val="auto"/>
              </w:rPr>
            </w:pPr>
            <w:r>
              <w:rPr>
                <w:rFonts w:ascii="Arial" w:cs="Arial" w:eastAsia="Arial" w:hAnsi="Arial"/>
                <w:sz w:val="14"/>
                <w:szCs w:val="14"/>
                <w:b w:val="1"/>
                <w:bCs w:val="1"/>
                <w:color w:val="auto"/>
              </w:rPr>
              <w:t>2</w:t>
            </w:r>
          </w:p>
        </w:tc>
        <w:tc>
          <w:tcPr>
            <w:tcW w:w="2080" w:type="dxa"/>
            <w:vAlign w:val="bottom"/>
            <w:gridSpan w:val="2"/>
          </w:tcPr>
          <w:p>
            <w:pPr>
              <w:ind w:left="200"/>
              <w:spacing w:after="0"/>
              <w:rPr>
                <w:sz w:val="20"/>
                <w:szCs w:val="20"/>
                <w:color w:val="auto"/>
              </w:rPr>
            </w:pPr>
            <w:r>
              <w:rPr>
                <w:rFonts w:ascii="Arial" w:cs="Arial" w:eastAsia="Arial" w:hAnsi="Arial"/>
                <w:sz w:val="14"/>
                <w:szCs w:val="14"/>
                <w:i w:val="1"/>
                <w:iCs w:val="1"/>
                <w:color w:val="auto"/>
              </w:rPr>
              <w:t>GasLog Savannah</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6"/>
                <w:szCs w:val="16"/>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155,000</w:t>
            </w:r>
          </w:p>
        </w:tc>
        <w:tc>
          <w:tcPr>
            <w:tcW w:w="200" w:type="dxa"/>
            <w:vAlign w:val="bottom"/>
          </w:tcPr>
          <w:p>
            <w:pPr>
              <w:spacing w:after="0"/>
              <w:rPr>
                <w:sz w:val="16"/>
                <w:szCs w:val="16"/>
                <w:color w:val="auto"/>
              </w:rPr>
            </w:pPr>
          </w:p>
        </w:tc>
        <w:tc>
          <w:tcPr>
            <w:tcW w:w="1780" w:type="dxa"/>
            <w:vAlign w:val="bottom"/>
            <w:gridSpan w:val="2"/>
          </w:tcPr>
          <w:p>
            <w:pPr>
              <w:jc w:val="center"/>
              <w:ind w:right="80"/>
              <w:spacing w:after="0" w:line="189" w:lineRule="exact"/>
              <w:rPr>
                <w:sz w:val="20"/>
                <w:szCs w:val="20"/>
                <w:color w:val="auto"/>
              </w:rPr>
            </w:pPr>
            <w:r>
              <w:rPr>
                <w:rFonts w:ascii="Arial" w:cs="Arial" w:eastAsia="Arial" w:hAnsi="Arial"/>
                <w:sz w:val="13"/>
                <w:szCs w:val="13"/>
                <w:color w:val="auto"/>
                <w:w w:val="96"/>
              </w:rPr>
              <w:t xml:space="preserve">Eni </w:t>
            </w:r>
            <w:r>
              <w:rPr>
                <w:rFonts w:ascii="Arial" w:cs="Arial" w:eastAsia="Arial" w:hAnsi="Arial"/>
                <w:sz w:val="21"/>
                <w:szCs w:val="21"/>
                <w:color w:val="auto"/>
                <w:w w:val="96"/>
                <w:vertAlign w:val="superscript"/>
              </w:rPr>
              <w:t>(4)</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TFDE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April 2022</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w:t>
            </w:r>
          </w:p>
        </w:tc>
        <w:tc>
          <w:tcPr>
            <w:tcW w:w="208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3"/>
                <w:szCs w:val="13"/>
                <w:i w:val="1"/>
                <w:iCs w:val="1"/>
                <w:color w:val="auto"/>
              </w:rPr>
              <w:t xml:space="preserve">GasLog Singapore </w:t>
            </w:r>
            <w:r>
              <w:rPr>
                <w:rFonts w:ascii="Arial" w:cs="Arial" w:eastAsia="Arial" w:hAnsi="Arial"/>
                <w:sz w:val="21"/>
                <w:szCs w:val="21"/>
                <w:i w:val="1"/>
                <w:iCs w:val="1"/>
                <w:color w:val="auto"/>
                <w:vertAlign w:val="superscript"/>
              </w:rPr>
              <w:t>(5)</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2010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155,000</w:t>
            </w:r>
          </w:p>
        </w:tc>
        <w:tc>
          <w:tcPr>
            <w:tcW w:w="2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3"/>
                <w:szCs w:val="13"/>
                <w:color w:val="auto"/>
                <w:w w:val="93"/>
              </w:rPr>
              <w:t xml:space="preserve">RWE </w:t>
            </w:r>
            <w:r>
              <w:rPr>
                <w:rFonts w:ascii="Arial" w:cs="Arial" w:eastAsia="Arial" w:hAnsi="Arial"/>
                <w:sz w:val="21"/>
                <w:szCs w:val="21"/>
                <w:color w:val="auto"/>
                <w:w w:val="93"/>
                <w:vertAlign w:val="superscript"/>
              </w:rPr>
              <w:t>(5)</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TFDE</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April 2022</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20"/>
                <w:szCs w:val="20"/>
                <w:color w:val="auto"/>
              </w:rPr>
            </w:pPr>
            <w:r>
              <w:rPr>
                <w:rFonts w:ascii="Arial" w:cs="Arial" w:eastAsia="Arial" w:hAnsi="Arial"/>
                <w:sz w:val="14"/>
                <w:szCs w:val="14"/>
                <w:b w:val="1"/>
                <w:bCs w:val="1"/>
                <w:color w:val="auto"/>
              </w:rPr>
              <w:t>4</w:t>
            </w:r>
          </w:p>
        </w:tc>
        <w:tc>
          <w:tcPr>
            <w:tcW w:w="2080" w:type="dxa"/>
            <w:vAlign w:val="bottom"/>
            <w:gridSpan w:val="2"/>
          </w:tcPr>
          <w:p>
            <w:pPr>
              <w:ind w:left="200"/>
              <w:spacing w:after="0"/>
              <w:rPr>
                <w:sz w:val="20"/>
                <w:szCs w:val="20"/>
                <w:color w:val="auto"/>
              </w:rPr>
            </w:pPr>
            <w:r>
              <w:rPr>
                <w:rFonts w:ascii="Arial" w:cs="Arial" w:eastAsia="Arial" w:hAnsi="Arial"/>
                <w:sz w:val="14"/>
                <w:szCs w:val="14"/>
                <w:i w:val="1"/>
                <w:iCs w:val="1"/>
                <w:color w:val="auto"/>
              </w:rPr>
              <w:t>Methane Lydon Volney</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2006</w:t>
            </w:r>
          </w:p>
        </w:tc>
        <w:tc>
          <w:tcPr>
            <w:tcW w:w="220" w:type="dxa"/>
            <w:vAlign w:val="bottom"/>
          </w:tcPr>
          <w:p>
            <w:pPr>
              <w:spacing w:after="0"/>
              <w:rPr>
                <w:sz w:val="16"/>
                <w:szCs w:val="16"/>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145,000</w:t>
            </w:r>
          </w:p>
        </w:tc>
        <w:tc>
          <w:tcPr>
            <w:tcW w:w="200" w:type="dxa"/>
            <w:vAlign w:val="bottom"/>
          </w:tcPr>
          <w:p>
            <w:pPr>
              <w:spacing w:after="0"/>
              <w:rPr>
                <w:sz w:val="16"/>
                <w:szCs w:val="16"/>
                <w:color w:val="auto"/>
              </w:rPr>
            </w:pPr>
          </w:p>
        </w:tc>
        <w:tc>
          <w:tcPr>
            <w:tcW w:w="1780" w:type="dxa"/>
            <w:vAlign w:val="bottom"/>
            <w:gridSpan w:val="2"/>
          </w:tcPr>
          <w:p>
            <w:pPr>
              <w:jc w:val="center"/>
              <w:ind w:right="100"/>
              <w:spacing w:after="0" w:line="189" w:lineRule="exact"/>
              <w:rPr>
                <w:sz w:val="20"/>
                <w:szCs w:val="20"/>
                <w:color w:val="auto"/>
              </w:rPr>
            </w:pPr>
            <w:r>
              <w:rPr>
                <w:rFonts w:ascii="Arial" w:cs="Arial" w:eastAsia="Arial" w:hAnsi="Arial"/>
                <w:sz w:val="13"/>
                <w:szCs w:val="13"/>
                <w:color w:val="auto"/>
                <w:w w:val="96"/>
              </w:rPr>
              <w:t xml:space="preserve">Naturgy </w:t>
            </w:r>
            <w:r>
              <w:rPr>
                <w:rFonts w:ascii="Arial" w:cs="Arial" w:eastAsia="Arial" w:hAnsi="Arial"/>
                <w:sz w:val="21"/>
                <w:szCs w:val="21"/>
                <w:color w:val="auto"/>
                <w:w w:val="96"/>
                <w:vertAlign w:val="superscript"/>
              </w:rPr>
              <w:t>(6)</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Steam</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June 2022</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5</w:t>
            </w:r>
          </w:p>
        </w:tc>
        <w:tc>
          <w:tcPr>
            <w:tcW w:w="208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3"/>
                <w:szCs w:val="13"/>
                <w:i w:val="1"/>
                <w:iCs w:val="1"/>
                <w:color w:val="auto"/>
              </w:rPr>
              <w:t xml:space="preserve">GasLog Skagen </w:t>
            </w:r>
            <w:r>
              <w:rPr>
                <w:rFonts w:ascii="Arial" w:cs="Arial" w:eastAsia="Arial" w:hAnsi="Arial"/>
                <w:sz w:val="21"/>
                <w:szCs w:val="21"/>
                <w:i w:val="1"/>
                <w:iCs w:val="1"/>
                <w:color w:val="auto"/>
                <w:vertAlign w:val="superscript"/>
              </w:rPr>
              <w:t>(7)</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2013</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155,000</w:t>
            </w:r>
          </w:p>
        </w:tc>
        <w:tc>
          <w:tcPr>
            <w:tcW w:w="2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Chevron</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TFDE</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September 2022</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40" w:type="dxa"/>
            <w:vAlign w:val="bottom"/>
          </w:tcPr>
          <w:p>
            <w:pPr>
              <w:spacing w:after="0" w:line="149" w:lineRule="exact"/>
              <w:rPr>
                <w:sz w:val="20"/>
                <w:szCs w:val="20"/>
                <w:color w:val="auto"/>
              </w:rPr>
            </w:pPr>
            <w:r>
              <w:rPr>
                <w:rFonts w:ascii="Arial" w:cs="Arial" w:eastAsia="Arial" w:hAnsi="Arial"/>
                <w:sz w:val="14"/>
                <w:szCs w:val="14"/>
                <w:b w:val="1"/>
                <w:bCs w:val="1"/>
                <w:color w:val="auto"/>
              </w:rPr>
              <w:t>6</w:t>
            </w:r>
          </w:p>
        </w:tc>
        <w:tc>
          <w:tcPr>
            <w:tcW w:w="2080" w:type="dxa"/>
            <w:vAlign w:val="bottom"/>
            <w:gridSpan w:val="2"/>
          </w:tcPr>
          <w:p>
            <w:pPr>
              <w:ind w:left="200"/>
              <w:spacing w:after="0" w:line="149" w:lineRule="exact"/>
              <w:rPr>
                <w:sz w:val="20"/>
                <w:szCs w:val="20"/>
                <w:color w:val="auto"/>
              </w:rPr>
            </w:pPr>
            <w:r>
              <w:rPr>
                <w:rFonts w:ascii="Arial" w:cs="Arial" w:eastAsia="Arial" w:hAnsi="Arial"/>
                <w:sz w:val="14"/>
                <w:szCs w:val="14"/>
                <w:i w:val="1"/>
                <w:iCs w:val="1"/>
                <w:color w:val="auto"/>
              </w:rPr>
              <w:t>GasLog Saratoga</w:t>
            </w:r>
          </w:p>
        </w:tc>
        <w:tc>
          <w:tcPr>
            <w:tcW w:w="132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2014</w:t>
            </w:r>
          </w:p>
        </w:tc>
        <w:tc>
          <w:tcPr>
            <w:tcW w:w="220" w:type="dxa"/>
            <w:vAlign w:val="bottom"/>
          </w:tcPr>
          <w:p>
            <w:pPr>
              <w:spacing w:after="0"/>
              <w:rPr>
                <w:sz w:val="12"/>
                <w:szCs w:val="12"/>
                <w:color w:val="auto"/>
              </w:rPr>
            </w:pPr>
          </w:p>
        </w:tc>
        <w:tc>
          <w:tcPr>
            <w:tcW w:w="124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155,000</w:t>
            </w:r>
          </w:p>
        </w:tc>
        <w:tc>
          <w:tcPr>
            <w:tcW w:w="200" w:type="dxa"/>
            <w:vAlign w:val="bottom"/>
          </w:tcPr>
          <w:p>
            <w:pPr>
              <w:spacing w:after="0"/>
              <w:rPr>
                <w:sz w:val="12"/>
                <w:szCs w:val="12"/>
                <w:color w:val="auto"/>
              </w:rPr>
            </w:pPr>
          </w:p>
        </w:tc>
        <w:tc>
          <w:tcPr>
            <w:tcW w:w="17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Mitsui</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TFDE</w:t>
            </w:r>
          </w:p>
        </w:tc>
        <w:tc>
          <w:tcPr>
            <w:tcW w:w="15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0"/>
              </w:rPr>
              <w:t>September 2024</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3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Dual-fuel</w:t>
            </w: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medium</w:t>
            </w: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7</w:t>
            </w:r>
          </w:p>
        </w:tc>
        <w:tc>
          <w:tcPr>
            <w:tcW w:w="1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89"/>
              </w:rPr>
              <w:t xml:space="preserve">Shell </w:t>
            </w:r>
            <w:r>
              <w:rPr>
                <w:rFonts w:ascii="Arial" w:cs="Arial" w:eastAsia="Arial" w:hAnsi="Arial"/>
                <w:sz w:val="23"/>
                <w:szCs w:val="23"/>
                <w:color w:val="auto"/>
                <w:w w:val="89"/>
                <w:vertAlign w:val="superscript"/>
              </w:rPr>
              <w:t>(8)</w:t>
            </w:r>
          </w:p>
        </w:tc>
        <w:tc>
          <w:tcPr>
            <w:tcW w:w="13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speed</w:t>
            </w: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center"/>
              <w:ind w:left="51"/>
              <w:spacing w:after="0"/>
              <w:rPr>
                <w:sz w:val="20"/>
                <w:szCs w:val="20"/>
                <w:color w:val="auto"/>
              </w:rPr>
            </w:pPr>
            <w:r>
              <w:rPr>
                <w:rFonts w:ascii="Arial" w:cs="Arial" w:eastAsia="Arial" w:hAnsi="Arial"/>
                <w:sz w:val="14"/>
                <w:szCs w:val="14"/>
                <w:color w:val="auto"/>
                <w:w w:val="89"/>
              </w:rPr>
              <w:t xml:space="preserve">2030-2033 </w:t>
            </w:r>
            <w:r>
              <w:rPr>
                <w:rFonts w:ascii="Arial" w:cs="Arial" w:eastAsia="Arial" w:hAnsi="Arial"/>
                <w:sz w:val="23"/>
                <w:szCs w:val="23"/>
                <w:color w:val="auto"/>
                <w:w w:val="89"/>
                <w:vertAlign w:val="superscript"/>
              </w:rPr>
              <w:t>(8)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0" w:type="dxa"/>
            <w:vAlign w:val="bottom"/>
            <w:vMerge w:val="continue"/>
            <w:shd w:val="clear" w:color="auto" w:fill="CCEEFF"/>
          </w:tcPr>
          <w:p>
            <w:pPr>
              <w:spacing w:after="0"/>
              <w:rPr>
                <w:sz w:val="14"/>
                <w:szCs w:val="14"/>
                <w:color w:val="auto"/>
              </w:rPr>
            </w:pP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GasLog Genoa</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174,000</w:t>
            </w:r>
          </w:p>
        </w:tc>
        <w:tc>
          <w:tcPr>
            <w:tcW w:w="200" w:type="dxa"/>
            <w:vAlign w:val="bottom"/>
            <w:shd w:val="clear" w:color="auto" w:fill="CCEEFF"/>
          </w:tcPr>
          <w:p>
            <w:pPr>
              <w:spacing w:after="0"/>
              <w:rPr>
                <w:sz w:val="14"/>
                <w:szCs w:val="14"/>
                <w:color w:val="auto"/>
              </w:rPr>
            </w:pPr>
          </w:p>
        </w:tc>
        <w:tc>
          <w:tcPr>
            <w:tcW w:w="1780" w:type="dxa"/>
            <w:vAlign w:val="bottom"/>
            <w:gridSpan w:val="2"/>
            <w:vMerge w:val="continue"/>
            <w:shd w:val="clear" w:color="auto" w:fill="CCEEFF"/>
          </w:tcPr>
          <w:p>
            <w:pPr>
              <w:spacing w:after="0"/>
              <w:rPr>
                <w:sz w:val="14"/>
                <w:szCs w:val="14"/>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propulsion (“X-DF”)</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March 2027</w:t>
            </w:r>
          </w:p>
        </w:tc>
        <w:tc>
          <w:tcPr>
            <w:tcW w:w="11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20"/>
                <w:szCs w:val="20"/>
                <w:color w:val="auto"/>
              </w:rPr>
            </w:pPr>
            <w:r>
              <w:rPr>
                <w:rFonts w:ascii="Arial" w:cs="Arial" w:eastAsia="Arial" w:hAnsi="Arial"/>
                <w:sz w:val="14"/>
                <w:szCs w:val="14"/>
                <w:b w:val="1"/>
                <w:bCs w:val="1"/>
                <w:color w:val="auto"/>
              </w:rPr>
              <w:t>8</w:t>
            </w:r>
          </w:p>
        </w:tc>
        <w:tc>
          <w:tcPr>
            <w:tcW w:w="2080" w:type="dxa"/>
            <w:vAlign w:val="bottom"/>
            <w:gridSpan w:val="2"/>
          </w:tcPr>
          <w:p>
            <w:pPr>
              <w:ind w:left="200"/>
              <w:spacing w:after="0"/>
              <w:rPr>
                <w:sz w:val="20"/>
                <w:szCs w:val="20"/>
                <w:color w:val="auto"/>
              </w:rPr>
            </w:pPr>
            <w:r>
              <w:rPr>
                <w:rFonts w:ascii="Arial" w:cs="Arial" w:eastAsia="Arial" w:hAnsi="Arial"/>
                <w:sz w:val="14"/>
                <w:szCs w:val="14"/>
                <w:i w:val="1"/>
                <w:iCs w:val="1"/>
                <w:color w:val="auto"/>
              </w:rPr>
              <w:t>GasLog Windsor</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6"/>
                <w:szCs w:val="16"/>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180,000</w:t>
            </w:r>
          </w:p>
        </w:tc>
        <w:tc>
          <w:tcPr>
            <w:tcW w:w="200" w:type="dxa"/>
            <w:vAlign w:val="bottom"/>
          </w:tcPr>
          <w:p>
            <w:pPr>
              <w:spacing w:after="0"/>
              <w:rPr>
                <w:sz w:val="16"/>
                <w:szCs w:val="16"/>
                <w:color w:val="auto"/>
              </w:rPr>
            </w:pPr>
          </w:p>
        </w:tc>
        <w:tc>
          <w:tcPr>
            <w:tcW w:w="1780" w:type="dxa"/>
            <w:vAlign w:val="bottom"/>
            <w:gridSpan w:val="2"/>
          </w:tcPr>
          <w:p>
            <w:pPr>
              <w:jc w:val="center"/>
              <w:ind w:right="80"/>
              <w:spacing w:after="0" w:line="189" w:lineRule="exact"/>
              <w:rPr>
                <w:sz w:val="20"/>
                <w:szCs w:val="20"/>
                <w:color w:val="auto"/>
              </w:rPr>
            </w:pPr>
            <w:r>
              <w:rPr>
                <w:rFonts w:ascii="Arial" w:cs="Arial" w:eastAsia="Arial" w:hAnsi="Arial"/>
                <w:sz w:val="13"/>
                <w:szCs w:val="13"/>
                <w:color w:val="auto"/>
                <w:w w:val="95"/>
              </w:rPr>
              <w:t xml:space="preserve">Centrica </w:t>
            </w:r>
            <w:r>
              <w:rPr>
                <w:rFonts w:ascii="Arial" w:cs="Arial" w:eastAsia="Arial" w:hAnsi="Arial"/>
                <w:sz w:val="21"/>
                <w:szCs w:val="21"/>
                <w:color w:val="auto"/>
                <w:w w:val="95"/>
                <w:vertAlign w:val="superscript"/>
              </w:rPr>
              <w:t>(9)</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rPr>
              <w:t>X-DF</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April 2027</w:t>
            </w:r>
          </w:p>
        </w:tc>
        <w:tc>
          <w:tcPr>
            <w:tcW w:w="1120" w:type="dxa"/>
            <w:vAlign w:val="bottom"/>
          </w:tcPr>
          <w:p>
            <w:pPr>
              <w:jc w:val="center"/>
              <w:ind w:left="51"/>
              <w:spacing w:after="0" w:line="189" w:lineRule="exact"/>
              <w:rPr>
                <w:sz w:val="20"/>
                <w:szCs w:val="20"/>
                <w:color w:val="auto"/>
              </w:rPr>
            </w:pPr>
            <w:r>
              <w:rPr>
                <w:rFonts w:ascii="Arial" w:cs="Arial" w:eastAsia="Arial" w:hAnsi="Arial"/>
                <w:sz w:val="13"/>
                <w:szCs w:val="13"/>
                <w:color w:val="auto"/>
                <w:w w:val="96"/>
              </w:rPr>
              <w:t xml:space="preserve">2029-2033 </w:t>
            </w:r>
            <w:r>
              <w:rPr>
                <w:rFonts w:ascii="Arial" w:cs="Arial" w:eastAsia="Arial" w:hAnsi="Arial"/>
                <w:sz w:val="21"/>
                <w:szCs w:val="21"/>
                <w:color w:val="auto"/>
                <w:w w:val="96"/>
                <w:vertAlign w:val="superscript"/>
              </w:rPr>
              <w:t>(9)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9</w:t>
            </w: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GasLog Westminster</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2020</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180,000</w:t>
            </w:r>
          </w:p>
        </w:tc>
        <w:tc>
          <w:tcPr>
            <w:tcW w:w="2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Centrica</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X-DF</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July 2027</w:t>
            </w:r>
          </w:p>
        </w:tc>
        <w:tc>
          <w:tcPr>
            <w:tcW w:w="1120" w:type="dxa"/>
            <w:vAlign w:val="bottom"/>
            <w:shd w:val="clear" w:color="auto" w:fill="CCEEFF"/>
          </w:tcPr>
          <w:p>
            <w:pPr>
              <w:jc w:val="center"/>
              <w:ind w:left="51"/>
              <w:spacing w:after="0" w:line="189" w:lineRule="exact"/>
              <w:rPr>
                <w:sz w:val="20"/>
                <w:szCs w:val="20"/>
                <w:color w:val="auto"/>
              </w:rPr>
            </w:pPr>
            <w:r>
              <w:rPr>
                <w:rFonts w:ascii="Arial" w:cs="Arial" w:eastAsia="Arial" w:hAnsi="Arial"/>
                <w:sz w:val="13"/>
                <w:szCs w:val="13"/>
                <w:color w:val="auto"/>
                <w:w w:val="96"/>
              </w:rPr>
              <w:t xml:space="preserve">2029-2033 </w:t>
            </w:r>
            <w:r>
              <w:rPr>
                <w:rFonts w:ascii="Arial" w:cs="Arial" w:eastAsia="Arial" w:hAnsi="Arial"/>
                <w:sz w:val="21"/>
                <w:szCs w:val="21"/>
                <w:color w:val="auto"/>
                <w:w w:val="96"/>
                <w:vertAlign w:val="superscript"/>
              </w:rPr>
              <w:t>(9)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20"/>
                <w:szCs w:val="20"/>
                <w:color w:val="auto"/>
              </w:rPr>
            </w:pPr>
            <w:r>
              <w:rPr>
                <w:rFonts w:ascii="Arial" w:cs="Arial" w:eastAsia="Arial" w:hAnsi="Arial"/>
                <w:sz w:val="14"/>
                <w:szCs w:val="14"/>
                <w:b w:val="1"/>
                <w:bCs w:val="1"/>
                <w:color w:val="auto"/>
              </w:rPr>
              <w:t>10</w:t>
            </w:r>
          </w:p>
        </w:tc>
        <w:tc>
          <w:tcPr>
            <w:tcW w:w="2080" w:type="dxa"/>
            <w:vAlign w:val="bottom"/>
            <w:gridSpan w:val="2"/>
          </w:tcPr>
          <w:p>
            <w:pPr>
              <w:ind w:left="200"/>
              <w:spacing w:after="0"/>
              <w:rPr>
                <w:sz w:val="20"/>
                <w:szCs w:val="20"/>
                <w:color w:val="auto"/>
              </w:rPr>
            </w:pPr>
            <w:r>
              <w:rPr>
                <w:rFonts w:ascii="Arial" w:cs="Arial" w:eastAsia="Arial" w:hAnsi="Arial"/>
                <w:sz w:val="14"/>
                <w:szCs w:val="14"/>
                <w:i w:val="1"/>
                <w:iCs w:val="1"/>
                <w:color w:val="auto"/>
              </w:rPr>
              <w:t>GasLog Georgetown</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6"/>
                <w:szCs w:val="16"/>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174,000</w:t>
            </w:r>
          </w:p>
        </w:tc>
        <w:tc>
          <w:tcPr>
            <w:tcW w:w="200" w:type="dxa"/>
            <w:vAlign w:val="bottom"/>
          </w:tcPr>
          <w:p>
            <w:pPr>
              <w:spacing w:after="0"/>
              <w:rPr>
                <w:sz w:val="16"/>
                <w:szCs w:val="16"/>
                <w:color w:val="auto"/>
              </w:rPr>
            </w:pPr>
          </w:p>
        </w:tc>
        <w:tc>
          <w:tcPr>
            <w:tcW w:w="1780" w:type="dxa"/>
            <w:vAlign w:val="bottom"/>
            <w:gridSpan w:val="2"/>
          </w:tcPr>
          <w:p>
            <w:pPr>
              <w:jc w:val="center"/>
              <w:ind w:right="100"/>
              <w:spacing w:after="0" w:line="189" w:lineRule="exact"/>
              <w:rPr>
                <w:sz w:val="20"/>
                <w:szCs w:val="20"/>
                <w:color w:val="auto"/>
              </w:rPr>
            </w:pPr>
            <w:r>
              <w:rPr>
                <w:rFonts w:ascii="Arial" w:cs="Arial" w:eastAsia="Arial" w:hAnsi="Arial"/>
                <w:sz w:val="13"/>
                <w:szCs w:val="13"/>
                <w:color w:val="auto"/>
                <w:w w:val="93"/>
              </w:rPr>
              <w:t xml:space="preserve">Cheniere </w:t>
            </w:r>
            <w:r>
              <w:rPr>
                <w:rFonts w:ascii="Arial" w:cs="Arial" w:eastAsia="Arial" w:hAnsi="Arial"/>
                <w:sz w:val="21"/>
                <w:szCs w:val="21"/>
                <w:color w:val="auto"/>
                <w:w w:val="93"/>
                <w:vertAlign w:val="superscript"/>
              </w:rPr>
              <w:t>(10)</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rPr>
              <w:t>X-DF</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November 2027</w:t>
            </w:r>
          </w:p>
        </w:tc>
        <w:tc>
          <w:tcPr>
            <w:tcW w:w="1120" w:type="dxa"/>
            <w:vAlign w:val="bottom"/>
          </w:tcPr>
          <w:p>
            <w:pPr>
              <w:jc w:val="center"/>
              <w:ind w:left="31"/>
              <w:spacing w:after="0" w:line="189" w:lineRule="exact"/>
              <w:rPr>
                <w:sz w:val="20"/>
                <w:szCs w:val="20"/>
                <w:color w:val="auto"/>
              </w:rPr>
            </w:pPr>
            <w:r>
              <w:rPr>
                <w:rFonts w:ascii="Arial" w:cs="Arial" w:eastAsia="Arial" w:hAnsi="Arial"/>
                <w:sz w:val="13"/>
                <w:szCs w:val="13"/>
                <w:color w:val="auto"/>
                <w:w w:val="94"/>
              </w:rPr>
              <w:t xml:space="preserve">2030-2034 </w:t>
            </w:r>
            <w:r>
              <w:rPr>
                <w:rFonts w:ascii="Arial" w:cs="Arial" w:eastAsia="Arial" w:hAnsi="Arial"/>
                <w:sz w:val="21"/>
                <w:szCs w:val="21"/>
                <w:color w:val="auto"/>
                <w:w w:val="94"/>
                <w:vertAlign w:val="superscript"/>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11</w:t>
            </w: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GasLog Galveston</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174,000</w:t>
            </w:r>
          </w:p>
        </w:tc>
        <w:tc>
          <w:tcPr>
            <w:tcW w:w="2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Cheniere</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X-DF</w:t>
            </w:r>
          </w:p>
        </w:tc>
        <w:tc>
          <w:tcPr>
            <w:tcW w:w="15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January 2028</w:t>
            </w:r>
          </w:p>
        </w:tc>
        <w:tc>
          <w:tcPr>
            <w:tcW w:w="1120" w:type="dxa"/>
            <w:vAlign w:val="bottom"/>
            <w:shd w:val="clear" w:color="auto" w:fill="CCEEFF"/>
          </w:tcPr>
          <w:p>
            <w:pPr>
              <w:jc w:val="center"/>
              <w:ind w:left="31"/>
              <w:spacing w:after="0" w:line="189" w:lineRule="exact"/>
              <w:rPr>
                <w:sz w:val="20"/>
                <w:szCs w:val="20"/>
                <w:color w:val="auto"/>
              </w:rPr>
            </w:pPr>
            <w:r>
              <w:rPr>
                <w:rFonts w:ascii="Arial" w:cs="Arial" w:eastAsia="Arial" w:hAnsi="Arial"/>
                <w:sz w:val="13"/>
                <w:szCs w:val="13"/>
                <w:color w:val="auto"/>
                <w:w w:val="94"/>
              </w:rPr>
              <w:t xml:space="preserve">2031-2035 </w:t>
            </w:r>
            <w:r>
              <w:rPr>
                <w:rFonts w:ascii="Arial" w:cs="Arial" w:eastAsia="Arial" w:hAnsi="Arial"/>
                <w:sz w:val="21"/>
                <w:szCs w:val="21"/>
                <w:color w:val="auto"/>
                <w:w w:val="94"/>
                <w:vertAlign w:val="superscript"/>
              </w:rPr>
              <w:t>(10)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20"/>
                <w:szCs w:val="20"/>
                <w:color w:val="auto"/>
              </w:rPr>
            </w:pPr>
            <w:r>
              <w:rPr>
                <w:rFonts w:ascii="Arial" w:cs="Arial" w:eastAsia="Arial" w:hAnsi="Arial"/>
                <w:sz w:val="14"/>
                <w:szCs w:val="14"/>
                <w:b w:val="1"/>
                <w:bCs w:val="1"/>
                <w:color w:val="auto"/>
              </w:rPr>
              <w:t>12</w:t>
            </w:r>
          </w:p>
        </w:tc>
        <w:tc>
          <w:tcPr>
            <w:tcW w:w="2080" w:type="dxa"/>
            <w:vAlign w:val="bottom"/>
            <w:gridSpan w:val="2"/>
          </w:tcPr>
          <w:p>
            <w:pPr>
              <w:ind w:left="200"/>
              <w:spacing w:after="0"/>
              <w:rPr>
                <w:sz w:val="20"/>
                <w:szCs w:val="20"/>
                <w:color w:val="auto"/>
              </w:rPr>
            </w:pPr>
            <w:r>
              <w:rPr>
                <w:rFonts w:ascii="Arial" w:cs="Arial" w:eastAsia="Arial" w:hAnsi="Arial"/>
                <w:sz w:val="14"/>
                <w:szCs w:val="14"/>
                <w:i w:val="1"/>
                <w:iCs w:val="1"/>
                <w:color w:val="auto"/>
              </w:rPr>
              <w:t>GasLog Wellington</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2021</w:t>
            </w:r>
          </w:p>
        </w:tc>
        <w:tc>
          <w:tcPr>
            <w:tcW w:w="220" w:type="dxa"/>
            <w:vAlign w:val="bottom"/>
          </w:tcPr>
          <w:p>
            <w:pPr>
              <w:spacing w:after="0"/>
              <w:rPr>
                <w:sz w:val="16"/>
                <w:szCs w:val="16"/>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180,000</w:t>
            </w:r>
          </w:p>
        </w:tc>
        <w:tc>
          <w:tcPr>
            <w:tcW w:w="20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Cheniere</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rPr>
              <w:t>X-DF</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June 2028</w:t>
            </w:r>
          </w:p>
        </w:tc>
        <w:tc>
          <w:tcPr>
            <w:tcW w:w="1120" w:type="dxa"/>
            <w:vAlign w:val="bottom"/>
          </w:tcPr>
          <w:p>
            <w:pPr>
              <w:jc w:val="center"/>
              <w:ind w:left="31"/>
              <w:spacing w:after="0" w:line="189" w:lineRule="exact"/>
              <w:rPr>
                <w:sz w:val="20"/>
                <w:szCs w:val="20"/>
                <w:color w:val="auto"/>
              </w:rPr>
            </w:pPr>
            <w:r>
              <w:rPr>
                <w:rFonts w:ascii="Arial" w:cs="Arial" w:eastAsia="Arial" w:hAnsi="Arial"/>
                <w:sz w:val="13"/>
                <w:szCs w:val="13"/>
                <w:color w:val="auto"/>
                <w:w w:val="94"/>
              </w:rPr>
              <w:t xml:space="preserve">2031-2035 </w:t>
            </w:r>
            <w:r>
              <w:rPr>
                <w:rFonts w:ascii="Arial" w:cs="Arial" w:eastAsia="Arial" w:hAnsi="Arial"/>
                <w:sz w:val="21"/>
                <w:szCs w:val="21"/>
                <w:color w:val="auto"/>
                <w:w w:val="94"/>
                <w:vertAlign w:val="superscript"/>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13</w:t>
            </w: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GasLog Winchester</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180,000</w:t>
            </w:r>
          </w:p>
        </w:tc>
        <w:tc>
          <w:tcPr>
            <w:tcW w:w="2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Cheniere</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X-DF</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August 2028</w:t>
            </w:r>
          </w:p>
        </w:tc>
        <w:tc>
          <w:tcPr>
            <w:tcW w:w="1120" w:type="dxa"/>
            <w:vAlign w:val="bottom"/>
            <w:shd w:val="clear" w:color="auto" w:fill="CCEEFF"/>
          </w:tcPr>
          <w:p>
            <w:pPr>
              <w:jc w:val="center"/>
              <w:ind w:left="31"/>
              <w:spacing w:after="0" w:line="189" w:lineRule="exact"/>
              <w:rPr>
                <w:sz w:val="20"/>
                <w:szCs w:val="20"/>
                <w:color w:val="auto"/>
              </w:rPr>
            </w:pPr>
            <w:r>
              <w:rPr>
                <w:rFonts w:ascii="Arial" w:cs="Arial" w:eastAsia="Arial" w:hAnsi="Arial"/>
                <w:sz w:val="13"/>
                <w:szCs w:val="13"/>
                <w:color w:val="auto"/>
                <w:w w:val="94"/>
              </w:rPr>
              <w:t xml:space="preserve">2031-2035 </w:t>
            </w:r>
            <w:r>
              <w:rPr>
                <w:rFonts w:ascii="Arial" w:cs="Arial" w:eastAsia="Arial" w:hAnsi="Arial"/>
                <w:sz w:val="21"/>
                <w:szCs w:val="21"/>
                <w:color w:val="auto"/>
                <w:w w:val="94"/>
                <w:vertAlign w:val="superscript"/>
              </w:rPr>
              <w:t>(10)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20"/>
                <w:szCs w:val="20"/>
                <w:color w:val="auto"/>
              </w:rPr>
            </w:pPr>
            <w:r>
              <w:rPr>
                <w:rFonts w:ascii="Arial" w:cs="Arial" w:eastAsia="Arial" w:hAnsi="Arial"/>
                <w:sz w:val="14"/>
                <w:szCs w:val="14"/>
                <w:b w:val="1"/>
                <w:bCs w:val="1"/>
                <w:color w:val="auto"/>
              </w:rPr>
              <w:t>14</w:t>
            </w:r>
          </w:p>
        </w:tc>
        <w:tc>
          <w:tcPr>
            <w:tcW w:w="2080" w:type="dxa"/>
            <w:vAlign w:val="bottom"/>
            <w:gridSpan w:val="2"/>
          </w:tcPr>
          <w:p>
            <w:pPr>
              <w:ind w:left="200"/>
              <w:spacing w:after="0"/>
              <w:rPr>
                <w:sz w:val="20"/>
                <w:szCs w:val="20"/>
                <w:color w:val="auto"/>
              </w:rPr>
            </w:pPr>
            <w:r>
              <w:rPr>
                <w:rFonts w:ascii="Arial" w:cs="Arial" w:eastAsia="Arial" w:hAnsi="Arial"/>
                <w:sz w:val="14"/>
                <w:szCs w:val="14"/>
                <w:i w:val="1"/>
                <w:iCs w:val="1"/>
                <w:color w:val="auto"/>
              </w:rPr>
              <w:t>GasLog Gladstone</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16"/>
                <w:szCs w:val="16"/>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174,000</w:t>
            </w:r>
          </w:p>
        </w:tc>
        <w:tc>
          <w:tcPr>
            <w:tcW w:w="200" w:type="dxa"/>
            <w:vAlign w:val="bottom"/>
          </w:tcPr>
          <w:p>
            <w:pPr>
              <w:spacing w:after="0"/>
              <w:rPr>
                <w:sz w:val="16"/>
                <w:szCs w:val="16"/>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Shell</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rPr>
              <w:t>X-DF</w:t>
            </w:r>
          </w:p>
        </w:tc>
        <w:tc>
          <w:tcPr>
            <w:tcW w:w="156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January 2029</w:t>
            </w:r>
          </w:p>
        </w:tc>
        <w:tc>
          <w:tcPr>
            <w:tcW w:w="1120" w:type="dxa"/>
            <w:vAlign w:val="bottom"/>
          </w:tcPr>
          <w:p>
            <w:pPr>
              <w:jc w:val="center"/>
              <w:ind w:left="51"/>
              <w:spacing w:after="0" w:line="189" w:lineRule="exact"/>
              <w:rPr>
                <w:sz w:val="20"/>
                <w:szCs w:val="20"/>
                <w:color w:val="auto"/>
              </w:rPr>
            </w:pPr>
            <w:r>
              <w:rPr>
                <w:rFonts w:ascii="Arial" w:cs="Arial" w:eastAsia="Arial" w:hAnsi="Arial"/>
                <w:sz w:val="13"/>
                <w:szCs w:val="13"/>
                <w:color w:val="auto"/>
                <w:w w:val="96"/>
              </w:rPr>
              <w:t xml:space="preserve">2032-2035 </w:t>
            </w:r>
            <w:r>
              <w:rPr>
                <w:rFonts w:ascii="Arial" w:cs="Arial" w:eastAsia="Arial" w:hAnsi="Arial"/>
                <w:sz w:val="21"/>
                <w:szCs w:val="21"/>
                <w:color w:val="auto"/>
                <w:w w:val="96"/>
                <w:vertAlign w:val="superscript"/>
              </w:rPr>
              <w:t>(8)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15</w:t>
            </w: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4"/>
                <w:szCs w:val="14"/>
                <w:i w:val="1"/>
                <w:iCs w:val="1"/>
                <w:color w:val="auto"/>
              </w:rPr>
              <w:t>GasLog Warsaw</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2019</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180,000</w:t>
            </w:r>
          </w:p>
        </w:tc>
        <w:tc>
          <w:tcPr>
            <w:tcW w:w="2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3"/>
                <w:szCs w:val="13"/>
                <w:color w:val="auto"/>
                <w:w w:val="88"/>
              </w:rPr>
              <w:t xml:space="preserve">Endesa </w:t>
            </w:r>
            <w:r>
              <w:rPr>
                <w:rFonts w:ascii="Arial" w:cs="Arial" w:eastAsia="Arial" w:hAnsi="Arial"/>
                <w:sz w:val="21"/>
                <w:szCs w:val="21"/>
                <w:color w:val="auto"/>
                <w:w w:val="88"/>
                <w:vertAlign w:val="superscript"/>
              </w:rPr>
              <w:t>(11)</w:t>
            </w:r>
          </w:p>
        </w:tc>
        <w:tc>
          <w:tcPr>
            <w:tcW w:w="13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X-DF</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May 2029</w:t>
            </w:r>
          </w:p>
        </w:tc>
        <w:tc>
          <w:tcPr>
            <w:tcW w:w="1120" w:type="dxa"/>
            <w:vAlign w:val="bottom"/>
            <w:shd w:val="clear" w:color="auto" w:fill="CCEEFF"/>
          </w:tcPr>
          <w:p>
            <w:pPr>
              <w:jc w:val="center"/>
              <w:ind w:left="31"/>
              <w:spacing w:after="0" w:line="189" w:lineRule="exact"/>
              <w:rPr>
                <w:sz w:val="20"/>
                <w:szCs w:val="20"/>
                <w:color w:val="auto"/>
              </w:rPr>
            </w:pPr>
            <w:r>
              <w:rPr>
                <w:rFonts w:ascii="Arial" w:cs="Arial" w:eastAsia="Arial" w:hAnsi="Arial"/>
                <w:sz w:val="13"/>
                <w:szCs w:val="13"/>
                <w:color w:val="auto"/>
                <w:w w:val="94"/>
              </w:rPr>
              <w:t xml:space="preserve">2035-2041 </w:t>
            </w:r>
            <w:r>
              <w:rPr>
                <w:rFonts w:ascii="Arial" w:cs="Arial" w:eastAsia="Arial" w:hAnsi="Arial"/>
                <w:sz w:val="21"/>
                <w:szCs w:val="21"/>
                <w:color w:val="auto"/>
                <w:w w:val="94"/>
                <w:vertAlign w:val="superscript"/>
              </w:rPr>
              <w:t>(11)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340" w:type="dxa"/>
            <w:vAlign w:val="bottom"/>
          </w:tcPr>
          <w:p>
            <w:pPr>
              <w:spacing w:after="0"/>
              <w:rPr>
                <w:sz w:val="20"/>
                <w:szCs w:val="20"/>
                <w:color w:val="auto"/>
              </w:rPr>
            </w:pPr>
            <w:r>
              <w:rPr>
                <w:rFonts w:ascii="Arial" w:cs="Arial" w:eastAsia="Arial" w:hAnsi="Arial"/>
                <w:sz w:val="14"/>
                <w:szCs w:val="14"/>
                <w:b w:val="1"/>
                <w:bCs w:val="1"/>
                <w:color w:val="auto"/>
              </w:rPr>
              <w:t>16</w:t>
            </w:r>
          </w:p>
        </w:tc>
        <w:tc>
          <w:tcPr>
            <w:tcW w:w="2080" w:type="dxa"/>
            <w:vAlign w:val="bottom"/>
            <w:gridSpan w:val="2"/>
          </w:tcPr>
          <w:p>
            <w:pPr>
              <w:ind w:left="200"/>
              <w:spacing w:after="0"/>
              <w:rPr>
                <w:sz w:val="20"/>
                <w:szCs w:val="20"/>
                <w:color w:val="auto"/>
              </w:rPr>
            </w:pPr>
            <w:r>
              <w:rPr>
                <w:rFonts w:ascii="Arial" w:cs="Arial" w:eastAsia="Arial" w:hAnsi="Arial"/>
                <w:sz w:val="14"/>
                <w:szCs w:val="14"/>
                <w:i w:val="1"/>
                <w:iCs w:val="1"/>
                <w:color w:val="auto"/>
              </w:rPr>
              <w:t>GasLog Wales</w:t>
            </w:r>
          </w:p>
        </w:tc>
        <w:tc>
          <w:tcPr>
            <w:tcW w:w="1320" w:type="dxa"/>
            <w:vAlign w:val="bottom"/>
          </w:tcPr>
          <w:p>
            <w:pPr>
              <w:jc w:val="right"/>
              <w:ind w:right="388"/>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4"/>
                <w:szCs w:val="24"/>
                <w:color w:val="auto"/>
              </w:rPr>
            </w:pPr>
          </w:p>
        </w:tc>
        <w:tc>
          <w:tcPr>
            <w:tcW w:w="1240" w:type="dxa"/>
            <w:vAlign w:val="bottom"/>
          </w:tcPr>
          <w:p>
            <w:pPr>
              <w:jc w:val="right"/>
              <w:ind w:right="268"/>
              <w:spacing w:after="0"/>
              <w:rPr>
                <w:sz w:val="20"/>
                <w:szCs w:val="20"/>
                <w:color w:val="auto"/>
              </w:rPr>
            </w:pPr>
            <w:r>
              <w:rPr>
                <w:rFonts w:ascii="Arial" w:cs="Arial" w:eastAsia="Arial" w:hAnsi="Arial"/>
                <w:sz w:val="14"/>
                <w:szCs w:val="14"/>
                <w:color w:val="auto"/>
              </w:rPr>
              <w:t>180,000</w:t>
            </w:r>
          </w:p>
        </w:tc>
        <w:tc>
          <w:tcPr>
            <w:tcW w:w="200" w:type="dxa"/>
            <w:vAlign w:val="bottom"/>
          </w:tcPr>
          <w:p>
            <w:pPr>
              <w:spacing w:after="0"/>
              <w:rPr>
                <w:sz w:val="24"/>
                <w:szCs w:val="24"/>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4"/>
                <w:szCs w:val="14"/>
                <w:color w:val="auto"/>
                <w:w w:val="78"/>
              </w:rPr>
              <w:t xml:space="preserve">Jera </w:t>
            </w:r>
            <w:r>
              <w:rPr>
                <w:rFonts w:ascii="Arial" w:cs="Arial" w:eastAsia="Arial" w:hAnsi="Arial"/>
                <w:sz w:val="23"/>
                <w:szCs w:val="23"/>
                <w:color w:val="auto"/>
                <w:w w:val="78"/>
                <w:vertAlign w:val="superscript"/>
              </w:rPr>
              <w:t>(12)</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color w:val="auto"/>
              </w:rPr>
              <w:t>X-DF</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March 2032</w:t>
            </w:r>
          </w:p>
        </w:tc>
        <w:tc>
          <w:tcPr>
            <w:tcW w:w="1120" w:type="dxa"/>
            <w:vAlign w:val="bottom"/>
          </w:tcPr>
          <w:p>
            <w:pPr>
              <w:jc w:val="center"/>
              <w:ind w:left="31"/>
              <w:spacing w:after="0"/>
              <w:rPr>
                <w:sz w:val="20"/>
                <w:szCs w:val="20"/>
                <w:color w:val="auto"/>
              </w:rPr>
            </w:pPr>
            <w:r>
              <w:rPr>
                <w:rFonts w:ascii="Arial" w:cs="Arial" w:eastAsia="Arial" w:hAnsi="Arial"/>
                <w:sz w:val="14"/>
                <w:szCs w:val="14"/>
                <w:color w:val="auto"/>
                <w:w w:val="87"/>
              </w:rPr>
              <w:t xml:space="preserve">2035-2038 </w:t>
            </w:r>
            <w:r>
              <w:rPr>
                <w:rFonts w:ascii="Arial" w:cs="Arial" w:eastAsia="Arial" w:hAnsi="Arial"/>
                <w:sz w:val="23"/>
                <w:szCs w:val="23"/>
                <w:color w:val="auto"/>
                <w:w w:val="87"/>
                <w:vertAlign w:val="superscript"/>
              </w:rPr>
              <w:t>(12)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As of February 24, 2022, the Partnership’s fleet consisted of the following vessels: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Year</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Charterer (for</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440" w:type="dxa"/>
            <w:vAlign w:val="bottom"/>
            <w:gridSpan w:val="5"/>
            <w:vMerge w:val="restart"/>
          </w:tcPr>
          <w:p>
            <w:pPr>
              <w:ind w:left="820"/>
              <w:spacing w:after="0"/>
              <w:rPr>
                <w:sz w:val="20"/>
                <w:szCs w:val="20"/>
                <w:color w:val="auto"/>
              </w:rPr>
            </w:pPr>
            <w:r>
              <w:rPr>
                <w:rFonts w:ascii="Arial" w:cs="Arial" w:eastAsia="Arial" w:hAnsi="Arial"/>
                <w:sz w:val="14"/>
                <w:szCs w:val="14"/>
                <w:b w:val="1"/>
                <w:bCs w:val="1"/>
                <w:color w:val="auto"/>
              </w:rPr>
              <w:t>Vessel Name</w:t>
            </w:r>
          </w:p>
        </w:tc>
        <w:tc>
          <w:tcPr>
            <w:tcW w:w="1220" w:type="dxa"/>
            <w:vAlign w:val="bottom"/>
            <w:gridSpan w:val="4"/>
            <w:vMerge w:val="continue"/>
          </w:tcPr>
          <w:p>
            <w:pPr>
              <w:spacing w:after="0"/>
              <w:rPr>
                <w:sz w:val="12"/>
                <w:szCs w:val="12"/>
                <w:color w:val="auto"/>
              </w:rPr>
            </w:pPr>
          </w:p>
        </w:tc>
        <w:tc>
          <w:tcPr>
            <w:tcW w:w="17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Cbm</w:t>
            </w:r>
          </w:p>
        </w:tc>
        <w:tc>
          <w:tcPr>
            <w:tcW w:w="15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1"/>
              </w:rPr>
              <w:t>contracts of more</w:t>
            </w: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Propulsion</w:t>
            </w: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Charter Expiration</w:t>
            </w:r>
            <w:r>
              <w:rPr>
                <w:rFonts w:ascii="Arial" w:cs="Arial" w:eastAsia="Arial" w:hAnsi="Arial"/>
                <w:sz w:val="23"/>
                <w:szCs w:val="23"/>
                <w:b w:val="1"/>
                <w:bCs w:val="1"/>
                <w:color w:val="auto"/>
                <w:w w:val="93"/>
                <w:vertAlign w:val="superscript"/>
              </w:rPr>
              <w:t>(1)</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1220" w:type="dxa"/>
            <w:vAlign w:val="bottom"/>
            <w:gridSpan w:val="4"/>
          </w:tcPr>
          <w:p>
            <w:pPr>
              <w:ind w:left="240"/>
              <w:spacing w:after="0"/>
              <w:rPr>
                <w:sz w:val="20"/>
                <w:szCs w:val="20"/>
                <w:color w:val="auto"/>
              </w:rPr>
            </w:pPr>
            <w:r>
              <w:rPr>
                <w:rFonts w:ascii="Arial" w:cs="Arial" w:eastAsia="Arial" w:hAnsi="Arial"/>
                <w:sz w:val="14"/>
                <w:szCs w:val="14"/>
                <w:b w:val="1"/>
                <w:bCs w:val="1"/>
                <w:color w:val="auto"/>
              </w:rPr>
              <w:t>Built</w:t>
            </w:r>
          </w:p>
        </w:tc>
        <w:tc>
          <w:tcPr>
            <w:tcW w:w="1700" w:type="dxa"/>
            <w:vAlign w:val="bottom"/>
            <w:gridSpan w:val="3"/>
            <w:vMerge w:val="continue"/>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than six months)</w:t>
            </w:r>
          </w:p>
        </w:tc>
        <w:tc>
          <w:tcPr>
            <w:tcW w:w="134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220" w:type="dxa"/>
            <w:vAlign w:val="bottom"/>
            <w:gridSpan w:val="2"/>
          </w:tcPr>
          <w:p>
            <w:pPr>
              <w:ind w:left="280"/>
              <w:spacing w:after="0" w:line="176" w:lineRule="exact"/>
              <w:rPr>
                <w:sz w:val="20"/>
                <w:szCs w:val="20"/>
                <w:color w:val="auto"/>
              </w:rPr>
            </w:pPr>
            <w:r>
              <w:rPr>
                <w:rFonts w:ascii="Arial" w:cs="Arial" w:eastAsia="Arial" w:hAnsi="Arial"/>
                <w:sz w:val="13"/>
                <w:szCs w:val="13"/>
                <w:b w:val="1"/>
                <w:bCs w:val="1"/>
                <w:color w:val="auto"/>
              </w:rPr>
              <w:t>Period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42"/>
        </w:trPr>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1</w:t>
            </w:r>
          </w:p>
        </w:tc>
        <w:tc>
          <w:tcPr>
            <w:tcW w:w="2120" w:type="dxa"/>
            <w:vAlign w:val="bottom"/>
            <w:tcBorders>
              <w:top w:val="single" w:sz="8" w:color="auto"/>
            </w:tcBorders>
            <w:gridSpan w:val="2"/>
            <w:shd w:val="clear" w:color="auto" w:fill="CCEEFF"/>
          </w:tcPr>
          <w:p>
            <w:pPr>
              <w:ind w:left="320"/>
              <w:spacing w:after="0" w:line="142" w:lineRule="exact"/>
              <w:rPr>
                <w:sz w:val="20"/>
                <w:szCs w:val="20"/>
                <w:color w:val="auto"/>
              </w:rPr>
            </w:pPr>
            <w:r>
              <w:rPr>
                <w:rFonts w:ascii="Arial" w:cs="Arial" w:eastAsia="Arial" w:hAnsi="Arial"/>
                <w:sz w:val="14"/>
                <w:szCs w:val="14"/>
                <w:i w:val="1"/>
                <w:iCs w:val="1"/>
                <w:color w:val="auto"/>
              </w:rPr>
              <w:t>Solaris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rPr>
              <w:t>2014</w:t>
            </w: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155,000</w:t>
            </w: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ind w:right="169"/>
              <w:spacing w:after="0" w:line="142" w:lineRule="exact"/>
              <w:rPr>
                <w:sz w:val="20"/>
                <w:szCs w:val="20"/>
                <w:color w:val="auto"/>
              </w:rPr>
            </w:pPr>
            <w:r>
              <w:rPr>
                <w:rFonts w:ascii="Arial" w:cs="Arial" w:eastAsia="Arial" w:hAnsi="Arial"/>
                <w:sz w:val="14"/>
                <w:szCs w:val="14"/>
                <w:color w:val="auto"/>
                <w:w w:val="96"/>
              </w:rPr>
              <w:t>Shell</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TFDE</w:t>
            </w:r>
          </w:p>
        </w:tc>
        <w:tc>
          <w:tcPr>
            <w:tcW w:w="22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w w:val="94"/>
              </w:rPr>
              <w:t>March 2022</w:t>
            </w: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center"/>
              <w:ind w:left="31"/>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line="149" w:lineRule="exact"/>
              <w:rPr>
                <w:sz w:val="20"/>
                <w:szCs w:val="20"/>
                <w:color w:val="auto"/>
              </w:rPr>
            </w:pPr>
            <w:r>
              <w:rPr>
                <w:rFonts w:ascii="Arial" w:cs="Arial" w:eastAsia="Arial" w:hAnsi="Arial"/>
                <w:sz w:val="14"/>
                <w:szCs w:val="14"/>
                <w:b w:val="1"/>
                <w:bCs w:val="1"/>
                <w:color w:val="auto"/>
              </w:rPr>
              <w:t>2</w:t>
            </w:r>
          </w:p>
        </w:tc>
        <w:tc>
          <w:tcPr>
            <w:tcW w:w="2440" w:type="dxa"/>
            <w:vAlign w:val="bottom"/>
            <w:gridSpan w:val="5"/>
          </w:tcPr>
          <w:p>
            <w:pPr>
              <w:ind w:left="320"/>
              <w:spacing w:after="0" w:line="149" w:lineRule="exact"/>
              <w:rPr>
                <w:sz w:val="20"/>
                <w:szCs w:val="20"/>
                <w:color w:val="auto"/>
              </w:rPr>
            </w:pPr>
            <w:r>
              <w:rPr>
                <w:rFonts w:ascii="Arial" w:cs="Arial" w:eastAsia="Arial" w:hAnsi="Arial"/>
                <w:sz w:val="14"/>
                <w:szCs w:val="14"/>
                <w:i w:val="1"/>
                <w:iCs w:val="1"/>
                <w:color w:val="auto"/>
              </w:rPr>
              <w:t>Methane Heather Sally</w:t>
            </w:r>
          </w:p>
        </w:tc>
        <w:tc>
          <w:tcPr>
            <w:tcW w:w="96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2007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ind w:left="440"/>
              <w:spacing w:after="0" w:line="149" w:lineRule="exact"/>
              <w:rPr>
                <w:sz w:val="20"/>
                <w:szCs w:val="20"/>
                <w:color w:val="auto"/>
              </w:rPr>
            </w:pPr>
            <w:r>
              <w:rPr>
                <w:rFonts w:ascii="Arial" w:cs="Arial" w:eastAsia="Arial" w:hAnsi="Arial"/>
                <w:sz w:val="14"/>
                <w:szCs w:val="14"/>
                <w:color w:val="auto"/>
              </w:rPr>
              <w:t>145,000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Cheniere</w:t>
            </w:r>
          </w:p>
        </w:tc>
        <w:tc>
          <w:tcPr>
            <w:tcW w:w="13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Steam</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June 2022</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w:t>
            </w:r>
          </w:p>
        </w:tc>
        <w:tc>
          <w:tcPr>
            <w:tcW w:w="2440" w:type="dxa"/>
            <w:vAlign w:val="bottom"/>
            <w:gridSpan w:val="5"/>
            <w:shd w:val="clear" w:color="auto" w:fill="CCEEFF"/>
          </w:tcPr>
          <w:p>
            <w:pPr>
              <w:ind w:left="320"/>
              <w:spacing w:after="0"/>
              <w:rPr>
                <w:sz w:val="20"/>
                <w:szCs w:val="20"/>
                <w:color w:val="auto"/>
              </w:rPr>
            </w:pPr>
            <w:r>
              <w:rPr>
                <w:rFonts w:ascii="Arial" w:cs="Arial" w:eastAsia="Arial" w:hAnsi="Arial"/>
                <w:sz w:val="14"/>
                <w:szCs w:val="14"/>
                <w:i w:val="1"/>
                <w:iCs w:val="1"/>
                <w:color w:val="auto"/>
              </w:rPr>
              <w:t>GasLog Sydney</w:t>
            </w:r>
          </w:p>
        </w:tc>
        <w:tc>
          <w:tcPr>
            <w:tcW w:w="9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2013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155,000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360"/>
              <w:spacing w:after="0" w:line="189" w:lineRule="exact"/>
              <w:rPr>
                <w:sz w:val="20"/>
                <w:szCs w:val="20"/>
                <w:color w:val="auto"/>
              </w:rPr>
            </w:pPr>
            <w:r>
              <w:rPr>
                <w:rFonts w:ascii="Arial" w:cs="Arial" w:eastAsia="Arial" w:hAnsi="Arial"/>
                <w:sz w:val="13"/>
                <w:szCs w:val="13"/>
                <w:color w:val="auto"/>
                <w:w w:val="95"/>
              </w:rPr>
              <w:t xml:space="preserve">TotalEnergies </w:t>
            </w:r>
            <w:r>
              <w:rPr>
                <w:rFonts w:ascii="Arial" w:cs="Arial" w:eastAsia="Arial" w:hAnsi="Arial"/>
                <w:sz w:val="21"/>
                <w:szCs w:val="21"/>
                <w:color w:val="auto"/>
                <w:w w:val="95"/>
                <w:vertAlign w:val="superscript"/>
              </w:rPr>
              <w:t>(13)</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TFDE</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June 2022</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60" w:type="dxa"/>
            <w:vAlign w:val="bottom"/>
          </w:tcPr>
          <w:p>
            <w:pPr>
              <w:spacing w:after="0" w:line="149" w:lineRule="exact"/>
              <w:rPr>
                <w:sz w:val="20"/>
                <w:szCs w:val="20"/>
                <w:color w:val="auto"/>
              </w:rPr>
            </w:pPr>
            <w:r>
              <w:rPr>
                <w:rFonts w:ascii="Arial" w:cs="Arial" w:eastAsia="Arial" w:hAnsi="Arial"/>
                <w:sz w:val="14"/>
                <w:szCs w:val="14"/>
                <w:b w:val="1"/>
                <w:bCs w:val="1"/>
                <w:color w:val="auto"/>
              </w:rPr>
              <w:t>4</w:t>
            </w:r>
          </w:p>
        </w:tc>
        <w:tc>
          <w:tcPr>
            <w:tcW w:w="2440" w:type="dxa"/>
            <w:vAlign w:val="bottom"/>
            <w:gridSpan w:val="5"/>
          </w:tcPr>
          <w:p>
            <w:pPr>
              <w:ind w:left="320"/>
              <w:spacing w:after="0" w:line="149" w:lineRule="exact"/>
              <w:rPr>
                <w:sz w:val="20"/>
                <w:szCs w:val="20"/>
                <w:color w:val="auto"/>
              </w:rPr>
            </w:pPr>
            <w:r>
              <w:rPr>
                <w:rFonts w:ascii="Arial" w:cs="Arial" w:eastAsia="Arial" w:hAnsi="Arial"/>
                <w:sz w:val="14"/>
                <w:szCs w:val="14"/>
                <w:i w:val="1"/>
                <w:iCs w:val="1"/>
                <w:color w:val="auto"/>
              </w:rPr>
              <w:t>GasLog Seattle</w:t>
            </w:r>
          </w:p>
        </w:tc>
        <w:tc>
          <w:tcPr>
            <w:tcW w:w="96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2013</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ind w:left="440"/>
              <w:spacing w:after="0" w:line="149" w:lineRule="exact"/>
              <w:rPr>
                <w:sz w:val="20"/>
                <w:szCs w:val="20"/>
                <w:color w:val="auto"/>
              </w:rPr>
            </w:pPr>
            <w:r>
              <w:rPr>
                <w:rFonts w:ascii="Arial" w:cs="Arial" w:eastAsia="Arial" w:hAnsi="Arial"/>
                <w:sz w:val="14"/>
                <w:szCs w:val="14"/>
                <w:color w:val="auto"/>
              </w:rPr>
              <w:t>155,000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TotalEnergies</w:t>
            </w:r>
          </w:p>
        </w:tc>
        <w:tc>
          <w:tcPr>
            <w:tcW w:w="13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TFDE</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June 2022</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5</w:t>
            </w:r>
          </w:p>
        </w:tc>
        <w:tc>
          <w:tcPr>
            <w:tcW w:w="2440" w:type="dxa"/>
            <w:vAlign w:val="bottom"/>
            <w:gridSpan w:val="5"/>
            <w:shd w:val="clear" w:color="auto" w:fill="CCEEFF"/>
          </w:tcPr>
          <w:p>
            <w:pPr>
              <w:ind w:left="320"/>
              <w:spacing w:after="0"/>
              <w:rPr>
                <w:sz w:val="20"/>
                <w:szCs w:val="20"/>
                <w:color w:val="auto"/>
              </w:rPr>
            </w:pPr>
            <w:r>
              <w:rPr>
                <w:rFonts w:ascii="Arial" w:cs="Arial" w:eastAsia="Arial" w:hAnsi="Arial"/>
                <w:sz w:val="14"/>
                <w:szCs w:val="14"/>
                <w:i w:val="1"/>
                <w:iCs w:val="1"/>
                <w:color w:val="auto"/>
              </w:rPr>
              <w:t>Methane Shirley Elisabeth</w:t>
            </w:r>
          </w:p>
        </w:tc>
        <w:tc>
          <w:tcPr>
            <w:tcW w:w="9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2007</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145,000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360"/>
              <w:spacing w:after="0" w:line="189" w:lineRule="exact"/>
              <w:rPr>
                <w:sz w:val="20"/>
                <w:szCs w:val="20"/>
                <w:color w:val="auto"/>
              </w:rPr>
            </w:pPr>
            <w:r>
              <w:rPr>
                <w:rFonts w:ascii="Arial" w:cs="Arial" w:eastAsia="Arial" w:hAnsi="Arial"/>
                <w:sz w:val="13"/>
                <w:szCs w:val="13"/>
                <w:color w:val="auto"/>
                <w:w w:val="93"/>
              </w:rPr>
              <w:t xml:space="preserve">JOVO </w:t>
            </w:r>
            <w:r>
              <w:rPr>
                <w:rFonts w:ascii="Arial" w:cs="Arial" w:eastAsia="Arial" w:hAnsi="Arial"/>
                <w:sz w:val="21"/>
                <w:szCs w:val="21"/>
                <w:color w:val="auto"/>
                <w:w w:val="93"/>
                <w:vertAlign w:val="superscript"/>
              </w:rPr>
              <w:t>(14)</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Steam</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August 2022</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260" w:type="dxa"/>
            <w:vAlign w:val="bottom"/>
          </w:tcPr>
          <w:p>
            <w:pPr>
              <w:spacing w:after="0" w:line="149" w:lineRule="exact"/>
              <w:rPr>
                <w:sz w:val="20"/>
                <w:szCs w:val="20"/>
                <w:color w:val="auto"/>
              </w:rPr>
            </w:pPr>
            <w:r>
              <w:rPr>
                <w:rFonts w:ascii="Arial" w:cs="Arial" w:eastAsia="Arial" w:hAnsi="Arial"/>
                <w:sz w:val="14"/>
                <w:szCs w:val="14"/>
                <w:b w:val="1"/>
                <w:bCs w:val="1"/>
                <w:color w:val="auto"/>
              </w:rPr>
              <w:t>6</w:t>
            </w:r>
          </w:p>
        </w:tc>
        <w:tc>
          <w:tcPr>
            <w:tcW w:w="2440" w:type="dxa"/>
            <w:vAlign w:val="bottom"/>
            <w:gridSpan w:val="5"/>
          </w:tcPr>
          <w:p>
            <w:pPr>
              <w:ind w:left="320"/>
              <w:spacing w:after="0" w:line="149" w:lineRule="exact"/>
              <w:rPr>
                <w:sz w:val="20"/>
                <w:szCs w:val="20"/>
                <w:color w:val="auto"/>
              </w:rPr>
            </w:pPr>
            <w:r>
              <w:rPr>
                <w:rFonts w:ascii="Arial" w:cs="Arial" w:eastAsia="Arial" w:hAnsi="Arial"/>
                <w:sz w:val="14"/>
                <w:szCs w:val="14"/>
                <w:i w:val="1"/>
                <w:iCs w:val="1"/>
                <w:color w:val="auto"/>
              </w:rPr>
              <w:t>Methane Rita Andrea</w:t>
            </w:r>
          </w:p>
        </w:tc>
        <w:tc>
          <w:tcPr>
            <w:tcW w:w="96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2006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ind w:left="440"/>
              <w:spacing w:after="0" w:line="149" w:lineRule="exact"/>
              <w:rPr>
                <w:sz w:val="20"/>
                <w:szCs w:val="20"/>
                <w:color w:val="auto"/>
              </w:rPr>
            </w:pPr>
            <w:r>
              <w:rPr>
                <w:rFonts w:ascii="Arial" w:cs="Arial" w:eastAsia="Arial" w:hAnsi="Arial"/>
                <w:sz w:val="14"/>
                <w:szCs w:val="14"/>
                <w:color w:val="auto"/>
              </w:rPr>
              <w:t>145,000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Gunvor</w:t>
            </w:r>
          </w:p>
        </w:tc>
        <w:tc>
          <w:tcPr>
            <w:tcW w:w="13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Steam</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September 2022</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7</w:t>
            </w:r>
          </w:p>
        </w:tc>
        <w:tc>
          <w:tcPr>
            <w:tcW w:w="2440" w:type="dxa"/>
            <w:vAlign w:val="bottom"/>
            <w:gridSpan w:val="5"/>
            <w:shd w:val="clear" w:color="auto" w:fill="CCEEFF"/>
          </w:tcPr>
          <w:p>
            <w:pPr>
              <w:ind w:left="320"/>
              <w:spacing w:after="0"/>
              <w:rPr>
                <w:sz w:val="20"/>
                <w:szCs w:val="20"/>
                <w:color w:val="auto"/>
              </w:rPr>
            </w:pPr>
            <w:r>
              <w:rPr>
                <w:rFonts w:ascii="Arial" w:cs="Arial" w:eastAsia="Arial" w:hAnsi="Arial"/>
                <w:sz w:val="14"/>
                <w:szCs w:val="14"/>
                <w:i w:val="1"/>
                <w:iCs w:val="1"/>
                <w:color w:val="auto"/>
              </w:rPr>
              <w:t>GasLog Santiago</w:t>
            </w:r>
          </w:p>
        </w:tc>
        <w:tc>
          <w:tcPr>
            <w:tcW w:w="9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2013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155,000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340"/>
              <w:spacing w:after="0" w:line="189" w:lineRule="exact"/>
              <w:rPr>
                <w:sz w:val="20"/>
                <w:szCs w:val="20"/>
                <w:color w:val="auto"/>
              </w:rPr>
            </w:pPr>
            <w:r>
              <w:rPr>
                <w:rFonts w:ascii="Arial" w:cs="Arial" w:eastAsia="Arial" w:hAnsi="Arial"/>
                <w:sz w:val="13"/>
                <w:szCs w:val="13"/>
                <w:color w:val="auto"/>
                <w:w w:val="96"/>
              </w:rPr>
              <w:t xml:space="preserve">Trafigura </w:t>
            </w:r>
            <w:r>
              <w:rPr>
                <w:rFonts w:ascii="Arial" w:cs="Arial" w:eastAsia="Arial" w:hAnsi="Arial"/>
                <w:sz w:val="21"/>
                <w:szCs w:val="21"/>
                <w:color w:val="auto"/>
                <w:w w:val="96"/>
                <w:vertAlign w:val="superscript"/>
              </w:rPr>
              <w:t>(15)</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TFDE</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December 2022</w:t>
            </w:r>
          </w:p>
        </w:tc>
        <w:tc>
          <w:tcPr>
            <w:tcW w:w="122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3"/>
                <w:szCs w:val="13"/>
                <w:color w:val="auto"/>
                <w:w w:val="94"/>
              </w:rPr>
              <w:t xml:space="preserve">2023–2028 </w:t>
            </w:r>
            <w:r>
              <w:rPr>
                <w:rFonts w:ascii="Arial" w:cs="Arial" w:eastAsia="Arial" w:hAnsi="Arial"/>
                <w:sz w:val="21"/>
                <w:szCs w:val="21"/>
                <w:color w:val="auto"/>
                <w:w w:val="94"/>
                <w:vertAlign w:val="superscript"/>
              </w:rPr>
              <w:t>(15)</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4"/>
                <w:szCs w:val="14"/>
                <w:b w:val="1"/>
                <w:bCs w:val="1"/>
                <w:color w:val="auto"/>
              </w:rPr>
              <w:t>8</w:t>
            </w:r>
          </w:p>
        </w:tc>
        <w:tc>
          <w:tcPr>
            <w:tcW w:w="2440" w:type="dxa"/>
            <w:vAlign w:val="bottom"/>
            <w:gridSpan w:val="5"/>
          </w:tcPr>
          <w:p>
            <w:pPr>
              <w:ind w:left="320"/>
              <w:spacing w:after="0"/>
              <w:rPr>
                <w:sz w:val="20"/>
                <w:szCs w:val="20"/>
                <w:color w:val="auto"/>
              </w:rPr>
            </w:pPr>
            <w:r>
              <w:rPr>
                <w:rFonts w:ascii="Arial" w:cs="Arial" w:eastAsia="Arial" w:hAnsi="Arial"/>
                <w:sz w:val="14"/>
                <w:szCs w:val="14"/>
                <w:i w:val="1"/>
                <w:iCs w:val="1"/>
                <w:color w:val="auto"/>
              </w:rPr>
              <w:t>Methane Jane Elizabeth</w:t>
            </w: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2006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ind w:left="440"/>
              <w:spacing w:after="0"/>
              <w:rPr>
                <w:sz w:val="20"/>
                <w:szCs w:val="20"/>
                <w:color w:val="auto"/>
              </w:rPr>
            </w:pPr>
            <w:r>
              <w:rPr>
                <w:rFonts w:ascii="Arial" w:cs="Arial" w:eastAsia="Arial" w:hAnsi="Arial"/>
                <w:sz w:val="14"/>
                <w:szCs w:val="14"/>
                <w:color w:val="auto"/>
              </w:rPr>
              <w:t>145,000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Cheniere</w:t>
            </w:r>
          </w:p>
        </w:tc>
        <w:tc>
          <w:tcPr>
            <w:tcW w:w="1340" w:type="dxa"/>
            <w:vAlign w:val="bottom"/>
            <w:gridSpan w:val="2"/>
          </w:tcPr>
          <w:p>
            <w:pPr>
              <w:ind w:left="440"/>
              <w:spacing w:after="0"/>
              <w:rPr>
                <w:sz w:val="20"/>
                <w:szCs w:val="20"/>
                <w:color w:val="auto"/>
              </w:rPr>
            </w:pPr>
            <w:r>
              <w:rPr>
                <w:rFonts w:ascii="Arial" w:cs="Arial" w:eastAsia="Arial" w:hAnsi="Arial"/>
                <w:sz w:val="14"/>
                <w:szCs w:val="14"/>
                <w:color w:val="auto"/>
              </w:rPr>
              <w:t>Steam</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March 2023</w:t>
            </w:r>
          </w:p>
        </w:tc>
        <w:tc>
          <w:tcPr>
            <w:tcW w:w="1120" w:type="dxa"/>
            <w:vAlign w:val="bottom"/>
          </w:tcPr>
          <w:p>
            <w:pPr>
              <w:jc w:val="center"/>
              <w:ind w:left="31"/>
              <w:spacing w:after="0" w:line="189" w:lineRule="exact"/>
              <w:rPr>
                <w:sz w:val="20"/>
                <w:szCs w:val="20"/>
                <w:color w:val="auto"/>
              </w:rPr>
            </w:pPr>
            <w:r>
              <w:rPr>
                <w:rFonts w:ascii="Arial" w:cs="Arial" w:eastAsia="Arial" w:hAnsi="Arial"/>
                <w:sz w:val="13"/>
                <w:szCs w:val="13"/>
                <w:color w:val="auto"/>
                <w:w w:val="94"/>
              </w:rPr>
              <w:t xml:space="preserve">2024-2025 </w:t>
            </w:r>
            <w:r>
              <w:rPr>
                <w:rFonts w:ascii="Arial" w:cs="Arial" w:eastAsia="Arial" w:hAnsi="Arial"/>
                <w:sz w:val="21"/>
                <w:szCs w:val="21"/>
                <w:color w:val="auto"/>
                <w:w w:val="94"/>
                <w:vertAlign w:val="superscript"/>
              </w:rPr>
              <w:t>(10)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9</w:t>
            </w:r>
          </w:p>
        </w:tc>
        <w:tc>
          <w:tcPr>
            <w:tcW w:w="2440" w:type="dxa"/>
            <w:vAlign w:val="bottom"/>
            <w:gridSpan w:val="5"/>
            <w:shd w:val="clear" w:color="auto" w:fill="CCEEFF"/>
          </w:tcPr>
          <w:p>
            <w:pPr>
              <w:ind w:left="320"/>
              <w:spacing w:after="0"/>
              <w:rPr>
                <w:sz w:val="20"/>
                <w:szCs w:val="20"/>
                <w:color w:val="auto"/>
              </w:rPr>
            </w:pPr>
            <w:r>
              <w:rPr>
                <w:rFonts w:ascii="Arial" w:cs="Arial" w:eastAsia="Arial" w:hAnsi="Arial"/>
                <w:sz w:val="14"/>
                <w:szCs w:val="14"/>
                <w:i w:val="1"/>
                <w:iCs w:val="1"/>
                <w:color w:val="auto"/>
              </w:rPr>
              <w:t>GasLog Geneva</w:t>
            </w:r>
          </w:p>
        </w:tc>
        <w:tc>
          <w:tcPr>
            <w:tcW w:w="9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174,000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6"/>
              </w:rPr>
              <w:t>Shell</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TFDE</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September 2023</w:t>
            </w:r>
          </w:p>
        </w:tc>
        <w:tc>
          <w:tcPr>
            <w:tcW w:w="1120" w:type="dxa"/>
            <w:vAlign w:val="bottom"/>
            <w:shd w:val="clear" w:color="auto" w:fill="CCEEFF"/>
          </w:tcPr>
          <w:p>
            <w:pPr>
              <w:jc w:val="center"/>
              <w:ind w:left="51"/>
              <w:spacing w:after="0" w:line="189" w:lineRule="exact"/>
              <w:rPr>
                <w:sz w:val="20"/>
                <w:szCs w:val="20"/>
                <w:color w:val="auto"/>
              </w:rPr>
            </w:pPr>
            <w:r>
              <w:rPr>
                <w:rFonts w:ascii="Arial" w:cs="Arial" w:eastAsia="Arial" w:hAnsi="Arial"/>
                <w:sz w:val="13"/>
                <w:szCs w:val="13"/>
                <w:color w:val="auto"/>
                <w:w w:val="96"/>
              </w:rPr>
              <w:t xml:space="preserve">2028-2031 </w:t>
            </w:r>
            <w:r>
              <w:rPr>
                <w:rFonts w:ascii="Arial" w:cs="Arial" w:eastAsia="Arial" w:hAnsi="Arial"/>
                <w:sz w:val="21"/>
                <w:szCs w:val="21"/>
                <w:color w:val="auto"/>
                <w:w w:val="96"/>
                <w:vertAlign w:val="superscript"/>
              </w:rPr>
              <w:t>(8)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4"/>
                <w:szCs w:val="14"/>
                <w:b w:val="1"/>
                <w:bCs w:val="1"/>
                <w:color w:val="auto"/>
              </w:rPr>
              <w:t>10</w:t>
            </w:r>
          </w:p>
        </w:tc>
        <w:tc>
          <w:tcPr>
            <w:tcW w:w="2440" w:type="dxa"/>
            <w:vAlign w:val="bottom"/>
            <w:gridSpan w:val="5"/>
          </w:tcPr>
          <w:p>
            <w:pPr>
              <w:ind w:left="320"/>
              <w:spacing w:after="0"/>
              <w:rPr>
                <w:sz w:val="20"/>
                <w:szCs w:val="20"/>
                <w:color w:val="auto"/>
              </w:rPr>
            </w:pPr>
            <w:r>
              <w:rPr>
                <w:rFonts w:ascii="Arial" w:cs="Arial" w:eastAsia="Arial" w:hAnsi="Arial"/>
                <w:sz w:val="14"/>
                <w:szCs w:val="14"/>
                <w:i w:val="1"/>
                <w:iCs w:val="1"/>
                <w:color w:val="auto"/>
              </w:rPr>
              <w:t>Methane Alison Victoria</w:t>
            </w: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2007</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ind w:left="440"/>
              <w:spacing w:after="0"/>
              <w:rPr>
                <w:sz w:val="20"/>
                <w:szCs w:val="20"/>
                <w:color w:val="auto"/>
              </w:rPr>
            </w:pPr>
            <w:r>
              <w:rPr>
                <w:rFonts w:ascii="Arial" w:cs="Arial" w:eastAsia="Arial" w:hAnsi="Arial"/>
                <w:sz w:val="14"/>
                <w:szCs w:val="14"/>
                <w:color w:val="auto"/>
              </w:rPr>
              <w:t>145,000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340"/>
              <w:spacing w:after="0" w:line="189" w:lineRule="exact"/>
              <w:rPr>
                <w:sz w:val="20"/>
                <w:szCs w:val="20"/>
                <w:color w:val="auto"/>
              </w:rPr>
            </w:pPr>
            <w:r>
              <w:rPr>
                <w:rFonts w:ascii="Arial" w:cs="Arial" w:eastAsia="Arial" w:hAnsi="Arial"/>
                <w:sz w:val="13"/>
                <w:szCs w:val="13"/>
                <w:color w:val="auto"/>
              </w:rPr>
              <w:t xml:space="preserve">CNTIC VPower </w:t>
            </w:r>
            <w:r>
              <w:rPr>
                <w:rFonts w:ascii="Arial" w:cs="Arial" w:eastAsia="Arial" w:hAnsi="Arial"/>
                <w:sz w:val="21"/>
                <w:szCs w:val="21"/>
                <w:color w:val="auto"/>
                <w:vertAlign w:val="superscript"/>
              </w:rPr>
              <w:t>(16)</w:t>
            </w:r>
          </w:p>
        </w:tc>
        <w:tc>
          <w:tcPr>
            <w:tcW w:w="1340" w:type="dxa"/>
            <w:vAlign w:val="bottom"/>
            <w:gridSpan w:val="2"/>
          </w:tcPr>
          <w:p>
            <w:pPr>
              <w:ind w:left="440"/>
              <w:spacing w:after="0"/>
              <w:rPr>
                <w:sz w:val="20"/>
                <w:szCs w:val="20"/>
                <w:color w:val="auto"/>
              </w:rPr>
            </w:pPr>
            <w:r>
              <w:rPr>
                <w:rFonts w:ascii="Arial" w:cs="Arial" w:eastAsia="Arial" w:hAnsi="Arial"/>
                <w:sz w:val="14"/>
                <w:szCs w:val="14"/>
                <w:color w:val="auto"/>
              </w:rPr>
              <w:t>Steam</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October 2023</w:t>
            </w:r>
          </w:p>
        </w:tc>
        <w:tc>
          <w:tcPr>
            <w:tcW w:w="1120" w:type="dxa"/>
            <w:vAlign w:val="bottom"/>
          </w:tcPr>
          <w:p>
            <w:pPr>
              <w:jc w:val="center"/>
              <w:ind w:left="31"/>
              <w:spacing w:after="0" w:line="189" w:lineRule="exact"/>
              <w:rPr>
                <w:sz w:val="20"/>
                <w:szCs w:val="20"/>
                <w:color w:val="auto"/>
              </w:rPr>
            </w:pPr>
            <w:r>
              <w:rPr>
                <w:rFonts w:ascii="Arial" w:cs="Arial" w:eastAsia="Arial" w:hAnsi="Arial"/>
                <w:sz w:val="13"/>
                <w:szCs w:val="13"/>
                <w:color w:val="auto"/>
                <w:w w:val="94"/>
              </w:rPr>
              <w:t xml:space="preserve">2024-2025 </w:t>
            </w:r>
            <w:r>
              <w:rPr>
                <w:rFonts w:ascii="Arial" w:cs="Arial" w:eastAsia="Arial" w:hAnsi="Arial"/>
                <w:sz w:val="21"/>
                <w:szCs w:val="21"/>
                <w:color w:val="auto"/>
                <w:w w:val="94"/>
                <w:vertAlign w:val="superscript"/>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11</w:t>
            </w:r>
          </w:p>
        </w:tc>
        <w:tc>
          <w:tcPr>
            <w:tcW w:w="2440" w:type="dxa"/>
            <w:vAlign w:val="bottom"/>
            <w:gridSpan w:val="5"/>
            <w:shd w:val="clear" w:color="auto" w:fill="CCEEFF"/>
          </w:tcPr>
          <w:p>
            <w:pPr>
              <w:ind w:left="320"/>
              <w:spacing w:after="0"/>
              <w:rPr>
                <w:sz w:val="20"/>
                <w:szCs w:val="20"/>
                <w:color w:val="auto"/>
              </w:rPr>
            </w:pPr>
            <w:r>
              <w:rPr>
                <w:rFonts w:ascii="Arial" w:cs="Arial" w:eastAsia="Arial" w:hAnsi="Arial"/>
                <w:sz w:val="14"/>
                <w:szCs w:val="14"/>
                <w:i w:val="1"/>
                <w:iCs w:val="1"/>
                <w:color w:val="auto"/>
              </w:rPr>
              <w:t>GasLog Gibraltar</w:t>
            </w:r>
          </w:p>
        </w:tc>
        <w:tc>
          <w:tcPr>
            <w:tcW w:w="9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174,000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6"/>
              </w:rPr>
              <w:t>Shell</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TFDE</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October 2023</w:t>
            </w:r>
          </w:p>
        </w:tc>
        <w:tc>
          <w:tcPr>
            <w:tcW w:w="1120" w:type="dxa"/>
            <w:vAlign w:val="bottom"/>
            <w:shd w:val="clear" w:color="auto" w:fill="CCEEFF"/>
          </w:tcPr>
          <w:p>
            <w:pPr>
              <w:jc w:val="center"/>
              <w:ind w:left="51"/>
              <w:spacing w:after="0" w:line="189" w:lineRule="exact"/>
              <w:rPr>
                <w:sz w:val="20"/>
                <w:szCs w:val="20"/>
                <w:color w:val="auto"/>
              </w:rPr>
            </w:pPr>
            <w:r>
              <w:rPr>
                <w:rFonts w:ascii="Arial" w:cs="Arial" w:eastAsia="Arial" w:hAnsi="Arial"/>
                <w:sz w:val="13"/>
                <w:szCs w:val="13"/>
                <w:color w:val="auto"/>
                <w:w w:val="96"/>
              </w:rPr>
              <w:t xml:space="preserve">2028-2031 </w:t>
            </w:r>
            <w:r>
              <w:rPr>
                <w:rFonts w:ascii="Arial" w:cs="Arial" w:eastAsia="Arial" w:hAnsi="Arial"/>
                <w:sz w:val="21"/>
                <w:szCs w:val="21"/>
                <w:color w:val="auto"/>
                <w:w w:val="96"/>
                <w:vertAlign w:val="superscript"/>
              </w:rPr>
              <w:t>(8)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4"/>
                <w:szCs w:val="14"/>
                <w:b w:val="1"/>
                <w:bCs w:val="1"/>
                <w:color w:val="auto"/>
              </w:rPr>
              <w:t>12</w:t>
            </w:r>
          </w:p>
        </w:tc>
        <w:tc>
          <w:tcPr>
            <w:tcW w:w="2440" w:type="dxa"/>
            <w:vAlign w:val="bottom"/>
            <w:gridSpan w:val="5"/>
          </w:tcPr>
          <w:p>
            <w:pPr>
              <w:ind w:left="320"/>
              <w:spacing w:after="0"/>
              <w:rPr>
                <w:sz w:val="20"/>
                <w:szCs w:val="20"/>
                <w:color w:val="auto"/>
              </w:rPr>
            </w:pPr>
            <w:r>
              <w:rPr>
                <w:rFonts w:ascii="Arial" w:cs="Arial" w:eastAsia="Arial" w:hAnsi="Arial"/>
                <w:sz w:val="14"/>
                <w:szCs w:val="14"/>
                <w:i w:val="1"/>
                <w:iCs w:val="1"/>
                <w:color w:val="auto"/>
              </w:rPr>
              <w:t>Methane Becki Anne</w:t>
            </w: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ind w:left="440"/>
              <w:spacing w:after="0"/>
              <w:rPr>
                <w:sz w:val="20"/>
                <w:szCs w:val="20"/>
                <w:color w:val="auto"/>
              </w:rPr>
            </w:pPr>
            <w:r>
              <w:rPr>
                <w:rFonts w:ascii="Arial" w:cs="Arial" w:eastAsia="Arial" w:hAnsi="Arial"/>
                <w:sz w:val="14"/>
                <w:szCs w:val="14"/>
                <w:color w:val="auto"/>
              </w:rPr>
              <w:t>170,000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Shell</w:t>
            </w:r>
          </w:p>
        </w:tc>
        <w:tc>
          <w:tcPr>
            <w:tcW w:w="1340" w:type="dxa"/>
            <w:vAlign w:val="bottom"/>
            <w:gridSpan w:val="2"/>
          </w:tcPr>
          <w:p>
            <w:pPr>
              <w:ind w:left="440"/>
              <w:spacing w:after="0"/>
              <w:rPr>
                <w:sz w:val="20"/>
                <w:szCs w:val="20"/>
                <w:color w:val="auto"/>
              </w:rPr>
            </w:pPr>
            <w:r>
              <w:rPr>
                <w:rFonts w:ascii="Arial" w:cs="Arial" w:eastAsia="Arial" w:hAnsi="Arial"/>
                <w:sz w:val="14"/>
                <w:szCs w:val="14"/>
                <w:color w:val="auto"/>
              </w:rPr>
              <w:t>TFDE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March 2024</w:t>
            </w:r>
          </w:p>
        </w:tc>
        <w:tc>
          <w:tcPr>
            <w:tcW w:w="1120" w:type="dxa"/>
            <w:vAlign w:val="bottom"/>
          </w:tcPr>
          <w:p>
            <w:pPr>
              <w:jc w:val="center"/>
              <w:ind w:left="51"/>
              <w:spacing w:after="0" w:line="189" w:lineRule="exact"/>
              <w:rPr>
                <w:sz w:val="20"/>
                <w:szCs w:val="20"/>
                <w:color w:val="auto"/>
              </w:rPr>
            </w:pPr>
            <w:r>
              <w:rPr>
                <w:rFonts w:ascii="Arial" w:cs="Arial" w:eastAsia="Arial" w:hAnsi="Arial"/>
                <w:sz w:val="13"/>
                <w:szCs w:val="13"/>
                <w:color w:val="auto"/>
                <w:w w:val="96"/>
              </w:rPr>
              <w:t xml:space="preserve">2027-2029 </w:t>
            </w:r>
            <w:r>
              <w:rPr>
                <w:rFonts w:ascii="Arial" w:cs="Arial" w:eastAsia="Arial" w:hAnsi="Arial"/>
                <w:sz w:val="21"/>
                <w:szCs w:val="21"/>
                <w:color w:val="auto"/>
                <w:w w:val="96"/>
                <w:vertAlign w:val="superscript"/>
              </w:rPr>
              <w:t>(8)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13</w:t>
            </w:r>
          </w:p>
        </w:tc>
        <w:tc>
          <w:tcPr>
            <w:tcW w:w="2440" w:type="dxa"/>
            <w:vAlign w:val="bottom"/>
            <w:gridSpan w:val="5"/>
            <w:shd w:val="clear" w:color="auto" w:fill="CCEEFF"/>
          </w:tcPr>
          <w:p>
            <w:pPr>
              <w:ind w:left="320"/>
              <w:spacing w:after="0"/>
              <w:rPr>
                <w:sz w:val="20"/>
                <w:szCs w:val="20"/>
                <w:color w:val="auto"/>
              </w:rPr>
            </w:pPr>
            <w:r>
              <w:rPr>
                <w:rFonts w:ascii="Arial" w:cs="Arial" w:eastAsia="Arial" w:hAnsi="Arial"/>
                <w:sz w:val="14"/>
                <w:szCs w:val="14"/>
                <w:i w:val="1"/>
                <w:iCs w:val="1"/>
                <w:color w:val="auto"/>
              </w:rPr>
              <w:t>GasLog Greece</w:t>
            </w:r>
          </w:p>
        </w:tc>
        <w:tc>
          <w:tcPr>
            <w:tcW w:w="9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174,000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6"/>
              </w:rPr>
              <w:t>Shell</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TFDE</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March 2026</w:t>
            </w:r>
          </w:p>
        </w:tc>
        <w:tc>
          <w:tcPr>
            <w:tcW w:w="1120" w:type="dxa"/>
            <w:vAlign w:val="bottom"/>
            <w:shd w:val="clear" w:color="auto" w:fill="CCEEFF"/>
          </w:tcPr>
          <w:p>
            <w:pPr>
              <w:jc w:val="center"/>
              <w:ind w:left="31"/>
              <w:spacing w:after="0" w:line="189" w:lineRule="exact"/>
              <w:rPr>
                <w:sz w:val="20"/>
                <w:szCs w:val="20"/>
                <w:color w:val="auto"/>
              </w:rPr>
            </w:pPr>
            <w:r>
              <w:rPr>
                <w:rFonts w:ascii="Arial" w:cs="Arial" w:eastAsia="Arial" w:hAnsi="Arial"/>
                <w:sz w:val="13"/>
                <w:szCs w:val="13"/>
                <w:color w:val="auto"/>
                <w:w w:val="92"/>
              </w:rPr>
              <w:t xml:space="preserve">2031 </w:t>
            </w:r>
            <w:r>
              <w:rPr>
                <w:rFonts w:ascii="Arial" w:cs="Arial" w:eastAsia="Arial" w:hAnsi="Arial"/>
                <w:sz w:val="21"/>
                <w:szCs w:val="21"/>
                <w:color w:val="auto"/>
                <w:w w:val="92"/>
                <w:vertAlign w:val="superscript"/>
              </w:rPr>
              <w:t>(8)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260" w:type="dxa"/>
            <w:vAlign w:val="bottom"/>
          </w:tcPr>
          <w:p>
            <w:pPr>
              <w:spacing w:after="0"/>
              <w:rPr>
                <w:sz w:val="20"/>
                <w:szCs w:val="20"/>
                <w:color w:val="auto"/>
              </w:rPr>
            </w:pPr>
            <w:r>
              <w:rPr>
                <w:rFonts w:ascii="Arial" w:cs="Arial" w:eastAsia="Arial" w:hAnsi="Arial"/>
                <w:sz w:val="14"/>
                <w:szCs w:val="14"/>
                <w:b w:val="1"/>
                <w:bCs w:val="1"/>
                <w:color w:val="auto"/>
              </w:rPr>
              <w:t>14</w:t>
            </w:r>
          </w:p>
        </w:tc>
        <w:tc>
          <w:tcPr>
            <w:tcW w:w="2440" w:type="dxa"/>
            <w:vAlign w:val="bottom"/>
            <w:gridSpan w:val="5"/>
          </w:tcPr>
          <w:p>
            <w:pPr>
              <w:ind w:left="320"/>
              <w:spacing w:after="0"/>
              <w:rPr>
                <w:sz w:val="20"/>
                <w:szCs w:val="20"/>
                <w:color w:val="auto"/>
              </w:rPr>
            </w:pPr>
            <w:r>
              <w:rPr>
                <w:rFonts w:ascii="Arial" w:cs="Arial" w:eastAsia="Arial" w:hAnsi="Arial"/>
                <w:sz w:val="14"/>
                <w:szCs w:val="14"/>
                <w:i w:val="1"/>
                <w:iCs w:val="1"/>
                <w:color w:val="auto"/>
              </w:rPr>
              <w:t>GasLog Glasgow</w:t>
            </w:r>
          </w:p>
        </w:tc>
        <w:tc>
          <w:tcPr>
            <w:tcW w:w="960" w:type="dxa"/>
            <w:vAlign w:val="bottom"/>
          </w:tcPr>
          <w:p>
            <w:pPr>
              <w:jc w:val="right"/>
              <w:ind w:right="288"/>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ind w:left="440"/>
              <w:spacing w:after="0"/>
              <w:rPr>
                <w:sz w:val="20"/>
                <w:szCs w:val="20"/>
                <w:color w:val="auto"/>
              </w:rPr>
            </w:pPr>
            <w:r>
              <w:rPr>
                <w:rFonts w:ascii="Arial" w:cs="Arial" w:eastAsia="Arial" w:hAnsi="Arial"/>
                <w:sz w:val="14"/>
                <w:szCs w:val="14"/>
                <w:color w:val="auto"/>
              </w:rPr>
              <w:t>174,000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Shell</w:t>
            </w:r>
          </w:p>
        </w:tc>
        <w:tc>
          <w:tcPr>
            <w:tcW w:w="1340" w:type="dxa"/>
            <w:vAlign w:val="bottom"/>
            <w:gridSpan w:val="2"/>
          </w:tcPr>
          <w:p>
            <w:pPr>
              <w:ind w:left="440"/>
              <w:spacing w:after="0"/>
              <w:rPr>
                <w:sz w:val="20"/>
                <w:szCs w:val="20"/>
                <w:color w:val="auto"/>
              </w:rPr>
            </w:pPr>
            <w:r>
              <w:rPr>
                <w:rFonts w:ascii="Arial" w:cs="Arial" w:eastAsia="Arial" w:hAnsi="Arial"/>
                <w:sz w:val="14"/>
                <w:szCs w:val="14"/>
                <w:color w:val="auto"/>
              </w:rPr>
              <w:t>TFDE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June 2026</w:t>
            </w:r>
          </w:p>
        </w:tc>
        <w:tc>
          <w:tcPr>
            <w:tcW w:w="1120" w:type="dxa"/>
            <w:vAlign w:val="bottom"/>
          </w:tcPr>
          <w:p>
            <w:pPr>
              <w:jc w:val="center"/>
              <w:ind w:left="31"/>
              <w:spacing w:after="0"/>
              <w:rPr>
                <w:sz w:val="20"/>
                <w:szCs w:val="20"/>
                <w:color w:val="auto"/>
              </w:rPr>
            </w:pPr>
            <w:r>
              <w:rPr>
                <w:rFonts w:ascii="Arial" w:cs="Arial" w:eastAsia="Arial" w:hAnsi="Arial"/>
                <w:sz w:val="14"/>
                <w:szCs w:val="14"/>
                <w:color w:val="auto"/>
                <w:w w:val="85"/>
              </w:rPr>
              <w:t xml:space="preserve">2031 </w:t>
            </w:r>
            <w:r>
              <w:rPr>
                <w:rFonts w:ascii="Arial" w:cs="Arial" w:eastAsia="Arial" w:hAnsi="Arial"/>
                <w:sz w:val="23"/>
                <w:szCs w:val="23"/>
                <w:color w:val="auto"/>
                <w:w w:val="85"/>
                <w:vertAlign w:val="superscript"/>
              </w:rPr>
              <w:t>(8)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70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Bareboat Vessels</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Charterer (for</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Charter</w:t>
            </w: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Optional</w:t>
            </w: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4"/>
            <w:vMerge w:val="restart"/>
          </w:tcPr>
          <w:p>
            <w:pPr>
              <w:ind w:left="180"/>
              <w:spacing w:after="0" w:line="149" w:lineRule="exact"/>
              <w:rPr>
                <w:sz w:val="20"/>
                <w:szCs w:val="20"/>
                <w:color w:val="auto"/>
              </w:rPr>
            </w:pPr>
            <w:r>
              <w:rPr>
                <w:rFonts w:ascii="Arial" w:cs="Arial" w:eastAsia="Arial" w:hAnsi="Arial"/>
                <w:sz w:val="14"/>
                <w:szCs w:val="14"/>
                <w:b w:val="1"/>
                <w:bCs w:val="1"/>
                <w:color w:val="auto"/>
              </w:rPr>
              <w:t>Year</w:t>
            </w: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contracts of more</w:t>
            </w: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60" w:type="dxa"/>
            <w:vAlign w:val="bottom"/>
          </w:tcPr>
          <w:p>
            <w:pPr>
              <w:spacing w:after="0"/>
              <w:rPr>
                <w:sz w:val="3"/>
                <w:szCs w:val="3"/>
                <w:color w:val="auto"/>
              </w:rPr>
            </w:pPr>
          </w:p>
        </w:tc>
        <w:tc>
          <w:tcPr>
            <w:tcW w:w="20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Vessel Name</w:t>
            </w:r>
          </w:p>
        </w:tc>
        <w:tc>
          <w:tcPr>
            <w:tcW w:w="120" w:type="dxa"/>
            <w:vAlign w:val="bottom"/>
            <w:gridSpan w:val="2"/>
            <w:vMerge w:val="restart"/>
          </w:tcPr>
          <w:p>
            <w:pPr>
              <w:spacing w:after="0"/>
              <w:rPr>
                <w:sz w:val="3"/>
                <w:szCs w:val="3"/>
                <w:color w:val="auto"/>
              </w:rPr>
            </w:pPr>
          </w:p>
        </w:tc>
        <w:tc>
          <w:tcPr>
            <w:tcW w:w="300" w:type="dxa"/>
            <w:vAlign w:val="bottom"/>
            <w:gridSpan w:val="2"/>
            <w:vMerge w:val="restart"/>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12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Cbm</w:t>
            </w:r>
          </w:p>
        </w:tc>
        <w:tc>
          <w:tcPr>
            <w:tcW w:w="200" w:type="dxa"/>
            <w:vAlign w:val="bottom"/>
            <w:vMerge w:val="restart"/>
          </w:tcPr>
          <w:p>
            <w:pPr>
              <w:spacing w:after="0"/>
              <w:rPr>
                <w:sz w:val="3"/>
                <w:szCs w:val="3"/>
                <w:color w:val="auto"/>
              </w:rPr>
            </w:pPr>
          </w:p>
        </w:tc>
        <w:tc>
          <w:tcPr>
            <w:tcW w:w="260" w:type="dxa"/>
            <w:vAlign w:val="bottom"/>
            <w:vMerge w:val="restart"/>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Propulsion</w:t>
            </w:r>
          </w:p>
        </w:tc>
        <w:tc>
          <w:tcPr>
            <w:tcW w:w="220" w:type="dxa"/>
            <w:vAlign w:val="bottom"/>
            <w:vMerge w:val="restart"/>
          </w:tcPr>
          <w:p>
            <w:pPr>
              <w:spacing w:after="0"/>
              <w:rPr>
                <w:sz w:val="3"/>
                <w:szCs w:val="3"/>
                <w:color w:val="auto"/>
              </w:rPr>
            </w:pPr>
          </w:p>
        </w:tc>
        <w:tc>
          <w:tcPr>
            <w:tcW w:w="1540" w:type="dxa"/>
            <w:vAlign w:val="bottom"/>
            <w:gridSpan w:val="2"/>
            <w:vMerge w:val="restart"/>
          </w:tcPr>
          <w:p>
            <w:pPr>
              <w:jc w:val="center"/>
              <w:ind w:right="260"/>
              <w:spacing w:after="0" w:line="202" w:lineRule="exact"/>
              <w:rPr>
                <w:sz w:val="20"/>
                <w:szCs w:val="20"/>
                <w:color w:val="auto"/>
              </w:rPr>
            </w:pPr>
            <w:r>
              <w:rPr>
                <w:rFonts w:ascii="Arial" w:cs="Arial" w:eastAsia="Arial" w:hAnsi="Arial"/>
                <w:sz w:val="14"/>
                <w:szCs w:val="14"/>
                <w:b w:val="1"/>
                <w:bCs w:val="1"/>
                <w:color w:val="auto"/>
                <w:w w:val="91"/>
              </w:rPr>
              <w:t>Expiration</w:t>
            </w:r>
            <w:r>
              <w:rPr>
                <w:rFonts w:ascii="Arial" w:cs="Arial" w:eastAsia="Arial" w:hAnsi="Arial"/>
                <w:sz w:val="23"/>
                <w:szCs w:val="23"/>
                <w:b w:val="1"/>
                <w:bCs w:val="1"/>
                <w:color w:val="auto"/>
                <w:w w:val="91"/>
                <w:vertAlign w:val="superscript"/>
              </w:rPr>
              <w:t>(1)</w:t>
            </w:r>
          </w:p>
        </w:tc>
        <w:tc>
          <w:tcPr>
            <w:tcW w:w="1220" w:type="dxa"/>
            <w:vAlign w:val="bottom"/>
            <w:gridSpan w:val="2"/>
            <w:vMerge w:val="restart"/>
          </w:tcPr>
          <w:p>
            <w:pPr>
              <w:ind w:left="260"/>
              <w:spacing w:after="0" w:line="202" w:lineRule="exact"/>
              <w:rPr>
                <w:sz w:val="20"/>
                <w:szCs w:val="20"/>
                <w:color w:val="auto"/>
              </w:rPr>
            </w:pPr>
            <w:r>
              <w:rPr>
                <w:rFonts w:ascii="Arial" w:cs="Arial" w:eastAsia="Arial" w:hAnsi="Arial"/>
                <w:sz w:val="14"/>
                <w:szCs w:val="14"/>
                <w:b w:val="1"/>
                <w:bCs w:val="1"/>
                <w:color w:val="auto"/>
              </w:rPr>
              <w:t>Period</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65"/>
        </w:trPr>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2"/>
            <w:vMerge w:val="continue"/>
          </w:tcPr>
          <w:p>
            <w:pPr>
              <w:spacing w:after="0"/>
              <w:rPr>
                <w:sz w:val="14"/>
                <w:szCs w:val="14"/>
                <w:color w:val="auto"/>
              </w:rPr>
            </w:pPr>
          </w:p>
        </w:tc>
        <w:tc>
          <w:tcPr>
            <w:tcW w:w="300" w:type="dxa"/>
            <w:vAlign w:val="bottom"/>
            <w:tcBorders>
              <w:bottom w:val="single" w:sz="8" w:color="auto"/>
            </w:tcBorders>
            <w:gridSpan w:val="2"/>
            <w:vMerge w:val="continue"/>
          </w:tcPr>
          <w:p>
            <w:pPr>
              <w:spacing w:after="0"/>
              <w:rPr>
                <w:sz w:val="14"/>
                <w:szCs w:val="14"/>
                <w:color w:val="auto"/>
              </w:rPr>
            </w:pPr>
          </w:p>
        </w:tc>
        <w:tc>
          <w:tcPr>
            <w:tcW w:w="960" w:type="dxa"/>
            <w:vAlign w:val="bottom"/>
            <w:tcBorders>
              <w:bottom w:val="single" w:sz="8" w:color="auto"/>
            </w:tcBorders>
          </w:tcPr>
          <w:p>
            <w:pPr>
              <w:jc w:val="right"/>
              <w:ind w:right="408"/>
              <w:spacing w:after="0" w:line="158" w:lineRule="exact"/>
              <w:rPr>
                <w:sz w:val="20"/>
                <w:szCs w:val="20"/>
                <w:color w:val="auto"/>
              </w:rPr>
            </w:pPr>
            <w:r>
              <w:rPr>
                <w:rFonts w:ascii="Arial" w:cs="Arial" w:eastAsia="Arial" w:hAnsi="Arial"/>
                <w:sz w:val="14"/>
                <w:szCs w:val="14"/>
                <w:b w:val="1"/>
                <w:bCs w:val="1"/>
                <w:color w:val="auto"/>
              </w:rPr>
              <w:t>Built</w:t>
            </w:r>
          </w:p>
        </w:tc>
        <w:tc>
          <w:tcPr>
            <w:tcW w:w="24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auto"/>
            </w:tcBorders>
          </w:tcPr>
          <w:p>
            <w:pPr>
              <w:jc w:val="center"/>
              <w:ind w:right="169"/>
              <w:spacing w:after="0" w:line="158" w:lineRule="exact"/>
              <w:rPr>
                <w:sz w:val="20"/>
                <w:szCs w:val="20"/>
                <w:color w:val="auto"/>
              </w:rPr>
            </w:pPr>
            <w:r>
              <w:rPr>
                <w:rFonts w:ascii="Arial" w:cs="Arial" w:eastAsia="Arial" w:hAnsi="Arial"/>
                <w:sz w:val="14"/>
                <w:szCs w:val="14"/>
                <w:b w:val="1"/>
                <w:bCs w:val="1"/>
                <w:color w:val="auto"/>
                <w:w w:val="91"/>
              </w:rPr>
              <w:t>than six months)</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1</w:t>
            </w:r>
          </w:p>
        </w:tc>
        <w:tc>
          <w:tcPr>
            <w:tcW w:w="2020" w:type="dxa"/>
            <w:vAlign w:val="bottom"/>
            <w:shd w:val="clear" w:color="auto" w:fill="CCEEFF"/>
          </w:tcPr>
          <w:p>
            <w:pPr>
              <w:ind w:left="320"/>
              <w:spacing w:after="0" w:line="189" w:lineRule="exact"/>
              <w:rPr>
                <w:sz w:val="20"/>
                <w:szCs w:val="20"/>
                <w:color w:val="auto"/>
              </w:rPr>
            </w:pPr>
            <w:r>
              <w:rPr>
                <w:rFonts w:ascii="Arial" w:cs="Arial" w:eastAsia="Arial" w:hAnsi="Arial"/>
                <w:sz w:val="13"/>
                <w:szCs w:val="13"/>
                <w:i w:val="1"/>
                <w:iCs w:val="1"/>
                <w:color w:val="auto"/>
              </w:rPr>
              <w:t xml:space="preserve">GasLog Shanghai </w:t>
            </w:r>
            <w:r>
              <w:rPr>
                <w:rFonts w:ascii="Arial" w:cs="Arial" w:eastAsia="Arial" w:hAnsi="Arial"/>
                <w:sz w:val="21"/>
                <w:szCs w:val="21"/>
                <w:i w:val="1"/>
                <w:iCs w:val="1"/>
                <w:color w:val="auto"/>
                <w:vertAlign w:val="superscript"/>
              </w:rPr>
              <w:t>(17)</w:t>
            </w:r>
          </w:p>
        </w:tc>
        <w:tc>
          <w:tcPr>
            <w:tcW w:w="120" w:type="dxa"/>
            <w:vAlign w:val="bottom"/>
            <w:gridSpan w:val="2"/>
            <w:shd w:val="clear" w:color="auto" w:fill="CCEEFF"/>
          </w:tcPr>
          <w:p>
            <w:pPr>
              <w:spacing w:after="0"/>
              <w:rPr>
                <w:sz w:val="16"/>
                <w:szCs w:val="16"/>
                <w:color w:val="auto"/>
              </w:rPr>
            </w:pPr>
          </w:p>
        </w:tc>
        <w:tc>
          <w:tcPr>
            <w:tcW w:w="300" w:type="dxa"/>
            <w:vAlign w:val="bottom"/>
            <w:gridSpan w:val="2"/>
            <w:shd w:val="clear" w:color="auto" w:fill="CCEEFF"/>
          </w:tcPr>
          <w:p>
            <w:pPr>
              <w:spacing w:after="0"/>
              <w:rPr>
                <w:sz w:val="16"/>
                <w:szCs w:val="16"/>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155,000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5"/>
              </w:rPr>
              <w:t>Gunvor</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TFDE</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November 2022</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4"/>
                <w:szCs w:val="14"/>
                <w:b w:val="1"/>
                <w:bCs w:val="1"/>
                <w:color w:val="auto"/>
              </w:rPr>
              <w:t>2</w:t>
            </w:r>
          </w:p>
        </w:tc>
        <w:tc>
          <w:tcPr>
            <w:tcW w:w="2440" w:type="dxa"/>
            <w:vAlign w:val="bottom"/>
            <w:gridSpan w:val="5"/>
          </w:tcPr>
          <w:p>
            <w:pPr>
              <w:ind w:left="320"/>
              <w:spacing w:after="0" w:line="189" w:lineRule="exact"/>
              <w:rPr>
                <w:sz w:val="20"/>
                <w:szCs w:val="20"/>
                <w:color w:val="auto"/>
              </w:rPr>
            </w:pPr>
            <w:r>
              <w:rPr>
                <w:rFonts w:ascii="Arial" w:cs="Arial" w:eastAsia="Arial" w:hAnsi="Arial"/>
                <w:sz w:val="13"/>
                <w:szCs w:val="13"/>
                <w:i w:val="1"/>
                <w:iCs w:val="1"/>
                <w:color w:val="auto"/>
              </w:rPr>
              <w:t xml:space="preserve">GasLog Salem </w:t>
            </w:r>
            <w:r>
              <w:rPr>
                <w:rFonts w:ascii="Arial" w:cs="Arial" w:eastAsia="Arial" w:hAnsi="Arial"/>
                <w:sz w:val="21"/>
                <w:szCs w:val="21"/>
                <w:i w:val="1"/>
                <w:iCs w:val="1"/>
                <w:color w:val="auto"/>
                <w:vertAlign w:val="superscript"/>
              </w:rPr>
              <w:t>(17)</w:t>
            </w:r>
          </w:p>
        </w:tc>
        <w:tc>
          <w:tcPr>
            <w:tcW w:w="960" w:type="dxa"/>
            <w:vAlign w:val="bottom"/>
          </w:tcPr>
          <w:p>
            <w:pPr>
              <w:ind w:left="240"/>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ind w:left="440"/>
              <w:spacing w:after="0"/>
              <w:rPr>
                <w:sz w:val="20"/>
                <w:szCs w:val="20"/>
                <w:color w:val="auto"/>
              </w:rPr>
            </w:pPr>
            <w:r>
              <w:rPr>
                <w:rFonts w:ascii="Arial" w:cs="Arial" w:eastAsia="Arial" w:hAnsi="Arial"/>
                <w:sz w:val="14"/>
                <w:szCs w:val="14"/>
                <w:color w:val="auto"/>
              </w:rPr>
              <w:t>155,000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Gunvor</w:t>
            </w:r>
          </w:p>
        </w:tc>
        <w:tc>
          <w:tcPr>
            <w:tcW w:w="1340" w:type="dxa"/>
            <w:vAlign w:val="bottom"/>
            <w:gridSpan w:val="2"/>
          </w:tcPr>
          <w:p>
            <w:pPr>
              <w:ind w:left="440"/>
              <w:spacing w:after="0"/>
              <w:rPr>
                <w:sz w:val="20"/>
                <w:szCs w:val="20"/>
                <w:color w:val="auto"/>
              </w:rPr>
            </w:pPr>
            <w:r>
              <w:rPr>
                <w:rFonts w:ascii="Arial" w:cs="Arial" w:eastAsia="Arial" w:hAnsi="Arial"/>
                <w:sz w:val="14"/>
                <w:szCs w:val="14"/>
                <w:color w:val="auto"/>
              </w:rPr>
              <w:t>TFDE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March 2023</w:t>
            </w:r>
          </w:p>
        </w:tc>
        <w:tc>
          <w:tcPr>
            <w:tcW w:w="122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w:t>
            </w:r>
          </w:p>
        </w:tc>
        <w:tc>
          <w:tcPr>
            <w:tcW w:w="2440" w:type="dxa"/>
            <w:vAlign w:val="bottom"/>
            <w:gridSpan w:val="5"/>
            <w:shd w:val="clear" w:color="auto" w:fill="CCEEFF"/>
          </w:tcPr>
          <w:p>
            <w:pPr>
              <w:ind w:left="320"/>
              <w:spacing w:after="0" w:line="189" w:lineRule="exact"/>
              <w:rPr>
                <w:sz w:val="20"/>
                <w:szCs w:val="20"/>
                <w:color w:val="auto"/>
              </w:rPr>
            </w:pPr>
            <w:r>
              <w:rPr>
                <w:rFonts w:ascii="Arial" w:cs="Arial" w:eastAsia="Arial" w:hAnsi="Arial"/>
                <w:sz w:val="13"/>
                <w:szCs w:val="13"/>
                <w:i w:val="1"/>
                <w:iCs w:val="1"/>
                <w:color w:val="auto"/>
              </w:rPr>
              <w:t xml:space="preserve">GasLog Hong Kong </w:t>
            </w:r>
            <w:r>
              <w:rPr>
                <w:rFonts w:ascii="Arial" w:cs="Arial" w:eastAsia="Arial" w:hAnsi="Arial"/>
                <w:sz w:val="21"/>
                <w:szCs w:val="21"/>
                <w:i w:val="1"/>
                <w:iCs w:val="1"/>
                <w:color w:val="auto"/>
                <w:vertAlign w:val="superscript"/>
              </w:rPr>
              <w:t>(17)</w:t>
            </w:r>
          </w:p>
        </w:tc>
        <w:tc>
          <w:tcPr>
            <w:tcW w:w="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174,000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2"/>
              </w:rPr>
              <w:t>TotalEnergies</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X-DF</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December 2025</w:t>
            </w:r>
          </w:p>
        </w:tc>
        <w:tc>
          <w:tcPr>
            <w:tcW w:w="1120" w:type="dxa"/>
            <w:vAlign w:val="bottom"/>
            <w:shd w:val="clear" w:color="auto" w:fill="CCEEFF"/>
          </w:tcPr>
          <w:p>
            <w:pPr>
              <w:jc w:val="center"/>
              <w:ind w:left="51"/>
              <w:spacing w:after="0" w:line="189" w:lineRule="exact"/>
              <w:rPr>
                <w:sz w:val="20"/>
                <w:szCs w:val="20"/>
                <w:color w:val="auto"/>
              </w:rPr>
            </w:pPr>
            <w:r>
              <w:rPr>
                <w:rFonts w:ascii="Arial" w:cs="Arial" w:eastAsia="Arial" w:hAnsi="Arial"/>
                <w:sz w:val="13"/>
                <w:szCs w:val="13"/>
                <w:color w:val="auto"/>
                <w:w w:val="90"/>
              </w:rPr>
              <w:t xml:space="preserve">2028 </w:t>
            </w:r>
            <w:r>
              <w:rPr>
                <w:rFonts w:ascii="Arial" w:cs="Arial" w:eastAsia="Arial" w:hAnsi="Arial"/>
                <w:sz w:val="21"/>
                <w:szCs w:val="21"/>
                <w:color w:val="auto"/>
                <w:w w:val="90"/>
                <w:vertAlign w:val="superscript"/>
              </w:rPr>
              <w:t>(18)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20"/>
                <w:szCs w:val="20"/>
                <w:color w:val="auto"/>
              </w:rPr>
            </w:pPr>
            <w:r>
              <w:rPr>
                <w:rFonts w:ascii="Arial" w:cs="Arial" w:eastAsia="Arial" w:hAnsi="Arial"/>
                <w:sz w:val="14"/>
                <w:szCs w:val="14"/>
                <w:b w:val="1"/>
                <w:bCs w:val="1"/>
                <w:color w:val="auto"/>
              </w:rPr>
              <w:t>4</w:t>
            </w:r>
          </w:p>
        </w:tc>
        <w:tc>
          <w:tcPr>
            <w:tcW w:w="2440" w:type="dxa"/>
            <w:vAlign w:val="bottom"/>
            <w:gridSpan w:val="5"/>
          </w:tcPr>
          <w:p>
            <w:pPr>
              <w:ind w:left="320"/>
              <w:spacing w:after="0" w:line="189" w:lineRule="exact"/>
              <w:rPr>
                <w:sz w:val="20"/>
                <w:szCs w:val="20"/>
                <w:color w:val="auto"/>
              </w:rPr>
            </w:pPr>
            <w:r>
              <w:rPr>
                <w:rFonts w:ascii="Arial" w:cs="Arial" w:eastAsia="Arial" w:hAnsi="Arial"/>
                <w:sz w:val="13"/>
                <w:szCs w:val="13"/>
                <w:i w:val="1"/>
                <w:iCs w:val="1"/>
                <w:color w:val="auto"/>
              </w:rPr>
              <w:t xml:space="preserve">Methane Julia Louise </w:t>
            </w:r>
            <w:r>
              <w:rPr>
                <w:rFonts w:ascii="Arial" w:cs="Arial" w:eastAsia="Arial" w:hAnsi="Arial"/>
                <w:sz w:val="21"/>
                <w:szCs w:val="21"/>
                <w:i w:val="1"/>
                <w:iCs w:val="1"/>
                <w:color w:val="auto"/>
                <w:vertAlign w:val="superscript"/>
              </w:rPr>
              <w:t>(17)</w:t>
            </w:r>
          </w:p>
        </w:tc>
        <w:tc>
          <w:tcPr>
            <w:tcW w:w="960" w:type="dxa"/>
            <w:vAlign w:val="bottom"/>
          </w:tcPr>
          <w:p>
            <w:pPr>
              <w:ind w:left="240"/>
              <w:spacing w:after="0"/>
              <w:rPr>
                <w:sz w:val="20"/>
                <w:szCs w:val="20"/>
                <w:color w:val="auto"/>
              </w:rPr>
            </w:pPr>
            <w:r>
              <w:rPr>
                <w:rFonts w:ascii="Arial" w:cs="Arial" w:eastAsia="Arial" w:hAnsi="Arial"/>
                <w:sz w:val="14"/>
                <w:szCs w:val="14"/>
                <w:color w:val="auto"/>
              </w:rPr>
              <w:t>2010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ind w:left="440"/>
              <w:spacing w:after="0"/>
              <w:rPr>
                <w:sz w:val="20"/>
                <w:szCs w:val="20"/>
                <w:color w:val="auto"/>
              </w:rPr>
            </w:pPr>
            <w:r>
              <w:rPr>
                <w:rFonts w:ascii="Arial" w:cs="Arial" w:eastAsia="Arial" w:hAnsi="Arial"/>
                <w:sz w:val="14"/>
                <w:szCs w:val="14"/>
                <w:color w:val="auto"/>
              </w:rPr>
              <w:t>170,000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Shell</w:t>
            </w:r>
          </w:p>
        </w:tc>
        <w:tc>
          <w:tcPr>
            <w:tcW w:w="1340" w:type="dxa"/>
            <w:vAlign w:val="bottom"/>
            <w:gridSpan w:val="2"/>
          </w:tcPr>
          <w:p>
            <w:pPr>
              <w:ind w:left="440"/>
              <w:spacing w:after="0"/>
              <w:rPr>
                <w:sz w:val="20"/>
                <w:szCs w:val="20"/>
                <w:color w:val="auto"/>
              </w:rPr>
            </w:pPr>
            <w:r>
              <w:rPr>
                <w:rFonts w:ascii="Arial" w:cs="Arial" w:eastAsia="Arial" w:hAnsi="Arial"/>
                <w:sz w:val="14"/>
                <w:szCs w:val="14"/>
                <w:color w:val="auto"/>
              </w:rPr>
              <w:t>TFDE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March 2026</w:t>
            </w:r>
          </w:p>
        </w:tc>
        <w:tc>
          <w:tcPr>
            <w:tcW w:w="1120" w:type="dxa"/>
            <w:vAlign w:val="bottom"/>
          </w:tcPr>
          <w:p>
            <w:pPr>
              <w:jc w:val="center"/>
              <w:ind w:left="51"/>
              <w:spacing w:after="0" w:line="189" w:lineRule="exact"/>
              <w:rPr>
                <w:sz w:val="20"/>
                <w:szCs w:val="20"/>
                <w:color w:val="auto"/>
              </w:rPr>
            </w:pPr>
            <w:r>
              <w:rPr>
                <w:rFonts w:ascii="Arial" w:cs="Arial" w:eastAsia="Arial" w:hAnsi="Arial"/>
                <w:sz w:val="13"/>
                <w:szCs w:val="13"/>
                <w:color w:val="auto"/>
                <w:w w:val="96"/>
              </w:rPr>
              <w:t xml:space="preserve">2029-2031 </w:t>
            </w:r>
            <w:r>
              <w:rPr>
                <w:rFonts w:ascii="Arial" w:cs="Arial" w:eastAsia="Arial" w:hAnsi="Arial"/>
                <w:sz w:val="21"/>
                <w:szCs w:val="21"/>
                <w:color w:val="auto"/>
                <w:w w:val="96"/>
                <w:vertAlign w:val="superscript"/>
              </w:rPr>
              <w:t>(8)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5</w:t>
            </w:r>
          </w:p>
        </w:tc>
        <w:tc>
          <w:tcPr>
            <w:tcW w:w="2440" w:type="dxa"/>
            <w:vAlign w:val="bottom"/>
            <w:gridSpan w:val="5"/>
            <w:shd w:val="clear" w:color="auto" w:fill="CCEEFF"/>
          </w:tcPr>
          <w:p>
            <w:pPr>
              <w:ind w:left="320"/>
              <w:spacing w:after="0" w:line="189" w:lineRule="exact"/>
              <w:rPr>
                <w:sz w:val="20"/>
                <w:szCs w:val="20"/>
                <w:color w:val="auto"/>
              </w:rPr>
            </w:pPr>
            <w:r>
              <w:rPr>
                <w:rFonts w:ascii="Arial" w:cs="Arial" w:eastAsia="Arial" w:hAnsi="Arial"/>
                <w:sz w:val="13"/>
                <w:szCs w:val="13"/>
                <w:i w:val="1"/>
                <w:iCs w:val="1"/>
                <w:color w:val="auto"/>
              </w:rPr>
              <w:t xml:space="preserve">GasLog Houston </w:t>
            </w:r>
            <w:r>
              <w:rPr>
                <w:rFonts w:ascii="Arial" w:cs="Arial" w:eastAsia="Arial" w:hAnsi="Arial"/>
                <w:sz w:val="21"/>
                <w:szCs w:val="21"/>
                <w:i w:val="1"/>
                <w:iCs w:val="1"/>
                <w:color w:val="auto"/>
                <w:vertAlign w:val="superscript"/>
              </w:rPr>
              <w:t>(17)</w:t>
            </w:r>
          </w:p>
        </w:tc>
        <w:tc>
          <w:tcPr>
            <w:tcW w:w="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174,000</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96"/>
              </w:rPr>
              <w:t>Shell</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X-DF</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May 2028</w:t>
            </w:r>
          </w:p>
        </w:tc>
        <w:tc>
          <w:tcPr>
            <w:tcW w:w="1120" w:type="dxa"/>
            <w:vAlign w:val="bottom"/>
            <w:shd w:val="clear" w:color="auto" w:fill="CCEEFF"/>
          </w:tcPr>
          <w:p>
            <w:pPr>
              <w:jc w:val="center"/>
              <w:ind w:left="51"/>
              <w:spacing w:after="0" w:line="189" w:lineRule="exact"/>
              <w:rPr>
                <w:sz w:val="20"/>
                <w:szCs w:val="20"/>
                <w:color w:val="auto"/>
              </w:rPr>
            </w:pPr>
            <w:r>
              <w:rPr>
                <w:rFonts w:ascii="Arial" w:cs="Arial" w:eastAsia="Arial" w:hAnsi="Arial"/>
                <w:sz w:val="13"/>
                <w:szCs w:val="13"/>
                <w:color w:val="auto"/>
                <w:w w:val="96"/>
              </w:rPr>
              <w:t xml:space="preserve">2031-2034 </w:t>
            </w:r>
            <w:r>
              <w:rPr>
                <w:rFonts w:ascii="Arial" w:cs="Arial" w:eastAsia="Arial" w:hAnsi="Arial"/>
                <w:sz w:val="21"/>
                <w:szCs w:val="21"/>
                <w:color w:val="auto"/>
                <w:w w:val="96"/>
                <w:vertAlign w:val="superscript"/>
              </w:rPr>
              <w:t>(8)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1</w:t>
            </w:r>
            <w:r>
              <w:rPr>
                <w:rFonts w:ascii="Arial" w:cs="Arial" w:eastAsia="Arial" w:hAnsi="Arial"/>
                <w:sz w:val="15"/>
                <w:szCs w:val="15"/>
                <w:color w:val="auto"/>
              </w:rPr>
              <w:t>)</w:t>
            </w:r>
          </w:p>
        </w:tc>
        <w:tc>
          <w:tcPr>
            <w:tcW w:w="3660" w:type="dxa"/>
            <w:vAlign w:val="bottom"/>
            <w:gridSpan w:val="9"/>
          </w:tcPr>
          <w:p>
            <w:pPr>
              <w:ind w:left="80"/>
              <w:spacing w:after="0"/>
              <w:rPr>
                <w:sz w:val="20"/>
                <w:szCs w:val="20"/>
                <w:color w:val="auto"/>
              </w:rPr>
            </w:pPr>
            <w:r>
              <w:rPr>
                <w:rFonts w:ascii="Arial" w:cs="Arial" w:eastAsia="Arial" w:hAnsi="Arial"/>
                <w:sz w:val="18"/>
                <w:szCs w:val="18"/>
                <w:color w:val="auto"/>
              </w:rPr>
              <w:t>Indicates the expiration of the initial term.</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2</w:t>
            </w:r>
            <w:r>
              <w:rPr>
                <w:rFonts w:ascii="Arial" w:cs="Arial" w:eastAsia="Arial" w:hAnsi="Arial"/>
                <w:sz w:val="15"/>
                <w:szCs w:val="15"/>
                <w:color w:val="auto"/>
              </w:rPr>
              <w:t>)</w:t>
            </w:r>
          </w:p>
        </w:tc>
        <w:tc>
          <w:tcPr>
            <w:tcW w:w="8220" w:type="dxa"/>
            <w:vAlign w:val="bottom"/>
            <w:gridSpan w:val="16"/>
          </w:tcPr>
          <w:p>
            <w:pPr>
              <w:ind w:left="80"/>
              <w:spacing w:after="0"/>
              <w:rPr>
                <w:sz w:val="20"/>
                <w:szCs w:val="20"/>
                <w:color w:val="auto"/>
              </w:rPr>
            </w:pPr>
            <w:r>
              <w:rPr>
                <w:rFonts w:ascii="Arial" w:cs="Arial" w:eastAsia="Arial" w:hAnsi="Arial"/>
                <w:sz w:val="18"/>
                <w:szCs w:val="18"/>
                <w:color w:val="auto"/>
                <w:w w:val="95"/>
              </w:rPr>
              <w:t>The period shown reflects the expiration of the minimum optional period and the maximum optional period.</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3</w:t>
            </w:r>
            <w:r>
              <w:rPr>
                <w:rFonts w:ascii="Arial" w:cs="Arial" w:eastAsia="Arial" w:hAnsi="Arial"/>
                <w:sz w:val="15"/>
                <w:szCs w:val="15"/>
                <w:color w:val="auto"/>
              </w:rPr>
              <w:t>)</w:t>
            </w:r>
          </w:p>
        </w:tc>
        <w:tc>
          <w:tcPr>
            <w:tcW w:w="5360" w:type="dxa"/>
            <w:vAlign w:val="bottom"/>
            <w:gridSpan w:val="12"/>
          </w:tcPr>
          <w:p>
            <w:pPr>
              <w:ind w:left="80"/>
              <w:spacing w:after="0"/>
              <w:rPr>
                <w:sz w:val="20"/>
                <w:szCs w:val="20"/>
                <w:color w:val="auto"/>
              </w:rPr>
            </w:pPr>
            <w:r>
              <w:rPr>
                <w:rFonts w:ascii="Arial" w:cs="Arial" w:eastAsia="Arial" w:hAnsi="Arial"/>
                <w:sz w:val="18"/>
                <w:szCs w:val="18"/>
                <w:color w:val="auto"/>
                <w:w w:val="89"/>
              </w:rPr>
              <w:t xml:space="preserve">The </w:t>
            </w:r>
            <w:r>
              <w:rPr>
                <w:rFonts w:ascii="Arial" w:cs="Arial" w:eastAsia="Arial" w:hAnsi="Arial"/>
                <w:sz w:val="18"/>
                <w:szCs w:val="18"/>
                <w:i w:val="1"/>
                <w:iCs w:val="1"/>
                <w:color w:val="auto"/>
                <w:w w:val="89"/>
              </w:rPr>
              <w:t>GasLog Chelsea</w:t>
            </w:r>
            <w:r>
              <w:rPr>
                <w:rFonts w:ascii="Arial" w:cs="Arial" w:eastAsia="Arial" w:hAnsi="Arial"/>
                <w:sz w:val="18"/>
                <w:szCs w:val="18"/>
                <w:color w:val="auto"/>
                <w:w w:val="89"/>
              </w:rPr>
              <w:t xml:space="preserve"> is scheduled to be converted into an FSRU in 2023.</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4</w:t>
            </w:r>
            <w:r>
              <w:rPr>
                <w:rFonts w:ascii="Arial" w:cs="Arial" w:eastAsia="Arial" w:hAnsi="Arial"/>
                <w:sz w:val="15"/>
                <w:szCs w:val="15"/>
                <w:color w:val="auto"/>
              </w:rPr>
              <w:t>)</w:t>
            </w:r>
          </w:p>
        </w:tc>
        <w:tc>
          <w:tcPr>
            <w:tcW w:w="6880" w:type="dxa"/>
            <w:vAlign w:val="bottom"/>
            <w:gridSpan w:val="14"/>
          </w:tcPr>
          <w:p>
            <w:pPr>
              <w:ind w:left="80"/>
              <w:spacing w:after="0"/>
              <w:rPr>
                <w:sz w:val="20"/>
                <w:szCs w:val="20"/>
                <w:color w:val="auto"/>
              </w:rPr>
            </w:pPr>
            <w:r>
              <w:rPr>
                <w:rFonts w:ascii="Arial" w:cs="Arial" w:eastAsia="Arial" w:hAnsi="Arial"/>
                <w:sz w:val="18"/>
                <w:szCs w:val="18"/>
                <w:color w:val="auto"/>
                <w:w w:val="92"/>
              </w:rPr>
              <w:t>The vessel is chartered to LNG Shipping SpA, a wholly owned subsidiary of Eni SpA (“Eni”).</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5</w:t>
            </w:r>
            <w:r>
              <w:rPr>
                <w:rFonts w:ascii="Arial" w:cs="Arial" w:eastAsia="Arial" w:hAnsi="Arial"/>
                <w:sz w:val="15"/>
                <w:szCs w:val="15"/>
                <w:color w:val="auto"/>
              </w:rPr>
              <w:t>)</w:t>
            </w:r>
          </w:p>
        </w:tc>
        <w:tc>
          <w:tcPr>
            <w:tcW w:w="10980" w:type="dxa"/>
            <w:vAlign w:val="bottom"/>
            <w:gridSpan w:val="20"/>
          </w:tcPr>
          <w:p>
            <w:pPr>
              <w:ind w:left="80"/>
              <w:spacing w:after="0"/>
              <w:rPr>
                <w:sz w:val="20"/>
                <w:szCs w:val="20"/>
                <w:color w:val="auto"/>
              </w:rPr>
            </w:pPr>
            <w:r>
              <w:rPr>
                <w:rFonts w:ascii="Arial" w:cs="Arial" w:eastAsia="Arial" w:hAnsi="Arial"/>
                <w:sz w:val="18"/>
                <w:szCs w:val="18"/>
                <w:color w:val="auto"/>
                <w:w w:val="93"/>
              </w:rPr>
              <w:t>The vessel is chartered to RWE Supply &amp; Trading GmbH (“RWE”). Subject to receipt of firm notice by the end of 2023, the vessel is expected to be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980" w:type="dxa"/>
            <w:vAlign w:val="bottom"/>
            <w:gridSpan w:val="20"/>
          </w:tcPr>
          <w:p>
            <w:pPr>
              <w:ind w:left="80"/>
              <w:spacing w:after="0"/>
              <w:rPr>
                <w:sz w:val="20"/>
                <w:szCs w:val="20"/>
                <w:color w:val="auto"/>
              </w:rPr>
            </w:pPr>
            <w:r>
              <w:rPr>
                <w:rFonts w:ascii="Arial" w:cs="Arial" w:eastAsia="Arial" w:hAnsi="Arial"/>
                <w:sz w:val="18"/>
                <w:szCs w:val="18"/>
                <w:color w:val="auto"/>
                <w:w w:val="97"/>
              </w:rPr>
              <w:t>delivered to Sinolam LNG Terminal, S.A. (“Sinolam LNG”) no later than twelve months thereafter for use as a floating storage unit (“FSU”) in</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980" w:type="dxa"/>
            <w:vAlign w:val="bottom"/>
            <w:gridSpan w:val="20"/>
          </w:tcPr>
          <w:p>
            <w:pPr>
              <w:ind w:left="80"/>
              <w:spacing w:after="0"/>
              <w:rPr>
                <w:sz w:val="20"/>
                <w:szCs w:val="20"/>
                <w:color w:val="auto"/>
              </w:rPr>
            </w:pPr>
            <w:r>
              <w:rPr>
                <w:rFonts w:ascii="Arial" w:cs="Arial" w:eastAsia="Arial" w:hAnsi="Arial"/>
                <w:sz w:val="18"/>
                <w:szCs w:val="18"/>
                <w:color w:val="auto"/>
                <w:w w:val="96"/>
              </w:rPr>
              <w:t>support of an LNG gas-fired power plant currently being developed near Colon, Panama, by Sinolam Smarter Energy LNG Power Company, a</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980" w:type="dxa"/>
            <w:vAlign w:val="bottom"/>
            <w:gridSpan w:val="20"/>
          </w:tcPr>
          <w:p>
            <w:pPr>
              <w:ind w:left="80"/>
              <w:spacing w:after="0"/>
              <w:rPr>
                <w:sz w:val="20"/>
                <w:szCs w:val="20"/>
                <w:color w:val="auto"/>
              </w:rPr>
            </w:pPr>
            <w:r>
              <w:rPr>
                <w:rFonts w:ascii="Arial" w:cs="Arial" w:eastAsia="Arial" w:hAnsi="Arial"/>
                <w:sz w:val="18"/>
                <w:szCs w:val="18"/>
                <w:color w:val="auto"/>
                <w:w w:val="90"/>
              </w:rPr>
              <w:t>subsidiary of private Chinese investment group Shanghai Gorgeous Development Company. The completion of the power plant was initially scheduled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980" w:type="dxa"/>
            <w:vAlign w:val="bottom"/>
            <w:gridSpan w:val="20"/>
          </w:tcPr>
          <w:p>
            <w:pPr>
              <w:ind w:left="80"/>
              <w:spacing w:after="0"/>
              <w:rPr>
                <w:sz w:val="20"/>
                <w:szCs w:val="20"/>
                <w:color w:val="auto"/>
              </w:rPr>
            </w:pPr>
            <w:r>
              <w:rPr>
                <w:rFonts w:ascii="Arial" w:cs="Arial" w:eastAsia="Arial" w:hAnsi="Arial"/>
                <w:sz w:val="18"/>
                <w:szCs w:val="18"/>
                <w:color w:val="auto"/>
                <w:w w:val="92"/>
              </w:rPr>
              <w:t>for the second quarter of 2020 but has since been significantly delayed as a result of COVID-19 related impacts to the construction schedule. In the</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0980" w:type="dxa"/>
            <w:vAlign w:val="bottom"/>
            <w:gridSpan w:val="20"/>
          </w:tcPr>
          <w:p>
            <w:pPr>
              <w:ind w:left="80"/>
              <w:spacing w:after="0"/>
              <w:rPr>
                <w:sz w:val="20"/>
                <w:szCs w:val="20"/>
                <w:color w:val="auto"/>
              </w:rPr>
            </w:pPr>
            <w:r>
              <w:rPr>
                <w:rFonts w:ascii="Arial" w:cs="Arial" w:eastAsia="Arial" w:hAnsi="Arial"/>
                <w:sz w:val="18"/>
                <w:szCs w:val="18"/>
                <w:color w:val="auto"/>
                <w:w w:val="95"/>
              </w:rPr>
              <w:t>meantime, the vessel has undergone FSU conversion for the Sinolam LNG charter during its scheduled dry-dock in the second quarter of 2021.</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6</w:t>
            </w:r>
            <w:r>
              <w:rPr>
                <w:rFonts w:ascii="Arial" w:cs="Arial" w:eastAsia="Arial" w:hAnsi="Arial"/>
                <w:sz w:val="15"/>
                <w:szCs w:val="15"/>
                <w:color w:val="auto"/>
              </w:rPr>
              <w:t>)</w:t>
            </w:r>
          </w:p>
        </w:tc>
        <w:tc>
          <w:tcPr>
            <w:tcW w:w="5360" w:type="dxa"/>
            <w:vAlign w:val="bottom"/>
            <w:gridSpan w:val="12"/>
          </w:tcPr>
          <w:p>
            <w:pPr>
              <w:ind w:left="80"/>
              <w:spacing w:after="0"/>
              <w:rPr>
                <w:sz w:val="20"/>
                <w:szCs w:val="20"/>
                <w:color w:val="auto"/>
              </w:rPr>
            </w:pPr>
            <w:r>
              <w:rPr>
                <w:rFonts w:ascii="Arial" w:cs="Arial" w:eastAsia="Arial" w:hAnsi="Arial"/>
                <w:sz w:val="18"/>
                <w:szCs w:val="18"/>
                <w:color w:val="auto"/>
                <w:w w:val="92"/>
              </w:rPr>
              <w:t>The vessel is chartered to Naturgy Aprovisionamientos SA. (“Naturgy”).</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7</w:t>
            </w:r>
            <w:r>
              <w:rPr>
                <w:rFonts w:ascii="Arial" w:cs="Arial" w:eastAsia="Arial" w:hAnsi="Arial"/>
                <w:sz w:val="15"/>
                <w:szCs w:val="15"/>
                <w:color w:val="auto"/>
              </w:rPr>
              <w:t>)</w:t>
            </w:r>
          </w:p>
        </w:tc>
        <w:tc>
          <w:tcPr>
            <w:tcW w:w="10980" w:type="dxa"/>
            <w:vAlign w:val="bottom"/>
            <w:gridSpan w:val="20"/>
          </w:tcPr>
          <w:p>
            <w:pPr>
              <w:ind w:left="80"/>
              <w:spacing w:after="0"/>
              <w:rPr>
                <w:sz w:val="20"/>
                <w:szCs w:val="20"/>
                <w:color w:val="auto"/>
              </w:rPr>
            </w:pPr>
            <w:r>
              <w:rPr>
                <w:rFonts w:ascii="Arial" w:cs="Arial" w:eastAsia="Arial" w:hAnsi="Arial"/>
                <w:sz w:val="18"/>
                <w:szCs w:val="18"/>
                <w:color w:val="auto"/>
                <w:w w:val="91"/>
              </w:rPr>
              <w:t xml:space="preserve">The vessel is chartered to Chevron. After the completion of the sale and leaseback transaction in the first quarter of 2022 with CDBL, </w:t>
            </w:r>
            <w:r>
              <w:rPr>
                <w:rFonts w:ascii="Arial" w:cs="Arial" w:eastAsia="Arial" w:hAnsi="Arial"/>
                <w:sz w:val="18"/>
                <w:szCs w:val="18"/>
                <w:i w:val="1"/>
                <w:iCs w:val="1"/>
                <w:color w:val="auto"/>
                <w:w w:val="91"/>
              </w:rPr>
              <w:t>GasLog Skagen</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2440" w:type="dxa"/>
            <w:vAlign w:val="bottom"/>
            <w:gridSpan w:val="5"/>
          </w:tcPr>
          <w:p>
            <w:pPr>
              <w:ind w:left="80"/>
              <w:spacing w:after="0"/>
              <w:rPr>
                <w:sz w:val="20"/>
                <w:szCs w:val="20"/>
                <w:color w:val="auto"/>
              </w:rPr>
            </w:pPr>
            <w:r>
              <w:rPr>
                <w:rFonts w:ascii="Arial" w:cs="Arial" w:eastAsia="Arial" w:hAnsi="Arial"/>
                <w:sz w:val="18"/>
                <w:szCs w:val="18"/>
                <w:color w:val="auto"/>
                <w:w w:val="95"/>
              </w:rPr>
              <w:t>will become a bareboat vessel.</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8</w:t>
            </w:r>
            <w:r>
              <w:rPr>
                <w:rFonts w:ascii="Arial" w:cs="Arial" w:eastAsia="Arial" w:hAnsi="Arial"/>
                <w:sz w:val="15"/>
                <w:szCs w:val="15"/>
                <w:color w:val="auto"/>
              </w:rPr>
              <w:t>)</w:t>
            </w:r>
          </w:p>
        </w:tc>
        <w:tc>
          <w:tcPr>
            <w:tcW w:w="10980" w:type="dxa"/>
            <w:vAlign w:val="bottom"/>
            <w:gridSpan w:val="20"/>
          </w:tcPr>
          <w:p>
            <w:pPr>
              <w:ind w:left="80"/>
              <w:spacing w:after="0"/>
              <w:rPr>
                <w:sz w:val="20"/>
                <w:szCs w:val="20"/>
                <w:color w:val="auto"/>
              </w:rPr>
            </w:pPr>
            <w:r>
              <w:rPr>
                <w:rFonts w:ascii="Arial" w:cs="Arial" w:eastAsia="Arial" w:hAnsi="Arial"/>
                <w:sz w:val="18"/>
                <w:szCs w:val="18"/>
                <w:color w:val="auto"/>
                <w:w w:val="90"/>
              </w:rPr>
              <w:t xml:space="preserve">The vessel is chartered to Royal Dutch Shell plc (“Shell”). Shell has the right to extend the charters of (a) the </w:t>
            </w:r>
            <w:r>
              <w:rPr>
                <w:rFonts w:ascii="Arial" w:cs="Arial" w:eastAsia="Arial" w:hAnsi="Arial"/>
                <w:sz w:val="18"/>
                <w:szCs w:val="18"/>
                <w:i w:val="1"/>
                <w:iCs w:val="1"/>
                <w:color w:val="auto"/>
                <w:w w:val="90"/>
              </w:rPr>
              <w:t>GasLog Genoa</w:t>
            </w:r>
            <w:r>
              <w:rPr>
                <w:rFonts w:ascii="Arial" w:cs="Arial" w:eastAsia="Arial" w:hAnsi="Arial"/>
                <w:sz w:val="18"/>
                <w:szCs w:val="18"/>
                <w:color w:val="auto"/>
                <w:w w:val="90"/>
              </w:rPr>
              <w:t xml:space="preserve">, the </w:t>
            </w:r>
            <w:r>
              <w:rPr>
                <w:rFonts w:ascii="Arial" w:cs="Arial" w:eastAsia="Arial" w:hAnsi="Arial"/>
                <w:sz w:val="18"/>
                <w:szCs w:val="18"/>
                <w:i w:val="1"/>
                <w:iCs w:val="1"/>
                <w:color w:val="auto"/>
                <w:w w:val="90"/>
              </w:rPr>
              <w:t>GasLog Houston</w:t>
            </w:r>
            <w:r>
              <w:rPr>
                <w:rFonts w:ascii="Arial" w:cs="Arial" w:eastAsia="Arial" w:hAnsi="Arial"/>
                <w:sz w:val="18"/>
                <w:szCs w:val="18"/>
                <w:color w:val="auto"/>
                <w:w w:val="90"/>
              </w:rPr>
              <w:t xml:space="preserve"> and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980" w:type="dxa"/>
            <w:vAlign w:val="bottom"/>
            <w:gridSpan w:val="20"/>
          </w:tcPr>
          <w:p>
            <w:pPr>
              <w:ind w:left="80"/>
              <w:spacing w:after="0"/>
              <w:rPr>
                <w:sz w:val="20"/>
                <w:szCs w:val="20"/>
                <w:color w:val="auto"/>
              </w:rPr>
            </w:pPr>
            <w:r>
              <w:rPr>
                <w:rFonts w:ascii="Arial" w:cs="Arial" w:eastAsia="Arial" w:hAnsi="Arial"/>
                <w:sz w:val="18"/>
                <w:szCs w:val="18"/>
                <w:color w:val="auto"/>
                <w:w w:val="93"/>
              </w:rPr>
              <w:t xml:space="preserve">the </w:t>
            </w:r>
            <w:r>
              <w:rPr>
                <w:rFonts w:ascii="Arial" w:cs="Arial" w:eastAsia="Arial" w:hAnsi="Arial"/>
                <w:sz w:val="18"/>
                <w:szCs w:val="18"/>
                <w:i w:val="1"/>
                <w:iCs w:val="1"/>
                <w:color w:val="auto"/>
                <w:w w:val="93"/>
              </w:rPr>
              <w:t>GasLog Gladstone</w:t>
            </w:r>
            <w:r>
              <w:rPr>
                <w:rFonts w:ascii="Arial" w:cs="Arial" w:eastAsia="Arial" w:hAnsi="Arial"/>
                <w:sz w:val="18"/>
                <w:szCs w:val="18"/>
                <w:color w:val="auto"/>
                <w:w w:val="93"/>
              </w:rPr>
              <w:t xml:space="preserve"> by two additional periods of three years, (b) the </w:t>
            </w:r>
            <w:r>
              <w:rPr>
                <w:rFonts w:ascii="Arial" w:cs="Arial" w:eastAsia="Arial" w:hAnsi="Arial"/>
                <w:sz w:val="18"/>
                <w:szCs w:val="18"/>
                <w:i w:val="1"/>
                <w:iCs w:val="1"/>
                <w:color w:val="auto"/>
                <w:w w:val="93"/>
              </w:rPr>
              <w:t>GasLog Geneva</w:t>
            </w:r>
            <w:r>
              <w:rPr>
                <w:rFonts w:ascii="Arial" w:cs="Arial" w:eastAsia="Arial" w:hAnsi="Arial"/>
                <w:sz w:val="18"/>
                <w:szCs w:val="18"/>
                <w:color w:val="auto"/>
                <w:w w:val="93"/>
              </w:rPr>
              <w:t xml:space="preserve"> and the </w:t>
            </w:r>
            <w:r>
              <w:rPr>
                <w:rFonts w:ascii="Arial" w:cs="Arial" w:eastAsia="Arial" w:hAnsi="Arial"/>
                <w:sz w:val="18"/>
                <w:szCs w:val="18"/>
                <w:i w:val="1"/>
                <w:iCs w:val="1"/>
                <w:color w:val="auto"/>
                <w:w w:val="93"/>
              </w:rPr>
              <w:t>GasLog Gibraltar</w:t>
            </w:r>
            <w:r>
              <w:rPr>
                <w:rFonts w:ascii="Arial" w:cs="Arial" w:eastAsia="Arial" w:hAnsi="Arial"/>
                <w:sz w:val="18"/>
                <w:szCs w:val="18"/>
                <w:color w:val="auto"/>
                <w:w w:val="93"/>
              </w:rPr>
              <w:t xml:space="preserve"> by two additional periods of five</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980" w:type="dxa"/>
            <w:vAlign w:val="bottom"/>
            <w:gridSpan w:val="20"/>
          </w:tcPr>
          <w:p>
            <w:pPr>
              <w:ind w:left="80"/>
              <w:spacing w:after="0"/>
              <w:rPr>
                <w:sz w:val="20"/>
                <w:szCs w:val="20"/>
                <w:color w:val="auto"/>
              </w:rPr>
            </w:pPr>
            <w:r>
              <w:rPr>
                <w:rFonts w:ascii="Arial" w:cs="Arial" w:eastAsia="Arial" w:hAnsi="Arial"/>
                <w:sz w:val="18"/>
                <w:szCs w:val="18"/>
                <w:color w:val="auto"/>
                <w:w w:val="94"/>
              </w:rPr>
              <w:t xml:space="preserve">and three years, respectively, (c) the </w:t>
            </w:r>
            <w:r>
              <w:rPr>
                <w:rFonts w:ascii="Arial" w:cs="Arial" w:eastAsia="Arial" w:hAnsi="Arial"/>
                <w:sz w:val="18"/>
                <w:szCs w:val="18"/>
                <w:i w:val="1"/>
                <w:iCs w:val="1"/>
                <w:color w:val="auto"/>
                <w:w w:val="94"/>
              </w:rPr>
              <w:t>Methane Becki Anne</w:t>
            </w:r>
            <w:r>
              <w:rPr>
                <w:rFonts w:ascii="Arial" w:cs="Arial" w:eastAsia="Arial" w:hAnsi="Arial"/>
                <w:sz w:val="18"/>
                <w:szCs w:val="18"/>
                <w:color w:val="auto"/>
                <w:w w:val="94"/>
              </w:rPr>
              <w:t xml:space="preserve"> and the </w:t>
            </w:r>
            <w:r>
              <w:rPr>
                <w:rFonts w:ascii="Arial" w:cs="Arial" w:eastAsia="Arial" w:hAnsi="Arial"/>
                <w:sz w:val="18"/>
                <w:szCs w:val="18"/>
                <w:i w:val="1"/>
                <w:iCs w:val="1"/>
                <w:color w:val="auto"/>
                <w:w w:val="94"/>
              </w:rPr>
              <w:t>Methane Julia Louise</w:t>
            </w:r>
            <w:r>
              <w:rPr>
                <w:rFonts w:ascii="Arial" w:cs="Arial" w:eastAsia="Arial" w:hAnsi="Arial"/>
                <w:sz w:val="18"/>
                <w:szCs w:val="18"/>
                <w:color w:val="auto"/>
                <w:w w:val="94"/>
              </w:rPr>
              <w:t xml:space="preserve"> for a period of either three or five years, (d) the </w:t>
            </w:r>
            <w:r>
              <w:rPr>
                <w:rFonts w:ascii="Arial" w:cs="Arial" w:eastAsia="Arial" w:hAnsi="Arial"/>
                <w:sz w:val="18"/>
                <w:szCs w:val="18"/>
                <w:i w:val="1"/>
                <w:iCs w:val="1"/>
                <w:color w:val="auto"/>
                <w:w w:val="94"/>
              </w:rPr>
              <w:t>GasLog</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9760" w:type="dxa"/>
            <w:vAlign w:val="bottom"/>
            <w:gridSpan w:val="18"/>
          </w:tcPr>
          <w:p>
            <w:pPr>
              <w:ind w:left="80"/>
              <w:spacing w:after="0"/>
              <w:rPr>
                <w:sz w:val="20"/>
                <w:szCs w:val="20"/>
                <w:color w:val="auto"/>
              </w:rPr>
            </w:pPr>
            <w:r>
              <w:rPr>
                <w:rFonts w:ascii="Arial" w:cs="Arial" w:eastAsia="Arial" w:hAnsi="Arial"/>
                <w:sz w:val="18"/>
                <w:szCs w:val="18"/>
                <w:i w:val="1"/>
                <w:iCs w:val="1"/>
                <w:color w:val="auto"/>
                <w:w w:val="98"/>
              </w:rPr>
              <w:t xml:space="preserve">Greece </w:t>
            </w:r>
            <w:r>
              <w:rPr>
                <w:rFonts w:ascii="Arial" w:cs="Arial" w:eastAsia="Arial" w:hAnsi="Arial"/>
                <w:sz w:val="18"/>
                <w:szCs w:val="18"/>
                <w:color w:val="auto"/>
                <w:w w:val="98"/>
              </w:rPr>
              <w:t>and the</w:t>
            </w:r>
            <w:r>
              <w:rPr>
                <w:rFonts w:ascii="Arial" w:cs="Arial" w:eastAsia="Arial" w:hAnsi="Arial"/>
                <w:sz w:val="18"/>
                <w:szCs w:val="18"/>
                <w:i w:val="1"/>
                <w:iCs w:val="1"/>
                <w:color w:val="auto"/>
                <w:w w:val="98"/>
              </w:rPr>
              <w:t xml:space="preserve"> GasLog Glasgow </w:t>
            </w:r>
            <w:r>
              <w:rPr>
                <w:rFonts w:ascii="Arial" w:cs="Arial" w:eastAsia="Arial" w:hAnsi="Arial"/>
                <w:sz w:val="18"/>
                <w:szCs w:val="18"/>
                <w:color w:val="auto"/>
                <w:w w:val="98"/>
              </w:rPr>
              <w:t>for a period of five years, provided that Shell gives us advance notice of the declarations.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0" w:type="dxa"/>
            <w:vAlign w:val="bottom"/>
          </w:tcPr>
          <w:p>
            <w:pPr>
              <w:spacing w:after="0"/>
              <w:rPr>
                <w:sz w:val="20"/>
                <w:szCs w:val="20"/>
                <w:color w:val="auto"/>
              </w:rPr>
            </w:pPr>
            <w:r>
              <w:rPr>
                <w:rFonts w:ascii="Arial" w:cs="Arial" w:eastAsia="Arial" w:hAnsi="Arial"/>
                <w:sz w:val="15"/>
                <w:szCs w:val="15"/>
                <w:color w:val="auto"/>
              </w:rPr>
              <w:t>(</w:t>
            </w:r>
            <w:r>
              <w:rPr>
                <w:rFonts w:ascii="Arial" w:cs="Arial" w:eastAsia="Arial" w:hAnsi="Arial"/>
                <w:sz w:val="14"/>
                <w:szCs w:val="14"/>
                <w:color w:val="auto"/>
              </w:rPr>
              <w:t>9</w:t>
            </w:r>
            <w:r>
              <w:rPr>
                <w:rFonts w:ascii="Arial" w:cs="Arial" w:eastAsia="Arial" w:hAnsi="Arial"/>
                <w:sz w:val="15"/>
                <w:szCs w:val="15"/>
                <w:color w:val="auto"/>
              </w:rPr>
              <w:t>)</w:t>
            </w:r>
          </w:p>
        </w:tc>
        <w:tc>
          <w:tcPr>
            <w:tcW w:w="10980" w:type="dxa"/>
            <w:vAlign w:val="bottom"/>
            <w:gridSpan w:val="20"/>
          </w:tcPr>
          <w:p>
            <w:pPr>
              <w:ind w:left="80"/>
              <w:spacing w:after="0"/>
              <w:rPr>
                <w:sz w:val="20"/>
                <w:szCs w:val="20"/>
                <w:color w:val="auto"/>
              </w:rPr>
            </w:pPr>
            <w:r>
              <w:rPr>
                <w:rFonts w:ascii="Arial" w:cs="Arial" w:eastAsia="Arial" w:hAnsi="Arial"/>
                <w:sz w:val="18"/>
                <w:szCs w:val="18"/>
                <w:color w:val="auto"/>
                <w:w w:val="93"/>
              </w:rPr>
              <w:t>The vessels are chartered to Pioneer Shipping Limited, a wholly owned subsidiary of Centrica Plc (“Centrica”). Centrica has the right to extend the</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8220" w:type="dxa"/>
            <w:vAlign w:val="bottom"/>
            <w:gridSpan w:val="16"/>
          </w:tcPr>
          <w:p>
            <w:pPr>
              <w:ind w:left="80"/>
              <w:spacing w:after="0"/>
              <w:rPr>
                <w:sz w:val="20"/>
                <w:szCs w:val="20"/>
                <w:color w:val="auto"/>
              </w:rPr>
            </w:pPr>
            <w:r>
              <w:rPr>
                <w:rFonts w:ascii="Arial" w:cs="Arial" w:eastAsia="Arial" w:hAnsi="Arial"/>
                <w:sz w:val="18"/>
                <w:szCs w:val="18"/>
                <w:color w:val="auto"/>
                <w:w w:val="91"/>
              </w:rPr>
              <w:t>charters by three additional periods of two years, provided that Centrica gives us advance notice of declaration.</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23"/>
        <w:spacing w:after="0" w:line="220"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10</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The vessels are chartered to Cheniere Marketing International LLP, a subsidiary of Cheniere Energy Inc. (“Cheniere”). Cheniere has the right to extend the charters of (a) the </w:t>
      </w:r>
      <w:r>
        <w:rPr>
          <w:rFonts w:ascii="Arial" w:cs="Arial" w:eastAsia="Arial" w:hAnsi="Arial"/>
          <w:sz w:val="18"/>
          <w:szCs w:val="18"/>
          <w:i w:val="1"/>
          <w:iCs w:val="1"/>
          <w:color w:val="auto"/>
        </w:rPr>
        <w:t>GasLog Georgetown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Galveston,</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Wellington</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Winchester</w:t>
      </w:r>
      <w:r>
        <w:rPr>
          <w:rFonts w:ascii="Arial" w:cs="Arial" w:eastAsia="Arial" w:hAnsi="Arial"/>
          <w:sz w:val="18"/>
          <w:szCs w:val="18"/>
          <w:color w:val="auto"/>
        </w:rPr>
        <w:t xml:space="preserve"> by three consecutive periods of three years, two years and two years, respectively and (b) the </w:t>
      </w:r>
      <w:r>
        <w:rPr>
          <w:rFonts w:ascii="Arial" w:cs="Arial" w:eastAsia="Arial" w:hAnsi="Arial"/>
          <w:sz w:val="18"/>
          <w:szCs w:val="18"/>
          <w:i w:val="1"/>
          <w:iCs w:val="1"/>
          <w:color w:val="auto"/>
        </w:rPr>
        <w:t>Methane Jane Elizabeth</w:t>
      </w:r>
      <w:r>
        <w:rPr>
          <w:rFonts w:ascii="Arial" w:cs="Arial" w:eastAsia="Arial" w:hAnsi="Arial"/>
          <w:sz w:val="18"/>
          <w:szCs w:val="18"/>
          <w:color w:val="auto"/>
        </w:rPr>
        <w:t xml:space="preserve"> by two additional periods of one year, provided that Cheniere gives us advance notice of the declarations.</w:t>
      </w:r>
    </w:p>
    <w:p>
      <w:pPr>
        <w:spacing w:after="0" w:line="205" w:lineRule="exact"/>
        <w:rPr>
          <w:sz w:val="20"/>
          <w:szCs w:val="20"/>
          <w:color w:val="auto"/>
        </w:rPr>
      </w:pPr>
    </w:p>
    <w:p>
      <w:pPr>
        <w:ind w:left="340" w:hanging="323"/>
        <w:spacing w:after="0" w:line="198"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11</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“Endesa” refers to Endesa S.A. Endesa has the right to extend the charter of the </w:t>
      </w:r>
      <w:r>
        <w:rPr>
          <w:rFonts w:ascii="Arial" w:cs="Arial" w:eastAsia="Arial" w:hAnsi="Arial"/>
          <w:sz w:val="18"/>
          <w:szCs w:val="18"/>
          <w:i w:val="1"/>
          <w:iCs w:val="1"/>
          <w:color w:val="auto"/>
        </w:rPr>
        <w:t>GasLog Warsaw</w:t>
      </w:r>
      <w:r>
        <w:rPr>
          <w:rFonts w:ascii="Arial" w:cs="Arial" w:eastAsia="Arial" w:hAnsi="Arial"/>
          <w:sz w:val="18"/>
          <w:szCs w:val="18"/>
          <w:color w:val="auto"/>
        </w:rPr>
        <w:t xml:space="preserve"> by two additional periods of six years, provided that Endesa gives us advance notice of declaration.</w:t>
      </w:r>
    </w:p>
    <w:p>
      <w:pPr>
        <w:spacing w:after="0" w:line="202" w:lineRule="exact"/>
        <w:rPr>
          <w:sz w:val="20"/>
          <w:szCs w:val="20"/>
          <w:color w:val="auto"/>
        </w:rPr>
      </w:pPr>
    </w:p>
    <w:p>
      <w:pPr>
        <w:ind w:left="340" w:right="180" w:hanging="323"/>
        <w:spacing w:after="0" w:line="198"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12</w:t>
      </w:r>
      <w:r>
        <w:rPr>
          <w:rFonts w:ascii="Arial" w:cs="Arial" w:eastAsia="Arial" w:hAnsi="Arial"/>
          <w:sz w:val="29"/>
          <w:szCs w:val="29"/>
          <w:color w:val="auto"/>
          <w:vertAlign w:val="superscript"/>
        </w:rPr>
        <w:t>)</w:t>
      </w:r>
      <w:r>
        <w:rPr>
          <w:rFonts w:ascii="Arial" w:cs="Arial" w:eastAsia="Arial" w:hAnsi="Arial"/>
          <w:sz w:val="18"/>
          <w:szCs w:val="18"/>
          <w:color w:val="auto"/>
        </w:rPr>
        <w:t xml:space="preserve"> “Jera” refers to LNG Marine Transport Limited, the principal LNG shipping entity of Japan’s Jera Co., Inc. Jera has the right to extend the charter by two additional periods of three years, provided that Jera gives us advance notice of declaration.</w:t>
      </w: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13</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The vessels are chartered to TotalEnergies Gas &amp; Power Limited, a wholly owned subsidiary of TotalEnergies SE (“TotalEnergies”).</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14</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The vessel is chartered to Singapore Carbon Hydrogen Energy Pte. Ltd., a wholly owned subsidiary of JOVO Group (“JOVO”).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533" w:gutter="0" w:footer="0" w:header="0"/>
        </w:sectPr>
      </w:pPr>
    </w:p>
    <w:bookmarkStart w:id="7" w:name="page8"/>
    <w:bookmarkEnd w:id="7"/>
    <w:p>
      <w:pPr>
        <w:ind w:left="340" w:hanging="323"/>
        <w:spacing w:after="0" w:line="198"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15</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“Trafigura” refers to Trafigura Maritime Logistics PTE Ltd. Trafigura may extend the term of this time charter for a period ranging from one to six years, provided that the charterer gives us advance notice of declaration.</w:t>
      </w:r>
    </w:p>
    <w:p>
      <w:pPr>
        <w:spacing w:after="0" w:line="202" w:lineRule="exact"/>
        <w:rPr>
          <w:sz w:val="20"/>
          <w:szCs w:val="20"/>
          <w:color w:val="auto"/>
        </w:rPr>
      </w:pPr>
    </w:p>
    <w:p>
      <w:pPr>
        <w:ind w:left="340" w:hanging="332"/>
        <w:spacing w:after="0" w:line="207" w:lineRule="auto"/>
        <w:tabs>
          <w:tab w:leader="none" w:pos="34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The vessel is chartered to CNTIC VPower Energy Ltd. (“CNTIC VPower”), an independent Chinese energy company. CNTIC VPower may extend the term of the related charter by two additional periods of one year, provided that the charterer gives us advance notice of declaration.</w:t>
      </w:r>
    </w:p>
    <w:p>
      <w:pPr>
        <w:spacing w:after="0" w:line="202" w:lineRule="exact"/>
        <w:rPr>
          <w:sz w:val="20"/>
          <w:szCs w:val="20"/>
          <w:color w:val="auto"/>
        </w:rPr>
      </w:pPr>
    </w:p>
    <w:p>
      <w:pPr>
        <w:jc w:val="both"/>
        <w:ind w:left="340" w:hanging="323"/>
        <w:spacing w:after="0" w:line="237" w:lineRule="auto"/>
        <w:rPr>
          <w:sz w:val="20"/>
          <w:szCs w:val="20"/>
          <w:color w:val="auto"/>
        </w:rPr>
      </w:pPr>
      <w:r>
        <w:rPr>
          <w:rFonts w:ascii="Arial" w:cs="Arial" w:eastAsia="Arial" w:hAnsi="Arial"/>
          <w:sz w:val="28"/>
          <w:szCs w:val="28"/>
          <w:color w:val="auto"/>
          <w:vertAlign w:val="superscript"/>
        </w:rPr>
        <w:t>(</w:t>
      </w:r>
      <w:r>
        <w:rPr>
          <w:rFonts w:ascii="Arial" w:cs="Arial" w:eastAsia="Arial" w:hAnsi="Arial"/>
          <w:sz w:val="27"/>
          <w:szCs w:val="27"/>
          <w:color w:val="auto"/>
          <w:vertAlign w:val="superscript"/>
        </w:rPr>
        <w:t>17</w:t>
      </w:r>
      <w:r>
        <w:rPr>
          <w:rFonts w:ascii="Arial" w:cs="Arial" w:eastAsia="Arial" w:hAnsi="Arial"/>
          <w:sz w:val="28"/>
          <w:szCs w:val="28"/>
          <w:color w:val="auto"/>
          <w:vertAlign w:val="superscript"/>
        </w:rPr>
        <w:t>)</w:t>
      </w:r>
      <w:r>
        <w:rPr>
          <w:rFonts w:ascii="Arial" w:cs="Arial" w:eastAsia="Arial" w:hAnsi="Arial"/>
          <w:sz w:val="17"/>
          <w:szCs w:val="17"/>
          <w:color w:val="auto"/>
        </w:rPr>
        <w:t xml:space="preserve"> GAS-ten Ltd. and GAS-three Ltd. have sold the </w:t>
      </w:r>
      <w:r>
        <w:rPr>
          <w:rFonts w:ascii="Arial" w:cs="Arial" w:eastAsia="Arial" w:hAnsi="Arial"/>
          <w:sz w:val="17"/>
          <w:szCs w:val="17"/>
          <w:i w:val="1"/>
          <w:iCs w:val="1"/>
          <w:color w:val="auto"/>
        </w:rPr>
        <w:t>GasLog Salem</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respectively, to a wholly-owned subsidiary of CDBL and leased them back for a period of five years, with no repurchase option or obligation. GAS-twenty five Ltd., GAS-twenty six Ltd. and GAS-twenty four Ltd. have sold the </w:t>
      </w:r>
      <w:r>
        <w:rPr>
          <w:rFonts w:ascii="Arial" w:cs="Arial" w:eastAsia="Arial" w:hAnsi="Arial"/>
          <w:sz w:val="17"/>
          <w:szCs w:val="17"/>
          <w:i w:val="1"/>
          <w:iCs w:val="1"/>
          <w:color w:val="auto"/>
        </w:rPr>
        <w:t>GasLog Hong Kong</w:t>
      </w:r>
      <w:r>
        <w:rPr>
          <w:rFonts w:ascii="Arial" w:cs="Arial" w:eastAsia="Arial" w:hAnsi="Arial"/>
          <w:sz w:val="17"/>
          <w:szCs w:val="17"/>
          <w:color w:val="auto"/>
        </w:rPr>
        <w:t xml:space="preserve"> to Sea 190 Leasing</w:t>
      </w:r>
      <w:r>
        <w:rPr>
          <w:rFonts w:ascii="Arial" w:cs="Arial" w:eastAsia="Arial" w:hAnsi="Arial"/>
          <w:sz w:val="17"/>
          <w:szCs w:val="17"/>
          <w:i w:val="1"/>
          <w:iCs w:val="1"/>
          <w:color w:val="auto"/>
        </w:rPr>
        <w:t>,</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to Lepta Shipping and the </w:t>
      </w:r>
      <w:r>
        <w:rPr>
          <w:rFonts w:ascii="Arial" w:cs="Arial" w:eastAsia="Arial" w:hAnsi="Arial"/>
          <w:sz w:val="17"/>
          <w:szCs w:val="17"/>
          <w:i w:val="1"/>
          <w:iCs w:val="1"/>
          <w:color w:val="auto"/>
        </w:rPr>
        <w:t>GasLog Houston</w:t>
      </w:r>
      <w:r>
        <w:rPr>
          <w:rFonts w:ascii="Arial" w:cs="Arial" w:eastAsia="Arial" w:hAnsi="Arial"/>
          <w:sz w:val="17"/>
          <w:szCs w:val="17"/>
          <w:color w:val="auto"/>
        </w:rPr>
        <w:t xml:space="preserve"> to Hai Kuo Shipping, respectively, and leased them back for a period of up to twelve, 17 and eight years, respectively. GAS-twenty five Ltd. and GAS-twenty six Ltd. have the option and GAS-twenty four Ltd. has the option and the obligation to re-purchase the vessels on pre-agreed terms.</w:t>
      </w:r>
    </w:p>
    <w:p>
      <w:pPr>
        <w:spacing w:after="0" w:line="206"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25"/>
          <w:szCs w:val="25"/>
          <w:color w:val="auto"/>
          <w:vertAlign w:val="superscript"/>
        </w:rPr>
        <w:t>18</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TotalEnergies has the right to extend the charter for a period of three years, provided that TotalEnergies provides us with advance notice of declaration.</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the omnibus agreement entered into with GasLog Partners and certain of its subsidiaries in connection with the Partnership’s initial public offering, as amended, GasLog has agreed, and has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Deliveries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24, 2022, GasLog has four newbuildings on order at Daewoo: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Estimated</w:t>
            </w:r>
          </w:p>
        </w:tc>
      </w:tr>
      <w:tr>
        <w:trPr>
          <w:trHeight w:val="221"/>
        </w:trPr>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Expected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w:t>
            </w:r>
          </w:p>
        </w:tc>
      </w:tr>
      <w:tr>
        <w:trPr>
          <w:trHeight w:val="270"/>
        </w:trPr>
        <w:tc>
          <w:tcPr>
            <w:tcW w:w="1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LNG Carrier</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Delivery</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Shipyard</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Cbm</w:t>
            </w:r>
          </w:p>
        </w:tc>
        <w:tc>
          <w:tcPr>
            <w:tcW w:w="2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Charterer</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Propulsion</w:t>
            </w:r>
          </w:p>
        </w:tc>
        <w:tc>
          <w:tcPr>
            <w:tcW w:w="1440" w:type="dxa"/>
            <w:vAlign w:val="bottom"/>
            <w:gridSpan w:val="2"/>
          </w:tcPr>
          <w:p>
            <w:pPr>
              <w:jc w:val="center"/>
              <w:ind w:right="120"/>
              <w:spacing w:after="0" w:line="270" w:lineRule="exact"/>
              <w:rPr>
                <w:sz w:val="20"/>
                <w:szCs w:val="20"/>
                <w:color w:val="auto"/>
              </w:rPr>
            </w:pPr>
            <w:r>
              <w:rPr>
                <w:rFonts w:ascii="Arial" w:cs="Arial" w:eastAsia="Arial" w:hAnsi="Arial"/>
                <w:sz w:val="18"/>
                <w:szCs w:val="18"/>
                <w:b w:val="1"/>
                <w:bCs w:val="1"/>
                <w:color w:val="auto"/>
                <w:w w:val="89"/>
              </w:rPr>
              <w:t>Expiration</w:t>
            </w:r>
            <w:r>
              <w:rPr>
                <w:rFonts w:ascii="Arial" w:cs="Arial" w:eastAsia="Arial" w:hAnsi="Arial"/>
                <w:sz w:val="29"/>
                <w:szCs w:val="29"/>
                <w:b w:val="1"/>
                <w:bCs w:val="1"/>
                <w:color w:val="auto"/>
                <w:w w:val="89"/>
                <w:vertAlign w:val="superscript"/>
              </w:rPr>
              <w:t>(1)</w:t>
            </w:r>
          </w:p>
        </w:tc>
      </w:tr>
      <w:tr>
        <w:trPr>
          <w:trHeight w:val="210"/>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Hull No. 2532</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Q3 2024</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Daewoo</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MEGI</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Hull No. 2533</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Q3 2024</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Daewoo</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174,000</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Mitsui</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MEGI</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2033</w:t>
            </w: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Hull No. 2534</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Q3 2025</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Daewoo</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174,000</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major LNG producer</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MEGI</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w:t>
            </w: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Hull No. 2535</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Q4 2025</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Daewoo</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174,000</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major LNG producer</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MEGI</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2035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ind w:left="340" w:hanging="332"/>
        <w:spacing w:after="0" w:line="185" w:lineRule="auto"/>
        <w:tabs>
          <w:tab w:leader="none" w:pos="340"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Charter expiration to be determined based upon actual date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EXHIBIT I - Unaudited Interim Financial Information</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4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As of December 31, 2020 and 2021</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44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4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December 31,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8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Investment in associates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21,759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23,508</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12,463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4,866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non-current portion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Tangible fixed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5,028,509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5,002,829</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Vessels under construction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22,939</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Right-of-use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203,437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363,035</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5,419,229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5,434,165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36,223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28,595</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1,259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current portion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Inventories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7,564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8,327</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367,269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282,246</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437,534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325,580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5,856,763</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5,759,745</w:t>
            </w:r>
          </w:p>
        </w:tc>
        <w:tc>
          <w:tcPr>
            <w:tcW w:w="100" w:type="dxa"/>
            <w:vAlign w:val="bottom"/>
            <w:tcBorders>
              <w:bottom w:val="single" w:sz="8" w:color="CCEEFF"/>
            </w:tcBorders>
          </w:tcPr>
          <w:p>
            <w:pPr>
              <w:spacing w:after="0"/>
              <w:rPr>
                <w:sz w:val="22"/>
                <w:szCs w:val="22"/>
                <w:color w:val="auto"/>
              </w:rPr>
            </w:pPr>
          </w:p>
        </w:tc>
      </w:tr>
      <w:tr>
        <w:trPr>
          <w:trHeight w:val="197"/>
        </w:trPr>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Share capital</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Contributed surplus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759,822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692,536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Reserves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18,667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15,322</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Accumulated deficit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(132,780)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(65,117)</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645,369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951,768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924,630</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1,597,137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1,568,371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25,046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15,892</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Ship management creditors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Derivative financial instruments, current portion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35,415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25,518</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143,057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153,501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245,626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553,161</w:t>
            </w: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current portion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30,905</w:t>
            </w:r>
          </w:p>
        </w:tc>
      </w:tr>
      <w:tr>
        <w:trPr>
          <w:trHeight w:val="210"/>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459,349</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779,123</w:t>
            </w:r>
          </w:p>
        </w:tc>
        <w:tc>
          <w:tcPr>
            <w:tcW w:w="10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Derivative financial instruments, non-current portion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78,440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28,694</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Borrowings, non-current portion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3,527,595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3,105,059</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Lease liability, non-current portion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186,526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271,945</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6,553</w:t>
            </w:r>
          </w:p>
        </w:tc>
      </w:tr>
      <w:tr>
        <w:trPr>
          <w:trHeight w:val="210"/>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3,800,277</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3,412,251</w:t>
            </w:r>
          </w:p>
        </w:tc>
        <w:tc>
          <w:tcPr>
            <w:tcW w:w="100" w:type="dxa"/>
            <w:vAlign w:val="bottom"/>
            <w:tcBorders>
              <w:bottom w:val="single" w:sz="8" w:color="CCEEFF"/>
            </w:tcBorders>
          </w:tcPr>
          <w:p>
            <w:pPr>
              <w:spacing w:after="0"/>
              <w:rPr>
                <w:sz w:val="18"/>
                <w:szCs w:val="18"/>
                <w:color w:val="auto"/>
              </w:rPr>
            </w:pPr>
          </w:p>
        </w:tc>
      </w:tr>
      <w:tr>
        <w:trPr>
          <w:trHeight w:val="223"/>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5,856,763</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5,759,745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and years ended December 31, 2020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50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For the three months ended</w:t>
            </w:r>
          </w:p>
        </w:tc>
        <w:tc>
          <w:tcPr>
            <w:tcW w:w="232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For the years ended</w:t>
            </w:r>
          </w:p>
        </w:tc>
      </w:tr>
      <w:tr>
        <w:trPr>
          <w:trHeight w:val="203"/>
        </w:trPr>
        <w:tc>
          <w:tcPr>
            <w:tcW w:w="6420" w:type="dxa"/>
            <w:vAlign w:val="bottom"/>
          </w:tcPr>
          <w:p>
            <w:pPr>
              <w:spacing w:after="0"/>
              <w:rPr>
                <w:sz w:val="17"/>
                <w:szCs w:val="17"/>
                <w:color w:val="auto"/>
              </w:rPr>
            </w:pPr>
          </w:p>
        </w:tc>
        <w:tc>
          <w:tcPr>
            <w:tcW w:w="126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w w:val="92"/>
              </w:rPr>
              <w:t>December 31,</w:t>
            </w:r>
          </w:p>
        </w:tc>
        <w:tc>
          <w:tcPr>
            <w:tcW w:w="12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w w:val="92"/>
              </w:rPr>
              <w:t>December 31,</w:t>
            </w:r>
          </w:p>
        </w:tc>
        <w:tc>
          <w:tcPr>
            <w:tcW w:w="122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w w:val="90"/>
              </w:rPr>
              <w:t>December 31,</w:t>
            </w:r>
          </w:p>
        </w:tc>
        <w:tc>
          <w:tcPr>
            <w:tcW w:w="11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0"/>
              </w:rPr>
              <w:t>December 31,</w:t>
            </w:r>
          </w:p>
        </w:tc>
      </w:tr>
      <w:tr>
        <w:trPr>
          <w:trHeight w:val="213"/>
        </w:trPr>
        <w:tc>
          <w:tcPr>
            <w:tcW w:w="64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192,602</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223,078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674,089</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809,577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(3,809)</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(6,679)</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(21,883)</w:t>
            </w: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(19,430)</w:t>
            </w: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Vessel operating and supervision costs</w:t>
            </w:r>
          </w:p>
        </w:tc>
        <w:tc>
          <w:tcPr>
            <w:tcW w:w="12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(41,417)</w:t>
            </w: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(44,562)</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(148,235)</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(166,432)</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Depreciation</w:t>
            </w: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(46,963)</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(55,386)</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(177,213)</w:t>
            </w: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(202,953)</w:t>
            </w: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2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(11,797)</w:t>
            </w: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(11,030)</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(47,249)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(43,313)</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2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(1,100)</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(572)</w:t>
            </w:r>
          </w:p>
        </w:tc>
        <w:tc>
          <w:tcPr>
            <w:tcW w:w="1100" w:type="dxa"/>
            <w:vAlign w:val="bottom"/>
            <w:gridSpan w:val="3"/>
          </w:tcPr>
          <w:p>
            <w:pPr>
              <w:jc w:val="right"/>
              <w:ind w:right="60"/>
              <w:spacing w:after="0"/>
              <w:rPr>
                <w:sz w:val="20"/>
                <w:szCs w:val="20"/>
                <w:color w:val="auto"/>
              </w:rPr>
            </w:pPr>
            <w:r>
              <w:rPr>
                <w:rFonts w:ascii="Arial" w:cs="Arial" w:eastAsia="Arial" w:hAnsi="Arial"/>
                <w:sz w:val="16"/>
                <w:szCs w:val="16"/>
                <w:color w:val="auto"/>
              </w:rPr>
              <w:t>(1,100)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Impairment loss</w:t>
            </w:r>
          </w:p>
        </w:tc>
        <w:tc>
          <w:tcPr>
            <w:tcW w:w="12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(6,173)</w:t>
            </w: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(136,816)</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(28,627)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(153,669)</w:t>
            </w:r>
          </w:p>
        </w:tc>
      </w:tr>
      <w:tr>
        <w:trPr>
          <w:trHeight w:val="196"/>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Profit/(loss) from operations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82,443</w:t>
            </w:r>
          </w:p>
        </w:tc>
        <w:tc>
          <w:tcPr>
            <w:tcW w:w="2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(32,495</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250,310</w:t>
            </w:r>
          </w:p>
        </w:tc>
        <w:tc>
          <w:tcPr>
            <w:tcW w:w="2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222,680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96"/>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Financial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(39,180)</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(38,158)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(165,281)</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(166,955)</w:t>
            </w:r>
          </w:p>
        </w:tc>
        <w:tc>
          <w:tcPr>
            <w:tcW w:w="100" w:type="dxa"/>
            <w:vAlign w:val="bottom"/>
            <w:gridSpan w:val="2"/>
            <w:shd w:val="clear" w:color="auto" w:fill="CCEEFF"/>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Financial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7"/>
                <w:szCs w:val="17"/>
                <w:color w:val="auto"/>
              </w:rPr>
            </w:pPr>
          </w:p>
        </w:tc>
        <w:tc>
          <w:tcPr>
            <w:tcW w:w="1240" w:type="dxa"/>
            <w:vAlign w:val="bottom"/>
            <w:gridSpan w:val="2"/>
          </w:tcPr>
          <w:p>
            <w:pPr>
              <w:jc w:val="right"/>
              <w:ind w:right="139"/>
              <w:spacing w:after="0"/>
              <w:rPr>
                <w:sz w:val="20"/>
                <w:szCs w:val="20"/>
                <w:color w:val="auto"/>
              </w:rPr>
            </w:pPr>
            <w:r>
              <w:rPr>
                <w:rFonts w:ascii="Arial" w:cs="Arial" w:eastAsia="Arial" w:hAnsi="Arial"/>
                <w:sz w:val="16"/>
                <w:szCs w:val="16"/>
                <w:color w:val="auto"/>
              </w:rPr>
              <w:t>26</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726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7"/>
                <w:szCs w:val="17"/>
                <w:color w:val="auto"/>
              </w:rPr>
            </w:pP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Gain/(loss) on derivatives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10,444</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(84,658)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22,680</w:t>
            </w:r>
          </w:p>
        </w:tc>
        <w:tc>
          <w:tcPr>
            <w:tcW w:w="80" w:type="dxa"/>
            <w:vAlign w:val="bottom"/>
            <w:shd w:val="clear" w:color="auto" w:fill="CCEEFF"/>
          </w:tcPr>
          <w:p>
            <w:pPr>
              <w:spacing w:after="0"/>
              <w:rPr>
                <w:sz w:val="17"/>
                <w:szCs w:val="17"/>
                <w:color w:val="auto"/>
              </w:rPr>
            </w:pP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Share of profit of associates</w:t>
            </w:r>
          </w:p>
        </w:tc>
        <w:tc>
          <w:tcPr>
            <w:tcW w:w="1020" w:type="dxa"/>
            <w:vAlign w:val="bottom"/>
          </w:tcPr>
          <w:p>
            <w:pPr>
              <w:jc w:val="right"/>
              <w:spacing w:after="0"/>
              <w:rPr>
                <w:sz w:val="20"/>
                <w:szCs w:val="20"/>
                <w:color w:val="auto"/>
              </w:rPr>
            </w:pPr>
            <w:r>
              <w:rPr>
                <w:rFonts w:ascii="Arial" w:cs="Arial" w:eastAsia="Arial" w:hAnsi="Arial"/>
                <w:sz w:val="16"/>
                <w:szCs w:val="16"/>
                <w:color w:val="auto"/>
              </w:rPr>
              <w:t>616</w:t>
            </w:r>
          </w:p>
        </w:tc>
        <w:tc>
          <w:tcPr>
            <w:tcW w:w="240" w:type="dxa"/>
            <w:vAlign w:val="bottom"/>
          </w:tcPr>
          <w:p>
            <w:pPr>
              <w:spacing w:after="0"/>
              <w:rPr>
                <w:sz w:val="18"/>
                <w:szCs w:val="18"/>
                <w:color w:val="auto"/>
              </w:rPr>
            </w:pPr>
          </w:p>
        </w:tc>
        <w:tc>
          <w:tcPr>
            <w:tcW w:w="1240" w:type="dxa"/>
            <w:vAlign w:val="bottom"/>
            <w:gridSpan w:val="2"/>
          </w:tcPr>
          <w:p>
            <w:pPr>
              <w:jc w:val="right"/>
              <w:ind w:right="139"/>
              <w:spacing w:after="0"/>
              <w:rPr>
                <w:sz w:val="20"/>
                <w:szCs w:val="20"/>
                <w:color w:val="auto"/>
              </w:rPr>
            </w:pPr>
            <w:r>
              <w:rPr>
                <w:rFonts w:ascii="Arial" w:cs="Arial" w:eastAsia="Arial" w:hAnsi="Arial"/>
                <w:sz w:val="16"/>
                <w:szCs w:val="16"/>
                <w:color w:val="auto"/>
              </w:rPr>
              <w:t>202</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2,192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1,969</w:t>
            </w:r>
          </w:p>
        </w:tc>
        <w:tc>
          <w:tcPr>
            <w:tcW w:w="80" w:type="dxa"/>
            <w:vAlign w:val="bottom"/>
          </w:tcPr>
          <w:p>
            <w:pPr>
              <w:spacing w:after="0"/>
              <w:rPr>
                <w:sz w:val="18"/>
                <w:szCs w:val="18"/>
                <w:color w:val="auto"/>
              </w:rPr>
            </w:pPr>
          </w:p>
        </w:tc>
      </w:tr>
      <w:tr>
        <w:trPr>
          <w:trHeight w:val="19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expenses, net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(36,495</w:t>
            </w:r>
          </w:p>
        </w:tc>
        <w:tc>
          <w:tcPr>
            <w:tcW w:w="24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(27,486</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(247,021</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(142,164</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b w:val="1"/>
                <w:bCs w:val="1"/>
                <w:color w:val="auto"/>
                <w:w w:val="73"/>
              </w:rPr>
              <w:t>)</w:t>
            </w:r>
          </w:p>
        </w:tc>
      </w:tr>
      <w:tr>
        <w:trPr>
          <w:trHeight w:val="247"/>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Profit/(loss) for the period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45,948</w:t>
            </w:r>
          </w:p>
        </w:tc>
        <w:tc>
          <w:tcPr>
            <w:tcW w:w="2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(59,981</w:t>
            </w:r>
          </w:p>
        </w:tc>
        <w:tc>
          <w:tcPr>
            <w:tcW w:w="2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3,289</w:t>
            </w: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80,516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86"/>
        </w:trPr>
        <w:tc>
          <w:tcPr>
            <w:tcW w:w="64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Attributable to:</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Owners of the Group</w:t>
            </w:r>
          </w:p>
        </w:tc>
        <w:tc>
          <w:tcPr>
            <w:tcW w:w="1020" w:type="dxa"/>
            <w:vAlign w:val="bottom"/>
          </w:tcPr>
          <w:p>
            <w:pPr>
              <w:jc w:val="right"/>
              <w:spacing w:after="0"/>
              <w:rPr>
                <w:sz w:val="20"/>
                <w:szCs w:val="20"/>
                <w:color w:val="auto"/>
              </w:rPr>
            </w:pPr>
            <w:r>
              <w:rPr>
                <w:rFonts w:ascii="Arial" w:cs="Arial" w:eastAsia="Arial" w:hAnsi="Arial"/>
                <w:sz w:val="16"/>
                <w:szCs w:val="16"/>
                <w:color w:val="auto"/>
              </w:rPr>
              <w:t>28,233</w:t>
            </w:r>
          </w:p>
        </w:tc>
        <w:tc>
          <w:tcPr>
            <w:tcW w:w="240" w:type="dxa"/>
            <w:vAlign w:val="bottom"/>
          </w:tcPr>
          <w:p>
            <w:pPr>
              <w:spacing w:after="0"/>
              <w:rPr>
                <w:sz w:val="17"/>
                <w:szCs w:val="17"/>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(13,518)</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(44,948)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67,663</w:t>
            </w:r>
          </w:p>
        </w:tc>
        <w:tc>
          <w:tcPr>
            <w:tcW w:w="80" w:type="dxa"/>
            <w:vAlign w:val="bottom"/>
          </w:tcPr>
          <w:p>
            <w:pPr>
              <w:spacing w:after="0"/>
              <w:rPr>
                <w:sz w:val="17"/>
                <w:szCs w:val="17"/>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17,715</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(46,463)</w:t>
            </w:r>
          </w:p>
        </w:tc>
        <w:tc>
          <w:tcPr>
            <w:tcW w:w="12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48,237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12,853</w:t>
            </w:r>
          </w:p>
        </w:tc>
        <w:tc>
          <w:tcPr>
            <w:tcW w:w="80" w:type="dxa"/>
            <w:vAlign w:val="bottom"/>
            <w:shd w:val="clear" w:color="auto" w:fill="CCEEFF"/>
          </w:tcPr>
          <w:p>
            <w:pPr>
              <w:spacing w:after="0"/>
              <w:rPr>
                <w:sz w:val="18"/>
                <w:szCs w:val="18"/>
                <w:color w:val="auto"/>
              </w:rPr>
            </w:pPr>
          </w:p>
        </w:tc>
      </w:tr>
      <w:tr>
        <w:trPr>
          <w:trHeight w:val="207"/>
        </w:trPr>
        <w:tc>
          <w:tcPr>
            <w:tcW w:w="64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45,948</w:t>
            </w:r>
          </w:p>
        </w:tc>
        <w:tc>
          <w:tcPr>
            <w:tcW w:w="2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(59,981</w:t>
            </w:r>
          </w:p>
        </w:tc>
        <w:tc>
          <w:tcPr>
            <w:tcW w:w="220" w:type="dxa"/>
            <w:vAlign w:val="bottom"/>
          </w:tcPr>
          <w:p>
            <w:pPr>
              <w:jc w:val="right"/>
              <w:ind w:right="79"/>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3,289</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80,516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8"/>
        </w:trPr>
        <w:tc>
          <w:tcPr>
            <w:tcW w:w="6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2020 and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2880" w:type="dxa"/>
            <w:vAlign w:val="bottom"/>
            <w:gridSpan w:val="4"/>
          </w:tcPr>
          <w:p>
            <w:pPr>
              <w:jc w:val="right"/>
              <w:ind w:right="581"/>
              <w:spacing w:after="0"/>
              <w:rPr>
                <w:sz w:val="20"/>
                <w:szCs w:val="20"/>
                <w:color w:val="auto"/>
              </w:rPr>
            </w:pPr>
            <w:r>
              <w:rPr>
                <w:rFonts w:ascii="Arial" w:cs="Arial" w:eastAsia="Arial" w:hAnsi="Arial"/>
                <w:sz w:val="18"/>
                <w:szCs w:val="18"/>
                <w:b w:val="1"/>
                <w:bCs w:val="1"/>
                <w:color w:val="auto"/>
              </w:rPr>
              <w:t>For the years ended</w:t>
            </w:r>
          </w:p>
        </w:tc>
      </w:tr>
      <w:tr>
        <w:trPr>
          <w:trHeight w:val="216"/>
        </w:trPr>
        <w:tc>
          <w:tcPr>
            <w:tcW w:w="8360" w:type="dxa"/>
            <w:vAlign w:val="bottom"/>
          </w:tcPr>
          <w:p>
            <w:pPr>
              <w:spacing w:after="0"/>
              <w:rPr>
                <w:sz w:val="18"/>
                <w:szCs w:val="18"/>
                <w:color w:val="auto"/>
              </w:rPr>
            </w:pPr>
          </w:p>
        </w:tc>
        <w:tc>
          <w:tcPr>
            <w:tcW w:w="166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8360" w:type="dxa"/>
            <w:vAlign w:val="bottom"/>
          </w:tcPr>
          <w:p>
            <w:pPr>
              <w:spacing w:after="0"/>
              <w:rPr>
                <w:sz w:val="20"/>
                <w:szCs w:val="20"/>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250"/>
        </w:trPr>
        <w:tc>
          <w:tcPr>
            <w:tcW w:w="836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170"/>
              <w:spacing w:after="0" w:line="250" w:lineRule="exact"/>
              <w:rPr>
                <w:sz w:val="20"/>
                <w:szCs w:val="20"/>
                <w:color w:val="auto"/>
              </w:rPr>
            </w:pPr>
            <w:r>
              <w:rPr>
                <w:rFonts w:ascii="Arial" w:cs="Arial" w:eastAsia="Arial" w:hAnsi="Arial"/>
                <w:sz w:val="17"/>
                <w:szCs w:val="17"/>
                <w:i w:val="1"/>
                <w:iCs w:val="1"/>
                <w:color w:val="auto"/>
              </w:rPr>
              <w:t>(restated)</w:t>
            </w:r>
            <w:r>
              <w:rPr>
                <w:rFonts w:ascii="Arial" w:cs="Arial" w:eastAsia="Arial" w:hAnsi="Arial"/>
                <w:sz w:val="28"/>
                <w:szCs w:val="28"/>
                <w:i w:val="1"/>
                <w:iCs w:val="1"/>
                <w:color w:val="auto"/>
                <w:vertAlign w:val="superscript"/>
              </w:rPr>
              <w:t>(1)</w:t>
            </w:r>
          </w:p>
        </w:tc>
        <w:tc>
          <w:tcPr>
            <w:tcW w:w="2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Profit for the year</w:t>
            </w:r>
          </w:p>
        </w:tc>
        <w:tc>
          <w:tcPr>
            <w:tcW w:w="1660" w:type="dxa"/>
            <w:vAlign w:val="bottom"/>
            <w:gridSpan w:val="2"/>
          </w:tcPr>
          <w:p>
            <w:pPr>
              <w:jc w:val="right"/>
              <w:ind w:right="141"/>
              <w:spacing w:after="0"/>
              <w:rPr>
                <w:sz w:val="20"/>
                <w:szCs w:val="20"/>
                <w:color w:val="auto"/>
              </w:rPr>
            </w:pPr>
            <w:r>
              <w:rPr>
                <w:rFonts w:ascii="Arial" w:cs="Arial" w:eastAsia="Arial" w:hAnsi="Arial"/>
                <w:sz w:val="18"/>
                <w:szCs w:val="18"/>
                <w:color w:val="auto"/>
              </w:rPr>
              <w:t>3,289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80,516</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Depreciation</w:t>
            </w:r>
          </w:p>
        </w:tc>
        <w:tc>
          <w:tcPr>
            <w:tcW w:w="1660" w:type="dxa"/>
            <w:vAlign w:val="bottom"/>
            <w:gridSpan w:val="2"/>
          </w:tcPr>
          <w:p>
            <w:pPr>
              <w:jc w:val="right"/>
              <w:ind w:right="141"/>
              <w:spacing w:after="0"/>
              <w:rPr>
                <w:sz w:val="20"/>
                <w:szCs w:val="20"/>
                <w:color w:val="auto"/>
              </w:rPr>
            </w:pPr>
            <w:r>
              <w:rPr>
                <w:rFonts w:ascii="Arial" w:cs="Arial" w:eastAsia="Arial" w:hAnsi="Arial"/>
                <w:sz w:val="18"/>
                <w:szCs w:val="18"/>
                <w:color w:val="auto"/>
              </w:rPr>
              <w:t>177,213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202,953</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28,627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153,669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Loss on disposal of non-current assets</w:t>
            </w:r>
          </w:p>
        </w:tc>
        <w:tc>
          <w:tcPr>
            <w:tcW w:w="1660" w:type="dxa"/>
            <w:vAlign w:val="bottom"/>
            <w:gridSpan w:val="2"/>
          </w:tcPr>
          <w:p>
            <w:pPr>
              <w:jc w:val="right"/>
              <w:ind w:right="141"/>
              <w:spacing w:after="0"/>
              <w:rPr>
                <w:sz w:val="20"/>
                <w:szCs w:val="20"/>
                <w:color w:val="auto"/>
              </w:rPr>
            </w:pPr>
            <w:r>
              <w:rPr>
                <w:rFonts w:ascii="Arial" w:cs="Arial" w:eastAsia="Arial" w:hAnsi="Arial"/>
                <w:sz w:val="18"/>
                <w:szCs w:val="18"/>
                <w:color w:val="auto"/>
              </w:rPr>
              <w:t>572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16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Financial income</w:t>
            </w:r>
          </w:p>
        </w:tc>
        <w:tc>
          <w:tcPr>
            <w:tcW w:w="1660" w:type="dxa"/>
            <w:vAlign w:val="bottom"/>
            <w:gridSpan w:val="2"/>
          </w:tcPr>
          <w:p>
            <w:pPr>
              <w:jc w:val="right"/>
              <w:ind w:right="81"/>
              <w:spacing w:after="0"/>
              <w:rPr>
                <w:sz w:val="20"/>
                <w:szCs w:val="20"/>
                <w:color w:val="auto"/>
              </w:rPr>
            </w:pPr>
            <w:r>
              <w:rPr>
                <w:rFonts w:ascii="Arial" w:cs="Arial" w:eastAsia="Arial" w:hAnsi="Arial"/>
                <w:sz w:val="18"/>
                <w:szCs w:val="18"/>
                <w:color w:val="auto"/>
              </w:rPr>
              <w:t>(726)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165,281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166,955</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w w:val="99"/>
              </w:rPr>
              <w:t>Loss/(gain) on derivatives (excluding realized loss on forward foreign exchange contracts held for trading)</w:t>
            </w:r>
          </w:p>
        </w:tc>
        <w:tc>
          <w:tcPr>
            <w:tcW w:w="1660" w:type="dxa"/>
            <w:vAlign w:val="bottom"/>
            <w:gridSpan w:val="2"/>
          </w:tcPr>
          <w:p>
            <w:pPr>
              <w:jc w:val="right"/>
              <w:ind w:right="141"/>
              <w:spacing w:after="0"/>
              <w:rPr>
                <w:sz w:val="20"/>
                <w:szCs w:val="20"/>
                <w:color w:val="auto"/>
              </w:rPr>
            </w:pPr>
            <w:r>
              <w:rPr>
                <w:rFonts w:ascii="Arial" w:cs="Arial" w:eastAsia="Arial" w:hAnsi="Arial"/>
                <w:sz w:val="18"/>
                <w:szCs w:val="18"/>
                <w:color w:val="auto"/>
              </w:rPr>
              <w:t>85,222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(23,817)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Non-cash defined benefit obligations</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660" w:type="dxa"/>
            <w:vAlign w:val="bottom"/>
            <w:gridSpan w:val="2"/>
          </w:tcPr>
          <w:p>
            <w:pPr>
              <w:jc w:val="right"/>
              <w:ind w:right="141"/>
              <w:spacing w:after="0"/>
              <w:rPr>
                <w:sz w:val="20"/>
                <w:szCs w:val="20"/>
                <w:color w:val="auto"/>
              </w:rPr>
            </w:pPr>
            <w:r>
              <w:rPr>
                <w:rFonts w:ascii="Arial" w:cs="Arial" w:eastAsia="Arial" w:hAnsi="Arial"/>
                <w:sz w:val="18"/>
                <w:szCs w:val="18"/>
                <w:color w:val="auto"/>
              </w:rPr>
              <w:t>5,849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3,448</w:t>
            </w:r>
          </w:p>
        </w:tc>
      </w:tr>
      <w:tr>
        <w:trPr>
          <w:trHeight w:val="209"/>
        </w:trPr>
        <w:tc>
          <w:tcPr>
            <w:tcW w:w="83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463,192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Movements in working capital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9,394</w:t>
            </w:r>
          </w:p>
        </w:tc>
        <w:tc>
          <w:tcPr>
            <w:tcW w:w="60" w:type="dxa"/>
            <w:vAlign w:val="bottom"/>
            <w:tcBorders>
              <w:bottom w:val="single" w:sz="8" w:color="CCEEFF"/>
            </w:tcBorders>
          </w:tcPr>
          <w:p>
            <w:pPr>
              <w:spacing w:after="0"/>
              <w:rPr>
                <w:sz w:val="18"/>
                <w:szCs w:val="18"/>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459,482</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592,107</w:t>
            </w:r>
          </w:p>
        </w:tc>
        <w:tc>
          <w:tcPr>
            <w:tcW w:w="60" w:type="dxa"/>
            <w:vAlign w:val="bottom"/>
            <w:shd w:val="clear" w:color="auto" w:fill="CCEEFF"/>
          </w:tcPr>
          <w:p>
            <w:pPr>
              <w:spacing w:after="0"/>
              <w:rPr>
                <w:sz w:val="18"/>
                <w:szCs w:val="18"/>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16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(732,385)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(506,641)</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Proceeds from disposal of tangible fixed assets</w:t>
            </w:r>
          </w:p>
        </w:tc>
        <w:tc>
          <w:tcPr>
            <w:tcW w:w="1660" w:type="dxa"/>
            <w:vAlign w:val="bottom"/>
            <w:gridSpan w:val="2"/>
          </w:tcPr>
          <w:p>
            <w:pPr>
              <w:jc w:val="right"/>
              <w:ind w:right="141"/>
              <w:spacing w:after="0"/>
              <w:rPr>
                <w:sz w:val="20"/>
                <w:szCs w:val="20"/>
                <w:color w:val="auto"/>
              </w:rPr>
            </w:pPr>
            <w:r>
              <w:rPr>
                <w:rFonts w:ascii="Arial" w:cs="Arial" w:eastAsia="Arial" w:hAnsi="Arial"/>
                <w:sz w:val="18"/>
                <w:szCs w:val="18"/>
                <w:color w:val="auto"/>
              </w:rPr>
              <w:t>2,322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and leaseback, net of commissions</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242,979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investments</w:t>
            </w:r>
          </w:p>
        </w:tc>
        <w:tc>
          <w:tcPr>
            <w:tcW w:w="1660" w:type="dxa"/>
            <w:vAlign w:val="bottom"/>
            <w:gridSpan w:val="2"/>
          </w:tcPr>
          <w:p>
            <w:pPr>
              <w:jc w:val="right"/>
              <w:ind w:right="81"/>
              <w:spacing w:after="0"/>
              <w:rPr>
                <w:sz w:val="20"/>
                <w:szCs w:val="20"/>
                <w:color w:val="auto"/>
              </w:rPr>
            </w:pPr>
            <w:r>
              <w:rPr>
                <w:rFonts w:ascii="Arial" w:cs="Arial" w:eastAsia="Arial" w:hAnsi="Arial"/>
                <w:sz w:val="18"/>
                <w:szCs w:val="18"/>
                <w:color w:val="auto"/>
              </w:rPr>
              <w:t>(472)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Payments for right-of-use assets</w:t>
            </w:r>
          </w:p>
        </w:tc>
        <w:tc>
          <w:tcPr>
            <w:tcW w:w="16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Dividends received from associate</w:t>
            </w:r>
          </w:p>
        </w:tc>
        <w:tc>
          <w:tcPr>
            <w:tcW w:w="1660" w:type="dxa"/>
            <w:vAlign w:val="bottom"/>
            <w:gridSpan w:val="2"/>
          </w:tcPr>
          <w:p>
            <w:pPr>
              <w:jc w:val="right"/>
              <w:ind w:right="141"/>
              <w:spacing w:after="0"/>
              <w:rPr>
                <w:sz w:val="20"/>
                <w:szCs w:val="20"/>
                <w:color w:val="auto"/>
              </w:rPr>
            </w:pPr>
            <w:r>
              <w:rPr>
                <w:rFonts w:ascii="Arial" w:cs="Arial" w:eastAsia="Arial" w:hAnsi="Arial"/>
                <w:sz w:val="18"/>
                <w:szCs w:val="18"/>
                <w:color w:val="auto"/>
              </w:rPr>
              <w:t>1,725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1660" w:type="dxa"/>
            <w:vAlign w:val="bottom"/>
            <w:gridSpan w:val="2"/>
          </w:tcPr>
          <w:p>
            <w:pPr>
              <w:jc w:val="right"/>
              <w:ind w:right="141"/>
              <w:spacing w:after="0"/>
              <w:rPr>
                <w:sz w:val="20"/>
                <w:szCs w:val="20"/>
                <w:color w:val="auto"/>
              </w:rPr>
            </w:pPr>
            <w:r>
              <w:rPr>
                <w:rFonts w:ascii="Arial" w:cs="Arial" w:eastAsia="Arial" w:hAnsi="Arial"/>
                <w:sz w:val="18"/>
                <w:szCs w:val="18"/>
                <w:color w:val="auto"/>
              </w:rPr>
              <w:t>4,500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Increase in restricted cash</w:t>
            </w:r>
          </w:p>
        </w:tc>
        <w:tc>
          <w:tcPr>
            <w:tcW w:w="16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Financial income received</w:t>
            </w:r>
          </w:p>
        </w:tc>
        <w:tc>
          <w:tcPr>
            <w:tcW w:w="1660" w:type="dxa"/>
            <w:vAlign w:val="bottom"/>
            <w:gridSpan w:val="2"/>
          </w:tcPr>
          <w:p>
            <w:pPr>
              <w:jc w:val="right"/>
              <w:ind w:right="141"/>
              <w:spacing w:after="0"/>
              <w:rPr>
                <w:sz w:val="20"/>
                <w:szCs w:val="20"/>
                <w:color w:val="auto"/>
              </w:rPr>
            </w:pPr>
            <w:r>
              <w:rPr>
                <w:rFonts w:ascii="Arial" w:cs="Arial" w:eastAsia="Arial" w:hAnsi="Arial"/>
                <w:sz w:val="18"/>
                <w:szCs w:val="18"/>
                <w:color w:val="auto"/>
              </w:rPr>
              <w:t>844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142</w:t>
            </w:r>
          </w:p>
        </w:tc>
      </w:tr>
      <w:tr>
        <w:trPr>
          <w:trHeight w:val="209"/>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(729,569)</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(262,050</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loans</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2,138,035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471,867</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Loan and bond repayments</w:t>
            </w:r>
          </w:p>
        </w:tc>
        <w:tc>
          <w:tcPr>
            <w:tcW w:w="1660" w:type="dxa"/>
            <w:vAlign w:val="bottom"/>
            <w:gridSpan w:val="2"/>
          </w:tcPr>
          <w:p>
            <w:pPr>
              <w:jc w:val="right"/>
              <w:ind w:right="81"/>
              <w:spacing w:after="0"/>
              <w:rPr>
                <w:sz w:val="20"/>
                <w:szCs w:val="20"/>
                <w:color w:val="auto"/>
              </w:rPr>
            </w:pPr>
            <w:r>
              <w:rPr>
                <w:rFonts w:ascii="Arial" w:cs="Arial" w:eastAsia="Arial" w:hAnsi="Arial"/>
                <w:sz w:val="18"/>
                <w:szCs w:val="18"/>
                <w:color w:val="auto"/>
              </w:rPr>
              <w:t>(1,481,709)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(592,463)</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Payment for bond repurchase at a premium</w:t>
            </w:r>
          </w:p>
        </w:tc>
        <w:tc>
          <w:tcPr>
            <w:tcW w:w="16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(1,937)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 for interest rate swaps termination</w:t>
            </w:r>
          </w:p>
        </w:tc>
        <w:tc>
          <w:tcPr>
            <w:tcW w:w="1660" w:type="dxa"/>
            <w:vAlign w:val="bottom"/>
            <w:gridSpan w:val="2"/>
          </w:tcPr>
          <w:p>
            <w:pPr>
              <w:jc w:val="right"/>
              <w:ind w:right="81"/>
              <w:spacing w:after="0"/>
              <w:rPr>
                <w:sz w:val="20"/>
                <w:szCs w:val="20"/>
                <w:color w:val="auto"/>
              </w:rPr>
            </w:pPr>
            <w:r>
              <w:rPr>
                <w:rFonts w:ascii="Arial" w:cs="Arial" w:eastAsia="Arial" w:hAnsi="Arial"/>
                <w:sz w:val="18"/>
                <w:szCs w:val="18"/>
                <w:color w:val="auto"/>
              </w:rPr>
              <w:t>(31,662)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entering into interest rate swaps</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31,622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Interest paid</w:t>
            </w:r>
          </w:p>
        </w:tc>
        <w:tc>
          <w:tcPr>
            <w:tcW w:w="1660" w:type="dxa"/>
            <w:vAlign w:val="bottom"/>
            <w:gridSpan w:val="2"/>
          </w:tcPr>
          <w:p>
            <w:pPr>
              <w:jc w:val="right"/>
              <w:ind w:right="81"/>
              <w:spacing w:after="0"/>
              <w:rPr>
                <w:sz w:val="20"/>
                <w:szCs w:val="20"/>
                <w:color w:val="auto"/>
              </w:rPr>
            </w:pPr>
            <w:r>
              <w:rPr>
                <w:rFonts w:ascii="Arial" w:cs="Arial" w:eastAsia="Arial" w:hAnsi="Arial"/>
                <w:sz w:val="18"/>
                <w:szCs w:val="18"/>
                <w:color w:val="auto"/>
              </w:rPr>
              <w:t>(169,284)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(172,772)</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Loan/bond modification costs related to the Transaction</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(15,718)</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 of cash collaterals for swaps</w:t>
            </w:r>
          </w:p>
        </w:tc>
        <w:tc>
          <w:tcPr>
            <w:tcW w:w="1660" w:type="dxa"/>
            <w:vAlign w:val="bottom"/>
            <w:gridSpan w:val="2"/>
          </w:tcPr>
          <w:p>
            <w:pPr>
              <w:jc w:val="right"/>
              <w:ind w:right="81"/>
              <w:spacing w:after="0"/>
              <w:rPr>
                <w:sz w:val="20"/>
                <w:szCs w:val="20"/>
                <w:color w:val="auto"/>
              </w:rPr>
            </w:pPr>
            <w:r>
              <w:rPr>
                <w:rFonts w:ascii="Arial" w:cs="Arial" w:eastAsia="Arial" w:hAnsi="Arial"/>
                <w:sz w:val="18"/>
                <w:szCs w:val="18"/>
                <w:color w:val="auto"/>
              </w:rPr>
              <w:t>(96,314)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(9,080)</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Release of cash collaterals for swaps</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95,067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31,557</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 of loan and bond issuance costs</w:t>
            </w:r>
          </w:p>
        </w:tc>
        <w:tc>
          <w:tcPr>
            <w:tcW w:w="1660" w:type="dxa"/>
            <w:vAlign w:val="bottom"/>
            <w:gridSpan w:val="2"/>
          </w:tcPr>
          <w:p>
            <w:pPr>
              <w:jc w:val="right"/>
              <w:ind w:right="81"/>
              <w:spacing w:after="0"/>
              <w:rPr>
                <w:sz w:val="20"/>
                <w:szCs w:val="20"/>
                <w:color w:val="auto"/>
              </w:rPr>
            </w:pPr>
            <w:r>
              <w:rPr>
                <w:rFonts w:ascii="Arial" w:cs="Arial" w:eastAsia="Arial" w:hAnsi="Arial"/>
                <w:sz w:val="18"/>
                <w:szCs w:val="18"/>
                <w:color w:val="auto"/>
              </w:rPr>
              <w:t>(35,795)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(13,437)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Loan issuance costs received</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 of equity raising costs</w:t>
            </w:r>
          </w:p>
        </w:tc>
        <w:tc>
          <w:tcPr>
            <w:tcW w:w="1660" w:type="dxa"/>
            <w:vAlign w:val="bottom"/>
            <w:gridSpan w:val="2"/>
          </w:tcPr>
          <w:p>
            <w:pPr>
              <w:jc w:val="right"/>
              <w:ind w:right="81"/>
              <w:spacing w:after="0"/>
              <w:rPr>
                <w:sz w:val="20"/>
                <w:szCs w:val="20"/>
                <w:color w:val="auto"/>
              </w:rPr>
            </w:pPr>
            <w:r>
              <w:rPr>
                <w:rFonts w:ascii="Arial" w:cs="Arial" w:eastAsia="Arial" w:hAnsi="Arial"/>
                <w:sz w:val="18"/>
                <w:szCs w:val="18"/>
                <w:color w:val="auto"/>
              </w:rPr>
              <w:t>(1,153)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w w:val="99"/>
              </w:rPr>
              <w:t>Proceeds from GasLog Partners’ common unit offerings (net of underwriting discounts and commissions)</w:t>
            </w:r>
          </w:p>
        </w:tc>
        <w:tc>
          <w:tcPr>
            <w:tcW w:w="16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Proceeds from private placement</w:t>
            </w:r>
          </w:p>
        </w:tc>
        <w:tc>
          <w:tcPr>
            <w:tcW w:w="1660" w:type="dxa"/>
            <w:vAlign w:val="bottom"/>
            <w:gridSpan w:val="2"/>
          </w:tcPr>
          <w:p>
            <w:pPr>
              <w:jc w:val="right"/>
              <w:ind w:right="141"/>
              <w:spacing w:after="0"/>
              <w:rPr>
                <w:sz w:val="20"/>
                <w:szCs w:val="20"/>
                <w:color w:val="auto"/>
              </w:rPr>
            </w:pPr>
            <w:r>
              <w:rPr>
                <w:rFonts w:ascii="Arial" w:cs="Arial" w:eastAsia="Arial" w:hAnsi="Arial"/>
                <w:sz w:val="18"/>
                <w:szCs w:val="18"/>
                <w:color w:val="auto"/>
              </w:rPr>
              <w:t>36,000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6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(90,041)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(91,499)</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 for cross currency swaps’ (“CCS”) termination/modification</w:t>
            </w:r>
          </w:p>
        </w:tc>
        <w:tc>
          <w:tcPr>
            <w:tcW w:w="1660" w:type="dxa"/>
            <w:vAlign w:val="bottom"/>
            <w:gridSpan w:val="2"/>
          </w:tcPr>
          <w:p>
            <w:pPr>
              <w:jc w:val="right"/>
              <w:ind w:right="81"/>
              <w:spacing w:after="0"/>
              <w:rPr>
                <w:sz w:val="20"/>
                <w:szCs w:val="20"/>
                <w:color w:val="auto"/>
              </w:rPr>
            </w:pPr>
            <w:r>
              <w:rPr>
                <w:rFonts w:ascii="Arial" w:cs="Arial" w:eastAsia="Arial" w:hAnsi="Arial"/>
                <w:sz w:val="18"/>
                <w:szCs w:val="18"/>
                <w:color w:val="auto"/>
              </w:rPr>
              <w:t>(4,052)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 or GasLog Partners’ common and preference units</w:t>
            </w:r>
          </w:p>
        </w:tc>
        <w:tc>
          <w:tcPr>
            <w:tcW w:w="16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(2,996)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(18,388)</w:t>
            </w: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Payments for lease liabilities</w:t>
            </w:r>
          </w:p>
        </w:tc>
        <w:tc>
          <w:tcPr>
            <w:tcW w:w="1660" w:type="dxa"/>
            <w:vAlign w:val="bottom"/>
            <w:gridSpan w:val="2"/>
          </w:tcPr>
          <w:p>
            <w:pPr>
              <w:jc w:val="right"/>
              <w:ind w:right="81"/>
              <w:spacing w:after="0"/>
              <w:rPr>
                <w:sz w:val="20"/>
                <w:szCs w:val="20"/>
                <w:color w:val="auto"/>
              </w:rPr>
            </w:pPr>
            <w:r>
              <w:rPr>
                <w:rFonts w:ascii="Arial" w:cs="Arial" w:eastAsia="Arial" w:hAnsi="Arial"/>
                <w:sz w:val="18"/>
                <w:szCs w:val="18"/>
                <w:color w:val="auto"/>
              </w:rPr>
              <w:t>(11,150)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(14,843)</w:t>
            </w: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375,423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(414,744</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103,522</w:t>
            </w:r>
          </w:p>
        </w:tc>
        <w:tc>
          <w:tcPr>
            <w:tcW w:w="2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(85,023</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8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the year</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263,747</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367,269</w:t>
            </w:r>
          </w:p>
        </w:tc>
        <w:tc>
          <w:tcPr>
            <w:tcW w:w="60" w:type="dxa"/>
            <w:vAlign w:val="bottom"/>
            <w:tcBorders>
              <w:bottom w:val="single" w:sz="8" w:color="CCEEFF"/>
            </w:tcBorders>
          </w:tcPr>
          <w:p>
            <w:pPr>
              <w:spacing w:after="0"/>
              <w:rPr>
                <w:sz w:val="18"/>
                <w:szCs w:val="18"/>
                <w:color w:val="auto"/>
              </w:rPr>
            </w:pPr>
          </w:p>
        </w:tc>
      </w:tr>
      <w:tr>
        <w:trPr>
          <w:trHeight w:val="223"/>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the year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367,269</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282,246</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80" w:hanging="323"/>
        <w:spacing w:after="0" w:line="277" w:lineRule="auto"/>
        <w:tabs>
          <w:tab w:leader="none" w:pos="640" w:val="left"/>
        </w:tabs>
        <w:rPr>
          <w:sz w:val="20"/>
          <w:szCs w:val="20"/>
          <w:color w:val="auto"/>
        </w:rPr>
      </w:pPr>
      <w:r>
        <w:rPr>
          <w:rFonts w:ascii="Arial" w:cs="Arial" w:eastAsia="Arial" w:hAnsi="Arial"/>
          <w:sz w:val="29"/>
          <w:szCs w:val="29"/>
          <w:color w:val="auto"/>
          <w:vertAlign w:val="superscript"/>
        </w:rPr>
        <w:t>(</w:t>
      </w:r>
      <w:r>
        <w:rPr>
          <w:rFonts w:ascii="Arial" w:cs="Arial" w:eastAsia="Arial" w:hAnsi="Arial"/>
          <w:sz w:val="28"/>
          <w:szCs w:val="28"/>
          <w:color w:val="auto"/>
          <w:vertAlign w:val="superscript"/>
        </w:rPr>
        <w:t>1</w:t>
      </w:r>
      <w:r>
        <w:rPr>
          <w:rFonts w:ascii="Arial" w:cs="Arial" w:eastAsia="Arial" w:hAnsi="Arial"/>
          <w:sz w:val="29"/>
          <w:szCs w:val="29"/>
          <w:color w:val="auto"/>
          <w:vertAlign w:val="superscript"/>
        </w:rPr>
        <w:t>)</w:t>
      </w:r>
      <w:r>
        <w:rPr>
          <w:rFonts w:ascii="Arial" w:cs="Arial" w:eastAsia="Arial" w:hAnsi="Arial"/>
          <w:sz w:val="18"/>
          <w:szCs w:val="18"/>
          <w:color w:val="auto"/>
        </w:rPr>
        <w:tab/>
        <w:t>Restated so as to reflect a change in accounting policy introduced on January 1, 2021, with respect to the reclassification of interest paid and movements of cash collaterals for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996"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Adjusted EBITDA and Adjusted Profit</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EBITDA is defined as earnings before depreciation, amortization, financial income and costs, gain/loss on derivatives and taxes. Adjusted EBITDA is defined as EBITDA before foreign exchange gains/losses, impairment loss, gain/loss on disposal of non-current assets, restructuring costs and Transaction Costs. Adjusted Profit represents earnings before write-off and accelerated amortization of unamortized loan fees/bond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that includes (if any) (a) unrealized gain/loss on derivative financial instruments held for trading, (b) recycled loss of cash flow hedges reclassified to profit or loss and (c) ineffective portion of cash flow hedges. EBITDA, Adjusted EBITDA and Adjusted Profit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gain/loss on disposal of non-current assets, restructuring costs and Transaction Costs; and in the case of Adjusted Profit, write-off and accelerated amortization of unamortized loan/bond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which items are affected by various and possibly changing financing methods, financial market conditions, capital structure and historical cost basis, and which items may significantly affect results of operations between periods. In the current period, Transaction Costs are excluded from Adjusted EBITDA and Adjusted Profit because they are charges and items not considered to be reflective of the ongoing operations of the company, that we believe reduce the comparability of our operating and business performance across periods.</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EBITDA, Adjusted EBITDA and Adjusted Profit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Profit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evaluating Adjusted EBITDA and Adjusted Profit, you should be aware that in the future we may incur expenses that are the same as, or similar to, some of the adjustments in this presentation. Our presentation of Adjusted EBITDA and Adjusted Profit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Profit/(loss) to EBITDA and Adjusted EBITDA: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For the three months ended</w:t>
            </w:r>
          </w:p>
        </w:tc>
        <w:tc>
          <w:tcPr>
            <w:tcW w:w="27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For the years ended</w:t>
            </w: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December 31,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December 31,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December 31,</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55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Profit/(loss) for the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80,516</w:t>
            </w:r>
          </w:p>
        </w:tc>
        <w:tc>
          <w:tcPr>
            <w:tcW w:w="100" w:type="dxa"/>
            <w:vAlign w:val="bottom"/>
            <w:gridSpan w:val="2"/>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Depreciation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46,963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55,386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177,213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202,953</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Financial costs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39,180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38,158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165,281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166,955</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Financial income</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(142)</w:t>
            </w: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(Gain)/loss on derivatives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(10,444)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84,658</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(22,680)</w:t>
            </w:r>
          </w:p>
        </w:tc>
      </w:tr>
      <w:tr>
        <w:trPr>
          <w:trHeight w:val="21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130,022</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23,093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429,715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427,602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losses/(gains), net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gridSpan w:val="2"/>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Restructuring costs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5,312</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13,671</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Loss on disposal of non-current assets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1,100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136,816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28,627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153,669</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138,334</w:t>
            </w:r>
          </w:p>
        </w:tc>
        <w:tc>
          <w:tcPr>
            <w:tcW w:w="2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164,896</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466,514</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596,014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6"/>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Reconciliation of Profit/(loss) to Adjusted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For the three months ended</w:t>
            </w:r>
          </w:p>
        </w:tc>
        <w:tc>
          <w:tcPr>
            <w:tcW w:w="27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For the years ended</w:t>
            </w:r>
          </w:p>
        </w:tc>
      </w:tr>
      <w:tr>
        <w:trPr>
          <w:trHeight w:val="216"/>
        </w:trPr>
        <w:tc>
          <w:tcPr>
            <w:tcW w:w="55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December 31,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December 31,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December 31,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55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Profit/(loss) for the period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45,948</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80,516</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Non-cash (gain)/loss on derivatives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(10,271)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(20,383)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64,367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(59,402)</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loan/bond fees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Foreign exchange losses/(gains), net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997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1,351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(843)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Transaction Costs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937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4,005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937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29,390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(gains)/losses, net on cash and bonds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w w:val="99"/>
              </w:rPr>
              <w:t>Swap optimization costs (with respect to cash collateral amendments)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3,319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non-current assets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Impairment loss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6,173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136,816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28,627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153,669</w:t>
            </w: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Profit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211,856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decimal"/>
      <w:start w:val="16"/>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2022-02-24T05:47:40Z</dcterms:created>
  <dcterms:modified xsi:type="dcterms:W3CDTF">2022-02-24T05:47:40Z</dcterms:modified>
</cp:coreProperties>
</file>