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80" w:type="dxa"/>
            <w:vAlign w:val="bottom"/>
          </w:tcPr>
          <w:p>
            <w:pPr>
              <w:spacing w:after="0"/>
              <w:rPr>
                <w:sz w:val="20"/>
                <w:szCs w:val="20"/>
                <w:color w:val="auto"/>
              </w:rPr>
            </w:pPr>
          </w:p>
        </w:tc>
      </w:tr>
      <w:tr>
        <w:trPr>
          <w:trHeight w:val="452"/>
        </w:trPr>
        <w:tc>
          <w:tcPr>
            <w:tcW w:w="100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80" w:type="dxa"/>
            <w:vAlign w:val="bottom"/>
          </w:tcPr>
          <w:p>
            <w:pPr>
              <w:spacing w:after="0"/>
              <w:rPr>
                <w:sz w:val="24"/>
                <w:szCs w:val="24"/>
                <w:color w:val="auto"/>
              </w:rPr>
            </w:pPr>
          </w:p>
        </w:tc>
      </w:tr>
      <w:tr>
        <w:trPr>
          <w:trHeight w:val="41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348"/>
        </w:trPr>
        <w:tc>
          <w:tcPr>
            <w:tcW w:w="100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280" w:firstLine="356"/>
        <w:spacing w:after="0" w:line="293" w:lineRule="auto"/>
        <w:rPr>
          <w:sz w:val="20"/>
          <w:szCs w:val="20"/>
          <w:color w:val="auto"/>
        </w:rPr>
      </w:pPr>
      <w:r>
        <w:rPr>
          <w:rFonts w:ascii="Arial" w:cs="Arial" w:eastAsia="Arial" w:hAnsi="Arial"/>
          <w:sz w:val="16"/>
          <w:szCs w:val="16"/>
          <w:color w:val="auto"/>
        </w:rPr>
        <w:t>The press release issued by GasLog Ltd. on November 1, 2018 relating to its results for the third quarter of 2018 and the related financial report are attached hereto as Exhibits 99.1 and 99.2, respectively.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271" w:lineRule="auto"/>
        <w:rPr>
          <w:sz w:val="20"/>
          <w:szCs w:val="20"/>
          <w:color w:val="auto"/>
        </w:rPr>
      </w:pPr>
      <w:r>
        <w:rPr>
          <w:rFonts w:ascii="Arial" w:cs="Arial" w:eastAsia="Arial" w:hAnsi="Arial"/>
          <w:sz w:val="16"/>
          <w:szCs w:val="16"/>
          <w:color w:val="auto"/>
        </w:rPr>
        <w:t>Exhibit 99.2 to this Report on Form 6-K shall be incorporated by reference into our registration statements on Form F-3 (File Nos. 333-194894 and 333-210169), initially filed with the Securities and Exchange Commission (the “SEC”) on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LIST</w:t>
      </w: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November 1, 2018</w:t>
      </w: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Financial Report for the Three and Nine Months Ended September 30, 2018</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Management’s Discussion and Analysis of Financial Condition and Results of Operation</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Unaudited Condensed Consolidated Financial Statements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320"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 2018</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GASLOG LTD.,</w:t>
      </w:r>
    </w:p>
    <w:p>
      <w:pPr>
        <w:spacing w:after="0" w:line="221" w:lineRule="exact"/>
        <w:rPr>
          <w:sz w:val="20"/>
          <w:szCs w:val="20"/>
          <w:color w:val="auto"/>
        </w:rPr>
      </w:pPr>
    </w:p>
    <w:p>
      <w:pPr>
        <w:ind w:left="6040"/>
        <w:spacing w:after="0"/>
        <w:tabs>
          <w:tab w:leader="none" w:pos="6400" w:val="left"/>
        </w:tabs>
        <w:rPr>
          <w:sz w:val="20"/>
          <w:szCs w:val="20"/>
          <w:color w:val="auto"/>
        </w:rPr>
      </w:pPr>
      <w:r>
        <w:rPr>
          <w:rFonts w:ascii="Arial" w:cs="Arial" w:eastAsia="Arial" w:hAnsi="Arial"/>
          <w:sz w:val="16"/>
          <w:szCs w:val="16"/>
          <w:color w:val="auto"/>
        </w:rPr>
        <w:t>by</w:t>
        <w:tab/>
        <w:t>/s/ Paul Wogan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44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Wogan</w:t>
            </w:r>
          </w:p>
        </w:tc>
        <w:tc>
          <w:tcPr>
            <w:tcW w:w="40" w:type="dxa"/>
            <w:vAlign w:val="bottom"/>
          </w:tcPr>
          <w:p>
            <w:pPr>
              <w:spacing w:after="0"/>
              <w:rPr>
                <w:sz w:val="19"/>
                <w:szCs w:val="19"/>
                <w:color w:val="auto"/>
              </w:rPr>
            </w:pPr>
          </w:p>
        </w:tc>
      </w:tr>
      <w:tr>
        <w:trPr>
          <w:trHeight w:val="243"/>
        </w:trPr>
        <w:tc>
          <w:tcPr>
            <w:tcW w:w="64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448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40" w:type="dxa"/>
            <w:vAlign w:val="bottom"/>
          </w:tcPr>
          <w:p>
            <w:pPr>
              <w:spacing w:after="0"/>
              <w:rPr>
                <w:sz w:val="21"/>
                <w:szCs w:val="21"/>
                <w:color w:val="auto"/>
              </w:rPr>
            </w:pPr>
          </w:p>
        </w:tc>
      </w:tr>
      <w:tr>
        <w:trPr>
          <w:trHeight w:val="588"/>
        </w:trPr>
        <w:tc>
          <w:tcPr>
            <w:tcW w:w="6420" w:type="dxa"/>
            <w:vAlign w:val="bottom"/>
          </w:tcPr>
          <w:p>
            <w:pPr>
              <w:jc w:val="right"/>
              <w:ind w:right="608"/>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64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Quarter Ended September 30, 2018</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Monaco, November 1, 2018, GasLog Ltd. and its subsidiaries (“GasLog”, “Group” or “Company”) (NYSE: GLOG)</w:t>
      </w:r>
      <w:r>
        <w:rPr>
          <w:rFonts w:ascii="Arial" w:cs="Arial" w:eastAsia="Arial" w:hAnsi="Arial"/>
          <w:sz w:val="16"/>
          <w:szCs w:val="16"/>
          <w:color w:val="auto"/>
        </w:rPr>
        <w:t>, an international owner, operator and manager of</w:t>
      </w:r>
      <w:r>
        <w:rPr>
          <w:rFonts w:ascii="Arial" w:cs="Arial" w:eastAsia="Arial" w:hAnsi="Arial"/>
          <w:sz w:val="16"/>
          <w:szCs w:val="16"/>
          <w:b w:val="1"/>
          <w:bCs w:val="1"/>
          <w:color w:val="auto"/>
        </w:rPr>
        <w:t xml:space="preserve"> </w:t>
      </w:r>
      <w:r>
        <w:rPr>
          <w:rFonts w:ascii="Arial" w:cs="Arial" w:eastAsia="Arial" w:hAnsi="Arial"/>
          <w:sz w:val="16"/>
          <w:szCs w:val="16"/>
          <w:color w:val="auto"/>
        </w:rPr>
        <w:t>liquefied natural gas (“LNG”) carriers, today reported its financial results for the quarter ended September 30, 2018.</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860" w:right="420" w:hanging="658"/>
        <w:spacing w:after="0" w:line="230"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Revenues of $158.4 million (Q3 2017: $131.2 million), Profit of $39.3 million (Q3 2017: $24.2 million) and Earnings per share of $0.19</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(Q3 2017: Earnings per share of $0.03) for the quarter ended September 30, 2018.</w:t>
      </w:r>
    </w:p>
    <w:p>
      <w:pPr>
        <w:spacing w:after="0" w:line="169" w:lineRule="exact"/>
        <w:rPr>
          <w:rFonts w:ascii="Arial" w:cs="Arial" w:eastAsia="Arial" w:hAnsi="Arial"/>
          <w:sz w:val="16"/>
          <w:szCs w:val="16"/>
          <w:color w:val="auto"/>
        </w:rPr>
      </w:pPr>
    </w:p>
    <w:p>
      <w:pPr>
        <w:ind w:left="820" w:hanging="618"/>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$114.0 million (Q3 2017: $89.6 million), record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$114.2 million (Q3 2017: $89.7 million), Record Adjusted</w:t>
      </w:r>
    </w:p>
    <w:p>
      <w:pPr>
        <w:ind w:left="860"/>
        <w:spacing w:after="0" w:line="226" w:lineRule="auto"/>
        <w:rPr>
          <w:sz w:val="20"/>
          <w:szCs w:val="20"/>
          <w:color w:val="auto"/>
        </w:rPr>
      </w:pPr>
      <w:r>
        <w:rPr>
          <w:rFonts w:ascii="Arial" w:cs="Arial" w:eastAsia="Arial" w:hAnsi="Arial"/>
          <w:sz w:val="16"/>
          <w:szCs w:val="16"/>
          <w:color w:val="auto"/>
        </w:rPr>
        <w:t>Profit</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$32.3 million (Q3 2017: $21.1 million) and Adjusted Earnings per share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$0.11</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(Q3 2017: Adjusted Loss per share of $0.00) for the quarter ended September 30, 2018.</w:t>
      </w:r>
    </w:p>
    <w:p>
      <w:pPr>
        <w:spacing w:after="0" w:line="199" w:lineRule="exact"/>
        <w:rPr>
          <w:sz w:val="20"/>
          <w:szCs w:val="20"/>
          <w:color w:val="auto"/>
        </w:rPr>
      </w:pPr>
    </w:p>
    <w:p>
      <w:pPr>
        <w:ind w:left="860" w:right="120" w:hanging="658"/>
        <w:spacing w:after="0" w:line="293" w:lineRule="auto"/>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Highest ever net pool performance from our vessels trading in the spot market under the LNG carrier pooling agreement (the “Cool Pool”) following a significant increase in LNG shipping spot rates during the third quarter.</w:t>
      </w:r>
    </w:p>
    <w:p>
      <w:pPr>
        <w:spacing w:after="0" w:line="158" w:lineRule="exact"/>
        <w:rPr>
          <w:rFonts w:ascii="Arial" w:cs="Arial" w:eastAsia="Arial" w:hAnsi="Arial"/>
          <w:sz w:val="16"/>
          <w:szCs w:val="16"/>
          <w:color w:val="auto"/>
        </w:rPr>
      </w:pPr>
    </w:p>
    <w:p>
      <w:pPr>
        <w:ind w:left="860" w:right="20" w:hanging="658"/>
        <w:spacing w:after="0" w:line="278" w:lineRule="auto"/>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Signed two seven-year charter parties with a wholly owned subsidiary of Cheniere Energy, Inc. (“Cheniere”), for two newbuild LNG carriers. The vessels, 174,000 cubic meter (“cbm”) LNG carriers with dual fuel two stroke engine propulsion (“LP-2S”) and GTT Mark III Flex Plus containment systems, were ordered from Samsung Heavy Industries Co., Ltd. (“Samsung”) and are scheduled for delivery in late 2020.</w:t>
      </w:r>
    </w:p>
    <w:p>
      <w:pPr>
        <w:spacing w:after="0" w:line="170" w:lineRule="exact"/>
        <w:rPr>
          <w:rFonts w:ascii="Arial" w:cs="Arial" w:eastAsia="Arial" w:hAnsi="Arial"/>
          <w:sz w:val="16"/>
          <w:szCs w:val="16"/>
          <w:color w:val="auto"/>
        </w:rPr>
      </w:pPr>
    </w:p>
    <w:p>
      <w:pPr>
        <w:ind w:left="860" w:right="20" w:hanging="658"/>
        <w:spacing w:after="0" w:line="293" w:lineRule="auto"/>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Post-quarter end, announced the sale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to GasLog Partners LP (“GasLog Partners” or the “Partnership”) for $207.4 million, with attached multi-year charter to a subsidiary of Royal Dutch Shell plc (“Shell”).</w:t>
      </w:r>
    </w:p>
    <w:p>
      <w:pPr>
        <w:spacing w:after="0" w:line="158" w:lineRule="exact"/>
        <w:rPr>
          <w:rFonts w:ascii="Arial" w:cs="Arial" w:eastAsia="Arial" w:hAnsi="Arial"/>
          <w:sz w:val="16"/>
          <w:szCs w:val="16"/>
          <w:color w:val="auto"/>
        </w:rPr>
      </w:pPr>
    </w:p>
    <w:p>
      <w:pPr>
        <w:ind w:left="860" w:right="40" w:hanging="658"/>
        <w:spacing w:after="0" w:line="278" w:lineRule="auto"/>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Continued success of the Partnership’s At-The-Market Common Equity Offering Programme (“ATM Programme”) with net proceeds of $54.0 million raised during the quarter pursuant primarily to an agreement for the sale of 2,250,000 common units to funds managed by Tortoise Capital Advisors, L.L.C. (“Tortoise”), and total net proceeds of $121.4 million raised since inception of the programme.</w:t>
      </w:r>
    </w:p>
    <w:p>
      <w:pPr>
        <w:spacing w:after="0" w:line="170" w:lineRule="exact"/>
        <w:rPr>
          <w:rFonts w:ascii="Arial" w:cs="Arial" w:eastAsia="Arial" w:hAnsi="Arial"/>
          <w:sz w:val="16"/>
          <w:szCs w:val="16"/>
          <w:color w:val="auto"/>
        </w:rPr>
      </w:pPr>
    </w:p>
    <w:p>
      <w:pPr>
        <w:ind w:left="820" w:hanging="618"/>
        <w:spacing w:after="0"/>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Quarterly dividend of $0.15 per common share payable on November 21, 2018, 7.1% higher than the third quarter of 2017.</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40" w:right="240" w:hanging="132"/>
        <w:spacing w:after="0" w:line="222"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Earnings/(loss) per share (“EPS”) and Adjusted EPS are net of the profit attributable to the non-controlling interests of $21.0 million and the dividend on preferred stock of $2.5 million for the quarter ended September 30, 2018 ($18.9 million and $2.5 million, respectively, for the quarter ended September 30, 2017).</w:t>
      </w:r>
    </w:p>
    <w:p>
      <w:pPr>
        <w:spacing w:after="0" w:line="183" w:lineRule="exact"/>
        <w:rPr>
          <w:rFonts w:ascii="Arial" w:cs="Arial" w:eastAsia="Arial" w:hAnsi="Arial"/>
          <w:sz w:val="17"/>
          <w:szCs w:val="17"/>
          <w:color w:val="auto"/>
          <w:vertAlign w:val="superscript"/>
        </w:rPr>
      </w:pPr>
    </w:p>
    <w:p>
      <w:pPr>
        <w:jc w:val="both"/>
        <w:ind w:left="140" w:right="20" w:hanging="132"/>
        <w:spacing w:after="0" w:line="222"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Paul Wogan, Chief Executive Officer, stated: “The LNG shipping market tightened considerably in the third quarter, driving headline spot rates to multi-year highs and delivering a record result for our ships operating in the Cool Pool. This, together with the contribution of our three newbuild vessels delivered earlier in 2018, produced another set of record quarterly results for GasLog. With further strengthening of spot rates in October, we anticipate another significant increase in our spot earnings during the fourth quarter of 2018, despite the time lag for headline rates to manifest themselves in spot vessel earnings. Spot rate strength means our six open vessels are creating significant incremental cash flow which should allow us to consider increasing our returns to shareholders.</w:t>
      </w:r>
    </w:p>
    <w:p>
      <w:pPr>
        <w:spacing w:after="0" w:line="19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During the quarter, we announced two newbuild orders backed by seven-year charters with Cheniere, meaning we continue to be on track for our target to more than double consolidated run-rate EBITDA over the 2017-2022 period.</w:t>
      </w:r>
    </w:p>
    <w:p>
      <w:pPr>
        <w:spacing w:after="0" w:line="17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With the LNG carrier orderbook now essentially fixed until early 2021 and continuing strong growth in demand for LNG, our highly regarded LNG shipping platform means we are well positioned to benefit from the increased level of tender activity we are seeing from both new and existing customers. We are increasingly confident in the near-term outlook for LNG shipping markets and in our ability to secure new multi-year charters for our open ships on attractive terms.</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 am also pleased to announce further progress on the Alexandroupolis Floating Storage Regasification Unit (“FSRU”) project. During the quarter, Gastrade S.A. (“Gastrade”) launched the tenders for the procurement of the FSRU vessel and associated pipeline infrastructure. Following regulatory approvals, the market test to solicit interest in committing to take throughput capacity in the project has also been launched. DEPA, the Greek state natural gas utility, and Bulgarian Energy Holding (“BEH”) continue to work towards formalisation of their respective shareholdings in Gastrade. These recent developments are encouraging and advance the project towards Final Investment Decision (“FID”), which is targeted for the first half of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LNG demand growth was strong and broad-based during the first nine months of 2018, growing 7% over the same period of 2017, according to data from Poten. LNG demand growth was led by China which grew approximately 42% year-over-year or nearly 11 million tonnes per annum (“mtpa”) as the country continued to grow its natural gas usage as a percentage of its total energy consumption. Moreover, demand from South Korea, India, Pakistan and Taiwan grew by 14%, 20%, 63%, and 8%, respectively, or a combined total of approximately 10 mtpa. The outlook for future demand growth continues to be robust, with over 6% per annum projected for 2018-2023, and with more than two-thirds of this demand growth coming from countries in South East Asia and Europe, according to estimates from Wood Mackenzie.</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LNG supply grew by 8% year-over-year during the third quarter of 2018 and increased by 5% from the second quarter of 2018, according to estimates from Wood Mackenzie. Supply growth was driven by the start-up of Yamal Train 2 as well as the ramp-up of production from Wheatstone Train 2, Cameroon FLNG and Cove Point. In addition, the Ichthys LNG project in Australia began operations in October 2018 while Yamal Train 3 (Russia) and Corpus Christi Train 1 (United States, or “U.S.”) are expected to begin production by year end, underpinning Wood Mackenzie’s capacity growth estimate of 8% for this year. Looking ahead, an additional 44 mtpa of LNG production capacity (or 14%) is anticipated in 2019, primarily as a result of the start-up of new liquefaction facilities in the U.S. such as Freeport and Cameron.</w:t>
      </w:r>
    </w:p>
    <w:p>
      <w:pPr>
        <w:spacing w:after="0" w:line="176"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 October 2018, Shell and its project partners (Petronas, PetroChina, Mitsubishi and KOGAS) announced FID on the first phase of the LNG Canada project located in British Columbia on Canada’s Pacific coast. The project is the first LNG project sanctioned in Canada and this first phase targets a total of 14 mtpa of capacity. In addition, Qatar Petroleum announced its intention to add a fourth liquefaction train of 8 mtpa of capacity to its expansion plans, taking its total planned LNG production capacity to 110 mtpa by the middle of the next decade.</w:t>
      </w:r>
    </w:p>
    <w:p>
      <w:pPr>
        <w:spacing w:after="0" w:line="189" w:lineRule="exact"/>
        <w:rPr>
          <w:sz w:val="20"/>
          <w:szCs w:val="20"/>
          <w:color w:val="auto"/>
        </w:rPr>
      </w:pPr>
    </w:p>
    <w:p>
      <w:pPr>
        <w:jc w:val="both"/>
        <w:ind w:right="40"/>
        <w:spacing w:after="0" w:line="303" w:lineRule="auto"/>
        <w:rPr>
          <w:sz w:val="20"/>
          <w:szCs w:val="20"/>
          <w:color w:val="auto"/>
        </w:rPr>
      </w:pPr>
      <w:r>
        <w:rPr>
          <w:rFonts w:ascii="Arial" w:cs="Arial" w:eastAsia="Arial" w:hAnsi="Arial"/>
          <w:sz w:val="14"/>
          <w:szCs w:val="14"/>
          <w:color w:val="auto"/>
        </w:rPr>
        <w:t>Headline spot shipping rates for TFDE LNG carriers as reported by Clarksons averaged $82,000 in the third quarter of 2018, compared to $42,000 in the third quarter of 2017. Rates continued to exhibit counter-seasonal strength through the third quarter of 2018, rising to $95,000 per day in late September from $78,000 per day at the beginning of the quarter. Since the end of the third quarter, spot rates have continued to increase, now assessed at $150,000 and equal to the record high as reported by Clarksons in July of</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2012. Inter-basin trading of LNG continued to support activity in the spot market and 76 fixtures were reported during the third quarter of 2018, bringing the total number of fixtures from January through September of this year to 255, an increase of 9% over the same period in 2017. According to Poten, charter durations have also increased, rising by nearly 50% this year to 43 days, compared with 29 days in 2017, with many multi-month or multi-voyage charters fixed in recent months. A natural outcome of this positive dynamic is that the number of ships available for charter has been reduced and, as such, near-term spot fixture activity may decline relative to the record levels seen earlier in 2018.</w:t>
      </w:r>
    </w:p>
    <w:p>
      <w:pPr>
        <w:spacing w:after="0" w:line="19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Looking ahead, in our view, strong LNG demand, new sources of supply coming onstream and limited availability of shipping capacity over the near-term are combining to create the potential for the recent strength in LNG shipping spot rates to be sustained through at least early 2019. While we may see a seasonal moderation in spot rates during the first half of 2019, we do not expect this to be as pronounced as was the case in early 2018.</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According to Poten, 41 newbuild LNG carriers have been ordered so far in 2018, taking the total orderbook for LNG carriers to 96 vessels of which 65% are backed by long-term charters. Notwithstanding recent order activity, we believe the LNG shipping fleet is set to experience very high levels of utilisation in the near-term based on our current supply and demand projections and the build time of approximately two and a half years for new LNG carriers. We continue to believe that further shipping capacity will be needed over and above the current orderbook to satisfy projected demand from 2021 onwards. However, following the increase in newbuild ordering in 2018, we believe that a more measured pace of shipping capacity additions is needed in the future as a result of the time required to complete the construction and commissioning of new LNG production capacity, particularly if these projects experience delays in their completion.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Vessels and New Charter Agreements</w:t>
      </w:r>
    </w:p>
    <w:p>
      <w:pPr>
        <w:spacing w:after="0" w:line="239" w:lineRule="exact"/>
        <w:rPr>
          <w:sz w:val="20"/>
          <w:szCs w:val="20"/>
          <w:color w:val="auto"/>
        </w:rPr>
      </w:pPr>
    </w:p>
    <w:p>
      <w:pPr>
        <w:ind w:right="580"/>
        <w:spacing w:after="0" w:line="278" w:lineRule="auto"/>
        <w:rPr>
          <w:sz w:val="20"/>
          <w:szCs w:val="20"/>
          <w:color w:val="auto"/>
        </w:rPr>
      </w:pPr>
      <w:r>
        <w:rPr>
          <w:rFonts w:ascii="Arial" w:cs="Arial" w:eastAsia="Arial" w:hAnsi="Arial"/>
          <w:sz w:val="16"/>
          <w:szCs w:val="16"/>
          <w:color w:val="auto"/>
        </w:rPr>
        <w:t>On August 20, 2018, GasLog announced the order of two 174,000 cbm LNG carriers (Hull Nos. 2300 and 2301) with LP-2S propulsion and GTT Mark III Flex Plus containment systems from Samsung scheduled to be delivered in late 2020. The vessels will be chartered to Cheniere for a firm period of seven years. GasLog has also negotiated with Cheniere an option for the charter of one or two additional newbuild vessels.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of the </w:t>
      </w:r>
      <w:r>
        <w:rPr>
          <w:rFonts w:ascii="Arial" w:cs="Arial" w:eastAsia="Arial" w:hAnsi="Arial"/>
          <w:sz w:val="16"/>
          <w:szCs w:val="16"/>
          <w:b w:val="1"/>
          <w:bCs w:val="1"/>
          <w:i w:val="1"/>
          <w:iCs w:val="1"/>
          <w:u w:val="single" w:color="auto"/>
          <w:color w:val="auto"/>
        </w:rPr>
        <w:t>Methane Becki Anne</w:t>
      </w:r>
    </w:p>
    <w:p>
      <w:pPr>
        <w:spacing w:after="0" w:line="239"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 xml:space="preserve">On October 25, 2018, GasLog Partners announced an agreement with GasLog to purchase 100% of the ownership interest in GAS-twenty seven Ltd., the entity that owns the </w:t>
      </w:r>
      <w:r>
        <w:rPr>
          <w:rFonts w:ascii="Arial" w:cs="Arial" w:eastAsia="Arial" w:hAnsi="Arial"/>
          <w:sz w:val="16"/>
          <w:szCs w:val="16"/>
          <w:i w:val="1"/>
          <w:iCs w:val="1"/>
          <w:color w:val="auto"/>
        </w:rPr>
        <w:t>Methane Becki Anne</w:t>
      </w:r>
      <w:r>
        <w:rPr>
          <w:rFonts w:ascii="Arial" w:cs="Arial" w:eastAsia="Arial" w:hAnsi="Arial"/>
          <w:sz w:val="16"/>
          <w:szCs w:val="16"/>
          <w:color w:val="auto"/>
        </w:rPr>
        <w:t>. The vessel is currently on a multi-year time charter with a subsidiary of Shell through March 2024 and Shell has a unilateral option to extend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charter for a period of either three or five years.</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The aggregate sale price will be $207.4 million, which includes $1.0 million for positive net working capital balances to be transferred with the entity. GasLog Partners expects to finance the acquisition with cash on hand, plus the assumption of the </w:t>
      </w:r>
      <w:r>
        <w:rPr>
          <w:rFonts w:ascii="Arial" w:cs="Arial" w:eastAsia="Arial" w:hAnsi="Arial"/>
          <w:sz w:val="16"/>
          <w:szCs w:val="16"/>
          <w:i w:val="1"/>
          <w:iCs w:val="1"/>
          <w:color w:val="auto"/>
        </w:rPr>
        <w:t>Methane Becki Anne’s</w:t>
      </w:r>
      <w:r>
        <w:rPr>
          <w:rFonts w:ascii="Arial" w:cs="Arial" w:eastAsia="Arial" w:hAnsi="Arial"/>
          <w:sz w:val="16"/>
          <w:szCs w:val="16"/>
          <w:color w:val="auto"/>
        </w:rPr>
        <w:t xml:space="preserve"> outstanding indebtedness of $93.9 million. The sale is expected to close in November 2018.</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ATM Programme</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On May 16, 2017, GasLog Partners commenced an ATM Programme under which the Partnership may, from time to time, raise equity through the issuance and sale of new common units having an aggregate offering value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 w:name="page6"/>
    <w:bookmarkEnd w:id="5"/>
    <w:p>
      <w:pPr>
        <w:ind w:right="200"/>
        <w:spacing w:after="0" w:line="278" w:lineRule="auto"/>
        <w:rPr>
          <w:sz w:val="20"/>
          <w:szCs w:val="20"/>
          <w:color w:val="auto"/>
        </w:rPr>
      </w:pPr>
      <w:r>
        <w:rPr>
          <w:rFonts w:ascii="Arial" w:cs="Arial" w:eastAsia="Arial" w:hAnsi="Arial"/>
          <w:sz w:val="16"/>
          <w:szCs w:val="16"/>
          <w:color w:val="auto"/>
        </w:rPr>
        <w:t>In the third quarter of 2018, GasLog Partners issued and received payment for an additional 2,293,775 common units at a weighted average price of $23.68 per common unit for total gross proceeds of $54.3 million and net proceeds of $54.0 million. The aforementioned units included 2,093,775 common units which were purchased by funds managed by Tortoise, a leading energy infrastructure investor.</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the period from October 1, 2018 through October 29, 2018, GasLog Partners issued and received payment for an additional 259,104 common units at a price of $24.06 per unit for gross and net proceeds of $6.2 million.</w:t>
      </w:r>
    </w:p>
    <w:p>
      <w:pPr>
        <w:spacing w:after="0" w:line="172" w:lineRule="exact"/>
        <w:rPr>
          <w:sz w:val="20"/>
          <w:szCs w:val="20"/>
          <w:color w:val="auto"/>
        </w:rPr>
      </w:pPr>
    </w:p>
    <w:p>
      <w:pPr>
        <w:ind w:right="240"/>
        <w:spacing w:after="0" w:line="369" w:lineRule="auto"/>
        <w:rPr>
          <w:sz w:val="20"/>
          <w:szCs w:val="20"/>
          <w:color w:val="auto"/>
        </w:rPr>
      </w:pPr>
      <w:r>
        <w:rPr>
          <w:rFonts w:ascii="Arial" w:cs="Arial" w:eastAsia="Arial" w:hAnsi="Arial"/>
          <w:sz w:val="14"/>
          <w:szCs w:val="14"/>
          <w:color w:val="auto"/>
        </w:rPr>
        <w:t>Since the commencement of the ATM Programme through October 29, 2018, GasLog Partners has issued and received payment for a total of 5,291,304 common units, with cumulative gross proceeds of $123.4 million at a weighted average price of $23.33 per unit. As of October 29, 2018, the cumulative net proceeds were $121.4 million.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239"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The Alexandroupolis FSRU project in Northern Greece continued to move forward in the third quarter. In September 2018, Gastrade issued Invitations for Expression of Interest (“IEOI”) for the supply of the FSRU and the pipeline infrastructure which will connect the FSRU vessel with the Greek natural gas transmission system. Following regulatory approvals, Gastrade launched the first phase of the market test in late October. During this phase interested parties, including DEPA, the Greek state natural gas utility, and BEH, are invited to submit proposals for offtake capacity from the Alexandroupolis project.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DEPA and BEH continue to work towards the formalisation of their respective shareholdings in Gastrade.</w:t>
      </w:r>
    </w:p>
    <w:p>
      <w:pPr>
        <w:spacing w:after="0" w:line="23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launch of the FSRU and pipeline tenders by Gastrade, as well as the market test, are, we believe, significant milestones and advance the project towards FID, which is targeted for the first half of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239" w:lineRule="exact"/>
        <w:rPr>
          <w:sz w:val="20"/>
          <w:szCs w:val="20"/>
          <w:color w:val="auto"/>
        </w:rPr>
      </w:pPr>
    </w:p>
    <w:p>
      <w:pPr>
        <w:ind w:right="660"/>
        <w:spacing w:after="0" w:line="329" w:lineRule="auto"/>
        <w:rPr>
          <w:sz w:val="20"/>
          <w:szCs w:val="20"/>
          <w:color w:val="auto"/>
        </w:rPr>
      </w:pPr>
      <w:r>
        <w:rPr>
          <w:rFonts w:ascii="Arial" w:cs="Arial" w:eastAsia="Arial" w:hAnsi="Arial"/>
          <w:sz w:val="15"/>
          <w:szCs w:val="15"/>
          <w:color w:val="auto"/>
        </w:rPr>
        <w:t>On September 13, 2018, the board of directors declared a dividend on the Series A Preference Shares of $0.546875 per share, or $2.5 million in aggregate, payable on October 1, 2018 to holders of record as of September 28, 2018. GasLog paid the declared dividend to the transfer agent on September 28, 2018.</w:t>
      </w:r>
    </w:p>
    <w:p>
      <w:pPr>
        <w:spacing w:after="0" w:line="14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On October 31, 2018, the board of directors declared a quarterly cash dividend of $0.15 per common share, or $12.1 million in aggregate, payable on November 21, 2018 to shareholders of record as of November 12,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gridSpan w:val="3"/>
            <w:vMerge w:val="restart"/>
          </w:tcPr>
          <w:p>
            <w:pPr>
              <w:jc w:val="right"/>
              <w:ind w:right="199"/>
              <w:spacing w:after="0"/>
              <w:rPr>
                <w:sz w:val="20"/>
                <w:szCs w:val="20"/>
                <w:color w:val="auto"/>
              </w:rPr>
            </w:pPr>
            <w:r>
              <w:rPr>
                <w:rFonts w:ascii="Arial" w:cs="Arial" w:eastAsia="Arial" w:hAnsi="Arial"/>
                <w:sz w:val="16"/>
                <w:szCs w:val="16"/>
                <w:b w:val="1"/>
                <w:bCs w:val="1"/>
                <w:color w:val="auto"/>
              </w:rPr>
              <w:t>For the three months ended</w:t>
            </w: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7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in thousands of U.S. dollars except per share data</w:t>
            </w:r>
          </w:p>
        </w:tc>
        <w:tc>
          <w:tcPr>
            <w:tcW w:w="540" w:type="dxa"/>
            <w:vAlign w:val="bottom"/>
          </w:tcPr>
          <w:p>
            <w:pPr>
              <w:spacing w:after="0"/>
              <w:rPr>
                <w:sz w:val="24"/>
                <w:szCs w:val="24"/>
                <w:color w:val="auto"/>
              </w:rPr>
            </w:pPr>
          </w:p>
        </w:tc>
        <w:tc>
          <w:tcPr>
            <w:tcW w:w="254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980" w:type="dxa"/>
            <w:vAlign w:val="bottom"/>
            <w:gridSpan w:val="3"/>
          </w:tcPr>
          <w:p>
            <w:pPr>
              <w:ind w:left="36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E5FFFF"/>
            </w:tcBorders>
          </w:tcPr>
          <w:p>
            <w:pPr>
              <w:spacing w:after="0"/>
              <w:rPr>
                <w:sz w:val="18"/>
                <w:szCs w:val="18"/>
                <w:color w:val="auto"/>
              </w:rPr>
            </w:pPr>
          </w:p>
        </w:tc>
        <w:tc>
          <w:tcPr>
            <w:tcW w:w="6360" w:type="dxa"/>
            <w:vAlign w:val="bottom"/>
            <w:tcBorders>
              <w:bottom w:val="single" w:sz="8" w:color="E5FF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131,242</w:t>
            </w: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0" w:type="dxa"/>
            <w:vAlign w:val="bottom"/>
          </w:tcPr>
          <w:p>
            <w:pPr>
              <w:spacing w:after="0"/>
              <w:rPr>
                <w:sz w:val="1"/>
                <w:szCs w:val="1"/>
                <w:color w:val="auto"/>
              </w:rPr>
            </w:pPr>
          </w:p>
        </w:tc>
      </w:tr>
      <w:tr>
        <w:trPr>
          <w:trHeight w:val="203"/>
        </w:trPr>
        <w:tc>
          <w:tcPr>
            <w:tcW w:w="7740" w:type="dxa"/>
            <w:vAlign w:val="bottom"/>
            <w:gridSpan w:val="2"/>
          </w:tcPr>
          <w:p>
            <w:pPr>
              <w:spacing w:after="0" w:line="203"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89,603</w:t>
            </w:r>
          </w:p>
        </w:tc>
        <w:tc>
          <w:tcPr>
            <w:tcW w:w="280" w:type="dxa"/>
            <w:vAlign w:val="bottom"/>
          </w:tcPr>
          <w:p>
            <w:pPr>
              <w:spacing w:after="0"/>
              <w:rPr>
                <w:sz w:val="17"/>
                <w:szCs w:val="17"/>
                <w:color w:val="auto"/>
              </w:rPr>
            </w:pPr>
          </w:p>
        </w:tc>
        <w:tc>
          <w:tcPr>
            <w:tcW w:w="11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114,085</w:t>
            </w: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54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89,692</w:t>
            </w: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114,248</w:t>
            </w:r>
          </w:p>
        </w:tc>
        <w:tc>
          <w:tcPr>
            <w:tcW w:w="0" w:type="dxa"/>
            <w:vAlign w:val="bottom"/>
          </w:tcPr>
          <w:p>
            <w:pPr>
              <w:spacing w:after="0"/>
              <w:rPr>
                <w:sz w:val="1"/>
                <w:szCs w:val="1"/>
                <w:color w:val="auto"/>
              </w:rPr>
            </w:pP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24,228</w:t>
            </w:r>
          </w:p>
        </w:tc>
        <w:tc>
          <w:tcPr>
            <w:tcW w:w="280" w:type="dxa"/>
            <w:vAlign w:val="bottom"/>
          </w:tcPr>
          <w:p>
            <w:pPr>
              <w:spacing w:after="0"/>
              <w:rPr>
                <w:sz w:val="17"/>
                <w:szCs w:val="17"/>
                <w:color w:val="auto"/>
              </w:rPr>
            </w:pPr>
          </w:p>
        </w:tc>
        <w:tc>
          <w:tcPr>
            <w:tcW w:w="11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39,261</w:t>
            </w: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p>
        </w:tc>
        <w:tc>
          <w:tcPr>
            <w:tcW w:w="54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21,111</w:t>
            </w: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32,251</w:t>
            </w:r>
          </w:p>
        </w:tc>
        <w:tc>
          <w:tcPr>
            <w:tcW w:w="0" w:type="dxa"/>
            <w:vAlign w:val="bottom"/>
          </w:tcPr>
          <w:p>
            <w:pPr>
              <w:spacing w:after="0"/>
              <w:rPr>
                <w:sz w:val="1"/>
                <w:szCs w:val="1"/>
                <w:color w:val="auto"/>
              </w:rPr>
            </w:pP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color w:val="auto"/>
              </w:rPr>
              <w:t>Profit attributable to the owners of GasLog</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5,335</w:t>
            </w:r>
          </w:p>
        </w:tc>
        <w:tc>
          <w:tcPr>
            <w:tcW w:w="280" w:type="dxa"/>
            <w:vAlign w:val="bottom"/>
          </w:tcPr>
          <w:p>
            <w:pPr>
              <w:spacing w:after="0"/>
              <w:rPr>
                <w:sz w:val="17"/>
                <w:szCs w:val="17"/>
                <w:color w:val="auto"/>
              </w:rPr>
            </w:pPr>
          </w:p>
        </w:tc>
        <w:tc>
          <w:tcPr>
            <w:tcW w:w="11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18,214</w:t>
            </w: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EPS, basic</w:t>
            </w:r>
          </w:p>
        </w:tc>
        <w:tc>
          <w:tcPr>
            <w:tcW w:w="54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0.03</w:t>
            </w: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81"/>
        </w:trPr>
        <w:tc>
          <w:tcPr>
            <w:tcW w:w="7740" w:type="dxa"/>
            <w:vAlign w:val="bottom"/>
            <w:gridSpan w:val="2"/>
          </w:tcPr>
          <w:p>
            <w:pPr>
              <w:spacing w:after="0"/>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(0.00)</w:t>
            </w:r>
          </w:p>
        </w:tc>
        <w:tc>
          <w:tcPr>
            <w:tcW w:w="11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0" w:hanging="132"/>
        <w:spacing w:after="0" w:line="222" w:lineRule="auto"/>
        <w:tabs>
          <w:tab w:leader="none" w:pos="174"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EBITDA, Adjusted EBITDA, Adjusted Profit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 xml:space="preserve">There were 2,302 operating days for the quarter ended September 30, 2018, as compared to 2,116 operating days for the quarter ended September 30, 2017. The increase in operating days resulted mainly from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on January 8, 2018, March 20, 2018 and March 29, 2018, respectively, partially offset by certain non-operating days for the vessels not operating under a time charter and the off-hire days for the dry-docking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Skagen</w:t>
      </w:r>
      <w:r>
        <w:rPr>
          <w:rFonts w:ascii="Arial" w:cs="Arial" w:eastAsia="Arial" w:hAnsi="Arial"/>
          <w:sz w:val="16"/>
          <w:szCs w:val="16"/>
          <w:color w:val="auto"/>
        </w:rPr>
        <w:t>.</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Revenues were $158.4 million for the quarter ended September 30, 2018 ($131.2 million for the quarter ended September 30, 2017). The increase was mainly driven by the new deliveries in our fleet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increased revenues from vessels operating in the spot market, partially offset by a decrease due to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increase in off-hire days due to dry-dockings.</w:t>
      </w:r>
    </w:p>
    <w:p>
      <w:pPr>
        <w:spacing w:after="0" w:line="189"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Net pool allocation was $3.9 million for the quarter ended September 30, 2018 ($2.0 million for the quarter ended September 30, 2017). The increase was attributable to the movement in the adjustment of the net pool results generated by the GasLog vessels in accordance with the pool distribution formula. GasLog recognized gross revenues and gross voyage expenses and commissions of $25.9 million and $2.1 million, respectively, from the operation of its vessels in the Cool Pool during the quarter ended September 30, 2018 (September 30, 2017: $8.0 million and $2.5 million, respectively). The increase in GasLog’s total net pool performance compared to the quarter ended September 30, 2017 was driven by higher spot rates and higher utilization achieved by all vessels trading in the Cool Pool. GasLog’s total net pool performance is presented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40" w:type="dxa"/>
            <w:vAlign w:val="bottom"/>
          </w:tcPr>
          <w:p>
            <w:pPr>
              <w:spacing w:after="0"/>
              <w:rPr>
                <w:sz w:val="18"/>
                <w:szCs w:val="18"/>
                <w:color w:val="auto"/>
              </w:rPr>
            </w:pPr>
          </w:p>
        </w:tc>
        <w:tc>
          <w:tcPr>
            <w:tcW w:w="3600" w:type="dxa"/>
            <w:vAlign w:val="bottom"/>
            <w:gridSpan w:val="5"/>
          </w:tcPr>
          <w:p>
            <w:pPr>
              <w:ind w:left="740"/>
              <w:spacing w:after="0"/>
              <w:rPr>
                <w:sz w:val="20"/>
                <w:szCs w:val="20"/>
                <w:color w:val="auto"/>
              </w:rPr>
            </w:pPr>
            <w:r>
              <w:rPr>
                <w:rFonts w:ascii="Arial" w:cs="Arial" w:eastAsia="Arial" w:hAnsi="Arial"/>
                <w:sz w:val="16"/>
                <w:szCs w:val="16"/>
                <w:b w:val="1"/>
                <w:bCs w:val="1"/>
                <w:color w:val="auto"/>
              </w:rPr>
              <w:t>For the three months ended</w:t>
            </w:r>
          </w:p>
        </w:tc>
      </w:tr>
      <w:tr>
        <w:trPr>
          <w:trHeight w:val="216"/>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0"/>
              </w:rPr>
              <w:t>September 30, 2017</w:t>
            </w: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r>
      <w:tr>
        <w:trPr>
          <w:trHeight w:val="202"/>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8,146</w:t>
            </w:r>
          </w:p>
        </w:tc>
        <w:tc>
          <w:tcPr>
            <w:tcW w:w="3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25,947</w:t>
            </w:r>
          </w:p>
        </w:tc>
        <w:tc>
          <w:tcPr>
            <w:tcW w:w="40" w:type="dxa"/>
            <w:vAlign w:val="bottom"/>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40" w:type="dxa"/>
            <w:vAlign w:val="bottom"/>
          </w:tcPr>
          <w:p>
            <w:pPr>
              <w:spacing w:after="0"/>
              <w:rPr>
                <w:sz w:val="17"/>
                <w:szCs w:val="17"/>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(2,480)</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(2,066)</w:t>
            </w:r>
          </w:p>
        </w:tc>
        <w:tc>
          <w:tcPr>
            <w:tcW w:w="40" w:type="dxa"/>
            <w:vAlign w:val="bottom"/>
          </w:tcPr>
          <w:p>
            <w:pPr>
              <w:spacing w:after="0"/>
              <w:rPr>
                <w:sz w:val="17"/>
                <w:szCs w:val="17"/>
                <w:color w:val="auto"/>
              </w:rPr>
            </w:pPr>
          </w:p>
        </w:tc>
      </w:tr>
      <w:tr>
        <w:trPr>
          <w:trHeight w:val="20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40" w:type="dxa"/>
            <w:vAlign w:val="bottom"/>
            <w:tcBorders>
              <w:bottom w:val="single" w:sz="8" w:color="auto"/>
            </w:tcBorders>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2,041</w:t>
            </w:r>
          </w:p>
        </w:tc>
        <w:tc>
          <w:tcPr>
            <w:tcW w:w="30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3,882</w:t>
            </w:r>
          </w:p>
        </w:tc>
        <w:tc>
          <w:tcPr>
            <w:tcW w:w="40" w:type="dxa"/>
            <w:vAlign w:val="bottom"/>
          </w:tcPr>
          <w:p>
            <w:pPr>
              <w:spacing w:after="0"/>
              <w:rPr>
                <w:sz w:val="17"/>
                <w:szCs w:val="17"/>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7,707</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27,763</w:t>
            </w:r>
          </w:p>
        </w:tc>
        <w:tc>
          <w:tcPr>
            <w:tcW w:w="40" w:type="dxa"/>
            <w:vAlign w:val="bottom"/>
          </w:tcPr>
          <w:p>
            <w:pPr>
              <w:spacing w:after="0"/>
              <w:rPr>
                <w:sz w:val="17"/>
                <w:szCs w:val="17"/>
                <w:color w:val="auto"/>
              </w:rPr>
            </w:pPr>
          </w:p>
        </w:tc>
      </w:tr>
    </w:tbl>
    <w:p>
      <w:pPr>
        <w:spacing w:after="0" w:line="206"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Voyage expenses and commissions were $6.8 million for the quarter ended September 30, 2018 ($4.0 million for the quarter ended September 30, 2017). The increase resulted mainly from the increased bunkers consumed during certain unchartered and off-hire periods.</w:t>
      </w:r>
    </w:p>
    <w:p>
      <w:pPr>
        <w:spacing w:after="0" w:line="172"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Vessel operating and supervision costs were $31.9 million for the quarter ended September 30, 2018 ($29.6 million for the quarter ended September 30, 2017). The increase was mainly attributable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their subsequent operations in our fleet for the full third quarter in 2018.</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$9.9 million for the quarter ended September 30, 2018 ($10.0 million for the quarter ended September 30, 2017).</w:t>
      </w:r>
    </w:p>
    <w:p>
      <w:pPr>
        <w:spacing w:after="0" w:line="235"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color w:val="auto"/>
        </w:rPr>
        <w:t xml:space="preserve">Depreciation was $39.3 million for the quarter ended September 30, 2018 ($34.4 million for the quarter ended September 30, 2017). The increase resulted from the deliveries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Genoa</w:t>
      </w:r>
      <w:r>
        <w:rPr>
          <w:rFonts w:ascii="Arial" w:cs="Arial" w:eastAsia="Arial" w:hAnsi="Arial"/>
          <w:sz w:val="15"/>
          <w:szCs w:val="15"/>
          <w:color w:val="auto"/>
        </w:rPr>
        <w:t xml:space="preserve"> on January 8, 2018, March 20, 2018 and March 29, 2018, respectively.</w:t>
      </w:r>
    </w:p>
    <w:p>
      <w:pPr>
        <w:spacing w:after="0" w:line="148"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Financial costs were $43.9 million for the quarter ended September 30, 2018 ($34.7 million for the quarter ended September 30, 2017). The increase was attributable to the increased weighted average debt outstanding as a result of the debt drawdowns for the vessels delivered in 2018 and the increased weighted average interest rate deriving from the upward movement of the USD London Interbank Offered Rate (“LIBOR”) rates. An analysis of the financial costs is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40" w:type="dxa"/>
            <w:vAlign w:val="bottom"/>
          </w:tcPr>
          <w:p>
            <w:pPr>
              <w:spacing w:after="0"/>
              <w:rPr>
                <w:sz w:val="18"/>
                <w:szCs w:val="18"/>
                <w:color w:val="auto"/>
              </w:rPr>
            </w:pPr>
          </w:p>
        </w:tc>
        <w:tc>
          <w:tcPr>
            <w:tcW w:w="3600" w:type="dxa"/>
            <w:vAlign w:val="bottom"/>
            <w:gridSpan w:val="5"/>
          </w:tcPr>
          <w:p>
            <w:pPr>
              <w:jc w:val="right"/>
              <w:ind w:right="89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w w:val="90"/>
              </w:rPr>
              <w:t>September 30, 2017</w:t>
            </w:r>
          </w:p>
        </w:tc>
        <w:tc>
          <w:tcPr>
            <w:tcW w:w="140" w:type="dxa"/>
            <w:vAlign w:val="bottom"/>
          </w:tcPr>
          <w:p>
            <w:pPr>
              <w:spacing w:after="0"/>
              <w:rPr>
                <w:sz w:val="21"/>
                <w:szCs w:val="21"/>
                <w:color w:val="auto"/>
              </w:rPr>
            </w:pPr>
          </w:p>
        </w:tc>
        <w:tc>
          <w:tcPr>
            <w:tcW w:w="16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0"/>
              </w:rPr>
              <w:t>September 30, 2018</w:t>
            </w:r>
          </w:p>
        </w:tc>
        <w:tc>
          <w:tcPr>
            <w:tcW w:w="0" w:type="dxa"/>
            <w:vAlign w:val="bottom"/>
          </w:tcPr>
          <w:p>
            <w:pPr>
              <w:spacing w:after="0"/>
              <w:rPr>
                <w:sz w:val="1"/>
                <w:szCs w:val="1"/>
                <w:color w:val="auto"/>
              </w:rPr>
            </w:pPr>
          </w:p>
        </w:tc>
      </w:tr>
      <w:tr>
        <w:trPr>
          <w:trHeight w:val="189"/>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Financial costs</w:t>
            </w:r>
          </w:p>
        </w:tc>
        <w:tc>
          <w:tcPr>
            <w:tcW w:w="140" w:type="dxa"/>
            <w:vAlign w:val="bottom"/>
            <w:tcBorders>
              <w:top w:val="single" w:sz="8" w:color="auto"/>
            </w:tcBorders>
            <w:shd w:val="clear" w:color="auto" w:fill="E5FFFF"/>
          </w:tcPr>
          <w:p>
            <w:pPr>
              <w:spacing w:after="0"/>
              <w:rPr>
                <w:sz w:val="16"/>
                <w:szCs w:val="16"/>
                <w:color w:val="auto"/>
              </w:rPr>
            </w:pPr>
          </w:p>
        </w:tc>
        <w:tc>
          <w:tcPr>
            <w:tcW w:w="156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1560" w:type="dxa"/>
            <w:vAlign w:val="bottom"/>
            <w:tcBorders>
              <w:top w:val="single" w:sz="8" w:color="auto"/>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Amortization of deferred loan/bond issuance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(2,898)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(3,239)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loans</w:t>
            </w:r>
          </w:p>
        </w:tc>
        <w:tc>
          <w:tcPr>
            <w:tcW w:w="14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(21,100)</w:t>
            </w:r>
          </w:p>
        </w:tc>
        <w:tc>
          <w:tcPr>
            <w:tcW w:w="14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Interest expense on bonds and realized loss on cross-currency swaps (“CCS”)</w:t>
            </w:r>
          </w:p>
        </w:tc>
        <w:tc>
          <w:tcPr>
            <w:tcW w:w="140" w:type="dxa"/>
            <w:vAlign w:val="bottom"/>
          </w:tcPr>
          <w:p>
            <w:pPr>
              <w:spacing w:after="0"/>
              <w:rPr>
                <w:sz w:val="17"/>
                <w:szCs w:val="17"/>
                <w:color w:val="auto"/>
              </w:rPr>
            </w:pP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(7,526)</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Finance lease charge</w:t>
            </w:r>
          </w:p>
        </w:tc>
        <w:tc>
          <w:tcPr>
            <w:tcW w:w="14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(2,731)</w:t>
            </w:r>
          </w:p>
        </w:tc>
        <w:tc>
          <w:tcPr>
            <w:tcW w:w="14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Other financial costs</w:t>
            </w:r>
          </w:p>
        </w:tc>
        <w:tc>
          <w:tcPr>
            <w:tcW w:w="140" w:type="dxa"/>
            <w:vAlign w:val="bottom"/>
          </w:tcPr>
          <w:p>
            <w:pPr>
              <w:spacing w:after="0"/>
              <w:rPr>
                <w:sz w:val="17"/>
                <w:szCs w:val="17"/>
                <w:color w:val="auto"/>
              </w:rPr>
            </w:pPr>
          </w:p>
        </w:tc>
        <w:tc>
          <w:tcPr>
            <w:tcW w:w="1860" w:type="dxa"/>
            <w:vAlign w:val="bottom"/>
            <w:gridSpan w:val="2"/>
          </w:tcPr>
          <w:p>
            <w:pPr>
              <w:jc w:val="right"/>
              <w:ind w:right="159"/>
              <w:spacing w:after="0"/>
              <w:rPr>
                <w:sz w:val="20"/>
                <w:szCs w:val="20"/>
                <w:color w:val="auto"/>
              </w:rPr>
            </w:pPr>
            <w:r>
              <w:rPr>
                <w:rFonts w:ascii="Arial" w:cs="Arial" w:eastAsia="Arial" w:hAnsi="Arial"/>
                <w:sz w:val="16"/>
                <w:szCs w:val="16"/>
                <w:color w:val="auto"/>
              </w:rPr>
              <w:t>(454)</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(434)</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7"/>
        </w:trPr>
        <w:tc>
          <w:tcPr>
            <w:tcW w:w="7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(34,709</w:t>
            </w:r>
          </w:p>
        </w:tc>
        <w:tc>
          <w:tcPr>
            <w:tcW w:w="300" w:type="dxa"/>
            <w:vAlign w:val="bottom"/>
            <w:tcBorders>
              <w:top w:val="single" w:sz="8" w:color="E5FFFF"/>
              <w:bottom w:val="single" w:sz="8" w:color="E5FFFF"/>
            </w:tcBorders>
            <w:shd w:val="clear" w:color="auto" w:fill="E5FFFF"/>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(43,908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Gain on derivatives was $7.4 million for the quarter ended September 30, 2018 ($3.1 million gain for the quarter ended September 30, 2017). The increase in gain on derivatives in the third quarter of 2018, as compared to the third quarter of 2017, is mainly attributable to an increase of $3.8 million in gain from mark-to-market valuation of our derivative financial instruments carried at fair value through profit or loss, derived mainly from the higher LIBOR yield curve which was used to estimate the present value of the estimated future cash flows compared to the agreed fixed interest rates, and a net increase of $0.3 million in realized gain on derivatives. An analysis of gain on derivatives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40" w:type="dxa"/>
            <w:vAlign w:val="bottom"/>
          </w:tcPr>
          <w:p>
            <w:pPr>
              <w:spacing w:after="0"/>
              <w:rPr>
                <w:sz w:val="18"/>
                <w:szCs w:val="18"/>
                <w:color w:val="auto"/>
              </w:rPr>
            </w:pPr>
          </w:p>
        </w:tc>
        <w:tc>
          <w:tcPr>
            <w:tcW w:w="3600" w:type="dxa"/>
            <w:vAlign w:val="bottom"/>
            <w:gridSpan w:val="5"/>
          </w:tcPr>
          <w:p>
            <w:pPr>
              <w:ind w:left="740"/>
              <w:spacing w:after="0"/>
              <w:rPr>
                <w:sz w:val="20"/>
                <w:szCs w:val="20"/>
                <w:color w:val="auto"/>
              </w:rPr>
            </w:pPr>
            <w:r>
              <w:rPr>
                <w:rFonts w:ascii="Arial" w:cs="Arial" w:eastAsia="Arial" w:hAnsi="Arial"/>
                <w:sz w:val="16"/>
                <w:szCs w:val="16"/>
                <w:b w:val="1"/>
                <w:bCs w:val="1"/>
                <w:color w:val="auto"/>
              </w:rPr>
              <w:t>For the three months ended</w:t>
            </w:r>
          </w:p>
        </w:tc>
      </w:tr>
      <w:tr>
        <w:trPr>
          <w:trHeight w:val="243"/>
        </w:trPr>
        <w:tc>
          <w:tcPr>
            <w:tcW w:w="7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0"/>
              </w:rPr>
              <w:t>September 30, 2017</w:t>
            </w:r>
          </w:p>
        </w:tc>
        <w:tc>
          <w:tcPr>
            <w:tcW w:w="14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r>
      <w:tr>
        <w:trPr>
          <w:trHeight w:val="189"/>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Gain on derivatives</w:t>
            </w:r>
          </w:p>
        </w:tc>
        <w:tc>
          <w:tcPr>
            <w:tcW w:w="140" w:type="dxa"/>
            <w:vAlign w:val="bottom"/>
            <w:tcBorders>
              <w:top w:val="single" w:sz="8" w:color="auto"/>
            </w:tcBorders>
            <w:shd w:val="clear" w:color="auto" w:fill="E5FFFF"/>
          </w:tcPr>
          <w:p>
            <w:pPr>
              <w:spacing w:after="0"/>
              <w:rPr>
                <w:sz w:val="16"/>
                <w:szCs w:val="16"/>
                <w:color w:val="auto"/>
              </w:rPr>
            </w:pPr>
          </w:p>
        </w:tc>
        <w:tc>
          <w:tcPr>
            <w:tcW w:w="156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1560" w:type="dxa"/>
            <w:vAlign w:val="bottom"/>
            <w:tcBorders>
              <w:top w:val="single" w:sz="8" w:color="auto"/>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Realized (loss)/gain on interest rate swaps held for trading</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(1,815)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675</w:t>
            </w:r>
          </w:p>
        </w:tc>
        <w:tc>
          <w:tcPr>
            <w:tcW w:w="40" w:type="dxa"/>
            <w:vAlign w:val="bottom"/>
          </w:tcPr>
          <w:p>
            <w:pPr>
              <w:spacing w:after="0"/>
              <w:rPr>
                <w:sz w:val="17"/>
                <w:szCs w:val="17"/>
                <w:color w:val="auto"/>
              </w:rPr>
            </w:pPr>
          </w:p>
        </w:tc>
      </w:tr>
      <w:tr>
        <w:trPr>
          <w:trHeight w:val="20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Realized gain/(loss) on forward foreign exchange contracts held for trading</w:t>
            </w:r>
          </w:p>
        </w:tc>
        <w:tc>
          <w:tcPr>
            <w:tcW w:w="14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1,746</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(480)</w:t>
            </w:r>
          </w:p>
        </w:tc>
        <w:tc>
          <w:tcPr>
            <w:tcW w:w="40" w:type="dxa"/>
            <w:vAlign w:val="bottom"/>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 trading</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3,206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6,975</w:t>
            </w:r>
          </w:p>
        </w:tc>
        <w:tc>
          <w:tcPr>
            <w:tcW w:w="40" w:type="dxa"/>
            <w:vAlign w:val="bottom"/>
          </w:tcPr>
          <w:p>
            <w:pPr>
              <w:spacing w:after="0"/>
              <w:rPr>
                <w:sz w:val="17"/>
                <w:szCs w:val="17"/>
                <w:color w:val="auto"/>
              </w:rPr>
            </w:pPr>
          </w:p>
        </w:tc>
      </w:tr>
      <w:tr>
        <w:trPr>
          <w:trHeight w:val="20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4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7"/>
                <w:szCs w:val="17"/>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3,137</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7,368</w:t>
            </w:r>
          </w:p>
        </w:tc>
        <w:tc>
          <w:tcPr>
            <w:tcW w:w="4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There was a profit of $39.3 million for the quarter ended September 30, 2018 ($24.2 million profit for the quarter ended September 30, 2017). This increase in profit is mainly attributable to the increase in profit from operations due to the factors mentioned above and the increase in gain on derivatives, partially offset by the increase in financial costs.</w:t>
      </w:r>
    </w:p>
    <w:p>
      <w:pPr>
        <w:spacing w:after="0" w:line="126"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$32.3 million for the quarter ended September 30, 2018 ($21.1 million for the quarter ended September 30, 2017) adjusted for the effects of the non-cash gain on derivatives and the net foreign exchange losses.</w:t>
      </w:r>
    </w:p>
    <w:p>
      <w:pPr>
        <w:spacing w:after="0" w:line="214"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Profit attributable to the owners of GasLog was $18.2 million for the quarter ended September 30, 2018 ($5.3 million profit for the quarter ended September 30, 2017). The increase in profit attributable to the owners of GasLog resulted mainly from the respective movements in profit mentioned above, partially offset by the increased amount allocated to third parties as a result of issuances under the GasLog Partners’ ATM Programme, the preference unit issuance in January 2018 and the sale of three vessels to GasLog Partners.</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EBITDA</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was $114.0 million for the quarter ended September 30, 2018 ($89.6 million for the quarter ended September 30, 2017). The increase in EBITDA was driven by the increase in revenues and net pool performance, partially offset by the increase in vessel operating expenses and voyage expenses and commissions as discussed above.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$114.2 million for the quarter ended September 30, 2018 ($89.7 million for the quarter ended September 30, 2017).</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Earnings per share was $0.19 for the quarter ended September 30, 2018 (earnings of $0.03 for the quarter ended September 30, 2017). The increase in earnings per share is mainly attributable to the respective movements in profit attributable to the owners of GasLog discussed above.</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Adjusted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$0.11 for the quarter ended September 30, 2018 (a loss of $0.00 for the quarter ended September 30, 2017), adjusted for the effects of the non-cash gain on derivative financial instruments and the net foreign exchange losses.</w:t>
      </w:r>
    </w:p>
    <w:p>
      <w:pPr>
        <w:spacing w:after="0" w:line="205" w:lineRule="exact"/>
        <w:rPr>
          <w:sz w:val="20"/>
          <w:szCs w:val="20"/>
          <w:color w:val="auto"/>
        </w:rPr>
      </w:pPr>
    </w:p>
    <w:p>
      <w:pPr>
        <w:ind w:left="140" w:right="20" w:hanging="132"/>
        <w:spacing w:after="0" w:line="222" w:lineRule="auto"/>
        <w:tabs>
          <w:tab w:leader="none" w:pos="166"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39"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 xml:space="preserve">GasLog’s contracted charter revenues are estimated to increase from $486.0 million for the year 2017 to $548.0 million for the year 2019, based on contracts in effect as of September 30, 2018, without including any extension options. As of September 30, 2018, the total future firm contracted revenue stood at $3.4 billion </w:t>
      </w:r>
      <w:r>
        <w:rPr>
          <w:rFonts w:ascii="Arial" w:cs="Arial" w:eastAsia="Arial" w:hAnsi="Arial"/>
          <w:sz w:val="21"/>
          <w:szCs w:val="21"/>
          <w:color w:val="auto"/>
          <w:vertAlign w:val="superscript"/>
        </w:rPr>
        <w:t>(1)</w:t>
      </w:r>
      <w:r>
        <w:rPr>
          <w:rFonts w:ascii="Arial" w:cs="Arial" w:eastAsia="Arial" w:hAnsi="Arial"/>
          <w:sz w:val="16"/>
          <w:szCs w:val="16"/>
          <w:color w:val="auto"/>
        </w:rPr>
        <w:t>, including the vessels owned by GasLog Partners but excluding the vessels operating in the spot market.</w:t>
      </w:r>
    </w:p>
    <w:p>
      <w:pPr>
        <w:spacing w:after="0" w:line="203" w:lineRule="exact"/>
        <w:rPr>
          <w:sz w:val="20"/>
          <w:szCs w:val="20"/>
          <w:color w:val="auto"/>
        </w:rPr>
      </w:pPr>
    </w:p>
    <w:p>
      <w:pPr>
        <w:ind w:right="160" w:firstLine="8"/>
        <w:spacing w:after="0" w:line="344" w:lineRule="auto"/>
        <w:tabs>
          <w:tab w:leader="none" w:pos="127" w:val="left"/>
        </w:tabs>
        <w:numPr>
          <w:ilvl w:val="0"/>
          <w:numId w:val="5"/>
        </w:numPr>
        <w:rPr>
          <w:rFonts w:ascii="Arial" w:cs="Arial" w:eastAsia="Arial" w:hAnsi="Arial"/>
          <w:sz w:val="13"/>
          <w:szCs w:val="13"/>
          <w:color w:val="auto"/>
          <w:vertAlign w:val="superscript"/>
        </w:rPr>
      </w:pPr>
      <w:r>
        <w:rPr>
          <w:rFonts w:ascii="Arial" w:cs="Arial" w:eastAsia="Arial" w:hAnsi="Arial"/>
          <w:sz w:val="11"/>
          <w:szCs w:val="11"/>
          <w:color w:val="auto"/>
        </w:rPr>
        <w:t>Contracted revenue calculations assume: (a) 365 revenue days per annum, with 30 off-hire days when the ship undergoes scheduled dry-docking (every five years); (b) all LNG carriers on order are delivered on schedule; and (c) no exercise of any option to extend the terms of charters.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3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As of September 30, 2018, GasLog had $293.9 million of cash and cash equivalents, of which $142.3 million was held in time deposits and the remaining balance in current accounts. Moreover, as of September 30, 2018, GasLog had $10.0 million held in time deposits with an initial duration of more than three months but less than a year that have been classified as short-term investments.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As of September 30, 2018, GasLog had an aggregate of $2.9 billion of indebtedness outstanding under its credit facilities and bond agreements, of which $182.7 million was repayable within one year, and a $208.0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of which $6.6 million was repayable within one year.</w:t>
      </w:r>
    </w:p>
    <w:p>
      <w:pPr>
        <w:spacing w:after="0" w:line="184"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As of September 30, 2018, there was undrawn available capacity of $100.0 million under the revolving credit facility of the credit agreement of up to $1.1 billion entered into on July 19, 2016 (the “Legacy Facility Refinancing”).</w:t>
      </w:r>
    </w:p>
    <w:p>
      <w:pPr>
        <w:spacing w:after="0" w:line="172"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As of September 30, 2018, the total remaining balance of the contract prices of the seven LNG carriers on order was $1.2 billion which GasLog expects to be funded with the $165.8 million undrawn capacity under the financing agreement entered into on October 16, 2015, as well as cash balances, cash from operations, borrowings under new debt agreements and proceeds from the issuance of new equity by GasLog Partners, if any.</w:t>
      </w:r>
    </w:p>
    <w:p>
      <w:pPr>
        <w:spacing w:after="0" w:line="18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As of September 30, 2018, GasLog’s current assets totaled $355.3 million, while current liabilities totaled $303.9 million, resulting in a positive working capital position of $51.4 million.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2018, GasLog maintains a total interest rate swap notional amount at $1.2 billion after terminations, extensions and the signing of the new agreements.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47.5% of its expected floating interest rate exposure on its outstanding debt (excluding the finance lease liability) as of September 30, 2018.</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Future Deliveries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GasLog has seven newbuildings on order at Samsung which are on schedule and within budget: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Cargo</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Capacity</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Charter</w:t>
            </w:r>
          </w:p>
        </w:tc>
      </w:tr>
      <w:tr>
        <w:trPr>
          <w:trHeight w:val="216"/>
        </w:trPr>
        <w:tc>
          <w:tcPr>
            <w:tcW w:w="1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2140" w:type="dxa"/>
            <w:vAlign w:val="bottom"/>
            <w:gridSpan w:val="2"/>
          </w:tcPr>
          <w:p>
            <w:pPr>
              <w:jc w:val="center"/>
              <w:ind w:right="300"/>
              <w:spacing w:after="0" w:line="217" w:lineRule="exact"/>
              <w:rPr>
                <w:sz w:val="20"/>
                <w:szCs w:val="20"/>
                <w:color w:val="auto"/>
              </w:rPr>
            </w:pPr>
            <w:r>
              <w:rPr>
                <w:rFonts w:ascii="Arial" w:cs="Arial" w:eastAsia="Arial" w:hAnsi="Arial"/>
                <w:sz w:val="16"/>
                <w:szCs w:val="16"/>
                <w:b w:val="1"/>
                <w:bCs w:val="1"/>
                <w:color w:val="auto"/>
                <w:w w:val="91"/>
              </w:rPr>
              <w:t>Year Built</w:t>
            </w:r>
            <w:r>
              <w:rPr>
                <w:rFonts w:ascii="Arial" w:cs="Arial" w:eastAsia="Arial" w:hAnsi="Arial"/>
                <w:sz w:val="21"/>
                <w:szCs w:val="21"/>
                <w:b w:val="1"/>
                <w:bCs w:val="1"/>
                <w:color w:val="auto"/>
                <w:w w:val="91"/>
                <w:vertAlign w:val="superscript"/>
              </w:rPr>
              <w:t>(1)</w:t>
            </w: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Shipyard</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(cbm)</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Charterer</w:t>
            </w: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Propulsion</w:t>
            </w:r>
          </w:p>
        </w:tc>
        <w:tc>
          <w:tcPr>
            <w:tcW w:w="214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r>
      <w:tr>
        <w:trPr>
          <w:trHeight w:val="196"/>
        </w:trPr>
        <w:tc>
          <w:tcPr>
            <w:tcW w:w="17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Hull No. 2131</w:t>
            </w:r>
          </w:p>
        </w:tc>
        <w:tc>
          <w:tcPr>
            <w:tcW w:w="16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Q1 2019</w:t>
            </w:r>
          </w:p>
        </w:tc>
        <w:tc>
          <w:tcPr>
            <w:tcW w:w="300" w:type="dxa"/>
            <w:vAlign w:val="bottom"/>
            <w:tcBorders>
              <w:top w:val="single" w:sz="8" w:color="E5FFFF"/>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ind w:left="220"/>
              <w:spacing w:after="0"/>
              <w:rPr>
                <w:sz w:val="20"/>
                <w:szCs w:val="20"/>
                <w:color w:val="auto"/>
              </w:rPr>
            </w:pPr>
            <w:r>
              <w:rPr>
                <w:rFonts w:ascii="Arial" w:cs="Arial" w:eastAsia="Arial" w:hAnsi="Arial"/>
                <w:sz w:val="16"/>
                <w:szCs w:val="16"/>
                <w:color w:val="auto"/>
              </w:rPr>
              <w:t>Samsung</w:t>
            </w:r>
          </w:p>
        </w:tc>
        <w:tc>
          <w:tcPr>
            <w:tcW w:w="1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4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LP-2S</w:t>
            </w:r>
          </w:p>
        </w:tc>
        <w:tc>
          <w:tcPr>
            <w:tcW w:w="160" w:type="dxa"/>
            <w:vAlign w:val="bottom"/>
            <w:tcBorders>
              <w:top w:val="single" w:sz="8" w:color="E5FFFF"/>
            </w:tcBorders>
            <w:shd w:val="clear" w:color="auto" w:fill="E5FFFF"/>
          </w:tcPr>
          <w:p>
            <w:pPr>
              <w:spacing w:after="0"/>
              <w:rPr>
                <w:sz w:val="17"/>
                <w:szCs w:val="17"/>
                <w:color w:val="auto"/>
              </w:rPr>
            </w:pPr>
          </w:p>
        </w:tc>
        <w:tc>
          <w:tcPr>
            <w:tcW w:w="2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2029</w:t>
            </w:r>
          </w:p>
        </w:tc>
      </w:tr>
      <w:tr>
        <w:trPr>
          <w:trHeight w:val="254"/>
        </w:trPr>
        <w:tc>
          <w:tcPr>
            <w:tcW w:w="1860" w:type="dxa"/>
            <w:vAlign w:val="bottom"/>
            <w:gridSpan w:val="2"/>
          </w:tcPr>
          <w:p>
            <w:pPr>
              <w:spacing w:after="0"/>
              <w:rPr>
                <w:sz w:val="20"/>
                <w:szCs w:val="20"/>
                <w:color w:val="auto"/>
              </w:rPr>
            </w:pPr>
            <w:r>
              <w:rPr>
                <w:rFonts w:ascii="Arial" w:cs="Arial" w:eastAsia="Arial" w:hAnsi="Arial"/>
                <w:sz w:val="16"/>
                <w:szCs w:val="16"/>
                <w:color w:val="auto"/>
              </w:rPr>
              <w:t>Hull No. 2212</w:t>
            </w:r>
          </w:p>
        </w:tc>
        <w:tc>
          <w:tcPr>
            <w:tcW w:w="21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Q3 2019</w:t>
            </w: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Samsung</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22"/>
                <w:szCs w:val="22"/>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LP-2S</w:t>
            </w: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60"/>
        </w:trPr>
        <w:tc>
          <w:tcPr>
            <w:tcW w:w="1860" w:type="dxa"/>
            <w:vAlign w:val="bottom"/>
            <w:gridSpan w:val="2"/>
            <w:shd w:val="clear" w:color="auto" w:fill="E4FFFF"/>
          </w:tcPr>
          <w:p>
            <w:pPr>
              <w:spacing w:after="0"/>
              <w:rPr>
                <w:sz w:val="20"/>
                <w:szCs w:val="20"/>
                <w:color w:val="auto"/>
              </w:rPr>
            </w:pPr>
            <w:r>
              <w:rPr>
                <w:rFonts w:ascii="Arial" w:cs="Arial" w:eastAsia="Arial" w:hAnsi="Arial"/>
                <w:sz w:val="16"/>
                <w:szCs w:val="16"/>
                <w:color w:val="auto"/>
              </w:rPr>
              <w:t>Hull No. 2213</w:t>
            </w:r>
          </w:p>
        </w:tc>
        <w:tc>
          <w:tcPr>
            <w:tcW w:w="2140" w:type="dxa"/>
            <w:vAlign w:val="bottom"/>
            <w:gridSpan w:val="2"/>
            <w:shd w:val="clear" w:color="auto" w:fill="E4FFFF"/>
          </w:tcPr>
          <w:p>
            <w:pPr>
              <w:jc w:val="center"/>
              <w:ind w:right="300"/>
              <w:spacing w:after="0"/>
              <w:rPr>
                <w:sz w:val="20"/>
                <w:szCs w:val="20"/>
                <w:color w:val="auto"/>
              </w:rPr>
            </w:pPr>
            <w:r>
              <w:rPr>
                <w:rFonts w:ascii="Arial" w:cs="Arial" w:eastAsia="Arial" w:hAnsi="Arial"/>
                <w:sz w:val="16"/>
                <w:szCs w:val="16"/>
                <w:color w:val="auto"/>
                <w:w w:val="91"/>
              </w:rPr>
              <w:t>Q2 2020</w:t>
            </w:r>
          </w:p>
        </w:tc>
        <w:tc>
          <w:tcPr>
            <w:tcW w:w="1160" w:type="dxa"/>
            <w:vAlign w:val="bottom"/>
            <w:gridSpan w:val="2"/>
            <w:shd w:val="clear" w:color="auto" w:fill="E4FFFF"/>
          </w:tcPr>
          <w:p>
            <w:pPr>
              <w:ind w:left="220"/>
              <w:spacing w:after="0"/>
              <w:rPr>
                <w:sz w:val="20"/>
                <w:szCs w:val="20"/>
                <w:color w:val="auto"/>
              </w:rPr>
            </w:pPr>
            <w:r>
              <w:rPr>
                <w:rFonts w:ascii="Arial" w:cs="Arial" w:eastAsia="Arial" w:hAnsi="Arial"/>
                <w:sz w:val="16"/>
                <w:szCs w:val="16"/>
                <w:color w:val="auto"/>
              </w:rPr>
              <w:t>Samsung</w:t>
            </w:r>
          </w:p>
        </w:tc>
        <w:tc>
          <w:tcPr>
            <w:tcW w:w="122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shd w:val="clear" w:color="auto" w:fill="E4FFFF"/>
          </w:tcPr>
          <w:p>
            <w:pPr>
              <w:spacing w:after="0"/>
              <w:rPr>
                <w:sz w:val="22"/>
                <w:szCs w:val="22"/>
                <w:color w:val="auto"/>
              </w:rPr>
            </w:pPr>
          </w:p>
        </w:tc>
        <w:tc>
          <w:tcPr>
            <w:tcW w:w="1200" w:type="dxa"/>
            <w:vAlign w:val="bottom"/>
            <w:gridSpan w:val="2"/>
            <w:shd w:val="clear" w:color="auto" w:fill="E4FFFF"/>
          </w:tcPr>
          <w:p>
            <w:pPr>
              <w:jc w:val="center"/>
              <w:ind w:right="140"/>
              <w:spacing w:after="0"/>
              <w:rPr>
                <w:sz w:val="20"/>
                <w:szCs w:val="20"/>
                <w:color w:val="auto"/>
              </w:rPr>
            </w:pPr>
            <w:r>
              <w:rPr>
                <w:rFonts w:ascii="Arial" w:cs="Arial" w:eastAsia="Arial" w:hAnsi="Arial"/>
                <w:sz w:val="16"/>
                <w:szCs w:val="16"/>
                <w:color w:val="auto"/>
                <w:w w:val="90"/>
              </w:rPr>
              <w:t>Centrica</w:t>
            </w:r>
          </w:p>
        </w:tc>
        <w:tc>
          <w:tcPr>
            <w:tcW w:w="1540" w:type="dxa"/>
            <w:vAlign w:val="bottom"/>
            <w:gridSpan w:val="2"/>
            <w:shd w:val="clear" w:color="auto" w:fill="E4FFFF"/>
          </w:tcPr>
          <w:p>
            <w:pPr>
              <w:jc w:val="center"/>
              <w:ind w:right="160"/>
              <w:spacing w:after="0"/>
              <w:rPr>
                <w:sz w:val="20"/>
                <w:szCs w:val="20"/>
                <w:color w:val="auto"/>
              </w:rPr>
            </w:pPr>
            <w:r>
              <w:rPr>
                <w:rFonts w:ascii="Arial" w:cs="Arial" w:eastAsia="Arial" w:hAnsi="Arial"/>
                <w:sz w:val="16"/>
                <w:szCs w:val="16"/>
                <w:color w:val="auto"/>
                <w:w w:val="94"/>
              </w:rPr>
              <w:t>LP-2S</w:t>
            </w:r>
          </w:p>
        </w:tc>
        <w:tc>
          <w:tcPr>
            <w:tcW w:w="2140" w:type="dxa"/>
            <w:vAlign w:val="bottom"/>
            <w:shd w:val="clear" w:color="auto" w:fill="E4FFFF"/>
          </w:tcPr>
          <w:p>
            <w:pPr>
              <w:jc w:val="center"/>
              <w:spacing w:after="0"/>
              <w:rPr>
                <w:sz w:val="20"/>
                <w:szCs w:val="20"/>
                <w:color w:val="auto"/>
              </w:rPr>
            </w:pPr>
            <w:r>
              <w:rPr>
                <w:rFonts w:ascii="Arial" w:cs="Arial" w:eastAsia="Arial" w:hAnsi="Arial"/>
                <w:sz w:val="16"/>
                <w:szCs w:val="16"/>
                <w:color w:val="auto"/>
                <w:w w:val="89"/>
              </w:rPr>
              <w:t>2027</w:t>
            </w:r>
          </w:p>
        </w:tc>
      </w:tr>
      <w:tr>
        <w:trPr>
          <w:trHeight w:val="240"/>
        </w:trPr>
        <w:tc>
          <w:tcPr>
            <w:tcW w:w="1860" w:type="dxa"/>
            <w:vAlign w:val="bottom"/>
            <w:gridSpan w:val="2"/>
          </w:tcPr>
          <w:p>
            <w:pPr>
              <w:spacing w:after="0"/>
              <w:rPr>
                <w:sz w:val="20"/>
                <w:szCs w:val="20"/>
                <w:color w:val="auto"/>
              </w:rPr>
            </w:pPr>
            <w:r>
              <w:rPr>
                <w:rFonts w:ascii="Arial" w:cs="Arial" w:eastAsia="Arial" w:hAnsi="Arial"/>
                <w:sz w:val="16"/>
                <w:szCs w:val="16"/>
                <w:color w:val="auto"/>
              </w:rPr>
              <w:t>Hull No. 2274</w:t>
            </w:r>
          </w:p>
        </w:tc>
        <w:tc>
          <w:tcPr>
            <w:tcW w:w="21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Q2 2020</w:t>
            </w: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Samsung</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LP-2S</w:t>
            </w: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73"/>
        </w:trPr>
        <w:tc>
          <w:tcPr>
            <w:tcW w:w="1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2262</w:t>
            </w:r>
          </w:p>
        </w:tc>
        <w:tc>
          <w:tcPr>
            <w:tcW w:w="214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Q3 2020</w:t>
            </w:r>
          </w:p>
        </w:tc>
        <w:tc>
          <w:tcPr>
            <w:tcW w:w="1160" w:type="dxa"/>
            <w:vAlign w:val="bottom"/>
            <w:gridSpan w:val="2"/>
            <w:shd w:val="clear" w:color="auto" w:fill="E5FFFF"/>
          </w:tcPr>
          <w:p>
            <w:pPr>
              <w:ind w:left="220"/>
              <w:spacing w:after="0"/>
              <w:rPr>
                <w:sz w:val="20"/>
                <w:szCs w:val="20"/>
                <w:color w:val="auto"/>
              </w:rPr>
            </w:pPr>
            <w:r>
              <w:rPr>
                <w:rFonts w:ascii="Arial" w:cs="Arial" w:eastAsia="Arial" w:hAnsi="Arial"/>
                <w:sz w:val="16"/>
                <w:szCs w:val="16"/>
                <w:color w:val="auto"/>
              </w:rPr>
              <w:t>Samsung</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shd w:val="clear" w:color="auto" w:fill="E5FFFF"/>
          </w:tcPr>
          <w:p>
            <w:pPr>
              <w:spacing w:after="0"/>
              <w:rPr>
                <w:sz w:val="23"/>
                <w:szCs w:val="23"/>
                <w:color w:val="auto"/>
              </w:rPr>
            </w:pP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0"/>
              </w:rPr>
              <w:t>Centrica</w:t>
            </w:r>
          </w:p>
        </w:tc>
        <w:tc>
          <w:tcPr>
            <w:tcW w:w="15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4"/>
              </w:rPr>
              <w:t>LP-2S</w:t>
            </w:r>
          </w:p>
        </w:tc>
        <w:tc>
          <w:tcPr>
            <w:tcW w:w="2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r>
      <w:tr>
        <w:trPr>
          <w:trHeight w:val="267"/>
        </w:trPr>
        <w:tc>
          <w:tcPr>
            <w:tcW w:w="1860" w:type="dxa"/>
            <w:vAlign w:val="bottom"/>
            <w:gridSpan w:val="2"/>
          </w:tcPr>
          <w:p>
            <w:pPr>
              <w:spacing w:after="0"/>
              <w:rPr>
                <w:sz w:val="20"/>
                <w:szCs w:val="20"/>
                <w:color w:val="auto"/>
              </w:rPr>
            </w:pPr>
            <w:r>
              <w:rPr>
                <w:rFonts w:ascii="Arial" w:cs="Arial" w:eastAsia="Arial" w:hAnsi="Arial"/>
                <w:sz w:val="16"/>
                <w:szCs w:val="16"/>
                <w:color w:val="auto"/>
              </w:rPr>
              <w:t>Hull No. 2300</w:t>
            </w:r>
          </w:p>
        </w:tc>
        <w:tc>
          <w:tcPr>
            <w:tcW w:w="21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Q4 2020</w:t>
            </w: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Samsung</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tcPr>
          <w:p>
            <w:pPr>
              <w:spacing w:after="0"/>
              <w:rPr>
                <w:sz w:val="23"/>
                <w:szCs w:val="23"/>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Cheniere</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LP-2S</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73"/>
        </w:trPr>
        <w:tc>
          <w:tcPr>
            <w:tcW w:w="1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2301</w:t>
            </w:r>
          </w:p>
        </w:tc>
        <w:tc>
          <w:tcPr>
            <w:tcW w:w="214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Q4 2020</w:t>
            </w:r>
          </w:p>
        </w:tc>
        <w:tc>
          <w:tcPr>
            <w:tcW w:w="1160" w:type="dxa"/>
            <w:vAlign w:val="bottom"/>
            <w:gridSpan w:val="2"/>
            <w:shd w:val="clear" w:color="auto" w:fill="E5FFFF"/>
          </w:tcPr>
          <w:p>
            <w:pPr>
              <w:ind w:left="220"/>
              <w:spacing w:after="0"/>
              <w:rPr>
                <w:sz w:val="20"/>
                <w:szCs w:val="20"/>
                <w:color w:val="auto"/>
              </w:rPr>
            </w:pPr>
            <w:r>
              <w:rPr>
                <w:rFonts w:ascii="Arial" w:cs="Arial" w:eastAsia="Arial" w:hAnsi="Arial"/>
                <w:sz w:val="16"/>
                <w:szCs w:val="16"/>
                <w:color w:val="auto"/>
              </w:rPr>
              <w:t>Samsung</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E5FFFF"/>
          </w:tcPr>
          <w:p>
            <w:pPr>
              <w:spacing w:after="0"/>
              <w:rPr>
                <w:sz w:val="23"/>
                <w:szCs w:val="23"/>
                <w:color w:val="auto"/>
              </w:rPr>
            </w:pP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9"/>
              </w:rPr>
              <w:t>Cheniere</w:t>
            </w:r>
          </w:p>
        </w:tc>
        <w:tc>
          <w:tcPr>
            <w:tcW w:w="15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4"/>
              </w:rPr>
              <w:t>LP-2S</w:t>
            </w:r>
          </w:p>
        </w:tc>
        <w:tc>
          <w:tcPr>
            <w:tcW w:w="2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r>
      <w:tr>
        <w:trPr>
          <w:trHeight w:val="244"/>
        </w:trPr>
        <w:tc>
          <w:tcPr>
            <w:tcW w:w="1700" w:type="dxa"/>
            <w:vAlign w:val="bottom"/>
          </w:tcPr>
          <w:p>
            <w:pPr>
              <w:spacing w:after="0" w:line="244" w:lineRule="exact"/>
              <w:rPr>
                <w:sz w:val="20"/>
                <w:szCs w:val="20"/>
                <w:color w:val="auto"/>
              </w:rPr>
            </w:pPr>
            <w:r>
              <w:rPr>
                <w:rFonts w:ascii="Arial" w:cs="Arial" w:eastAsia="Arial" w:hAnsi="Arial"/>
                <w:sz w:val="22"/>
                <w:szCs w:val="22"/>
                <w:color w:val="auto"/>
              </w:rPr>
              <w:t>____________</w:t>
            </w: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r>
    </w:tbl>
    <w:p>
      <w:pPr>
        <w:ind w:left="260" w:hanging="252"/>
        <w:spacing w:after="0" w:line="189" w:lineRule="auto"/>
        <w:tabs>
          <w:tab w:leader="none" w:pos="26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Expected delivery quarters are presented.</w:t>
      </w:r>
    </w:p>
    <w:p>
      <w:pPr>
        <w:ind w:left="260" w:hanging="252"/>
        <w:spacing w:after="0" w:line="197"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GasLog will host a conference call to discuss its results for the third quarter of 2018 at 8:30 a.m. EDT (12:30 p.m. GMT) on Thursday, November 1, 2018. Paul Wogan, Chief Executive Officer, and Alastair Maxwell, Chief Financial Officer, will review the Company’s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4522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1259929</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live webcast of the conference call will also be available on the Investor Relations page of the Company’s website at </w:t>
      </w:r>
      <w:r>
        <w:rPr>
          <w:rFonts w:ascii="Arial" w:cs="Arial" w:eastAsia="Arial" w:hAnsi="Arial"/>
          <w:sz w:val="15"/>
          <w:szCs w:val="15"/>
          <w:u w:val="single" w:color="auto"/>
          <w:color w:val="0000FF"/>
        </w:rPr>
        <w:t>http://www.gaslogltd.com/investor-relations</w:t>
      </w:r>
      <w:r>
        <w:rPr>
          <w:rFonts w:ascii="Arial" w:cs="Arial" w:eastAsia="Arial" w:hAnsi="Arial"/>
          <w:sz w:val="15"/>
          <w:szCs w:val="15"/>
          <w:color w:val="auto"/>
        </w:rPr>
        <w:t>.</w:t>
      </w:r>
    </w:p>
    <w:p>
      <w:pPr>
        <w:spacing w:after="0" w:line="246" w:lineRule="exact"/>
        <w:rPr>
          <w:sz w:val="20"/>
          <w:szCs w:val="20"/>
          <w:color w:val="auto"/>
        </w:rPr>
      </w:pPr>
    </w:p>
    <w:p>
      <w:pPr>
        <w:ind w:right="138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 of the Company’s website at </w:t>
      </w:r>
      <w:r>
        <w:rPr>
          <w:rFonts w:ascii="Arial" w:cs="Arial" w:eastAsia="Arial" w:hAnsi="Arial"/>
          <w:sz w:val="16"/>
          <w:szCs w:val="16"/>
          <w:u w:val="single" w:color="auto"/>
          <w:color w:val="0000FF"/>
        </w:rPr>
        <w:t>http://www.gaslogltd.com/investor-relations.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w:t>
      </w:r>
    </w:p>
    <w:p>
      <w:pPr>
        <w:spacing w:after="0" w:line="239"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 xml:space="preserve">GasLog is an international owner, operator and manager of LNG carriers providing support to international energy companies as part of their LNG logistics chain. GasLog’s consolidated owned fleet consists of 32 LNG carriers (25 ships on the water and seven on order). GasLog also has an additional LNG carrier which was sold to a subsidiary of Mitsui &amp; Co. Ltd. and leased back under a long-term bareboat charter. GasLog’s consolidated fleet currently includes 13 LNG carriers in operation owned by GasLog Partners. GasLog’s principal executive offices are at Gildo Pastor Center, 7 Rue du Gabian, MC 98000, Monaco. Visit GasLog’s website at </w:t>
      </w:r>
      <w:r>
        <w:rPr>
          <w:rFonts w:ascii="Arial" w:cs="Arial" w:eastAsia="Arial" w:hAnsi="Arial"/>
          <w:sz w:val="14"/>
          <w:szCs w:val="14"/>
          <w:u w:val="single" w:color="auto"/>
          <w:color w:val="0000FF"/>
        </w:rPr>
        <w:t>http://www.gaslogltd.com</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320" w:hanging="188"/>
        <w:spacing w:after="0" w:line="266"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spot and long-term charter hire rates and vessel values;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520" w:right="20" w:hanging="196"/>
        <w:spacing w:after="0" w:line="281" w:lineRule="auto"/>
        <w:tabs>
          <w:tab w:leader="none" w:pos="474"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5"/>
          <w:szCs w:val="15"/>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maintain long term relationships and enter into time charters with new and existing customers;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80" w:hanging="188"/>
        <w:spacing w:after="0" w:line="264"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160" w:hanging="188"/>
        <w:spacing w:after="0" w:line="264"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inherent in ship operation, including the risk of accidents, collisions and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9" w:name="page10"/>
    <w:bookmarkEnd w:id="9"/>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22"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February 28, 2018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200"/>
        <w:spacing w:after="0" w:line="329" w:lineRule="auto"/>
        <w:rPr>
          <w:sz w:val="20"/>
          <w:szCs w:val="20"/>
          <w:color w:val="auto"/>
        </w:rPr>
      </w:pPr>
      <w:r>
        <w:rPr>
          <w:rFonts w:ascii="Arial" w:cs="Arial" w:eastAsia="Arial" w:hAnsi="Arial"/>
          <w:sz w:val="15"/>
          <w:szCs w:val="15"/>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5120" w:type="dxa"/>
            <w:vAlign w:val="bottom"/>
          </w:tcPr>
          <w:p>
            <w:pPr>
              <w:spacing w:after="0"/>
              <w:rPr>
                <w:sz w:val="20"/>
                <w:szCs w:val="20"/>
                <w:color w:val="auto"/>
              </w:rPr>
            </w:pPr>
            <w:r>
              <w:rPr>
                <w:rFonts w:ascii="Arial" w:cs="Arial" w:eastAsia="Arial" w:hAnsi="Arial"/>
                <w:sz w:val="16"/>
                <w:szCs w:val="16"/>
                <w:b w:val="1"/>
                <w:bCs w:val="1"/>
                <w:color w:val="auto"/>
                <w:w w:val="99"/>
              </w:rPr>
              <w:t>Unaudited condensed consolidated statements of financial position</w:t>
            </w:r>
          </w:p>
        </w:tc>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b w:val="1"/>
                <w:bCs w:val="1"/>
                <w:color w:val="auto"/>
              </w:rPr>
              <w:t>As of December 31, 2017 and September 30, 2018</w:t>
            </w:r>
          </w:p>
        </w:tc>
        <w:tc>
          <w:tcPr>
            <w:tcW w:w="2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December 31, 2017</w:t>
            </w: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189"/>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250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4500" w:type="dxa"/>
            <w:vAlign w:val="bottom"/>
            <w:gridSpan w:val="3"/>
            <w:shd w:val="clear" w:color="auto" w:fill="E5FFFF"/>
          </w:tcPr>
          <w:p>
            <w:pPr>
              <w:jc w:val="right"/>
              <w:ind w:right="300"/>
              <w:spacing w:after="0"/>
              <w:rPr>
                <w:sz w:val="20"/>
                <w:szCs w:val="20"/>
                <w:color w:val="auto"/>
              </w:rPr>
            </w:pPr>
            <w:r>
              <w:rPr>
                <w:rFonts w:ascii="Arial" w:cs="Arial" w:eastAsia="Arial" w:hAnsi="Arial"/>
                <w:sz w:val="16"/>
                <w:szCs w:val="16"/>
                <w:color w:val="auto"/>
              </w:rPr>
              <w:t>9,511</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20,800</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21,123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17,519</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428</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16,012</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35,403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Tangible fixed assets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3,772,566</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4,353,523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166,655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Vessel held under finance lease</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214,329</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208,699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25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4,217,820</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4,745,929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2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10,706</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17,068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8,666</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14,191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2,199</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8,478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Inventories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6,839</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7,159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4,569</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500" w:type="dxa"/>
            <w:vAlign w:val="bottom"/>
          </w:tcPr>
          <w:p>
            <w:pPr>
              <w:spacing w:after="0"/>
              <w:rPr>
                <w:sz w:val="17"/>
                <w:szCs w:val="17"/>
                <w:color w:val="auto"/>
              </w:rPr>
            </w:pPr>
          </w:p>
        </w:tc>
        <w:tc>
          <w:tcPr>
            <w:tcW w:w="2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384,092</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293,854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25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417,071</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355,343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25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4,634,891</w:t>
            </w: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5,101,272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25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250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Preference shares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Contributed surplus</w:t>
            </w:r>
          </w:p>
        </w:tc>
        <w:tc>
          <w:tcPr>
            <w:tcW w:w="4500" w:type="dxa"/>
            <w:vAlign w:val="bottom"/>
            <w:gridSpan w:val="3"/>
          </w:tcPr>
          <w:p>
            <w:pPr>
              <w:jc w:val="right"/>
              <w:ind w:right="300"/>
              <w:spacing w:after="0"/>
              <w:rPr>
                <w:sz w:val="20"/>
                <w:szCs w:val="20"/>
                <w:color w:val="auto"/>
              </w:rPr>
            </w:pPr>
            <w:r>
              <w:rPr>
                <w:rFonts w:ascii="Arial" w:cs="Arial" w:eastAsia="Arial" w:hAnsi="Arial"/>
                <w:sz w:val="16"/>
                <w:szCs w:val="16"/>
                <w:color w:val="auto"/>
              </w:rPr>
              <w:t>911,766</w:t>
            </w:r>
          </w:p>
        </w:tc>
        <w:tc>
          <w:tcPr>
            <w:tcW w:w="1700" w:type="dxa"/>
            <w:vAlign w:val="bottom"/>
          </w:tcPr>
          <w:p>
            <w:pPr>
              <w:jc w:val="right"/>
              <w:spacing w:after="0"/>
              <w:rPr>
                <w:sz w:val="20"/>
                <w:szCs w:val="20"/>
                <w:color w:val="auto"/>
              </w:rPr>
            </w:pPr>
            <w:r>
              <w:rPr>
                <w:rFonts w:ascii="Arial" w:cs="Arial" w:eastAsia="Arial" w:hAnsi="Arial"/>
                <w:sz w:val="16"/>
                <w:szCs w:val="16"/>
                <w:color w:val="auto"/>
              </w:rPr>
              <w:t>883,314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18,347</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20,134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Treasury shares</w:t>
            </w:r>
          </w:p>
        </w:tc>
        <w:tc>
          <w:tcPr>
            <w:tcW w:w="4500" w:type="dxa"/>
            <w:vAlign w:val="bottom"/>
            <w:gridSpan w:val="3"/>
          </w:tcPr>
          <w:p>
            <w:pPr>
              <w:jc w:val="right"/>
              <w:ind w:right="240"/>
              <w:spacing w:after="0"/>
              <w:rPr>
                <w:sz w:val="20"/>
                <w:szCs w:val="20"/>
                <w:color w:val="auto"/>
              </w:rPr>
            </w:pPr>
            <w:r>
              <w:rPr>
                <w:rFonts w:ascii="Arial" w:cs="Arial" w:eastAsia="Arial" w:hAnsi="Arial"/>
                <w:sz w:val="16"/>
                <w:szCs w:val="16"/>
                <w:color w:val="auto"/>
              </w:rPr>
              <w:t>(6,960)</w:t>
            </w:r>
          </w:p>
        </w:tc>
        <w:tc>
          <w:tcPr>
            <w:tcW w:w="1700" w:type="dxa"/>
            <w:vAlign w:val="bottom"/>
          </w:tcPr>
          <w:p>
            <w:pPr>
              <w:jc w:val="right"/>
              <w:spacing w:after="0"/>
              <w:rPr>
                <w:sz w:val="20"/>
                <w:szCs w:val="20"/>
                <w:color w:val="auto"/>
              </w:rPr>
            </w:pPr>
            <w:r>
              <w:rPr>
                <w:rFonts w:ascii="Arial" w:cs="Arial" w:eastAsia="Arial" w:hAnsi="Arial"/>
                <w:sz w:val="16"/>
                <w:szCs w:val="16"/>
                <w:color w:val="auto"/>
              </w:rPr>
              <w:t>(4,424)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(Accumulated deficit)/retained earnings</w:t>
            </w:r>
          </w:p>
        </w:tc>
        <w:tc>
          <w:tcPr>
            <w:tcW w:w="450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(5,980)</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25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918,029</w:t>
            </w:r>
          </w:p>
        </w:tc>
        <w:tc>
          <w:tcPr>
            <w:tcW w:w="3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913,350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845,105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1,007,686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25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1,763,134</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1,921,036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2500" w:type="dxa"/>
            <w:vAlign w:val="bottom"/>
            <w:shd w:val="clear" w:color="auto" w:fill="E5FFFF"/>
          </w:tcPr>
          <w:p>
            <w:pPr>
              <w:spacing w:after="0"/>
              <w:rPr>
                <w:sz w:val="15"/>
                <w:szCs w:val="15"/>
                <w:color w:val="auto"/>
              </w:rPr>
            </w:pPr>
          </w:p>
        </w:tc>
        <w:tc>
          <w:tcPr>
            <w:tcW w:w="170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700" w:type="dxa"/>
            <w:vAlign w:val="bottom"/>
            <w:shd w:val="clear" w:color="auto" w:fill="E5FF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Trade accounts payable</w:t>
            </w:r>
          </w:p>
        </w:tc>
        <w:tc>
          <w:tcPr>
            <w:tcW w:w="4500" w:type="dxa"/>
            <w:vAlign w:val="bottom"/>
            <w:gridSpan w:val="3"/>
          </w:tcPr>
          <w:p>
            <w:pPr>
              <w:jc w:val="right"/>
              <w:ind w:right="300"/>
              <w:spacing w:after="0"/>
              <w:rPr>
                <w:sz w:val="20"/>
                <w:szCs w:val="20"/>
                <w:color w:val="auto"/>
              </w:rPr>
            </w:pPr>
            <w:r>
              <w:rPr>
                <w:rFonts w:ascii="Arial" w:cs="Arial" w:eastAsia="Arial" w:hAnsi="Arial"/>
                <w:sz w:val="16"/>
                <w:szCs w:val="16"/>
                <w:color w:val="auto"/>
              </w:rPr>
              <w:t>11,526</w:t>
            </w:r>
          </w:p>
        </w:tc>
        <w:tc>
          <w:tcPr>
            <w:tcW w:w="1700" w:type="dxa"/>
            <w:vAlign w:val="bottom"/>
          </w:tcPr>
          <w:p>
            <w:pPr>
              <w:jc w:val="right"/>
              <w:spacing w:after="0"/>
              <w:rPr>
                <w:sz w:val="20"/>
                <w:szCs w:val="20"/>
                <w:color w:val="auto"/>
              </w:rPr>
            </w:pPr>
            <w:r>
              <w:rPr>
                <w:rFonts w:ascii="Arial" w:cs="Arial" w:eastAsia="Arial" w:hAnsi="Arial"/>
                <w:sz w:val="16"/>
                <w:szCs w:val="16"/>
                <w:color w:val="auto"/>
              </w:rPr>
              <w:t>12,841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2,394</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1,815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93,418</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98,567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179,367</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182,709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Finance lease liability, current portion</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6,302</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6,579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25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294,857</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303,920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2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Borrowings, non-current portion</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2,368,189</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2,673,414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Finance lease liability, non-current portion</w:t>
            </w:r>
          </w:p>
        </w:tc>
        <w:tc>
          <w:tcPr>
            <w:tcW w:w="4200" w:type="dxa"/>
            <w:vAlign w:val="bottom"/>
            <w:gridSpan w:val="2"/>
          </w:tcPr>
          <w:p>
            <w:pPr>
              <w:jc w:val="right"/>
              <w:spacing w:after="0"/>
              <w:rPr>
                <w:sz w:val="20"/>
                <w:szCs w:val="20"/>
                <w:color w:val="auto"/>
              </w:rPr>
            </w:pPr>
            <w:r>
              <w:rPr>
                <w:rFonts w:ascii="Arial" w:cs="Arial" w:eastAsia="Arial" w:hAnsi="Arial"/>
                <w:sz w:val="16"/>
                <w:szCs w:val="16"/>
                <w:color w:val="auto"/>
              </w:rPr>
              <w:t>207,126</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201,402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4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1,585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25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2,576,900</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2,876,316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equity and liabilities</w:t>
            </w:r>
          </w:p>
        </w:tc>
        <w:tc>
          <w:tcPr>
            <w:tcW w:w="25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4,634,891</w:t>
            </w: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5,101,272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500" w:type="dxa"/>
            <w:vAlign w:val="bottom"/>
            <w:vMerge w:val="restart"/>
          </w:tcPr>
          <w:p>
            <w:pPr>
              <w:jc w:val="right"/>
              <w:ind w:right="1759"/>
              <w:spacing w:after="0"/>
              <w:rPr>
                <w:sz w:val="20"/>
                <w:szCs w:val="20"/>
                <w:color w:val="auto"/>
              </w:rPr>
            </w:pPr>
            <w:r>
              <w:rPr>
                <w:rFonts w:ascii="Arial" w:cs="Arial" w:eastAsia="Arial" w:hAnsi="Arial"/>
                <w:sz w:val="14"/>
                <w:szCs w:val="14"/>
                <w:color w:val="auto"/>
              </w:rPr>
              <w:t>11</w:t>
            </w: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2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30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316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131,242</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389,457</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429,700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2,041</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3,882</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3,361</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(3,980)</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(6,828)</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(10,171)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(29,569)</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(31,948)</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(86,891)</w:t>
            </w:r>
          </w:p>
        </w:tc>
        <w:tc>
          <w:tcPr>
            <w:tcW w:w="1380" w:type="dxa"/>
            <w:vAlign w:val="bottom"/>
          </w:tcPr>
          <w:p>
            <w:pPr>
              <w:jc w:val="right"/>
              <w:spacing w:after="0"/>
              <w:rPr>
                <w:sz w:val="20"/>
                <w:szCs w:val="20"/>
                <w:color w:val="auto"/>
              </w:rPr>
            </w:pPr>
            <w:r>
              <w:rPr>
                <w:rFonts w:ascii="Arial" w:cs="Arial" w:eastAsia="Arial" w:hAnsi="Arial"/>
                <w:sz w:val="16"/>
                <w:szCs w:val="16"/>
                <w:color w:val="auto"/>
              </w:rPr>
              <w:t>(98,964)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(34,447)</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(39,341)</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(102,606)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(113,683)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(9,988)</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(9,917)</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(30,213)</w:t>
            </w:r>
          </w:p>
        </w:tc>
        <w:tc>
          <w:tcPr>
            <w:tcW w:w="1380" w:type="dxa"/>
            <w:vAlign w:val="bottom"/>
          </w:tcPr>
          <w:p>
            <w:pPr>
              <w:jc w:val="right"/>
              <w:spacing w:after="0"/>
              <w:rPr>
                <w:sz w:val="20"/>
                <w:szCs w:val="20"/>
                <w:color w:val="auto"/>
              </w:rPr>
            </w:pPr>
            <w:r>
              <w:rPr>
                <w:rFonts w:ascii="Arial" w:cs="Arial" w:eastAsia="Arial" w:hAnsi="Arial"/>
                <w:sz w:val="16"/>
                <w:szCs w:val="16"/>
                <w:color w:val="auto"/>
              </w:rPr>
              <w:t>(32,282)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55,299</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74,246</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162,937</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187,521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(34,709)</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(43,908)</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(104,311)</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(122,505)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644</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1,057</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1,779</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360" w:type="dxa"/>
            <w:vAlign w:val="bottom"/>
          </w:tcPr>
          <w:p>
            <w:pPr>
              <w:jc w:val="right"/>
              <w:spacing w:after="0"/>
              <w:rPr>
                <w:sz w:val="20"/>
                <w:szCs w:val="20"/>
                <w:color w:val="auto"/>
              </w:rPr>
            </w:pPr>
            <w:r>
              <w:rPr>
                <w:rFonts w:ascii="Arial" w:cs="Arial" w:eastAsia="Arial" w:hAnsi="Arial"/>
                <w:sz w:val="16"/>
                <w:szCs w:val="16"/>
                <w:color w:val="auto"/>
              </w:rPr>
              <w:t>3,137</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7,368</w:t>
            </w:r>
          </w:p>
        </w:tc>
        <w:tc>
          <w:tcPr>
            <w:tcW w:w="2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(6,585)</w:t>
            </w:r>
          </w:p>
        </w:tc>
        <w:tc>
          <w:tcPr>
            <w:tcW w:w="1380" w:type="dxa"/>
            <w:vAlign w:val="bottom"/>
          </w:tcPr>
          <w:p>
            <w:pPr>
              <w:jc w:val="right"/>
              <w:spacing w:after="0"/>
              <w:rPr>
                <w:sz w:val="20"/>
                <w:szCs w:val="20"/>
                <w:color w:val="auto"/>
              </w:rPr>
            </w:pPr>
            <w:r>
              <w:rPr>
                <w:rFonts w:ascii="Arial" w:cs="Arial" w:eastAsia="Arial" w:hAnsi="Arial"/>
                <w:sz w:val="16"/>
                <w:szCs w:val="16"/>
                <w:color w:val="auto"/>
              </w:rPr>
              <w:t>26,306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Share of (loss)/profit of associates</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(143)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498</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704</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(31,071)</w:t>
            </w:r>
          </w:p>
        </w:tc>
        <w:tc>
          <w:tcPr>
            <w:tcW w:w="30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(34,985)</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(108,413)</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24,228</w:t>
            </w:r>
          </w:p>
        </w:tc>
        <w:tc>
          <w:tcPr>
            <w:tcW w:w="30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54,524</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5,335</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18,214</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6,572</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33,898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Non-controlling interests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18,893</w:t>
            </w:r>
          </w:p>
        </w:tc>
        <w:tc>
          <w:tcPr>
            <w:tcW w:w="30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21,047</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47,952</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24,228</w:t>
            </w:r>
          </w:p>
        </w:tc>
        <w:tc>
          <w:tcPr>
            <w:tcW w:w="30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54,524</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96, 014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Earnings/(loss) per share – basic</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0.03</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0.19</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(0.01)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0.33</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Earnings/(loss) per share – diluted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0.19</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(0.01)</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0.32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jc w:val="right"/>
              <w:ind w:right="499"/>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840" w:type="dxa"/>
            <w:vAlign w:val="bottom"/>
            <w:gridSpan w:val="4"/>
          </w:tcPr>
          <w:p>
            <w:pPr>
              <w:jc w:val="right"/>
              <w:ind w:right="10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18"/>
                <w:szCs w:val="18"/>
                <w:color w:val="auto"/>
              </w:rPr>
            </w:pPr>
          </w:p>
        </w:tc>
        <w:tc>
          <w:tcPr>
            <w:tcW w:w="20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 2017</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70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Profit for the period</w:t>
            </w:r>
          </w:p>
        </w:tc>
        <w:tc>
          <w:tcPr>
            <w:tcW w:w="1700" w:type="dxa"/>
            <w:vAlign w:val="bottom"/>
          </w:tcPr>
          <w:p>
            <w:pPr>
              <w:jc w:val="right"/>
              <w:spacing w:after="0"/>
              <w:rPr>
                <w:sz w:val="20"/>
                <w:szCs w:val="20"/>
                <w:color w:val="auto"/>
              </w:rPr>
            </w:pPr>
            <w:r>
              <w:rPr>
                <w:rFonts w:ascii="Arial" w:cs="Arial" w:eastAsia="Arial" w:hAnsi="Arial"/>
                <w:sz w:val="16"/>
                <w:szCs w:val="16"/>
                <w:color w:val="auto"/>
              </w:rPr>
              <w:t>54,524</w:t>
            </w:r>
          </w:p>
        </w:tc>
        <w:tc>
          <w:tcPr>
            <w:tcW w:w="3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96,014</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7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700" w:type="dxa"/>
            <w:vAlign w:val="bottom"/>
            <w:shd w:val="clear" w:color="auto" w:fill="E5FF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Depreciation</w:t>
            </w:r>
          </w:p>
        </w:tc>
        <w:tc>
          <w:tcPr>
            <w:tcW w:w="1700" w:type="dxa"/>
            <w:vAlign w:val="bottom"/>
          </w:tcPr>
          <w:p>
            <w:pPr>
              <w:jc w:val="right"/>
              <w:spacing w:after="0"/>
              <w:rPr>
                <w:sz w:val="20"/>
                <w:szCs w:val="20"/>
                <w:color w:val="auto"/>
              </w:rPr>
            </w:pPr>
            <w:r>
              <w:rPr>
                <w:rFonts w:ascii="Arial" w:cs="Arial" w:eastAsia="Arial" w:hAnsi="Arial"/>
                <w:sz w:val="16"/>
                <w:szCs w:val="16"/>
                <w:color w:val="auto"/>
              </w:rPr>
              <w:t>102,606</w:t>
            </w:r>
          </w:p>
        </w:tc>
        <w:tc>
          <w:tcPr>
            <w:tcW w:w="3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113,683</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(704)</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Financial income</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(1,779)</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(3,367)</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20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104,311</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122,505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Unrealized foreign exchange (gain)/loss on cash and cash equivalents</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(761)</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Unrealized gain on derivative financial instruments held for trading, including ineffective portion of cash flow</w:t>
            </w:r>
          </w:p>
        </w:tc>
        <w:tc>
          <w:tcPr>
            <w:tcW w:w="1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shd w:val="clear" w:color="auto" w:fill="E5FFFF"/>
          </w:tcPr>
          <w:p>
            <w:pPr>
              <w:ind w:left="180"/>
              <w:spacing w:after="0"/>
              <w:rPr>
                <w:sz w:val="20"/>
                <w:szCs w:val="20"/>
                <w:color w:val="auto"/>
              </w:rPr>
            </w:pPr>
            <w:r>
              <w:rPr>
                <w:rFonts w:ascii="Arial" w:cs="Arial" w:eastAsia="Arial" w:hAnsi="Arial"/>
                <w:sz w:val="16"/>
                <w:szCs w:val="16"/>
                <w:color w:val="auto"/>
              </w:rPr>
              <w:t>hedges</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(2,034)</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1700" w:type="dxa"/>
            <w:vAlign w:val="bottom"/>
          </w:tcPr>
          <w:p>
            <w:pPr>
              <w:jc w:val="right"/>
              <w:spacing w:after="0"/>
              <w:rPr>
                <w:sz w:val="20"/>
                <w:szCs w:val="20"/>
                <w:color w:val="auto"/>
              </w:rPr>
            </w:pPr>
            <w:r>
              <w:rPr>
                <w:rFonts w:ascii="Arial" w:cs="Arial" w:eastAsia="Arial" w:hAnsi="Arial"/>
                <w:sz w:val="16"/>
                <w:szCs w:val="16"/>
                <w:color w:val="auto"/>
              </w:rPr>
              <w:t>4,368</w:t>
            </w:r>
          </w:p>
        </w:tc>
        <w:tc>
          <w:tcPr>
            <w:tcW w:w="3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3,492</w:t>
            </w:r>
          </w:p>
        </w:tc>
        <w:tc>
          <w:tcPr>
            <w:tcW w:w="30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264,023</w:t>
            </w:r>
          </w:p>
        </w:tc>
        <w:tc>
          <w:tcPr>
            <w:tcW w:w="30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(5,523)</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258,500</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289,388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(103,704)</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(116,771)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154,796</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172,617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Payments for tangible fixed assets, vessels under construction and vessel held under finance lease</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(69,567)</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(618,601)</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1,230</w:t>
            </w:r>
          </w:p>
        </w:tc>
        <w:tc>
          <w:tcPr>
            <w:tcW w:w="300" w:type="dxa"/>
            <w:vAlign w:val="bottom"/>
            <w:shd w:val="clear" w:color="auto" w:fill="E5FFFF"/>
          </w:tcPr>
          <w:p>
            <w:pPr>
              <w:spacing w:after="0"/>
              <w:rPr>
                <w:sz w:val="19"/>
                <w:szCs w:val="19"/>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Return of contributed capital from associate</w:t>
            </w:r>
          </w:p>
        </w:tc>
        <w:tc>
          <w:tcPr>
            <w:tcW w:w="1700" w:type="dxa"/>
            <w:vAlign w:val="bottom"/>
          </w:tcPr>
          <w:p>
            <w:pPr>
              <w:jc w:val="right"/>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(14,125)</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(37,244)</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(46,000)</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33,000</w:t>
            </w:r>
          </w:p>
        </w:tc>
        <w:tc>
          <w:tcPr>
            <w:tcW w:w="300" w:type="dxa"/>
            <w:vAlign w:val="bottom"/>
            <w:shd w:val="clear" w:color="auto" w:fill="E5FFFF"/>
          </w:tcPr>
          <w:p>
            <w:pPr>
              <w:spacing w:after="0"/>
              <w:rPr>
                <w:sz w:val="19"/>
                <w:szCs w:val="19"/>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700" w:type="dxa"/>
            <w:vAlign w:val="bottom"/>
          </w:tcPr>
          <w:p>
            <w:pPr>
              <w:jc w:val="right"/>
              <w:spacing w:after="0"/>
              <w:rPr>
                <w:sz w:val="20"/>
                <w:szCs w:val="20"/>
                <w:color w:val="auto"/>
              </w:rPr>
            </w:pPr>
            <w:r>
              <w:rPr>
                <w:rFonts w:ascii="Arial" w:cs="Arial" w:eastAsia="Arial" w:hAnsi="Arial"/>
                <w:sz w:val="16"/>
                <w:szCs w:val="16"/>
                <w:color w:val="auto"/>
              </w:rPr>
              <w:t>1,654</w:t>
            </w:r>
          </w:p>
        </w:tc>
        <w:tc>
          <w:tcPr>
            <w:tcW w:w="3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16"/>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(84,993)</w:t>
            </w:r>
          </w:p>
        </w:tc>
        <w:tc>
          <w:tcPr>
            <w:tcW w:w="30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(624,631)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bank loans and bonds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280,000</w:t>
            </w:r>
          </w:p>
        </w:tc>
        <w:tc>
          <w:tcPr>
            <w:tcW w:w="300" w:type="dxa"/>
            <w:vAlign w:val="bottom"/>
            <w:shd w:val="clear" w:color="auto" w:fill="E5FFFF"/>
          </w:tcPr>
          <w:p>
            <w:pPr>
              <w:spacing w:after="0"/>
              <w:rPr>
                <w:sz w:val="19"/>
                <w:szCs w:val="19"/>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498,225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Bank loans and bonds repayments</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(371,987)</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(180,792)</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(6,245)</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w w:val="96"/>
              </w:rPr>
              <w:t>Proceeds from GasLog Partners’ public common unit offerings (net of underwriting discounts and commissions)</w:t>
            </w:r>
          </w:p>
        </w:tc>
        <w:tc>
          <w:tcPr>
            <w:tcW w:w="1700" w:type="dxa"/>
            <w:vAlign w:val="bottom"/>
          </w:tcPr>
          <w:p>
            <w:pPr>
              <w:jc w:val="right"/>
              <w:spacing w:after="0"/>
              <w:rPr>
                <w:sz w:val="20"/>
                <w:szCs w:val="20"/>
                <w:color w:val="auto"/>
              </w:rPr>
            </w:pPr>
            <w:r>
              <w:rPr>
                <w:rFonts w:ascii="Arial" w:cs="Arial" w:eastAsia="Arial" w:hAnsi="Arial"/>
                <w:sz w:val="16"/>
                <w:szCs w:val="16"/>
                <w:color w:val="auto"/>
              </w:rPr>
              <w:t>132,410</w:t>
            </w:r>
          </w:p>
        </w:tc>
        <w:tc>
          <w:tcPr>
            <w:tcW w:w="3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54,338</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GasLog Partners’ preference unit offering (net of underwriting discounts and commissions)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139,222</w:t>
            </w:r>
          </w:p>
        </w:tc>
        <w:tc>
          <w:tcPr>
            <w:tcW w:w="300" w:type="dxa"/>
            <w:vAlign w:val="bottom"/>
            <w:shd w:val="clear" w:color="auto" w:fill="E5FFFF"/>
          </w:tcPr>
          <w:p>
            <w:pPr>
              <w:spacing w:after="0"/>
              <w:rPr>
                <w:sz w:val="19"/>
                <w:szCs w:val="19"/>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(1,216)</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Payment for NOK bond repurchase at a premium</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(1,459)</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Payment for cross currency swaps’ termination</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(20,603)</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20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Proceeds from stock options’ exercise</w:t>
            </w:r>
          </w:p>
        </w:tc>
        <w:tc>
          <w:tcPr>
            <w:tcW w:w="1700" w:type="dxa"/>
            <w:vAlign w:val="bottom"/>
          </w:tcPr>
          <w:p>
            <w:pPr>
              <w:jc w:val="right"/>
              <w:spacing w:after="0"/>
              <w:rPr>
                <w:sz w:val="20"/>
                <w:szCs w:val="20"/>
                <w:color w:val="auto"/>
              </w:rPr>
            </w:pPr>
            <w:r>
              <w:rPr>
                <w:rFonts w:ascii="Arial" w:cs="Arial" w:eastAsia="Arial" w:hAnsi="Arial"/>
                <w:sz w:val="16"/>
                <w:szCs w:val="16"/>
                <w:color w:val="auto"/>
              </w:rPr>
              <w:t>341</w:t>
            </w:r>
          </w:p>
        </w:tc>
        <w:tc>
          <w:tcPr>
            <w:tcW w:w="3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9"/>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(88,245)</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(107,776)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Payments for finance lease liability</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(1,781)</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(5,447)</w:t>
            </w:r>
          </w:p>
        </w:tc>
        <w:tc>
          <w:tcPr>
            <w:tcW w:w="0" w:type="dxa"/>
            <w:vAlign w:val="bottom"/>
          </w:tcPr>
          <w:p>
            <w:pPr>
              <w:spacing w:after="0"/>
              <w:rPr>
                <w:sz w:val="1"/>
                <w:szCs w:val="1"/>
                <w:color w:val="auto"/>
              </w:rPr>
            </w:pPr>
          </w:p>
        </w:tc>
      </w:tr>
      <w:tr>
        <w:trPr>
          <w:trHeight w:val="216"/>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60,437</w:t>
            </w:r>
          </w:p>
        </w:tc>
        <w:tc>
          <w:tcPr>
            <w:tcW w:w="30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361,913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700" w:type="dxa"/>
            <w:vAlign w:val="bottom"/>
          </w:tcPr>
          <w:p>
            <w:pPr>
              <w:jc w:val="right"/>
              <w:spacing w:after="0"/>
              <w:rPr>
                <w:sz w:val="20"/>
                <w:szCs w:val="20"/>
                <w:color w:val="auto"/>
              </w:rPr>
            </w:pPr>
            <w:r>
              <w:rPr>
                <w:rFonts w:ascii="Arial" w:cs="Arial" w:eastAsia="Arial" w:hAnsi="Arial"/>
                <w:sz w:val="16"/>
                <w:szCs w:val="16"/>
                <w:color w:val="auto"/>
              </w:rPr>
              <w:t>761</w:t>
            </w:r>
          </w:p>
        </w:tc>
        <w:tc>
          <w:tcPr>
            <w:tcW w:w="300" w:type="dxa"/>
            <w:vAlign w:val="bottom"/>
          </w:tcPr>
          <w:p>
            <w:pPr>
              <w:spacing w:after="0"/>
              <w:rPr>
                <w:sz w:val="17"/>
                <w:szCs w:val="17"/>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131,001</w:t>
            </w:r>
          </w:p>
        </w:tc>
        <w:tc>
          <w:tcPr>
            <w:tcW w:w="30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(90,238)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beginning of the period</w:t>
            </w:r>
          </w:p>
        </w:tc>
        <w:tc>
          <w:tcPr>
            <w:tcW w:w="1700" w:type="dxa"/>
            <w:vAlign w:val="bottom"/>
          </w:tcPr>
          <w:p>
            <w:pPr>
              <w:jc w:val="right"/>
              <w:spacing w:after="0"/>
              <w:rPr>
                <w:sz w:val="20"/>
                <w:szCs w:val="20"/>
                <w:color w:val="auto"/>
              </w:rPr>
            </w:pPr>
            <w:r>
              <w:rPr>
                <w:rFonts w:ascii="Arial" w:cs="Arial" w:eastAsia="Arial" w:hAnsi="Arial"/>
                <w:sz w:val="16"/>
                <w:szCs w:val="16"/>
                <w:color w:val="auto"/>
              </w:rPr>
              <w:t>227,024</w:t>
            </w:r>
          </w:p>
        </w:tc>
        <w:tc>
          <w:tcPr>
            <w:tcW w:w="300" w:type="dxa"/>
            <w:vAlign w:val="bottom"/>
          </w:tcPr>
          <w:p>
            <w:pPr>
              <w:spacing w:after="0"/>
              <w:rPr>
                <w:sz w:val="17"/>
                <w:szCs w:val="17"/>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384,092</w:t>
            </w:r>
          </w:p>
        </w:tc>
        <w:tc>
          <w:tcPr>
            <w:tcW w:w="0" w:type="dxa"/>
            <w:vAlign w:val="bottom"/>
          </w:tcPr>
          <w:p>
            <w:pPr>
              <w:spacing w:after="0"/>
              <w:rPr>
                <w:sz w:val="1"/>
                <w:szCs w:val="1"/>
                <w:color w:val="auto"/>
              </w:rPr>
            </w:pPr>
          </w:p>
        </w:tc>
      </w:tr>
      <w:tr>
        <w:trPr>
          <w:trHeight w:val="213"/>
        </w:trPr>
        <w:tc>
          <w:tcPr>
            <w:tcW w:w="7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358,025</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293,854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5640"/>
              <w:spacing w:after="0"/>
              <w:rPr>
                <w:sz w:val="20"/>
                <w:szCs w:val="20"/>
                <w:color w:val="auto"/>
              </w:rPr>
            </w:pPr>
            <w:r>
              <w:rPr>
                <w:rFonts w:ascii="Arial" w:cs="Arial" w:eastAsia="Arial" w:hAnsi="Arial"/>
                <w:sz w:val="14"/>
                <w:szCs w:val="14"/>
                <w:color w:val="auto"/>
              </w:rPr>
              <w:t>13</w:t>
            </w: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6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Adjusted Profit and Adjusted EPS</w:t>
      </w:r>
    </w:p>
    <w:p>
      <w:pPr>
        <w:spacing w:after="0" w:line="239" w:lineRule="exact"/>
        <w:rPr>
          <w:sz w:val="20"/>
          <w:szCs w:val="20"/>
          <w:color w:val="auto"/>
        </w:rPr>
      </w:pPr>
    </w:p>
    <w:p>
      <w:pPr>
        <w:ind w:right="380"/>
        <w:spacing w:after="0" w:line="303"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Adjusted Profit represents earnings before write-off and accelerated amortization of unamortized loan fees/bond fees and premium, foreign exchange gains/losses and non-cash gain/loss on derivatives that includes (if any) (a) unrealized gain/loss on derivative financial instruments held for trading,</w:t>
      </w:r>
    </w:p>
    <w:p>
      <w:pPr>
        <w:spacing w:after="0" w:line="2" w:lineRule="exact"/>
        <w:rPr>
          <w:sz w:val="20"/>
          <w:szCs w:val="20"/>
          <w:color w:val="auto"/>
        </w:rPr>
      </w:pPr>
    </w:p>
    <w:p>
      <w:pPr>
        <w:ind w:right="80" w:firstLine="8"/>
        <w:spacing w:after="0" w:line="285" w:lineRule="auto"/>
        <w:tabs>
          <w:tab w:leader="none" w:pos="23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recycled loss of cash flow hedges reclassified to profit or loss and (c) ineffective portion of cash flow hedges. Adjusted EPS represents earnings attributable to owners of the Group before non-cash gain/loss on derivatives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and in the case of Adjusted Profit and Adjusted EPS, non-cash gain/loss on derivatives, foreign exchange gains/losses and write-off and accelerated amortization of unamortized loan/bond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85"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3"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 and Adjusted EBITDA:</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546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5460" w:type="dxa"/>
            <w:vAlign w:val="bottom"/>
          </w:tcPr>
          <w:p>
            <w:pPr>
              <w:spacing w:after="0"/>
              <w:rPr>
                <w:sz w:val="24"/>
                <w:szCs w:val="24"/>
                <w:color w:val="auto"/>
              </w:rPr>
            </w:pPr>
          </w:p>
        </w:tc>
        <w:tc>
          <w:tcPr>
            <w:tcW w:w="30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24"/>
                <w:szCs w:val="24"/>
                <w:color w:val="auto"/>
              </w:rPr>
            </w:pPr>
          </w:p>
        </w:tc>
      </w:tr>
      <w:tr>
        <w:trPr>
          <w:trHeight w:val="208"/>
        </w:trPr>
        <w:tc>
          <w:tcPr>
            <w:tcW w:w="546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r>
      <w:tr>
        <w:trPr>
          <w:trHeight w:val="213"/>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r>
      <w:tr>
        <w:trPr>
          <w:trHeight w:val="21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24,228</w:t>
            </w:r>
          </w:p>
        </w:tc>
        <w:tc>
          <w:tcPr>
            <w:tcW w:w="3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39,261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54,524</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96,014</w:t>
            </w:r>
          </w:p>
        </w:tc>
        <w:tc>
          <w:tcPr>
            <w:tcW w:w="40" w:type="dxa"/>
            <w:vAlign w:val="bottom"/>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jc w:val="right"/>
              <w:spacing w:after="0"/>
              <w:rPr>
                <w:sz w:val="20"/>
                <w:szCs w:val="20"/>
                <w:color w:val="auto"/>
              </w:rPr>
            </w:pPr>
            <w:r>
              <w:rPr>
                <w:rFonts w:ascii="Arial" w:cs="Arial" w:eastAsia="Arial" w:hAnsi="Arial"/>
                <w:sz w:val="16"/>
                <w:szCs w:val="16"/>
                <w:color w:val="auto"/>
              </w:rPr>
              <w:t>34,447</w:t>
            </w:r>
          </w:p>
        </w:tc>
        <w:tc>
          <w:tcPr>
            <w:tcW w:w="3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39,341</w:t>
            </w:r>
          </w:p>
        </w:tc>
        <w:tc>
          <w:tcPr>
            <w:tcW w:w="1240" w:type="dxa"/>
            <w:vAlign w:val="bottom"/>
          </w:tcPr>
          <w:p>
            <w:pPr>
              <w:jc w:val="right"/>
              <w:spacing w:after="0"/>
              <w:rPr>
                <w:sz w:val="20"/>
                <w:szCs w:val="20"/>
                <w:color w:val="auto"/>
              </w:rPr>
            </w:pPr>
            <w:r>
              <w:rPr>
                <w:rFonts w:ascii="Arial" w:cs="Arial" w:eastAsia="Arial" w:hAnsi="Arial"/>
                <w:sz w:val="16"/>
                <w:szCs w:val="16"/>
                <w:color w:val="auto"/>
              </w:rPr>
              <w:t>102,606</w:t>
            </w:r>
          </w:p>
        </w:tc>
        <w:tc>
          <w:tcPr>
            <w:tcW w:w="28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113,683</w:t>
            </w:r>
          </w:p>
        </w:tc>
        <w:tc>
          <w:tcPr>
            <w:tcW w:w="40" w:type="dxa"/>
            <w:vAlign w:val="bottom"/>
          </w:tcPr>
          <w:p>
            <w:pPr>
              <w:spacing w:after="0"/>
              <w:rPr>
                <w:sz w:val="18"/>
                <w:szCs w:val="18"/>
                <w:color w:val="auto"/>
              </w:rPr>
            </w:pPr>
          </w:p>
        </w:tc>
      </w:tr>
      <w:tr>
        <w:trPr>
          <w:trHeight w:val="219"/>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34,709</w:t>
            </w:r>
          </w:p>
        </w:tc>
        <w:tc>
          <w:tcPr>
            <w:tcW w:w="300" w:type="dxa"/>
            <w:vAlign w:val="bottom"/>
            <w:shd w:val="clear" w:color="auto" w:fill="E5FFFF"/>
          </w:tcPr>
          <w:p>
            <w:pPr>
              <w:spacing w:after="0"/>
              <w:rPr>
                <w:sz w:val="19"/>
                <w:szCs w:val="19"/>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43,908</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104,311</w:t>
            </w: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122,505</w:t>
            </w:r>
          </w:p>
        </w:tc>
        <w:tc>
          <w:tcPr>
            <w:tcW w:w="40" w:type="dxa"/>
            <w:vAlign w:val="bottom"/>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Financial income</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(644)</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(1,057)</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(1,779)</w:t>
            </w:r>
          </w:p>
        </w:tc>
        <w:tc>
          <w:tcPr>
            <w:tcW w:w="1360" w:type="dxa"/>
            <w:vAlign w:val="bottom"/>
          </w:tcPr>
          <w:p>
            <w:pPr>
              <w:jc w:val="right"/>
              <w:spacing w:after="0"/>
              <w:rPr>
                <w:sz w:val="20"/>
                <w:szCs w:val="20"/>
                <w:color w:val="auto"/>
              </w:rPr>
            </w:pPr>
            <w:r>
              <w:rPr>
                <w:rFonts w:ascii="Arial" w:cs="Arial" w:eastAsia="Arial" w:hAnsi="Arial"/>
                <w:sz w:val="16"/>
                <w:szCs w:val="16"/>
                <w:color w:val="auto"/>
              </w:rPr>
              <w:t>(3,367)</w:t>
            </w:r>
          </w:p>
        </w:tc>
        <w:tc>
          <w:tcPr>
            <w:tcW w:w="40" w:type="dxa"/>
            <w:vAlign w:val="bottom"/>
          </w:tcPr>
          <w:p>
            <w:pPr>
              <w:spacing w:after="0"/>
              <w:rPr>
                <w:sz w:val="18"/>
                <w:szCs w:val="18"/>
                <w:color w:val="auto"/>
              </w:rPr>
            </w:pPr>
          </w:p>
        </w:tc>
      </w:tr>
      <w:tr>
        <w:trPr>
          <w:trHeight w:val="219"/>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5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(3,137)</w:t>
            </w: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(7,368)</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6,585</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(26,306)</w:t>
            </w:r>
          </w:p>
        </w:tc>
        <w:tc>
          <w:tcPr>
            <w:tcW w:w="40" w:type="dxa"/>
            <w:vAlign w:val="bottom"/>
          </w:tcPr>
          <w:p>
            <w:pPr>
              <w:spacing w:after="0"/>
              <w:rPr>
                <w:sz w:val="19"/>
                <w:szCs w:val="19"/>
                <w:color w:val="auto"/>
              </w:rPr>
            </w:pPr>
          </w:p>
        </w:tc>
      </w:tr>
      <w:tr>
        <w:trPr>
          <w:trHeight w:val="207"/>
        </w:trPr>
        <w:tc>
          <w:tcPr>
            <w:tcW w:w="5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89,603</w:t>
            </w:r>
          </w:p>
        </w:tc>
        <w:tc>
          <w:tcPr>
            <w:tcW w:w="3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114,085</w:t>
            </w:r>
          </w:p>
        </w:tc>
        <w:tc>
          <w:tcPr>
            <w:tcW w:w="2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266,247</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302,529</w:t>
            </w:r>
          </w:p>
        </w:tc>
        <w:tc>
          <w:tcPr>
            <w:tcW w:w="40" w:type="dxa"/>
            <w:vAlign w:val="bottom"/>
          </w:tcPr>
          <w:p>
            <w:pPr>
              <w:spacing w:after="0"/>
              <w:rPr>
                <w:sz w:val="17"/>
                <w:szCs w:val="17"/>
                <w:color w:val="auto"/>
              </w:rPr>
            </w:pPr>
          </w:p>
        </w:tc>
      </w:tr>
      <w:tr>
        <w:trPr>
          <w:trHeight w:val="212"/>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losses, net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w:t>
            </w:r>
          </w:p>
        </w:tc>
        <w:tc>
          <w:tcPr>
            <w:tcW w:w="3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163</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192</w:t>
            </w:r>
          </w:p>
        </w:tc>
        <w:tc>
          <w:tcPr>
            <w:tcW w:w="40" w:type="dxa"/>
            <w:vAlign w:val="bottom"/>
          </w:tcPr>
          <w:p>
            <w:pPr>
              <w:spacing w:after="0"/>
              <w:rPr>
                <w:sz w:val="18"/>
                <w:szCs w:val="18"/>
                <w:color w:val="auto"/>
              </w:rPr>
            </w:pPr>
          </w:p>
        </w:tc>
      </w:tr>
      <w:tr>
        <w:trPr>
          <w:trHeight w:val="207"/>
        </w:trPr>
        <w:tc>
          <w:tcPr>
            <w:tcW w:w="54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89,692</w:t>
            </w:r>
          </w:p>
        </w:tc>
        <w:tc>
          <w:tcPr>
            <w:tcW w:w="3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114,248</w:t>
            </w:r>
          </w:p>
        </w:tc>
        <w:tc>
          <w:tcPr>
            <w:tcW w:w="2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266,382</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302,721</w:t>
            </w:r>
          </w:p>
        </w:tc>
        <w:tc>
          <w:tcPr>
            <w:tcW w:w="4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460" w:type="dxa"/>
            <w:vAlign w:val="bottom"/>
          </w:tcPr>
          <w:p>
            <w:pPr>
              <w:spacing w:after="0"/>
              <w:rPr>
                <w:sz w:val="24"/>
                <w:szCs w:val="24"/>
                <w:color w:val="auto"/>
              </w:rPr>
            </w:pPr>
          </w:p>
        </w:tc>
        <w:tc>
          <w:tcPr>
            <w:tcW w:w="1240" w:type="dxa"/>
            <w:vAlign w:val="bottom"/>
          </w:tcPr>
          <w:p>
            <w:pPr>
              <w:jc w:val="right"/>
              <w:ind w:right="840"/>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Reconciliation of Profit to Adjusted Profit: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8"/>
                <w:szCs w:val="18"/>
                <w:color w:val="auto"/>
              </w:rPr>
            </w:pPr>
          </w:p>
        </w:tc>
      </w:tr>
      <w:tr>
        <w:trPr>
          <w:trHeight w:val="208"/>
        </w:trPr>
        <w:tc>
          <w:tcPr>
            <w:tcW w:w="5460" w:type="dxa"/>
            <w:vAlign w:val="bottom"/>
          </w:tcPr>
          <w:p>
            <w:pPr>
              <w:spacing w:after="0"/>
              <w:rPr>
                <w:sz w:val="18"/>
                <w:szCs w:val="18"/>
                <w:color w:val="auto"/>
              </w:rPr>
            </w:pPr>
          </w:p>
        </w:tc>
        <w:tc>
          <w:tcPr>
            <w:tcW w:w="15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r>
      <w:tr>
        <w:trPr>
          <w:trHeight w:val="213"/>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r>
      <w:tr>
        <w:trPr>
          <w:trHeight w:val="21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24,228</w:t>
            </w:r>
          </w:p>
        </w:tc>
        <w:tc>
          <w:tcPr>
            <w:tcW w:w="3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39,261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54,524</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96,014</w:t>
            </w:r>
          </w:p>
        </w:tc>
        <w:tc>
          <w:tcPr>
            <w:tcW w:w="40" w:type="dxa"/>
            <w:vAlign w:val="bottom"/>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(3,206)</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(7,173)</w:t>
            </w:r>
          </w:p>
        </w:tc>
        <w:tc>
          <w:tcPr>
            <w:tcW w:w="1240" w:type="dxa"/>
            <w:vAlign w:val="bottom"/>
          </w:tcPr>
          <w:p>
            <w:pPr>
              <w:jc w:val="right"/>
              <w:spacing w:after="0"/>
              <w:rPr>
                <w:sz w:val="20"/>
                <w:szCs w:val="20"/>
                <w:color w:val="auto"/>
              </w:rPr>
            </w:pPr>
            <w:r>
              <w:rPr>
                <w:rFonts w:ascii="Arial" w:cs="Arial" w:eastAsia="Arial" w:hAnsi="Arial"/>
                <w:sz w:val="16"/>
                <w:szCs w:val="16"/>
                <w:color w:val="auto"/>
              </w:rPr>
              <w:t>2,334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(23,878)</w:t>
            </w:r>
          </w:p>
        </w:tc>
        <w:tc>
          <w:tcPr>
            <w:tcW w:w="40" w:type="dxa"/>
            <w:vAlign w:val="bottom"/>
          </w:tcPr>
          <w:p>
            <w:pPr>
              <w:spacing w:after="0"/>
              <w:rPr>
                <w:sz w:val="18"/>
                <w:szCs w:val="18"/>
                <w:color w:val="auto"/>
              </w:rPr>
            </w:pPr>
          </w:p>
        </w:tc>
      </w:tr>
      <w:tr>
        <w:trPr>
          <w:trHeight w:val="219"/>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Write-off of unamortized loan/bond fees and premium</w:t>
            </w:r>
          </w:p>
        </w:tc>
        <w:tc>
          <w:tcPr>
            <w:tcW w:w="154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293</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6"/>
                <w:szCs w:val="16"/>
                <w:color w:val="auto"/>
              </w:rPr>
              <w:t>Foreign exchange losses, net</w:t>
            </w:r>
          </w:p>
        </w:tc>
        <w:tc>
          <w:tcPr>
            <w:tcW w:w="1240" w:type="dxa"/>
            <w:vAlign w:val="bottom"/>
          </w:tcPr>
          <w:p>
            <w:pPr>
              <w:jc w:val="right"/>
              <w:spacing w:after="0"/>
              <w:rPr>
                <w:sz w:val="20"/>
                <w:szCs w:val="20"/>
                <w:color w:val="auto"/>
              </w:rPr>
            </w:pPr>
            <w:r>
              <w:rPr>
                <w:rFonts w:ascii="Arial" w:cs="Arial" w:eastAsia="Arial" w:hAnsi="Arial"/>
                <w:sz w:val="16"/>
                <w:szCs w:val="16"/>
                <w:color w:val="auto"/>
              </w:rPr>
              <w:t>89</w:t>
            </w:r>
          </w:p>
        </w:tc>
        <w:tc>
          <w:tcPr>
            <w:tcW w:w="3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163</w:t>
            </w:r>
          </w:p>
        </w:tc>
        <w:tc>
          <w:tcPr>
            <w:tcW w:w="124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40" w:type="dxa"/>
            <w:vAlign w:val="bottom"/>
          </w:tcPr>
          <w:p>
            <w:pPr>
              <w:spacing w:after="0"/>
              <w:rPr>
                <w:sz w:val="18"/>
                <w:szCs w:val="18"/>
                <w:color w:val="auto"/>
              </w:rPr>
            </w:pPr>
          </w:p>
        </w:tc>
      </w:tr>
      <w:tr>
        <w:trPr>
          <w:trHeight w:val="213"/>
        </w:trPr>
        <w:tc>
          <w:tcPr>
            <w:tcW w:w="5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21,111</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32,251</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57,286</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rPr>
              <w:t>72,328</w:t>
            </w:r>
          </w:p>
        </w:tc>
        <w:tc>
          <w:tcPr>
            <w:tcW w:w="4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8"/>
        </w:trPr>
        <w:tc>
          <w:tcPr>
            <w:tcW w:w="7000" w:type="dxa"/>
            <w:vAlign w:val="bottom"/>
            <w:gridSpan w:val="3"/>
          </w:tcPr>
          <w:p>
            <w:pPr>
              <w:spacing w:after="0"/>
              <w:rPr>
                <w:sz w:val="20"/>
                <w:szCs w:val="20"/>
                <w:color w:val="auto"/>
              </w:rPr>
            </w:pPr>
            <w:r>
              <w:rPr>
                <w:rFonts w:ascii="Arial" w:cs="Arial" w:eastAsia="Arial" w:hAnsi="Arial"/>
                <w:sz w:val="16"/>
                <w:szCs w:val="16"/>
                <w:b w:val="1"/>
                <w:bCs w:val="1"/>
                <w:color w:val="auto"/>
              </w:rPr>
              <w:t>Reconciliation of Earnings/(Loss) Per Share to Adjusted (Loss)/Earnings Per Share:</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000" w:type="dxa"/>
            <w:vAlign w:val="bottom"/>
            <w:gridSpan w:val="3"/>
          </w:tcPr>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5460" w:type="dxa"/>
            <w:vAlign w:val="bottom"/>
          </w:tcPr>
          <w:p>
            <w:pPr>
              <w:spacing w:after="0"/>
              <w:rPr>
                <w:sz w:val="24"/>
                <w:szCs w:val="24"/>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24"/>
                <w:szCs w:val="24"/>
                <w:color w:val="auto"/>
              </w:rPr>
            </w:pPr>
          </w:p>
        </w:tc>
      </w:tr>
      <w:tr>
        <w:trPr>
          <w:trHeight w:val="208"/>
        </w:trPr>
        <w:tc>
          <w:tcPr>
            <w:tcW w:w="5460" w:type="dxa"/>
            <w:vAlign w:val="bottom"/>
          </w:tcPr>
          <w:p>
            <w:pPr>
              <w:spacing w:after="0"/>
              <w:rPr>
                <w:sz w:val="18"/>
                <w:szCs w:val="18"/>
                <w:color w:val="auto"/>
              </w:rPr>
            </w:pPr>
          </w:p>
        </w:tc>
        <w:tc>
          <w:tcPr>
            <w:tcW w:w="15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r>
      <w:tr>
        <w:trPr>
          <w:trHeight w:val="213"/>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r>
      <w:tr>
        <w:trPr>
          <w:trHeight w:val="21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 attributable to owners of the Group</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5,335</w:t>
            </w:r>
          </w:p>
        </w:tc>
        <w:tc>
          <w:tcPr>
            <w:tcW w:w="3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18,214</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6,572</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33,898</w:t>
            </w:r>
          </w:p>
        </w:tc>
        <w:tc>
          <w:tcPr>
            <w:tcW w:w="40" w:type="dxa"/>
            <w:vAlign w:val="bottom"/>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Plus: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Dividend on preference shares</w:t>
            </w:r>
          </w:p>
        </w:tc>
        <w:tc>
          <w:tcPr>
            <w:tcW w:w="154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(2,516)</w:t>
            </w: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(2,516)</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(7,548)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(7,548)</w:t>
            </w:r>
          </w:p>
        </w:tc>
        <w:tc>
          <w:tcPr>
            <w:tcW w:w="40" w:type="dxa"/>
            <w:vAlign w:val="bottom"/>
          </w:tcPr>
          <w:p>
            <w:pPr>
              <w:spacing w:after="0"/>
              <w:rPr>
                <w:sz w:val="19"/>
                <w:szCs w:val="19"/>
                <w:color w:val="auto"/>
              </w:rPr>
            </w:pPr>
          </w:p>
        </w:tc>
      </w:tr>
      <w:tr>
        <w:trPr>
          <w:trHeight w:val="186"/>
        </w:trPr>
        <w:tc>
          <w:tcPr>
            <w:tcW w:w="5460" w:type="dxa"/>
            <w:vAlign w:val="bottom"/>
          </w:tcPr>
          <w:p>
            <w:pPr>
              <w:spacing w:after="0"/>
              <w:rPr>
                <w:sz w:val="20"/>
                <w:szCs w:val="20"/>
                <w:color w:val="auto"/>
              </w:rPr>
            </w:pPr>
            <w:r>
              <w:rPr>
                <w:rFonts w:ascii="Arial" w:cs="Arial" w:eastAsia="Arial" w:hAnsi="Arial"/>
                <w:sz w:val="16"/>
                <w:szCs w:val="16"/>
                <w:color w:val="auto"/>
              </w:rPr>
              <w:t>Profit/(loss) for the period available to owners of the Group used in EPS</w:t>
            </w:r>
          </w:p>
        </w:tc>
        <w:tc>
          <w:tcPr>
            <w:tcW w:w="12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5460" w:type="dxa"/>
            <w:vAlign w:val="bottom"/>
          </w:tcPr>
          <w:p>
            <w:pPr>
              <w:ind w:left="180"/>
              <w:spacing w:after="0"/>
              <w:rPr>
                <w:sz w:val="20"/>
                <w:szCs w:val="20"/>
                <w:color w:val="auto"/>
              </w:rPr>
            </w:pPr>
            <w:r>
              <w:rPr>
                <w:rFonts w:ascii="Arial" w:cs="Arial" w:eastAsia="Arial" w:hAnsi="Arial"/>
                <w:sz w:val="16"/>
                <w:szCs w:val="16"/>
                <w:color w:val="auto"/>
              </w:rPr>
              <w:t>calculation</w:t>
            </w:r>
          </w:p>
        </w:tc>
        <w:tc>
          <w:tcPr>
            <w:tcW w:w="1240" w:type="dxa"/>
            <w:vAlign w:val="bottom"/>
          </w:tcPr>
          <w:p>
            <w:pPr>
              <w:jc w:val="right"/>
              <w:spacing w:after="0"/>
              <w:rPr>
                <w:sz w:val="20"/>
                <w:szCs w:val="20"/>
                <w:color w:val="auto"/>
              </w:rPr>
            </w:pPr>
            <w:r>
              <w:rPr>
                <w:rFonts w:ascii="Arial" w:cs="Arial" w:eastAsia="Arial" w:hAnsi="Arial"/>
                <w:sz w:val="16"/>
                <w:szCs w:val="16"/>
                <w:color w:val="auto"/>
              </w:rPr>
              <w:t>2,819</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15,698</w:t>
            </w: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(976)</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26,350</w:t>
            </w:r>
          </w:p>
        </w:tc>
        <w:tc>
          <w:tcPr>
            <w:tcW w:w="40" w:type="dxa"/>
            <w:vAlign w:val="bottom"/>
          </w:tcPr>
          <w:p>
            <w:pPr>
              <w:spacing w:after="0"/>
              <w:rPr>
                <w:sz w:val="18"/>
                <w:szCs w:val="18"/>
                <w:color w:val="auto"/>
              </w:rPr>
            </w:pPr>
          </w:p>
        </w:tc>
      </w:tr>
      <w:tr>
        <w:trPr>
          <w:trHeight w:val="213"/>
        </w:trPr>
        <w:tc>
          <w:tcPr>
            <w:tcW w:w="5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80,631,298</w:t>
            </w:r>
          </w:p>
        </w:tc>
        <w:tc>
          <w:tcPr>
            <w:tcW w:w="30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80,814,285</w:t>
            </w:r>
          </w:p>
        </w:tc>
        <w:tc>
          <w:tcPr>
            <w:tcW w:w="28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80,605,848</w:t>
            </w:r>
          </w:p>
        </w:tc>
        <w:tc>
          <w:tcPr>
            <w:tcW w:w="28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80,777,386</w:t>
            </w:r>
          </w:p>
        </w:tc>
        <w:tc>
          <w:tcPr>
            <w:tcW w:w="40" w:type="dxa"/>
            <w:vAlign w:val="bottom"/>
          </w:tcPr>
          <w:p>
            <w:pPr>
              <w:spacing w:after="0"/>
              <w:rPr>
                <w:sz w:val="18"/>
                <w:szCs w:val="18"/>
                <w:color w:val="auto"/>
              </w:rPr>
            </w:pPr>
          </w:p>
        </w:tc>
      </w:tr>
      <w:tr>
        <w:trPr>
          <w:trHeight w:val="247"/>
        </w:trPr>
        <w:tc>
          <w:tcPr>
            <w:tcW w:w="5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Earnings/(loss) per share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0.03</w:t>
            </w:r>
          </w:p>
        </w:tc>
        <w:tc>
          <w:tcPr>
            <w:tcW w:w="300" w:type="dxa"/>
            <w:vAlign w:val="bottom"/>
            <w:tcBorders>
              <w:bottom w:val="single" w:sz="8" w:color="E5FF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0.19</w:t>
            </w:r>
          </w:p>
        </w:tc>
        <w:tc>
          <w:tcPr>
            <w:tcW w:w="280" w:type="dxa"/>
            <w:vAlign w:val="bottom"/>
            <w:tcBorders>
              <w:bottom w:val="single" w:sz="8" w:color="E5FF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280" w:type="dxa"/>
            <w:vAlign w:val="bottom"/>
            <w:tcBorders>
              <w:bottom w:val="single" w:sz="8" w:color="E5FFFF"/>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0.33</w:t>
            </w:r>
          </w:p>
        </w:tc>
        <w:tc>
          <w:tcPr>
            <w:tcW w:w="40" w:type="dxa"/>
            <w:vAlign w:val="bottom"/>
          </w:tcPr>
          <w:p>
            <w:pPr>
              <w:spacing w:after="0"/>
              <w:rPr>
                <w:sz w:val="21"/>
                <w:szCs w:val="21"/>
                <w:color w:val="auto"/>
              </w:rPr>
            </w:pPr>
          </w:p>
        </w:tc>
      </w:tr>
      <w:tr>
        <w:trPr>
          <w:trHeight w:val="163"/>
        </w:trPr>
        <w:tc>
          <w:tcPr>
            <w:tcW w:w="5460" w:type="dxa"/>
            <w:vAlign w:val="bottom"/>
            <w:shd w:val="clear" w:color="auto" w:fill="E5FFFF"/>
          </w:tcPr>
          <w:p>
            <w:pPr>
              <w:spacing w:after="0" w:line="163" w:lineRule="exact"/>
              <w:rPr>
                <w:sz w:val="20"/>
                <w:szCs w:val="20"/>
                <w:color w:val="auto"/>
              </w:rPr>
            </w:pPr>
            <w:r>
              <w:rPr>
                <w:rFonts w:ascii="Arial" w:cs="Arial" w:eastAsia="Arial" w:hAnsi="Arial"/>
                <w:sz w:val="16"/>
                <w:szCs w:val="16"/>
                <w:color w:val="auto"/>
              </w:rPr>
              <w:t>Profit/(loss) for the period available to owners of the Group used in EPS</w:t>
            </w:r>
          </w:p>
        </w:tc>
        <w:tc>
          <w:tcPr>
            <w:tcW w:w="12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2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24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360" w:type="dxa"/>
            <w:vAlign w:val="bottom"/>
            <w:shd w:val="clear" w:color="auto" w:fill="E5FFFF"/>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calculation</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2,819</w:t>
            </w:r>
          </w:p>
        </w:tc>
        <w:tc>
          <w:tcPr>
            <w:tcW w:w="3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15,698</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(976)</w:t>
            </w: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26,350</w:t>
            </w:r>
          </w:p>
        </w:tc>
        <w:tc>
          <w:tcPr>
            <w:tcW w:w="40" w:type="dxa"/>
            <w:vAlign w:val="bottom"/>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Plus: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Non-cash (gain)/loss on derivatives</w:t>
            </w:r>
          </w:p>
        </w:tc>
        <w:tc>
          <w:tcPr>
            <w:tcW w:w="154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(3,206</w:t>
            </w:r>
            <w:r>
              <w:rPr>
                <w:rFonts w:ascii="Arial" w:cs="Arial" w:eastAsia="Arial" w:hAnsi="Arial"/>
                <w:sz w:val="16"/>
                <w:szCs w:val="16"/>
                <w:b w:val="1"/>
                <w:bCs w:val="1"/>
                <w:color w:val="auto"/>
              </w:rPr>
              <w:t>)</w:t>
            </w: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(7,173</w:t>
            </w:r>
            <w:r>
              <w:rPr>
                <w:rFonts w:ascii="Arial" w:cs="Arial" w:eastAsia="Arial" w:hAnsi="Arial"/>
                <w:sz w:val="16"/>
                <w:szCs w:val="16"/>
                <w:b w:val="1"/>
                <w:bCs w:val="1"/>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2,334</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(23,878)</w:t>
            </w:r>
          </w:p>
        </w:tc>
        <w:tc>
          <w:tcPr>
            <w:tcW w:w="40" w:type="dxa"/>
            <w:vAlign w:val="bottom"/>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Write-off of unamortized loan/bond fees and premium</w:t>
            </w:r>
          </w:p>
        </w:tc>
        <w:tc>
          <w:tcPr>
            <w:tcW w:w="1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28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19"/>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losses, net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89</w:t>
            </w:r>
          </w:p>
        </w:tc>
        <w:tc>
          <w:tcPr>
            <w:tcW w:w="300" w:type="dxa"/>
            <w:vAlign w:val="bottom"/>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w:t>
            </w:r>
          </w:p>
        </w:tc>
        <w:tc>
          <w:tcPr>
            <w:tcW w:w="280" w:type="dxa"/>
            <w:vAlign w:val="bottom"/>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135</w:t>
            </w:r>
          </w:p>
        </w:tc>
        <w:tc>
          <w:tcPr>
            <w:tcW w:w="280" w:type="dxa"/>
            <w:vAlign w:val="bottom"/>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192</w:t>
            </w:r>
          </w:p>
        </w:tc>
        <w:tc>
          <w:tcPr>
            <w:tcW w:w="40" w:type="dxa"/>
            <w:vAlign w:val="bottom"/>
          </w:tcPr>
          <w:p>
            <w:pPr>
              <w:spacing w:after="0"/>
              <w:rPr>
                <w:sz w:val="19"/>
                <w:szCs w:val="19"/>
                <w:color w:val="auto"/>
              </w:rPr>
            </w:pPr>
          </w:p>
        </w:tc>
      </w:tr>
      <w:tr>
        <w:trPr>
          <w:trHeight w:val="207"/>
        </w:trPr>
        <w:tc>
          <w:tcPr>
            <w:tcW w:w="5460" w:type="dxa"/>
            <w:vAlign w:val="bottom"/>
          </w:tcPr>
          <w:p>
            <w:pPr>
              <w:spacing w:after="0"/>
              <w:rPr>
                <w:sz w:val="20"/>
                <w:szCs w:val="20"/>
                <w:color w:val="auto"/>
              </w:rPr>
            </w:pPr>
            <w:r>
              <w:rPr>
                <w:rFonts w:ascii="Arial" w:cs="Arial" w:eastAsia="Arial" w:hAnsi="Arial"/>
                <w:sz w:val="16"/>
                <w:szCs w:val="16"/>
                <w:color w:val="auto"/>
              </w:rPr>
              <w:t>Adjusted (loss)/profit attributable to owners of the Group</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(298)</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8,688</w:t>
            </w:r>
          </w:p>
        </w:tc>
        <w:tc>
          <w:tcPr>
            <w:tcW w:w="1240" w:type="dxa"/>
            <w:vAlign w:val="bottom"/>
          </w:tcPr>
          <w:p>
            <w:pPr>
              <w:jc w:val="right"/>
              <w:spacing w:after="0"/>
              <w:rPr>
                <w:sz w:val="20"/>
                <w:szCs w:val="20"/>
                <w:color w:val="auto"/>
              </w:rPr>
            </w:pPr>
            <w:r>
              <w:rPr>
                <w:rFonts w:ascii="Arial" w:cs="Arial" w:eastAsia="Arial" w:hAnsi="Arial"/>
                <w:sz w:val="16"/>
                <w:szCs w:val="16"/>
                <w:color w:val="auto"/>
              </w:rPr>
              <w:t>1,786</w:t>
            </w:r>
          </w:p>
        </w:tc>
        <w:tc>
          <w:tcPr>
            <w:tcW w:w="28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40" w:type="dxa"/>
            <w:vAlign w:val="bottom"/>
          </w:tcPr>
          <w:p>
            <w:pPr>
              <w:spacing w:after="0"/>
              <w:rPr>
                <w:sz w:val="17"/>
                <w:szCs w:val="17"/>
                <w:color w:val="auto"/>
              </w:rPr>
            </w:pPr>
          </w:p>
        </w:tc>
      </w:tr>
      <w:tr>
        <w:trPr>
          <w:trHeight w:val="213"/>
        </w:trPr>
        <w:tc>
          <w:tcPr>
            <w:tcW w:w="5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80,631,298</w:t>
            </w:r>
          </w:p>
        </w:tc>
        <w:tc>
          <w:tcPr>
            <w:tcW w:w="30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80,814,285</w:t>
            </w:r>
          </w:p>
        </w:tc>
        <w:tc>
          <w:tcPr>
            <w:tcW w:w="28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80,605,848</w:t>
            </w:r>
          </w:p>
        </w:tc>
        <w:tc>
          <w:tcPr>
            <w:tcW w:w="28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80,777,386</w:t>
            </w:r>
          </w:p>
        </w:tc>
        <w:tc>
          <w:tcPr>
            <w:tcW w:w="40" w:type="dxa"/>
            <w:vAlign w:val="bottom"/>
          </w:tcPr>
          <w:p>
            <w:pPr>
              <w:spacing w:after="0"/>
              <w:rPr>
                <w:sz w:val="18"/>
                <w:szCs w:val="18"/>
                <w:color w:val="auto"/>
              </w:rPr>
            </w:pPr>
          </w:p>
        </w:tc>
      </w:tr>
      <w:tr>
        <w:trPr>
          <w:trHeight w:val="220"/>
        </w:trPr>
        <w:tc>
          <w:tcPr>
            <w:tcW w:w="5460" w:type="dxa"/>
            <w:vAlign w:val="bottom"/>
          </w:tcPr>
          <w:p>
            <w:pPr>
              <w:spacing w:after="0"/>
              <w:rPr>
                <w:sz w:val="20"/>
                <w:szCs w:val="20"/>
                <w:color w:val="auto"/>
              </w:rPr>
            </w:pPr>
            <w:r>
              <w:rPr>
                <w:rFonts w:ascii="Arial" w:cs="Arial" w:eastAsia="Arial" w:hAnsi="Arial"/>
                <w:sz w:val="16"/>
                <w:szCs w:val="16"/>
                <w:b w:val="1"/>
                <w:bCs w:val="1"/>
                <w:color w:val="auto"/>
              </w:rPr>
              <w:t>Adjusted (loss)/earnings per share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300" w:type="dxa"/>
            <w:vAlign w:val="bottom"/>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0.11</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28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0.03</w:t>
            </w:r>
          </w:p>
        </w:tc>
        <w:tc>
          <w:tcPr>
            <w:tcW w:w="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460" w:type="dxa"/>
            <w:vAlign w:val="bottom"/>
          </w:tcPr>
          <w:p>
            <w:pPr>
              <w:spacing w:after="0"/>
              <w:rPr>
                <w:sz w:val="24"/>
                <w:szCs w:val="24"/>
                <w:color w:val="auto"/>
              </w:rPr>
            </w:pPr>
          </w:p>
        </w:tc>
        <w:tc>
          <w:tcPr>
            <w:tcW w:w="1240" w:type="dxa"/>
            <w:vAlign w:val="bottom"/>
          </w:tcPr>
          <w:p>
            <w:pPr>
              <w:jc w:val="right"/>
              <w:ind w:right="839"/>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Nine Months Ended September 30, 2018</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20" w:firstLine="356"/>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nine-month periods ended September 30, 2017 and September 30, 2018.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February 28, 2018.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60" w:firstLine="324"/>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340" w:hanging="188"/>
        <w:spacing w:after="0" w:line="266" w:lineRule="auto"/>
        <w:tabs>
          <w:tab w:leader="none" w:pos="484" w:val="left"/>
        </w:tabs>
        <w:numPr>
          <w:ilvl w:val="0"/>
          <w:numId w:val="10"/>
        </w:numPr>
        <w:rPr>
          <w:rFonts w:ascii="Arial" w:cs="Arial" w:eastAsia="Arial" w:hAnsi="Arial"/>
          <w:sz w:val="14"/>
          <w:szCs w:val="14"/>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fluctuations in spot and long-term charter hire rates and vessel values;</w:t>
      </w:r>
    </w:p>
    <w:p>
      <w:pPr>
        <w:spacing w:after="0" w:line="18" w:lineRule="exact"/>
        <w:rPr>
          <w:rFonts w:ascii="Arial" w:cs="Arial" w:eastAsia="Arial" w:hAnsi="Arial"/>
          <w:sz w:val="14"/>
          <w:szCs w:val="14"/>
          <w:color w:val="auto"/>
        </w:rPr>
      </w:pPr>
    </w:p>
    <w:p>
      <w:pPr>
        <w:ind w:left="480" w:hanging="156"/>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4"/>
          <w:szCs w:val="14"/>
          <w:color w:val="auto"/>
        </w:rPr>
      </w:pPr>
    </w:p>
    <w:p>
      <w:pPr>
        <w:ind w:left="480" w:hanging="156"/>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4"/>
          <w:szCs w:val="14"/>
          <w:color w:val="auto"/>
        </w:rPr>
      </w:pPr>
    </w:p>
    <w:p>
      <w:pPr>
        <w:ind w:left="480" w:hanging="156"/>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4"/>
          <w:szCs w:val="14"/>
          <w:color w:val="auto"/>
        </w:rPr>
      </w:pPr>
    </w:p>
    <w:p>
      <w:pPr>
        <w:ind w:left="520" w:right="60" w:hanging="196"/>
        <w:spacing w:after="0" w:line="281" w:lineRule="auto"/>
        <w:tabs>
          <w:tab w:leader="none" w:pos="483" w:val="left"/>
        </w:tabs>
        <w:numPr>
          <w:ilvl w:val="0"/>
          <w:numId w:val="10"/>
        </w:numPr>
        <w:rPr>
          <w:rFonts w:ascii="Arial" w:cs="Arial" w:eastAsia="Arial" w:hAnsi="Arial"/>
          <w:sz w:val="14"/>
          <w:szCs w:val="14"/>
          <w:color w:val="auto"/>
        </w:rPr>
      </w:pPr>
      <w:r>
        <w:rPr>
          <w:rFonts w:ascii="Arial" w:cs="Arial" w:eastAsia="Arial" w:hAnsi="Arial"/>
          <w:sz w:val="15"/>
          <w:szCs w:val="15"/>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4"/>
          <w:szCs w:val="14"/>
          <w:color w:val="auto"/>
        </w:rPr>
      </w:pPr>
    </w:p>
    <w:p>
      <w:pPr>
        <w:ind w:left="480" w:hanging="156"/>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our ability to maintain long term relationships and enter into time charters with new and existing customers;</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4"/>
          <w:szCs w:val="14"/>
          <w:color w:val="auto"/>
        </w:rPr>
      </w:pPr>
    </w:p>
    <w:p>
      <w:pPr>
        <w:ind w:left="520" w:right="100" w:hanging="188"/>
        <w:spacing w:after="0" w:line="264" w:lineRule="auto"/>
        <w:tabs>
          <w:tab w:leader="none" w:pos="484" w:val="left"/>
        </w:tabs>
        <w:numPr>
          <w:ilvl w:val="0"/>
          <w:numId w:val="10"/>
        </w:numPr>
        <w:rPr>
          <w:rFonts w:ascii="Arial" w:cs="Arial" w:eastAsia="Arial" w:hAnsi="Arial"/>
          <w:sz w:val="14"/>
          <w:szCs w:val="14"/>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4"/>
          <w:szCs w:val="14"/>
          <w:color w:val="auto"/>
        </w:rPr>
      </w:pPr>
    </w:p>
    <w:p>
      <w:pPr>
        <w:ind w:left="520" w:right="200" w:hanging="188"/>
        <w:spacing w:after="0" w:line="264" w:lineRule="auto"/>
        <w:tabs>
          <w:tab w:leader="none" w:pos="484" w:val="left"/>
        </w:tabs>
        <w:numPr>
          <w:ilvl w:val="0"/>
          <w:numId w:val="10"/>
        </w:numPr>
        <w:rPr>
          <w:rFonts w:ascii="Arial" w:cs="Arial" w:eastAsia="Arial" w:hAnsi="Arial"/>
          <w:sz w:val="14"/>
          <w:szCs w:val="14"/>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risks inherent in ship operation, including the risk of accidents, collisions and the discharge of pollutants;</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30" w:lineRule="exact"/>
        <w:rPr>
          <w:rFonts w:ascii="Arial" w:cs="Arial" w:eastAsia="Arial" w:hAnsi="Arial"/>
          <w:sz w:val="14"/>
          <w:szCs w:val="14"/>
          <w:color w:val="auto"/>
        </w:rPr>
      </w:pPr>
    </w:p>
    <w:p>
      <w:pPr>
        <w:ind w:left="480" w:hanging="148"/>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5"/>
          <w:szCs w:val="15"/>
          <w:color w:val="auto"/>
        </w:rPr>
        <w:t xml:space="preserve">other risks and uncertainties described in the Company’s Annual Report on Form 20-F filed with the SEC on February 28, 2018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jc w:val="both"/>
        <w:ind w:right="740" w:firstLine="356"/>
        <w:spacing w:after="0" w:line="369" w:lineRule="auto"/>
        <w:rPr>
          <w:sz w:val="20"/>
          <w:szCs w:val="20"/>
          <w:color w:val="auto"/>
        </w:rPr>
      </w:pPr>
      <w:r>
        <w:rPr>
          <w:rFonts w:ascii="Arial" w:cs="Arial" w:eastAsia="Arial" w:hAnsi="Arial"/>
          <w:sz w:val="14"/>
          <w:szCs w:val="14"/>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40" w:firstLine="356"/>
        <w:spacing w:after="0" w:line="268" w:lineRule="auto"/>
        <w:rPr>
          <w:sz w:val="20"/>
          <w:szCs w:val="20"/>
          <w:color w:val="auto"/>
        </w:rPr>
      </w:pPr>
      <w:r>
        <w:rPr>
          <w:rFonts w:ascii="Arial" w:cs="Arial" w:eastAsia="Arial" w:hAnsi="Arial"/>
          <w:sz w:val="16"/>
          <w:szCs w:val="16"/>
          <w:color w:val="auto"/>
        </w:rPr>
        <w:t>We are an international owner, operator and manager of LNG carriers. Our wholly owned fleet as of November 1, 2018 consists of 19 LNG carriers, including 12 ships in operation and seven LNG carriers on order at Samsung Heavy Industries Co., Ltd. (“Samsung”). GasLog is also the general and controlling partner in GasLog Partners LP (“GasLog Partners” or the “Partnership”), a publicly traded master limited partnership, which owns 13 LNG carriers. In addition, GasLog has leased back under a bareboat charter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26 LNG carriers including 12 of our wholly owned ships in operation, 12 of the 13 ships contributed or sold to the Partnership (the other one is managed by a subsidiary of Royal Dutch Shell plc (“Shell”)), the bareboat vessel and one LNG carrier owned by an entity in which we have a 25% interest. We also supervise the construction of our newbuildings.</w:t>
      </w:r>
    </w:p>
    <w:p>
      <w:pPr>
        <w:spacing w:after="0" w:line="193"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In 2015, GasLog entered into a pool agreement (the “Pool Agreement”) with Dynagas Ltd. (“Dynagas”) and Golar LNG Ltd. (“Golar”) establishing an LNG carrier pooling arrangement (the “Cool Pool”) to market our and their vessels which were operating in the LNG shipping spot market at the time of entering into the Pool Agreement.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 For the operation of the Cool Pool, a Marshall Islands service company named “The Cool Pool Limited” was incorporated in September 2015 acting as an agent. As of September 30, 2018, the Cool Pool consisted of 16 tri-fuel diesel electric (“TFDE”) LNG carriers in the 155-177,000 cbm size range owned by GasLog and Golar. The Cool Pool charters the vessels for periods of up to one year in duration as agents for the owners, who each remain responsible for the technical and commercial operation of their vessels and performance of the contracts. In June and July 2018, Dynagas removed its three vessels from the Cool Pool.</w:t>
      </w:r>
    </w:p>
    <w:p>
      <w:pPr>
        <w:spacing w:after="0" w:line="197"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 xml:space="preserve">We have a 25% interest in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2007-built LNG carrier owned by Egypt LNG Shipping Ltd. (“Egypt LNG”) and technically managed by us. It is currently operating under a 20-year time charter to a subsidiary of Shell.</w:t>
      </w:r>
    </w:p>
    <w:p>
      <w:pPr>
        <w:spacing w:after="0" w:line="172" w:lineRule="exact"/>
        <w:rPr>
          <w:sz w:val="20"/>
          <w:szCs w:val="20"/>
          <w:color w:val="auto"/>
        </w:rPr>
      </w:pPr>
    </w:p>
    <w:p>
      <w:pPr>
        <w:ind w:right="20" w:firstLine="356"/>
        <w:spacing w:after="0" w:line="278" w:lineRule="auto"/>
        <w:rPr>
          <w:sz w:val="20"/>
          <w:szCs w:val="20"/>
          <w:color w:val="auto"/>
        </w:rPr>
      </w:pPr>
      <w:r>
        <w:rPr>
          <w:rFonts w:ascii="Arial" w:cs="Arial" w:eastAsia="Arial" w:hAnsi="Arial"/>
          <w:sz w:val="16"/>
          <w:szCs w:val="16"/>
          <w:color w:val="auto"/>
        </w:rPr>
        <w:t>We generate revenues by chartering our ships to customers on multi-year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Vessels and New Charter Agreements</w:t>
      </w:r>
    </w:p>
    <w:p>
      <w:pPr>
        <w:spacing w:after="0" w:line="239" w:lineRule="exact"/>
        <w:rPr>
          <w:sz w:val="20"/>
          <w:szCs w:val="20"/>
          <w:color w:val="auto"/>
        </w:rPr>
      </w:pPr>
    </w:p>
    <w:p>
      <w:pPr>
        <w:jc w:val="both"/>
        <w:ind w:right="120"/>
        <w:spacing w:after="0" w:line="305" w:lineRule="auto"/>
        <w:rPr>
          <w:sz w:val="20"/>
          <w:szCs w:val="20"/>
          <w:color w:val="auto"/>
        </w:rPr>
      </w:pPr>
      <w:r>
        <w:rPr>
          <w:rFonts w:ascii="Arial" w:cs="Arial" w:eastAsia="Arial" w:hAnsi="Arial"/>
          <w:sz w:val="15"/>
          <w:szCs w:val="15"/>
          <w:color w:val="auto"/>
        </w:rPr>
        <w:t>On August 20, 2018, GasLog announced the order of two 174,000 cbm LNG carriers (Hull Nos. 2300 and 2301) with low pressure two stroke (“LP-2S”) propulsion and GTT Mark III Flex Plus containment systems from Samsung scheduled to be delivered in late 2020. The vessels will be chartered to Cheniere Energy, Inc. (“Cheniere”) for a firm period of seven years. GasLog has also negotiated with Cheniere an option for the charter of one or two additional newbuild vessels.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of the </w:t>
      </w:r>
      <w:r>
        <w:rPr>
          <w:rFonts w:ascii="Arial" w:cs="Arial" w:eastAsia="Arial" w:hAnsi="Arial"/>
          <w:sz w:val="16"/>
          <w:szCs w:val="16"/>
          <w:b w:val="1"/>
          <w:bCs w:val="1"/>
          <w:i w:val="1"/>
          <w:iCs w:val="1"/>
          <w:u w:val="single" w:color="auto"/>
          <w:color w:val="auto"/>
        </w:rPr>
        <w:t>Methane Becki Anne</w:t>
      </w:r>
    </w:p>
    <w:p>
      <w:pPr>
        <w:spacing w:after="0" w:line="239"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 xml:space="preserve">On October 25, 2018, GasLog Partners announced an agreement with GasLog to purchase 100% of the ownership interest in GAS-twenty seven Ltd., the entity that owns the </w:t>
      </w:r>
      <w:r>
        <w:rPr>
          <w:rFonts w:ascii="Arial" w:cs="Arial" w:eastAsia="Arial" w:hAnsi="Arial"/>
          <w:sz w:val="16"/>
          <w:szCs w:val="16"/>
          <w:i w:val="1"/>
          <w:iCs w:val="1"/>
          <w:color w:val="auto"/>
        </w:rPr>
        <w:t>Methane Becki Anne</w:t>
      </w:r>
      <w:r>
        <w:rPr>
          <w:rFonts w:ascii="Arial" w:cs="Arial" w:eastAsia="Arial" w:hAnsi="Arial"/>
          <w:sz w:val="16"/>
          <w:szCs w:val="16"/>
          <w:color w:val="auto"/>
        </w:rPr>
        <w:t>. The vessel is currently on a multi-year time charter with a subsidiary of Shell through March 2024 and Shell has a unilateral option to extend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charter for a period of either three or five years.</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The aggregate sale price will be $207.4 million, which includes $1.0 million for positive net working capital balances to be transferred with the entity. GasLog Partners expects to finance the acquisition with cash on hand, plus the assumption of the </w:t>
      </w:r>
      <w:r>
        <w:rPr>
          <w:rFonts w:ascii="Arial" w:cs="Arial" w:eastAsia="Arial" w:hAnsi="Arial"/>
          <w:sz w:val="16"/>
          <w:szCs w:val="16"/>
          <w:i w:val="1"/>
          <w:iCs w:val="1"/>
          <w:color w:val="auto"/>
        </w:rPr>
        <w:t>Methane Becki Anne’s</w:t>
      </w:r>
      <w:r>
        <w:rPr>
          <w:rFonts w:ascii="Arial" w:cs="Arial" w:eastAsia="Arial" w:hAnsi="Arial"/>
          <w:sz w:val="16"/>
          <w:szCs w:val="16"/>
          <w:color w:val="auto"/>
        </w:rPr>
        <w:t xml:space="preserve"> outstanding indebtedness of $93.9 million. The sale is expected to close in November 2018.</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At-the-Market Common Units Equity Offering Programme (the “ATM Programme”)</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On May 16, 2017, GasLog Partners commenced an ATM Programme under which the Partnership may, from time to time, raise equity through the issuance and sale of new common units having an aggregate offering value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73"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 the third quarter of 2018, GasLog Partners issued and received payment for an additional 2,293,775 common units at a weighted average price of $23.68 per common unit for total gross proceeds of $54.3 million and net proceeds of $54.0 million. The aforementioned units included 2,093,775 common units which were purchased by funds managed by Tortoise Capital Advisors L.L.C. (“Tortoise”), a leading energy infrastructure investor.</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the period from October 1, 2018 through October 29, 2018, GasLog Partners issued and received payment for an additional 259,104 common units at a price of $24.06 per unit for gross and net proceeds of $6.2 million.</w:t>
      </w:r>
    </w:p>
    <w:p>
      <w:pPr>
        <w:spacing w:after="0" w:line="172" w:lineRule="exact"/>
        <w:rPr>
          <w:sz w:val="20"/>
          <w:szCs w:val="20"/>
          <w:color w:val="auto"/>
        </w:rPr>
      </w:pPr>
    </w:p>
    <w:p>
      <w:pPr>
        <w:ind w:right="240"/>
        <w:spacing w:after="0" w:line="369" w:lineRule="auto"/>
        <w:rPr>
          <w:sz w:val="20"/>
          <w:szCs w:val="20"/>
          <w:color w:val="auto"/>
        </w:rPr>
      </w:pPr>
      <w:r>
        <w:rPr>
          <w:rFonts w:ascii="Arial" w:cs="Arial" w:eastAsia="Arial" w:hAnsi="Arial"/>
          <w:sz w:val="14"/>
          <w:szCs w:val="14"/>
          <w:color w:val="auto"/>
        </w:rPr>
        <w:t>Since the commencement of the ATM Programme through October 29, 2018, GasLog Partners has issued and received payment for a total of 5,291,304 common units, with cumulative gross proceeds of $123.4 million at a weighted average price of $23.33 per unit. As of October 29, 2018, the cumulative net proceeds were $121.4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23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Alexandroupolis Floating Storage Regasification Unit (“FSRU”) project in Northern Greece continued to move forward in the third quarter. In September 2018, Gastrade S.A. (“Gastrade”) issued Invitations for Expression of Interest (“IEOI”) for the supply of the FSRU vessel and the pipeline infrastructure which will connect the FSRU with the Greek natural gas transmission system. Following regulatory approvals, Gastrade launched the first phase of the market test in late October. During this phase interested parties, including DEPA, the Greek state natural gas utility, and Bulgarian Energy Holding (“BEH”), are invited to submit proposals for offtake capacity from the Alexandroupolis project.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DEPA and BEH continue to work towards the formalisation of their respective shareholdings in Gastrade.</w:t>
      </w:r>
    </w:p>
    <w:p>
      <w:pPr>
        <w:spacing w:after="0" w:line="23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launch of the FSRU and pipeline tenders by Gastrade, as well as the market test, are, we believe, significant milestones and advance the project towards Final Investment Decision (“FID”), which is targeted for the first half of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239" w:lineRule="exact"/>
        <w:rPr>
          <w:sz w:val="20"/>
          <w:szCs w:val="20"/>
          <w:color w:val="auto"/>
        </w:rPr>
      </w:pPr>
    </w:p>
    <w:p>
      <w:pPr>
        <w:ind w:right="360" w:firstLine="324"/>
        <w:spacing w:after="0" w:line="329" w:lineRule="auto"/>
        <w:rPr>
          <w:sz w:val="20"/>
          <w:szCs w:val="20"/>
          <w:color w:val="auto"/>
        </w:rPr>
      </w:pPr>
      <w:r>
        <w:rPr>
          <w:rFonts w:ascii="Arial" w:cs="Arial" w:eastAsia="Arial" w:hAnsi="Arial"/>
          <w:sz w:val="15"/>
          <w:szCs w:val="15"/>
          <w:color w:val="auto"/>
        </w:rPr>
        <w:t>On September 13, 2018, the board of directors declared a dividend on the Series A Preference Shares of $0.546875 per share, or $2.5 million in aggregate, payable on October 1, 2018 to holders of record as of September 28, 2018. GasLog paid the declared dividend to the transfer agent on September 28, 2018.</w:t>
      </w:r>
    </w:p>
    <w:p>
      <w:pPr>
        <w:spacing w:after="0" w:line="14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On October 31, 2018, the board of directors declared a quarterly cash dividend of $0.15 per common share, or $12.1 million in aggregate, payable on November 21, 2018 to shareholders of record as of November 12,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2018, our wholly owned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300"/>
              <w:spacing w:after="0"/>
              <w:rPr>
                <w:sz w:val="20"/>
                <w:szCs w:val="20"/>
                <w:color w:val="auto"/>
              </w:rPr>
            </w:pPr>
            <w:r>
              <w:rPr>
                <w:rFonts w:ascii="Arial" w:cs="Arial" w:eastAsia="Arial" w:hAnsi="Arial"/>
                <w:sz w:val="16"/>
                <w:szCs w:val="16"/>
                <w:b w:val="1"/>
                <w:bCs w:val="1"/>
                <w:color w:val="auto"/>
              </w:rPr>
              <w:t>Year</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Vessel Name</w:t>
            </w:r>
          </w:p>
        </w:tc>
        <w:tc>
          <w:tcPr>
            <w:tcW w:w="14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Built</w:t>
            </w:r>
          </w:p>
        </w:tc>
        <w:tc>
          <w:tcPr>
            <w:tcW w:w="120" w:type="dxa"/>
            <w:vAlign w:val="bottom"/>
            <w:tcBorders>
              <w:bottom w:val="single" w:sz="8" w:color="E5FF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(cbm)</w:t>
            </w:r>
          </w:p>
        </w:tc>
        <w:tc>
          <w:tcPr>
            <w:tcW w:w="12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20" w:type="dxa"/>
            <w:vAlign w:val="bottom"/>
            <w:tcBorders>
              <w:bottom w:val="single" w:sz="8" w:color="E5FF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100" w:type="dxa"/>
            <w:vAlign w:val="bottom"/>
            <w:tcBorders>
              <w:bottom w:val="single" w:sz="8" w:color="E5FFFF"/>
            </w:tcBorders>
          </w:tcPr>
          <w:p>
            <w:pPr>
              <w:spacing w:after="0"/>
              <w:rPr>
                <w:sz w:val="18"/>
                <w:szCs w:val="18"/>
                <w:color w:val="auto"/>
              </w:rPr>
            </w:pPr>
          </w:p>
        </w:tc>
        <w:tc>
          <w:tcPr>
            <w:tcW w:w="234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00" w:type="dxa"/>
            <w:vAlign w:val="bottom"/>
            <w:tcBorders>
              <w:bottom w:val="single" w:sz="8" w:color="E5FFFF"/>
            </w:tcBorders>
          </w:tcPr>
          <w:p>
            <w:pPr>
              <w:spacing w:after="0"/>
              <w:rPr>
                <w:sz w:val="18"/>
                <w:szCs w:val="18"/>
                <w:color w:val="auto"/>
              </w:rPr>
            </w:pPr>
          </w:p>
        </w:tc>
        <w:tc>
          <w:tcPr>
            <w:tcW w:w="1160" w:type="dxa"/>
            <w:vAlign w:val="bottom"/>
            <w:tcBorders>
              <w:bottom w:val="single" w:sz="8" w:color="auto"/>
            </w:tcBorders>
          </w:tcPr>
          <w:p>
            <w:pPr>
              <w:ind w:left="2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480" w:type="dxa"/>
            <w:vAlign w:val="bottom"/>
            <w:gridSpan w:val="2"/>
            <w:shd w:val="clear" w:color="auto" w:fill="E5FFFF"/>
          </w:tcPr>
          <w:p>
            <w:pPr>
              <w:ind w:left="160"/>
              <w:spacing w:after="0"/>
              <w:rPr>
                <w:sz w:val="20"/>
                <w:szCs w:val="20"/>
                <w:color w:val="auto"/>
              </w:rPr>
            </w:pPr>
            <w:r>
              <w:rPr>
                <w:rFonts w:ascii="Arial" w:cs="Arial" w:eastAsia="Arial" w:hAnsi="Arial"/>
                <w:sz w:val="16"/>
                <w:szCs w:val="16"/>
                <w:i w:val="1"/>
                <w:iCs w:val="1"/>
                <w:color w:val="auto"/>
              </w:rPr>
              <w:t>Methane Lydon Volney</w:t>
            </w:r>
          </w:p>
        </w:tc>
        <w:tc>
          <w:tcPr>
            <w:tcW w:w="920" w:type="dxa"/>
            <w:vAlign w:val="bottom"/>
            <w:shd w:val="clear" w:color="auto" w:fill="E5FFFF"/>
          </w:tcPr>
          <w:p>
            <w:pPr>
              <w:ind w:left="300"/>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145,000</w:t>
            </w:r>
          </w:p>
        </w:tc>
        <w:tc>
          <w:tcPr>
            <w:tcW w:w="12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Shell</w:t>
            </w:r>
          </w:p>
        </w:tc>
        <w:tc>
          <w:tcPr>
            <w:tcW w:w="12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Steam</w:t>
            </w:r>
          </w:p>
        </w:tc>
        <w:tc>
          <w:tcPr>
            <w:tcW w:w="2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October 2020</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6"/>
                <w:szCs w:val="16"/>
                <w:b w:val="1"/>
                <w:bCs w:val="1"/>
                <w:color w:val="auto"/>
              </w:rPr>
              <w:t>2</w:t>
            </w:r>
          </w:p>
        </w:tc>
        <w:tc>
          <w:tcPr>
            <w:tcW w:w="2480" w:type="dxa"/>
            <w:vAlign w:val="bottom"/>
            <w:gridSpan w:val="2"/>
          </w:tcPr>
          <w:p>
            <w:pPr>
              <w:ind w:left="160"/>
              <w:spacing w:after="0"/>
              <w:rPr>
                <w:sz w:val="20"/>
                <w:szCs w:val="20"/>
                <w:color w:val="auto"/>
              </w:rPr>
            </w:pPr>
            <w:r>
              <w:rPr>
                <w:rFonts w:ascii="Arial" w:cs="Arial" w:eastAsia="Arial" w:hAnsi="Arial"/>
                <w:sz w:val="16"/>
                <w:szCs w:val="16"/>
                <w:i w:val="1"/>
                <w:iCs w:val="1"/>
                <w:color w:val="auto"/>
              </w:rPr>
              <w:t>GasLog Savannah</w:t>
            </w:r>
          </w:p>
        </w:tc>
        <w:tc>
          <w:tcPr>
            <w:tcW w:w="920" w:type="dxa"/>
            <w:vAlign w:val="bottom"/>
          </w:tcPr>
          <w:p>
            <w:pPr>
              <w:ind w:left="30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88"/>
              </w:rPr>
              <w:t xml:space="preserve">Spot Market </w:t>
            </w:r>
            <w:r>
              <w:rPr>
                <w:rFonts w:ascii="Arial" w:cs="Arial" w:eastAsia="Arial" w:hAnsi="Arial"/>
                <w:sz w:val="21"/>
                <w:szCs w:val="21"/>
                <w:color w:val="auto"/>
                <w:w w:val="88"/>
                <w:vertAlign w:val="superscript"/>
              </w:rPr>
              <w:t>(3)</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480" w:type="dxa"/>
            <w:vAlign w:val="bottom"/>
            <w:gridSpan w:val="2"/>
            <w:shd w:val="clear" w:color="auto" w:fill="E5FFFF"/>
          </w:tcPr>
          <w:p>
            <w:pPr>
              <w:ind w:left="160"/>
              <w:spacing w:after="0"/>
              <w:rPr>
                <w:sz w:val="20"/>
                <w:szCs w:val="20"/>
                <w:color w:val="auto"/>
              </w:rPr>
            </w:pPr>
            <w:r>
              <w:rPr>
                <w:rFonts w:ascii="Arial" w:cs="Arial" w:eastAsia="Arial" w:hAnsi="Arial"/>
                <w:sz w:val="16"/>
                <w:szCs w:val="16"/>
                <w:i w:val="1"/>
                <w:iCs w:val="1"/>
                <w:color w:val="auto"/>
              </w:rPr>
              <w:t>GasLog Singapore</w:t>
            </w:r>
          </w:p>
        </w:tc>
        <w:tc>
          <w:tcPr>
            <w:tcW w:w="920" w:type="dxa"/>
            <w:vAlign w:val="bottom"/>
            <w:shd w:val="clear" w:color="auto" w:fill="E5FFFF"/>
          </w:tcPr>
          <w:p>
            <w:pPr>
              <w:ind w:left="30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center"/>
              <w:ind w:right="120"/>
              <w:spacing w:after="0" w:line="216" w:lineRule="exact"/>
              <w:rPr>
                <w:sz w:val="20"/>
                <w:szCs w:val="20"/>
                <w:color w:val="auto"/>
              </w:rPr>
            </w:pPr>
            <w:r>
              <w:rPr>
                <w:rFonts w:ascii="Arial" w:cs="Arial" w:eastAsia="Arial" w:hAnsi="Arial"/>
                <w:sz w:val="16"/>
                <w:szCs w:val="16"/>
                <w:color w:val="auto"/>
                <w:w w:val="88"/>
              </w:rPr>
              <w:t xml:space="preserve">Spot Market </w:t>
            </w:r>
            <w:r>
              <w:rPr>
                <w:rFonts w:ascii="Arial" w:cs="Arial" w:eastAsia="Arial" w:hAnsi="Arial"/>
                <w:sz w:val="21"/>
                <w:szCs w:val="21"/>
                <w:color w:val="auto"/>
                <w:w w:val="88"/>
                <w:vertAlign w:val="superscript"/>
              </w:rPr>
              <w:t>(3)</w:t>
            </w:r>
          </w:p>
        </w:tc>
        <w:tc>
          <w:tcPr>
            <w:tcW w:w="12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6"/>
                <w:szCs w:val="16"/>
                <w:b w:val="1"/>
                <w:bCs w:val="1"/>
                <w:color w:val="auto"/>
              </w:rPr>
              <w:t>4</w:t>
            </w:r>
          </w:p>
        </w:tc>
        <w:tc>
          <w:tcPr>
            <w:tcW w:w="2480" w:type="dxa"/>
            <w:vAlign w:val="bottom"/>
            <w:gridSpan w:val="2"/>
          </w:tcPr>
          <w:p>
            <w:pPr>
              <w:ind w:left="160"/>
              <w:spacing w:after="0"/>
              <w:rPr>
                <w:sz w:val="20"/>
                <w:szCs w:val="20"/>
                <w:color w:val="auto"/>
              </w:rPr>
            </w:pPr>
            <w:r>
              <w:rPr>
                <w:rFonts w:ascii="Arial" w:cs="Arial" w:eastAsia="Arial" w:hAnsi="Arial"/>
                <w:sz w:val="16"/>
                <w:szCs w:val="16"/>
                <w:i w:val="1"/>
                <w:iCs w:val="1"/>
                <w:color w:val="auto"/>
              </w:rPr>
              <w:t>GasLog Chelsea</w:t>
            </w:r>
          </w:p>
        </w:tc>
        <w:tc>
          <w:tcPr>
            <w:tcW w:w="920" w:type="dxa"/>
            <w:vAlign w:val="bottom"/>
          </w:tcPr>
          <w:p>
            <w:pPr>
              <w:ind w:left="30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153,600</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88"/>
              </w:rPr>
              <w:t xml:space="preserve">Spot Market </w:t>
            </w:r>
            <w:r>
              <w:rPr>
                <w:rFonts w:ascii="Arial" w:cs="Arial" w:eastAsia="Arial" w:hAnsi="Arial"/>
                <w:sz w:val="21"/>
                <w:szCs w:val="21"/>
                <w:color w:val="auto"/>
                <w:w w:val="88"/>
                <w:vertAlign w:val="superscript"/>
              </w:rPr>
              <w:t>(3)</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480" w:type="dxa"/>
            <w:vAlign w:val="bottom"/>
            <w:gridSpan w:val="2"/>
            <w:shd w:val="clear" w:color="auto" w:fill="E5FFFF"/>
          </w:tcPr>
          <w:p>
            <w:pPr>
              <w:ind w:left="160"/>
              <w:spacing w:after="0" w:line="216" w:lineRule="exact"/>
              <w:rPr>
                <w:sz w:val="20"/>
                <w:szCs w:val="20"/>
                <w:color w:val="auto"/>
              </w:rPr>
            </w:pPr>
            <w:r>
              <w:rPr>
                <w:rFonts w:ascii="Arial" w:cs="Arial" w:eastAsia="Arial" w:hAnsi="Arial"/>
                <w:sz w:val="16"/>
                <w:szCs w:val="16"/>
                <w:i w:val="1"/>
                <w:iCs w:val="1"/>
                <w:color w:val="auto"/>
              </w:rPr>
              <w:t>Methane Becki Anne</w:t>
            </w:r>
            <w:r>
              <w:rPr>
                <w:rFonts w:ascii="Arial" w:cs="Arial" w:eastAsia="Arial" w:hAnsi="Arial"/>
                <w:sz w:val="21"/>
                <w:szCs w:val="21"/>
                <w:color w:val="auto"/>
                <w:vertAlign w:val="superscript"/>
              </w:rPr>
              <w:t>(7)</w:t>
            </w:r>
          </w:p>
        </w:tc>
        <w:tc>
          <w:tcPr>
            <w:tcW w:w="920" w:type="dxa"/>
            <w:vAlign w:val="bottom"/>
            <w:shd w:val="clear" w:color="auto" w:fill="E5FFFF"/>
          </w:tcPr>
          <w:p>
            <w:pPr>
              <w:ind w:left="30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170,000</w:t>
            </w:r>
          </w:p>
        </w:tc>
        <w:tc>
          <w:tcPr>
            <w:tcW w:w="12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Shell</w:t>
            </w:r>
          </w:p>
        </w:tc>
        <w:tc>
          <w:tcPr>
            <w:tcW w:w="12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2024</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4"/>
              </w:rPr>
              <w:t>2027-2029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6"/>
                <w:szCs w:val="16"/>
                <w:b w:val="1"/>
                <w:bCs w:val="1"/>
                <w:color w:val="auto"/>
              </w:rPr>
              <w:t>6</w:t>
            </w:r>
          </w:p>
        </w:tc>
        <w:tc>
          <w:tcPr>
            <w:tcW w:w="2480" w:type="dxa"/>
            <w:vAlign w:val="bottom"/>
            <w:gridSpan w:val="2"/>
          </w:tcPr>
          <w:p>
            <w:pPr>
              <w:ind w:left="160"/>
              <w:spacing w:after="0" w:line="216" w:lineRule="exact"/>
              <w:rPr>
                <w:sz w:val="20"/>
                <w:szCs w:val="20"/>
                <w:color w:val="auto"/>
              </w:rPr>
            </w:pPr>
            <w:r>
              <w:rPr>
                <w:rFonts w:ascii="Arial" w:cs="Arial" w:eastAsia="Arial" w:hAnsi="Arial"/>
                <w:sz w:val="16"/>
                <w:szCs w:val="16"/>
                <w:i w:val="1"/>
                <w:iCs w:val="1"/>
                <w:color w:val="auto"/>
              </w:rPr>
              <w:t>GasLog Skagen</w:t>
            </w:r>
            <w:r>
              <w:rPr>
                <w:rFonts w:ascii="Arial" w:cs="Arial" w:eastAsia="Arial" w:hAnsi="Arial"/>
                <w:sz w:val="21"/>
                <w:szCs w:val="21"/>
                <w:color w:val="auto"/>
                <w:vertAlign w:val="superscript"/>
              </w:rPr>
              <w:t>(4)</w:t>
            </w:r>
          </w:p>
        </w:tc>
        <w:tc>
          <w:tcPr>
            <w:tcW w:w="920" w:type="dxa"/>
            <w:vAlign w:val="bottom"/>
          </w:tcPr>
          <w:p>
            <w:pPr>
              <w:ind w:left="30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Spot Market</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480" w:type="dxa"/>
            <w:vAlign w:val="bottom"/>
            <w:gridSpan w:val="2"/>
            <w:shd w:val="clear" w:color="auto" w:fill="E5FFFF"/>
          </w:tcPr>
          <w:p>
            <w:pPr>
              <w:ind w:left="160"/>
              <w:spacing w:after="0" w:line="216" w:lineRule="exact"/>
              <w:rPr>
                <w:sz w:val="20"/>
                <w:szCs w:val="20"/>
                <w:color w:val="auto"/>
              </w:rPr>
            </w:pPr>
            <w:r>
              <w:rPr>
                <w:rFonts w:ascii="Arial" w:cs="Arial" w:eastAsia="Arial" w:hAnsi="Arial"/>
                <w:sz w:val="16"/>
                <w:szCs w:val="16"/>
                <w:i w:val="1"/>
                <w:iCs w:val="1"/>
                <w:color w:val="auto"/>
              </w:rPr>
              <w:t>GasLog Saratoga</w:t>
            </w:r>
            <w:r>
              <w:rPr>
                <w:rFonts w:ascii="Arial" w:cs="Arial" w:eastAsia="Arial" w:hAnsi="Arial"/>
                <w:sz w:val="21"/>
                <w:szCs w:val="21"/>
                <w:color w:val="auto"/>
                <w:vertAlign w:val="superscript"/>
              </w:rPr>
              <w:t>(4)</w:t>
            </w:r>
          </w:p>
        </w:tc>
        <w:tc>
          <w:tcPr>
            <w:tcW w:w="920" w:type="dxa"/>
            <w:vAlign w:val="bottom"/>
            <w:shd w:val="clear" w:color="auto" w:fill="E5FFFF"/>
          </w:tcPr>
          <w:p>
            <w:pPr>
              <w:ind w:left="30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Shell</w:t>
            </w:r>
          </w:p>
        </w:tc>
        <w:tc>
          <w:tcPr>
            <w:tcW w:w="12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September 2019</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6"/>
                <w:szCs w:val="16"/>
                <w:b w:val="1"/>
                <w:bCs w:val="1"/>
                <w:color w:val="auto"/>
              </w:rPr>
              <w:t>8</w:t>
            </w:r>
          </w:p>
        </w:tc>
        <w:tc>
          <w:tcPr>
            <w:tcW w:w="2480" w:type="dxa"/>
            <w:vAlign w:val="bottom"/>
            <w:gridSpan w:val="2"/>
          </w:tcPr>
          <w:p>
            <w:pPr>
              <w:ind w:left="160"/>
              <w:spacing w:after="0"/>
              <w:rPr>
                <w:sz w:val="20"/>
                <w:szCs w:val="20"/>
                <w:color w:val="auto"/>
              </w:rPr>
            </w:pPr>
            <w:r>
              <w:rPr>
                <w:rFonts w:ascii="Arial" w:cs="Arial" w:eastAsia="Arial" w:hAnsi="Arial"/>
                <w:sz w:val="16"/>
                <w:szCs w:val="16"/>
                <w:i w:val="1"/>
                <w:iCs w:val="1"/>
                <w:color w:val="auto"/>
              </w:rPr>
              <w:t>GasLog Salem</w:t>
            </w:r>
          </w:p>
        </w:tc>
        <w:tc>
          <w:tcPr>
            <w:tcW w:w="920" w:type="dxa"/>
            <w:vAlign w:val="bottom"/>
          </w:tcPr>
          <w:p>
            <w:pPr>
              <w:ind w:left="30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88"/>
              </w:rPr>
              <w:t xml:space="preserve">Spot Market </w:t>
            </w:r>
            <w:r>
              <w:rPr>
                <w:rFonts w:ascii="Arial" w:cs="Arial" w:eastAsia="Arial" w:hAnsi="Arial"/>
                <w:sz w:val="21"/>
                <w:szCs w:val="21"/>
                <w:color w:val="auto"/>
                <w:w w:val="88"/>
                <w:vertAlign w:val="superscript"/>
              </w:rPr>
              <w:t>(3)</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480" w:type="dxa"/>
            <w:vAlign w:val="bottom"/>
            <w:gridSpan w:val="2"/>
            <w:shd w:val="clear" w:color="auto" w:fill="E5FFFF"/>
          </w:tcPr>
          <w:p>
            <w:pPr>
              <w:ind w:left="160"/>
              <w:spacing w:after="0"/>
              <w:rPr>
                <w:sz w:val="20"/>
                <w:szCs w:val="20"/>
                <w:color w:val="auto"/>
              </w:rPr>
            </w:pPr>
            <w:r>
              <w:rPr>
                <w:rFonts w:ascii="Arial" w:cs="Arial" w:eastAsia="Arial" w:hAnsi="Arial"/>
                <w:sz w:val="16"/>
                <w:szCs w:val="16"/>
                <w:i w:val="1"/>
                <w:iCs w:val="1"/>
                <w:color w:val="auto"/>
              </w:rPr>
              <w:t>GasLog Glasgow</w:t>
            </w:r>
          </w:p>
        </w:tc>
        <w:tc>
          <w:tcPr>
            <w:tcW w:w="920" w:type="dxa"/>
            <w:vAlign w:val="bottom"/>
            <w:shd w:val="clear" w:color="auto" w:fill="E5FFFF"/>
          </w:tcPr>
          <w:p>
            <w:pPr>
              <w:ind w:left="30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Shell</w:t>
            </w:r>
          </w:p>
        </w:tc>
        <w:tc>
          <w:tcPr>
            <w:tcW w:w="12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2026</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20"/>
                <w:szCs w:val="20"/>
                <w:color w:val="auto"/>
              </w:rPr>
            </w:pPr>
            <w:r>
              <w:rPr>
                <w:rFonts w:ascii="Arial" w:cs="Arial" w:eastAsia="Arial" w:hAnsi="Arial"/>
                <w:sz w:val="16"/>
                <w:szCs w:val="16"/>
                <w:b w:val="1"/>
                <w:bCs w:val="1"/>
                <w:color w:val="auto"/>
              </w:rPr>
              <w:t>10</w:t>
            </w:r>
          </w:p>
        </w:tc>
        <w:tc>
          <w:tcPr>
            <w:tcW w:w="2480" w:type="dxa"/>
            <w:vAlign w:val="bottom"/>
            <w:gridSpan w:val="2"/>
            <w:vMerge w:val="restart"/>
          </w:tcPr>
          <w:p>
            <w:pPr>
              <w:ind w:left="160"/>
              <w:spacing w:after="0"/>
              <w:rPr>
                <w:sz w:val="20"/>
                <w:szCs w:val="20"/>
                <w:color w:val="auto"/>
              </w:rPr>
            </w:pPr>
            <w:r>
              <w:rPr>
                <w:rFonts w:ascii="Arial" w:cs="Arial" w:eastAsia="Arial" w:hAnsi="Arial"/>
                <w:sz w:val="16"/>
                <w:szCs w:val="16"/>
                <w:i w:val="1"/>
                <w:iCs w:val="1"/>
                <w:color w:val="auto"/>
              </w:rPr>
              <w:t>GasLog Houston</w:t>
            </w:r>
            <w:r>
              <w:rPr>
                <w:rFonts w:ascii="Arial" w:cs="Arial" w:eastAsia="Arial" w:hAnsi="Arial"/>
                <w:sz w:val="21"/>
                <w:szCs w:val="21"/>
                <w:color w:val="auto"/>
                <w:vertAlign w:val="superscript"/>
              </w:rPr>
              <w:t>(5)</w:t>
            </w:r>
          </w:p>
        </w:tc>
        <w:tc>
          <w:tcPr>
            <w:tcW w:w="920" w:type="dxa"/>
            <w:vAlign w:val="bottom"/>
            <w:vMerge w:val="restart"/>
          </w:tcPr>
          <w:p>
            <w:pPr>
              <w:ind w:left="30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New Customer</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4"/>
              </w:rPr>
              <w:t>LP-2S</w:t>
            </w: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2"/>
        </w:trPr>
        <w:tc>
          <w:tcPr>
            <w:tcW w:w="320" w:type="dxa"/>
            <w:vAlign w:val="bottom"/>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89"/>
              </w:rPr>
              <w:t>Shell</w:t>
            </w:r>
          </w:p>
        </w:tc>
        <w:tc>
          <w:tcPr>
            <w:tcW w:w="1280" w:type="dxa"/>
            <w:vAlign w:val="bottom"/>
            <w:gridSpan w:val="2"/>
            <w:vMerge w:val="continue"/>
          </w:tcPr>
          <w:p>
            <w:pPr>
              <w:spacing w:after="0"/>
              <w:rPr>
                <w:sz w:val="15"/>
                <w:szCs w:val="15"/>
                <w:color w:val="auto"/>
              </w:rPr>
            </w:pPr>
          </w:p>
        </w:tc>
        <w:tc>
          <w:tcPr>
            <w:tcW w:w="24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3"/>
              </w:rPr>
              <w:t>May 2028</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w w:val="94"/>
              </w:rPr>
              <w:t>2031-2034</w:t>
            </w: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480" w:type="dxa"/>
            <w:vAlign w:val="bottom"/>
            <w:gridSpan w:val="2"/>
            <w:shd w:val="clear" w:color="auto" w:fill="E5FFFF"/>
          </w:tcPr>
          <w:p>
            <w:pPr>
              <w:ind w:left="160"/>
              <w:spacing w:after="0"/>
              <w:rPr>
                <w:sz w:val="20"/>
                <w:szCs w:val="20"/>
                <w:color w:val="auto"/>
              </w:rPr>
            </w:pPr>
            <w:r>
              <w:rPr>
                <w:rFonts w:ascii="Arial" w:cs="Arial" w:eastAsia="Arial" w:hAnsi="Arial"/>
                <w:sz w:val="16"/>
                <w:szCs w:val="16"/>
                <w:i w:val="1"/>
                <w:iCs w:val="1"/>
                <w:color w:val="auto"/>
              </w:rPr>
              <w:t>GasLog Hong Kong</w:t>
            </w:r>
          </w:p>
        </w:tc>
        <w:tc>
          <w:tcPr>
            <w:tcW w:w="920" w:type="dxa"/>
            <w:vAlign w:val="bottom"/>
            <w:shd w:val="clear" w:color="auto" w:fill="E5FFFF"/>
          </w:tcPr>
          <w:p>
            <w:pPr>
              <w:ind w:left="30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E5FFFF"/>
          </w:tcPr>
          <w:p>
            <w:pPr>
              <w:spacing w:after="0"/>
              <w:rPr>
                <w:sz w:val="19"/>
                <w:szCs w:val="19"/>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9"/>
                <w:szCs w:val="19"/>
                <w:color w:val="auto"/>
              </w:rPr>
            </w:pPr>
          </w:p>
        </w:tc>
        <w:tc>
          <w:tcPr>
            <w:tcW w:w="1520" w:type="dxa"/>
            <w:vAlign w:val="bottom"/>
            <w:gridSpan w:val="2"/>
            <w:shd w:val="clear" w:color="auto" w:fill="E5FFFF"/>
          </w:tcPr>
          <w:p>
            <w:pPr>
              <w:jc w:val="center"/>
              <w:ind w:right="120"/>
              <w:spacing w:after="0" w:line="222" w:lineRule="exact"/>
              <w:rPr>
                <w:sz w:val="20"/>
                <w:szCs w:val="20"/>
                <w:color w:val="auto"/>
              </w:rPr>
            </w:pPr>
            <w:r>
              <w:rPr>
                <w:rFonts w:ascii="Arial" w:cs="Arial" w:eastAsia="Arial" w:hAnsi="Arial"/>
                <w:sz w:val="16"/>
                <w:szCs w:val="16"/>
                <w:color w:val="auto"/>
                <w:w w:val="83"/>
              </w:rPr>
              <w:t>Total</w:t>
            </w:r>
            <w:r>
              <w:rPr>
                <w:rFonts w:ascii="Arial" w:cs="Arial" w:eastAsia="Arial" w:hAnsi="Arial"/>
                <w:sz w:val="21"/>
                <w:szCs w:val="21"/>
                <w:color w:val="auto"/>
                <w:w w:val="83"/>
                <w:vertAlign w:val="superscript"/>
              </w:rPr>
              <w:t>(6)</w:t>
            </w:r>
          </w:p>
        </w:tc>
        <w:tc>
          <w:tcPr>
            <w:tcW w:w="12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LP-2S</w:t>
            </w:r>
          </w:p>
        </w:tc>
        <w:tc>
          <w:tcPr>
            <w:tcW w:w="2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December 2025</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6"/>
                <w:szCs w:val="16"/>
                <w:b w:val="1"/>
                <w:bCs w:val="1"/>
                <w:color w:val="auto"/>
              </w:rPr>
              <w:t>12</w:t>
            </w:r>
          </w:p>
        </w:tc>
        <w:tc>
          <w:tcPr>
            <w:tcW w:w="2480" w:type="dxa"/>
            <w:vAlign w:val="bottom"/>
            <w:gridSpan w:val="2"/>
          </w:tcPr>
          <w:p>
            <w:pPr>
              <w:ind w:left="160"/>
              <w:spacing w:after="0"/>
              <w:rPr>
                <w:sz w:val="20"/>
                <w:szCs w:val="20"/>
                <w:color w:val="auto"/>
              </w:rPr>
            </w:pPr>
            <w:r>
              <w:rPr>
                <w:rFonts w:ascii="Arial" w:cs="Arial" w:eastAsia="Arial" w:hAnsi="Arial"/>
                <w:sz w:val="16"/>
                <w:szCs w:val="16"/>
                <w:i w:val="1"/>
                <w:iCs w:val="1"/>
                <w:color w:val="auto"/>
              </w:rPr>
              <w:t>GasLog Genoa</w:t>
            </w:r>
          </w:p>
        </w:tc>
        <w:tc>
          <w:tcPr>
            <w:tcW w:w="920" w:type="dxa"/>
            <w:vAlign w:val="bottom"/>
          </w:tcPr>
          <w:p>
            <w:pPr>
              <w:ind w:left="30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Shell</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LP-2S</w:t>
            </w: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2027</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2030-2033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2018, the Partnership’s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Year</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Charter</w:t>
            </w:r>
          </w:p>
        </w:tc>
        <w:tc>
          <w:tcPr>
            <w:tcW w:w="1180" w:type="dxa"/>
            <w:vAlign w:val="bottom"/>
          </w:tcPr>
          <w:p>
            <w:pPr>
              <w:ind w:left="280"/>
              <w:spacing w:after="0"/>
              <w:rPr>
                <w:sz w:val="20"/>
                <w:szCs w:val="20"/>
                <w:color w:val="auto"/>
              </w:rPr>
            </w:pPr>
            <w:r>
              <w:rPr>
                <w:rFonts w:ascii="Arial" w:cs="Arial" w:eastAsia="Arial" w:hAnsi="Arial"/>
                <w:sz w:val="16"/>
                <w:szCs w:val="16"/>
                <w:b w:val="1"/>
                <w:bCs w:val="1"/>
                <w:color w:val="auto"/>
              </w:rPr>
              <w:t>Optional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Vessel Name</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Built</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00" w:type="dxa"/>
            <w:vAlign w:val="bottom"/>
          </w:tcPr>
          <w:p>
            <w:pPr>
              <w:spacing w:after="0"/>
              <w:rPr>
                <w:sz w:val="18"/>
                <w:szCs w:val="18"/>
                <w:color w:val="auto"/>
              </w:rPr>
            </w:pPr>
          </w:p>
        </w:tc>
        <w:tc>
          <w:tcPr>
            <w:tcW w:w="236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(1)</w:t>
            </w:r>
          </w:p>
        </w:tc>
        <w:tc>
          <w:tcPr>
            <w:tcW w:w="120" w:type="dxa"/>
            <w:vAlign w:val="bottom"/>
          </w:tcPr>
          <w:p>
            <w:pPr>
              <w:spacing w:after="0"/>
              <w:rPr>
                <w:sz w:val="18"/>
                <w:szCs w:val="18"/>
                <w:color w:val="auto"/>
              </w:rPr>
            </w:pPr>
          </w:p>
        </w:tc>
        <w:tc>
          <w:tcPr>
            <w:tcW w:w="1180" w:type="dxa"/>
            <w:vAlign w:val="bottom"/>
            <w:tcBorders>
              <w:bottom w:val="single" w:sz="8" w:color="auto"/>
            </w:tcBorders>
          </w:tcPr>
          <w:p>
            <w:pPr>
              <w:ind w:left="30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b w:val="1"/>
                <w:bCs w:val="1"/>
                <w:color w:val="auto"/>
              </w:rPr>
              <w:t>1</w:t>
            </w:r>
          </w:p>
        </w:tc>
        <w:tc>
          <w:tcPr>
            <w:tcW w:w="2440" w:type="dxa"/>
            <w:vAlign w:val="bottom"/>
            <w:gridSpan w:val="2"/>
          </w:tcPr>
          <w:p>
            <w:pPr>
              <w:ind w:left="140"/>
              <w:spacing w:after="0"/>
              <w:rPr>
                <w:sz w:val="20"/>
                <w:szCs w:val="20"/>
                <w:color w:val="auto"/>
              </w:rPr>
            </w:pPr>
            <w:r>
              <w:rPr>
                <w:rFonts w:ascii="Arial" w:cs="Arial" w:eastAsia="Arial" w:hAnsi="Arial"/>
                <w:sz w:val="16"/>
                <w:szCs w:val="16"/>
                <w:i w:val="1"/>
                <w:iCs w:val="1"/>
                <w:color w:val="auto"/>
              </w:rPr>
              <w:t>Methane Rita Andrea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Steam</w:t>
            </w:r>
          </w:p>
        </w:tc>
        <w:tc>
          <w:tcPr>
            <w:tcW w:w="2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April 2020</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2</w:t>
            </w:r>
          </w:p>
        </w:tc>
        <w:tc>
          <w:tcPr>
            <w:tcW w:w="244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Methane Jane Elizabeth</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100" w:type="dxa"/>
            <w:vAlign w:val="bottom"/>
            <w:shd w:val="clear" w:color="auto" w:fill="E5FFFF"/>
          </w:tcPr>
          <w:p>
            <w:pPr>
              <w:spacing w:after="0"/>
              <w:rPr>
                <w:sz w:val="19"/>
                <w:szCs w:val="19"/>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9"/>
                <w:szCs w:val="19"/>
                <w:color w:val="auto"/>
              </w:rPr>
            </w:pP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6"/>
              </w:rPr>
              <w:t>Steam</w:t>
            </w:r>
          </w:p>
        </w:tc>
        <w:tc>
          <w:tcPr>
            <w:tcW w:w="2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0"/>
              </w:rPr>
              <w:t>October 2019</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3</w:t>
            </w:r>
          </w:p>
        </w:tc>
        <w:tc>
          <w:tcPr>
            <w:tcW w:w="2440" w:type="dxa"/>
            <w:vAlign w:val="bottom"/>
            <w:gridSpan w:val="2"/>
          </w:tcPr>
          <w:p>
            <w:pPr>
              <w:ind w:left="140"/>
              <w:spacing w:after="0"/>
              <w:rPr>
                <w:sz w:val="20"/>
                <w:szCs w:val="20"/>
                <w:color w:val="auto"/>
              </w:rPr>
            </w:pPr>
            <w:r>
              <w:rPr>
                <w:rFonts w:ascii="Arial" w:cs="Arial" w:eastAsia="Arial" w:hAnsi="Arial"/>
                <w:sz w:val="16"/>
                <w:szCs w:val="16"/>
                <w:i w:val="1"/>
                <w:iCs w:val="1"/>
                <w:color w:val="auto"/>
              </w:rPr>
              <w:t>Methane Jane Elizabeth/</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0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2"/>
              </w:rPr>
              <w:t>New Customer</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6"/>
              </w:rPr>
              <w:t>Steam</w:t>
            </w:r>
          </w:p>
        </w:tc>
        <w:tc>
          <w:tcPr>
            <w:tcW w:w="24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89"/>
              </w:rPr>
              <w:t>November/December 2020</w:t>
            </w:r>
            <w:r>
              <w:rPr>
                <w:rFonts w:ascii="Arial" w:cs="Arial" w:eastAsia="Arial" w:hAnsi="Arial"/>
                <w:sz w:val="21"/>
                <w:szCs w:val="21"/>
                <w:color w:val="auto"/>
                <w:w w:val="89"/>
                <w:vertAlign w:val="superscript"/>
              </w:rPr>
              <w:t>(8)</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2"/>
              </w:rPr>
              <w:t>2021–2024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gridSpan w:val="2"/>
            <w:vMerge w:val="continue"/>
          </w:tcPr>
          <w:p>
            <w:pPr>
              <w:spacing w:after="0"/>
              <w:rPr>
                <w:sz w:val="13"/>
                <w:szCs w:val="13"/>
                <w:color w:val="auto"/>
              </w:rPr>
            </w:pPr>
          </w:p>
        </w:tc>
        <w:tc>
          <w:tcPr>
            <w:tcW w:w="2440" w:type="dxa"/>
            <w:vAlign w:val="bottom"/>
            <w:gridSpan w:val="2"/>
            <w:vMerge w:val="restart"/>
          </w:tcPr>
          <w:p>
            <w:pPr>
              <w:ind w:left="140"/>
              <w:spacing w:after="0"/>
              <w:rPr>
                <w:sz w:val="20"/>
                <w:szCs w:val="20"/>
                <w:color w:val="auto"/>
              </w:rPr>
            </w:pPr>
            <w:r>
              <w:rPr>
                <w:rFonts w:ascii="Arial" w:cs="Arial" w:eastAsia="Arial" w:hAnsi="Arial"/>
                <w:sz w:val="16"/>
                <w:szCs w:val="16"/>
                <w:i w:val="1"/>
                <w:iCs w:val="1"/>
                <w:color w:val="auto"/>
              </w:rPr>
              <w:t>Methane Alison Victoria</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2007</w:t>
            </w: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44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Methane Alison Victoria</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00" w:type="dxa"/>
            <w:vAlign w:val="bottom"/>
            <w:shd w:val="clear" w:color="auto" w:fill="E5FFFF"/>
          </w:tcPr>
          <w:p>
            <w:pPr>
              <w:spacing w:after="0"/>
              <w:rPr>
                <w:sz w:val="19"/>
                <w:szCs w:val="19"/>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9"/>
                <w:szCs w:val="19"/>
                <w:color w:val="auto"/>
              </w:rPr>
            </w:pP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6"/>
              </w:rPr>
              <w:t>Steam</w:t>
            </w:r>
          </w:p>
        </w:tc>
        <w:tc>
          <w:tcPr>
            <w:tcW w:w="2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December 2019</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b w:val="1"/>
                <w:bCs w:val="1"/>
                <w:color w:val="auto"/>
              </w:rPr>
              <w:t>4</w:t>
            </w:r>
          </w:p>
        </w:tc>
        <w:tc>
          <w:tcPr>
            <w:tcW w:w="2440" w:type="dxa"/>
            <w:vAlign w:val="bottom"/>
            <w:gridSpan w:val="2"/>
          </w:tcPr>
          <w:p>
            <w:pPr>
              <w:ind w:left="140"/>
              <w:spacing w:after="0"/>
              <w:rPr>
                <w:sz w:val="20"/>
                <w:szCs w:val="20"/>
                <w:color w:val="auto"/>
              </w:rPr>
            </w:pPr>
            <w:r>
              <w:rPr>
                <w:rFonts w:ascii="Arial" w:cs="Arial" w:eastAsia="Arial" w:hAnsi="Arial"/>
                <w:sz w:val="16"/>
                <w:szCs w:val="16"/>
                <w:i w:val="1"/>
                <w:iCs w:val="1"/>
                <w:color w:val="auto"/>
              </w:rPr>
              <w:t>Methane Shirley Elisabeth</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Steam</w:t>
            </w:r>
          </w:p>
        </w:tc>
        <w:tc>
          <w:tcPr>
            <w:tcW w:w="24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2020</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44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Methane Heather Sally</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00" w:type="dxa"/>
            <w:vAlign w:val="bottom"/>
            <w:shd w:val="clear" w:color="auto" w:fill="E5FFFF"/>
          </w:tcPr>
          <w:p>
            <w:pPr>
              <w:spacing w:after="0"/>
              <w:rPr>
                <w:sz w:val="19"/>
                <w:szCs w:val="19"/>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9"/>
                <w:szCs w:val="19"/>
                <w:color w:val="auto"/>
              </w:rPr>
            </w:pP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6"/>
              </w:rPr>
              <w:t>Steam</w:t>
            </w:r>
          </w:p>
        </w:tc>
        <w:tc>
          <w:tcPr>
            <w:tcW w:w="2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December 2020</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2023-2025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b w:val="1"/>
                <w:bCs w:val="1"/>
                <w:color w:val="auto"/>
              </w:rPr>
              <w:t>6</w:t>
            </w:r>
          </w:p>
        </w:tc>
        <w:tc>
          <w:tcPr>
            <w:tcW w:w="244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Shanghai</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44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Santiago</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New Customer</w:t>
            </w:r>
          </w:p>
        </w:tc>
        <w:tc>
          <w:tcPr>
            <w:tcW w:w="13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December 2021/January 2022</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2022-2028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b w:val="1"/>
                <w:bCs w:val="1"/>
                <w:color w:val="auto"/>
              </w:rPr>
              <w:t>8</w:t>
            </w:r>
          </w:p>
        </w:tc>
        <w:tc>
          <w:tcPr>
            <w:tcW w:w="244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Sydney</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85"/>
              </w:rPr>
              <w:t>Cheniere</w:t>
            </w:r>
            <w:r>
              <w:rPr>
                <w:rFonts w:ascii="Arial" w:cs="Arial" w:eastAsia="Arial" w:hAnsi="Arial"/>
                <w:sz w:val="21"/>
                <w:szCs w:val="21"/>
                <w:color w:val="auto"/>
                <w:w w:val="85"/>
                <w:vertAlign w:val="superscript"/>
              </w:rPr>
              <w:t>(9)</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April 2020</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2020-2021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44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Seattle</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shd w:val="clear" w:color="auto" w:fill="E5FFFF"/>
          </w:tcPr>
          <w:p>
            <w:pPr>
              <w:spacing w:after="0"/>
              <w:rPr>
                <w:sz w:val="18"/>
                <w:szCs w:val="18"/>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December 2020</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2025-2030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440" w:type="dxa"/>
            <w:vAlign w:val="bottom"/>
            <w:gridSpan w:val="2"/>
          </w:tcPr>
          <w:p>
            <w:pPr>
              <w:ind w:left="140"/>
              <w:spacing w:after="0"/>
              <w:rPr>
                <w:sz w:val="20"/>
                <w:szCs w:val="20"/>
                <w:color w:val="auto"/>
              </w:rPr>
            </w:pPr>
            <w:r>
              <w:rPr>
                <w:rFonts w:ascii="Arial" w:cs="Arial" w:eastAsia="Arial" w:hAnsi="Arial"/>
                <w:sz w:val="16"/>
                <w:szCs w:val="16"/>
                <w:i w:val="1"/>
                <w:iCs w:val="1"/>
                <w:color w:val="auto"/>
              </w:rPr>
              <w:t>Solaris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2026-2031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44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Greece</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E5FFFF"/>
          </w:tcPr>
          <w:p>
            <w:pPr>
              <w:spacing w:after="0"/>
              <w:rPr>
                <w:sz w:val="19"/>
                <w:szCs w:val="19"/>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9"/>
                <w:szCs w:val="19"/>
                <w:color w:val="auto"/>
              </w:rPr>
            </w:pP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4"/>
              </w:rPr>
              <w:t>March 2026</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b w:val="1"/>
                <w:bCs w:val="1"/>
                <w:color w:val="auto"/>
              </w:rPr>
              <w:t>12</w:t>
            </w:r>
          </w:p>
        </w:tc>
        <w:tc>
          <w:tcPr>
            <w:tcW w:w="244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Geneva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2023</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2028-2031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244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Gibraltar</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E5FFFF"/>
          </w:tcPr>
          <w:p>
            <w:pPr>
              <w:spacing w:after="0"/>
              <w:rPr>
                <w:sz w:val="19"/>
                <w:szCs w:val="19"/>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9"/>
                <w:szCs w:val="19"/>
                <w:color w:val="auto"/>
              </w:rPr>
            </w:pPr>
          </w:p>
        </w:tc>
        <w:tc>
          <w:tcPr>
            <w:tcW w:w="15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3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24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0"/>
              </w:rPr>
              <w:t>October 2023</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2028-2031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5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6"/>
        </w:trPr>
        <w:tc>
          <w:tcPr>
            <w:tcW w:w="28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1"/>
        </w:trPr>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300"/>
              <w:spacing w:after="0"/>
              <w:rPr>
                <w:sz w:val="20"/>
                <w:szCs w:val="20"/>
                <w:color w:val="auto"/>
              </w:rPr>
            </w:pPr>
            <w:r>
              <w:rPr>
                <w:rFonts w:ascii="Arial" w:cs="Arial" w:eastAsia="Arial" w:hAnsi="Arial"/>
                <w:sz w:val="16"/>
                <w:szCs w:val="16"/>
                <w:b w:val="1"/>
                <w:bCs w:val="1"/>
                <w:color w:val="auto"/>
              </w:rPr>
              <w:t>Year</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Optional</w:t>
            </w:r>
          </w:p>
        </w:tc>
      </w:tr>
      <w:tr>
        <w:trPr>
          <w:trHeight w:val="216"/>
        </w:trPr>
        <w:tc>
          <w:tcPr>
            <w:tcW w:w="280" w:type="dxa"/>
            <w:vAlign w:val="bottom"/>
          </w:tcPr>
          <w:p>
            <w:pPr>
              <w:spacing w:after="0"/>
              <w:rPr>
                <w:sz w:val="18"/>
                <w:szCs w:val="18"/>
                <w:color w:val="auto"/>
              </w:rPr>
            </w:pPr>
          </w:p>
        </w:tc>
        <w:tc>
          <w:tcPr>
            <w:tcW w:w="2520" w:type="dxa"/>
            <w:vAlign w:val="bottom"/>
            <w:gridSpan w:val="2"/>
          </w:tcPr>
          <w:p>
            <w:pPr>
              <w:ind w:left="620"/>
              <w:spacing w:after="0"/>
              <w:rPr>
                <w:sz w:val="20"/>
                <w:szCs w:val="20"/>
                <w:color w:val="auto"/>
              </w:rPr>
            </w:pPr>
            <w:r>
              <w:rPr>
                <w:rFonts w:ascii="Arial" w:cs="Arial" w:eastAsia="Arial" w:hAnsi="Arial"/>
                <w:sz w:val="16"/>
                <w:szCs w:val="16"/>
                <w:b w:val="1"/>
                <w:bCs w:val="1"/>
                <w:color w:val="auto"/>
              </w:rPr>
              <w:t>Vessel Name</w:t>
            </w:r>
          </w:p>
        </w:tc>
        <w:tc>
          <w:tcPr>
            <w:tcW w:w="1040" w:type="dxa"/>
            <w:vAlign w:val="bottom"/>
            <w:gridSpan w:val="2"/>
          </w:tcPr>
          <w:p>
            <w:pPr>
              <w:ind w:left="280"/>
              <w:spacing w:after="0"/>
              <w:rPr>
                <w:sz w:val="20"/>
                <w:szCs w:val="20"/>
                <w:color w:val="auto"/>
              </w:rPr>
            </w:pPr>
            <w:r>
              <w:rPr>
                <w:rFonts w:ascii="Arial" w:cs="Arial" w:eastAsia="Arial" w:hAnsi="Arial"/>
                <w:sz w:val="16"/>
                <w:szCs w:val="16"/>
                <w:b w:val="1"/>
                <w:bCs w:val="1"/>
                <w:color w:val="auto"/>
              </w:rPr>
              <w:t>Built</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(cbm)</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Propulsion</w:t>
            </w:r>
          </w:p>
        </w:tc>
        <w:tc>
          <w:tcPr>
            <w:tcW w:w="244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16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89"/>
              </w:rPr>
              <w:t>Period</w:t>
            </w:r>
            <w:r>
              <w:rPr>
                <w:rFonts w:ascii="Arial" w:cs="Arial" w:eastAsia="Arial" w:hAnsi="Arial"/>
                <w:sz w:val="21"/>
                <w:szCs w:val="21"/>
                <w:b w:val="1"/>
                <w:bCs w:val="1"/>
                <w:color w:val="auto"/>
                <w:w w:val="89"/>
                <w:vertAlign w:val="superscript"/>
              </w:rPr>
              <w:t>(2)</w:t>
            </w:r>
          </w:p>
        </w:tc>
      </w:tr>
      <w:tr>
        <w:trPr>
          <w:trHeight w:val="196"/>
        </w:trPr>
        <w:tc>
          <w:tcPr>
            <w:tcW w:w="2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380" w:type="dxa"/>
            <w:vAlign w:val="bottom"/>
            <w:tcBorders>
              <w:top w:val="single" w:sz="8" w:color="auto"/>
            </w:tcBorders>
            <w:shd w:val="clear" w:color="auto" w:fill="E5FFFF"/>
          </w:tcPr>
          <w:p>
            <w:pPr>
              <w:ind w:left="200"/>
              <w:spacing w:after="0" w:line="196"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1"/>
                <w:szCs w:val="21"/>
                <w:color w:val="auto"/>
                <w:vertAlign w:val="superscript"/>
              </w:rPr>
              <w:t>(10)</w:t>
            </w:r>
          </w:p>
        </w:tc>
        <w:tc>
          <w:tcPr>
            <w:tcW w:w="14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ind w:left="300"/>
              <w:spacing w:after="0"/>
              <w:rPr>
                <w:sz w:val="20"/>
                <w:szCs w:val="20"/>
                <w:color w:val="auto"/>
              </w:rPr>
            </w:pPr>
            <w:r>
              <w:rPr>
                <w:rFonts w:ascii="Arial" w:cs="Arial" w:eastAsia="Arial" w:hAnsi="Arial"/>
                <w:sz w:val="16"/>
                <w:szCs w:val="16"/>
                <w:color w:val="auto"/>
              </w:rPr>
              <w:t>2010</w:t>
            </w:r>
          </w:p>
        </w:tc>
        <w:tc>
          <w:tcPr>
            <w:tcW w:w="12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170,000</w:t>
            </w:r>
          </w:p>
        </w:tc>
        <w:tc>
          <w:tcPr>
            <w:tcW w:w="1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Shell</w:t>
            </w:r>
          </w:p>
        </w:tc>
        <w:tc>
          <w:tcPr>
            <w:tcW w:w="12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tcBorders>
              <w:top w:val="single" w:sz="8" w:color="E5FFFF"/>
            </w:tcBorders>
            <w:shd w:val="clear" w:color="auto" w:fill="E5FFFF"/>
          </w:tcPr>
          <w:p>
            <w:pPr>
              <w:spacing w:after="0"/>
              <w:rPr>
                <w:sz w:val="17"/>
                <w:szCs w:val="17"/>
                <w:color w:val="auto"/>
              </w:rPr>
            </w:pPr>
          </w:p>
        </w:tc>
        <w:tc>
          <w:tcPr>
            <w:tcW w:w="2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March 2026</w:t>
            </w:r>
          </w:p>
        </w:tc>
        <w:tc>
          <w:tcPr>
            <w:tcW w:w="10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2029-2031</w:t>
            </w:r>
          </w:p>
        </w:tc>
      </w:tr>
    </w:tbl>
    <w:p>
      <w:pPr>
        <w:spacing w:after="0" w:line="151"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term.</w:t>
      </w:r>
    </w:p>
    <w:p>
      <w:pPr>
        <w:ind w:left="200" w:right="40" w:hanging="192"/>
        <w:spacing w:after="0" w:line="215"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The period shown reflects the expiration of the minimum optional period and the maximum optional period. The charterer of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may extend the term of this time charter for a period ranging from six to twelve months, provided that the charterer provides us with advance notice of declaration. The charterers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have unilateral options to extend the term of the time charters for periods ranging from five to ten years, provided that the charterers provide us with advance notices of declaration of any option in accordance with the terms of the applicable charter. The charterers of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have unilateral options to extend the term of the related time charters for a period of either three or five years at their election, provided that the charterers provide us with advance notice of declaration of any option in accordance with the terms of the applicable charter. The charterer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has the right to extend the charters for a period of five years at the charterer’s option. The charterer of the </w:t>
      </w:r>
      <w:r>
        <w:rPr>
          <w:rFonts w:ascii="Arial" w:cs="Arial" w:eastAsia="Arial" w:hAnsi="Arial"/>
          <w:sz w:val="14"/>
          <w:szCs w:val="14"/>
          <w:i w:val="1"/>
          <w:iCs w:val="1"/>
          <w:color w:val="auto"/>
        </w:rPr>
        <w:t xml:space="preserve">GasLog Geneva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Gibraltar </w:t>
      </w:r>
      <w:r>
        <w:rPr>
          <w:rFonts w:ascii="Arial" w:cs="Arial" w:eastAsia="Arial" w:hAnsi="Arial"/>
          <w:sz w:val="14"/>
          <w:szCs w:val="14"/>
          <w:color w:val="auto"/>
        </w:rPr>
        <w:t>has the right to extend the charter by two additional periods of five and three years, respectively, provided that the charterer provides us with advance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notice of declaration. The charterer of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has the right to extend the charter by two additional periods of three years, provided that the charterer provides us with advance notice of declaration. The charterer of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has the right to extend the charter for a period of three years, provided that the charterer provides us with advance notice of declaration.</w:t>
      </w:r>
    </w:p>
    <w:p>
      <w:pPr>
        <w:spacing w:after="0" w:line="6" w:lineRule="exact"/>
        <w:rPr>
          <w:rFonts w:ascii="Arial" w:cs="Arial" w:eastAsia="Arial" w:hAnsi="Arial"/>
          <w:sz w:val="18"/>
          <w:szCs w:val="18"/>
          <w:color w:val="auto"/>
          <w:vertAlign w:val="superscript"/>
        </w:rPr>
      </w:pPr>
    </w:p>
    <w:p>
      <w:pPr>
        <w:ind w:left="200" w:hanging="192"/>
        <w:spacing w:after="0" w:line="182"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Vessels currently operating in the spot market under the Cool Pool.</w:t>
      </w:r>
    </w:p>
    <w:p>
      <w:pPr>
        <w:ind w:left="200" w:right="920" w:hanging="192"/>
        <w:spacing w:after="0" w:line="193"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Shell and GasLog have agreed to substitute the </w:t>
      </w:r>
      <w:r>
        <w:rPr>
          <w:rFonts w:ascii="Arial" w:cs="Arial" w:eastAsia="Arial" w:hAnsi="Arial"/>
          <w:sz w:val="14"/>
          <w:szCs w:val="14"/>
          <w:i w:val="1"/>
          <w:iCs w:val="1"/>
          <w:color w:val="auto"/>
        </w:rPr>
        <w:t>GasLog Saratoga</w:t>
      </w:r>
      <w:r>
        <w:rPr>
          <w:rFonts w:ascii="Arial" w:cs="Arial" w:eastAsia="Arial" w:hAnsi="Arial"/>
          <w:sz w:val="14"/>
          <w:szCs w:val="14"/>
          <w:color w:val="auto"/>
        </w:rPr>
        <w:t xml:space="preserve"> for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The substitution took effect subsequent to the end of the </w:t>
      </w:r>
      <w:r>
        <w:rPr>
          <w:rFonts w:ascii="Arial" w:cs="Arial" w:eastAsia="Arial" w:hAnsi="Arial"/>
          <w:sz w:val="14"/>
          <w:szCs w:val="14"/>
          <w:i w:val="1"/>
          <w:iCs w:val="1"/>
          <w:color w:val="auto"/>
        </w:rPr>
        <w:t>GasLog Skagen’s</w:t>
      </w:r>
      <w:r>
        <w:rPr>
          <w:rFonts w:ascii="Arial" w:cs="Arial" w:eastAsia="Arial" w:hAnsi="Arial"/>
          <w:sz w:val="14"/>
          <w:szCs w:val="14"/>
          <w:color w:val="auto"/>
        </w:rPr>
        <w:t xml:space="preserve"> dry-docking in September 2018.</w:t>
      </w:r>
    </w:p>
    <w:p>
      <w:pPr>
        <w:spacing w:after="0" w:line="1" w:lineRule="exact"/>
        <w:rPr>
          <w:rFonts w:ascii="Arial" w:cs="Arial" w:eastAsia="Arial" w:hAnsi="Arial"/>
          <w:sz w:val="18"/>
          <w:szCs w:val="18"/>
          <w:color w:val="auto"/>
          <w:vertAlign w:val="superscript"/>
        </w:rPr>
      </w:pPr>
    </w:p>
    <w:p>
      <w:pPr>
        <w:ind w:left="200" w:right="280" w:hanging="192"/>
        <w:spacing w:after="0" w:line="193"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on a short-term charter to a major LNG producer and thereafter will trade under her long-term charter party with a subsidiary of Shell, from the beginning of 2019 until May 2028.</w:t>
      </w:r>
    </w:p>
    <w:p>
      <w:pPr>
        <w:spacing w:after="0" w:line="1" w:lineRule="exact"/>
        <w:rPr>
          <w:rFonts w:ascii="Arial" w:cs="Arial" w:eastAsia="Arial" w:hAnsi="Arial"/>
          <w:sz w:val="18"/>
          <w:szCs w:val="18"/>
          <w:color w:val="auto"/>
          <w:vertAlign w:val="superscript"/>
        </w:rPr>
      </w:pPr>
    </w:p>
    <w:p>
      <w:pPr>
        <w:ind w:left="200" w:hanging="192"/>
        <w:spacing w:after="0" w:line="182"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“Total” refers to Total Gas &amp; Power Chartering Limited, a wholly owned subsidiary of Total S.A.;</w:t>
      </w:r>
    </w:p>
    <w:p>
      <w:pPr>
        <w:ind w:left="200" w:right="320" w:hanging="192"/>
        <w:spacing w:after="0" w:line="193"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On October 25, 2018, GasLog announced an agreement with GasLog Partners to sell 100% of the ownership interest in GAS-twenty seven Ltd., the entity that owns and charters the </w:t>
      </w:r>
      <w:r>
        <w:rPr>
          <w:rFonts w:ascii="Arial" w:cs="Arial" w:eastAsia="Arial" w:hAnsi="Arial"/>
          <w:sz w:val="14"/>
          <w:szCs w:val="14"/>
          <w:i w:val="1"/>
          <w:iCs w:val="1"/>
          <w:color w:val="auto"/>
        </w:rPr>
        <w:t>Methane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Becki Anne </w:t>
      </w:r>
      <w:r>
        <w:rPr>
          <w:rFonts w:ascii="Arial" w:cs="Arial" w:eastAsia="Arial" w:hAnsi="Arial"/>
          <w:sz w:val="14"/>
          <w:szCs w:val="14"/>
          <w:color w:val="auto"/>
        </w:rPr>
        <w:t>to Shell. The acquisition is expected to close in November 2018.</w:t>
      </w:r>
    </w:p>
    <w:p>
      <w:pPr>
        <w:spacing w:after="0" w:line="1" w:lineRule="exact"/>
        <w:rPr>
          <w:rFonts w:ascii="Arial" w:cs="Arial" w:eastAsia="Arial" w:hAnsi="Arial"/>
          <w:sz w:val="18"/>
          <w:szCs w:val="18"/>
          <w:color w:val="auto"/>
          <w:vertAlign w:val="superscript"/>
        </w:rPr>
      </w:pPr>
    </w:p>
    <w:p>
      <w:pPr>
        <w:ind w:left="200" w:right="260" w:hanging="192"/>
        <w:spacing w:after="0" w:line="202"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On March 22, 2018, a new charter party agreement was signed with a new customer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until November or December 2020, with the charterer having the option to extend the charter from one to four years.</w:t>
      </w:r>
    </w:p>
    <w:p>
      <w:pPr>
        <w:ind w:left="200" w:hanging="192"/>
        <w:spacing w:after="0" w:line="182"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The vessel is currently operating in the spot market under a short-term charter and is expected to begin her 18-month charter with Cheniere in December 2018.</w:t>
      </w:r>
    </w:p>
    <w:p>
      <w:pPr>
        <w:ind w:left="200" w:right="120" w:hanging="192"/>
        <w:spacing w:after="0" w:line="291" w:lineRule="auto"/>
        <w:tabs>
          <w:tab w:leader="none" w:pos="182" w:val="left"/>
        </w:tabs>
        <w:numPr>
          <w:ilvl w:val="0"/>
          <w:numId w:val="11"/>
        </w:numPr>
        <w:rPr>
          <w:rFonts w:ascii="Arial" w:cs="Arial" w:eastAsia="Arial" w:hAnsi="Arial"/>
          <w:sz w:val="13"/>
          <w:szCs w:val="13"/>
          <w:color w:val="auto"/>
          <w:vertAlign w:val="superscript"/>
        </w:rPr>
      </w:pPr>
      <w:r>
        <w:rPr>
          <w:rFonts w:ascii="Arial" w:cs="Arial" w:eastAsia="Arial" w:hAnsi="Arial"/>
          <w:sz w:val="11"/>
          <w:szCs w:val="11"/>
          <w:color w:val="auto"/>
        </w:rPr>
        <w:t xml:space="preserve">On February 24, 2016, GasLog’s subsidiary, GAS-twenty six Ltd., completed the sale and leaseback of the </w:t>
      </w:r>
      <w:r>
        <w:rPr>
          <w:rFonts w:ascii="Arial" w:cs="Arial" w:eastAsia="Arial" w:hAnsi="Arial"/>
          <w:sz w:val="11"/>
          <w:szCs w:val="11"/>
          <w:i w:val="1"/>
          <w:iCs w:val="1"/>
          <w:color w:val="auto"/>
        </w:rPr>
        <w:t>Methane Julia Louise</w:t>
      </w:r>
      <w:r>
        <w:rPr>
          <w:rFonts w:ascii="Arial" w:cs="Arial" w:eastAsia="Arial" w:hAnsi="Arial"/>
          <w:sz w:val="11"/>
          <w:szCs w:val="11"/>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MSL, a subsidiary of Shell.</w:t>
      </w:r>
    </w:p>
    <w:p>
      <w:pPr>
        <w:spacing w:after="0" w:line="260" w:lineRule="exact"/>
        <w:rPr>
          <w:sz w:val="20"/>
          <w:szCs w:val="20"/>
          <w:color w:val="auto"/>
        </w:rPr>
      </w:pPr>
    </w:p>
    <w:p>
      <w:pPr>
        <w:ind w:right="40" w:firstLine="419"/>
        <w:spacing w:after="0" w:line="297" w:lineRule="auto"/>
        <w:rPr>
          <w:sz w:val="20"/>
          <w:szCs w:val="20"/>
          <w:color w:val="auto"/>
        </w:rPr>
      </w:pPr>
      <w:r>
        <w:rPr>
          <w:rFonts w:ascii="Arial" w:cs="Arial" w:eastAsia="Arial" w:hAnsi="Arial"/>
          <w:sz w:val="15"/>
          <w:szCs w:val="15"/>
          <w:color w:val="auto"/>
        </w:rPr>
        <w:t xml:space="preserve">Under the omnibus agreement entered into with GasLog Partners and certain of its subsidiaries in connection with the Partnership’s initial public offering, as amended, GasLog Partners has the option to purchase from us: (i)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within 36 months after we notify the Partnership’s board of directors of the vessel’s acceptance by their charterers and (ii)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within 30 days after we notify the Partnership’s board of directors of the vessel’s commencement of her multi-year charter with Shell. In each case, GasLog Partners’ option to purchase is at fair market value as determined pursuant to the omnibus agreement.</w:t>
      </w:r>
    </w:p>
    <w:p>
      <w:pPr>
        <w:spacing w:after="0" w:line="173" w:lineRule="exact"/>
        <w:rPr>
          <w:sz w:val="20"/>
          <w:szCs w:val="20"/>
          <w:color w:val="auto"/>
        </w:rPr>
      </w:pPr>
    </w:p>
    <w:p>
      <w:pPr>
        <w:ind w:right="60" w:firstLine="383"/>
        <w:spacing w:after="0" w:line="291" w:lineRule="auto"/>
        <w:rPr>
          <w:sz w:val="20"/>
          <w:szCs w:val="20"/>
          <w:color w:val="auto"/>
        </w:rPr>
      </w:pPr>
      <w:r>
        <w:rPr>
          <w:rFonts w:ascii="Arial" w:cs="Arial" w:eastAsia="Arial" w:hAnsi="Arial"/>
          <w:sz w:val="15"/>
          <w:szCs w:val="15"/>
          <w:color w:val="auto"/>
        </w:rPr>
        <w:t>GasLog Partners also has a right of first offer from us to purchase any other LNG carriers with cargo capacities greater than 75,000 cbm engaged in ongoing LNG transportation under charters of five full years or more that we own or acquire (the “Five Year Vessels”) either at their acquisition cost plus certain break-up costs (in the case of a newly acquired Five-Year Vessel) or at their fair market value (in the case of a previously owned vessel that becomes a Five-Year Vessel). In addition, five of our seven newbuildings (Hull Nos. 2131, 2213, 2262, 2300 and 2301)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right="60" w:firstLine="383"/>
        <w:spacing w:after="0" w:line="318"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Saratoga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Lydon Volney</w:t>
      </w:r>
      <w:r>
        <w:rPr>
          <w:rFonts w:ascii="Arial" w:cs="Arial" w:eastAsia="Arial" w:hAnsi="Arial"/>
          <w:sz w:val="14"/>
          <w:szCs w:val="14"/>
          <w:color w:val="auto"/>
        </w:rPr>
        <w:t xml:space="preserve"> are due to come off charter in September 2019, October 2019, December 2019, April 2020, June 2020 and October 2020, respectively, each plus or minus 30 days. GasLog Partners has already secured a one-year charter for either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In addition, GasLog Partners and GasLog continue to pursue opportunities for new multi-year charters with third parties and, on an interim basis, may consider trading the vessels in the spot market, pursuing the most advantageous redeployment depending on evolving market conditions.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20"/>
                <w:szCs w:val="20"/>
                <w:color w:val="auto"/>
              </w:rPr>
            </w:pPr>
            <w:r>
              <w:rPr>
                <w:rFonts w:ascii="Arial" w:cs="Arial" w:eastAsia="Arial" w:hAnsi="Arial"/>
                <w:sz w:val="16"/>
                <w:szCs w:val="16"/>
                <w:b w:val="1"/>
                <w:bCs w:val="1"/>
                <w:color w:val="auto"/>
              </w:rPr>
              <w:t>Results of Operations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080" w:type="dxa"/>
            <w:vAlign w:val="bottom"/>
          </w:tcPr>
          <w:p>
            <w:pPr>
              <w:spacing w:after="0"/>
              <w:rPr>
                <w:sz w:val="20"/>
                <w:szCs w:val="20"/>
                <w:color w:val="auto"/>
              </w:rPr>
            </w:pPr>
            <w:r>
              <w:rPr>
                <w:rFonts w:ascii="Arial" w:cs="Arial" w:eastAsia="Arial" w:hAnsi="Arial"/>
                <w:sz w:val="16"/>
                <w:szCs w:val="16"/>
                <w:b w:val="1"/>
                <w:bCs w:val="1"/>
                <w:i w:val="1"/>
                <w:iCs w:val="1"/>
                <w:color w:val="auto"/>
                <w:w w:val="95"/>
              </w:rPr>
              <w:t>Three-month period ended September 30, 2017 compared to the three-month period ended September 30, 2018</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080" w:type="dxa"/>
            <w:vAlign w:val="bottom"/>
          </w:tcPr>
          <w:p>
            <w:pPr>
              <w:spacing w:after="0"/>
              <w:rPr>
                <w:sz w:val="24"/>
                <w:szCs w:val="24"/>
                <w:color w:val="auto"/>
              </w:rPr>
            </w:pPr>
          </w:p>
        </w:tc>
        <w:tc>
          <w:tcPr>
            <w:tcW w:w="338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7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80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131,242</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2,041</w:t>
            </w:r>
          </w:p>
        </w:tc>
        <w:tc>
          <w:tcPr>
            <w:tcW w:w="28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6"/>
                <w:szCs w:val="16"/>
                <w:color w:val="auto"/>
              </w:rPr>
              <w:t>3,882</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(3,980)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(6,828)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8080" w:type="dxa"/>
            <w:vAlign w:val="bottom"/>
          </w:tcPr>
          <w:p>
            <w:pPr>
              <w:ind w:left="5640"/>
              <w:spacing w:after="0"/>
              <w:rPr>
                <w:sz w:val="20"/>
                <w:szCs w:val="20"/>
                <w:color w:val="auto"/>
              </w:rPr>
            </w:pPr>
            <w:r>
              <w:rPr>
                <w:rFonts w:ascii="Arial" w:cs="Arial" w:eastAsia="Arial" w:hAnsi="Arial"/>
                <w:sz w:val="14"/>
                <w:szCs w:val="14"/>
                <w:color w:val="auto"/>
              </w:rPr>
              <w:t>19</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9"/>
        </w:trPr>
        <w:tc>
          <w:tcPr>
            <w:tcW w:w="808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(29,569)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(31,948)</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(34,447)</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(9,988)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(9,917)</w:t>
            </w:r>
          </w:p>
        </w:tc>
        <w:tc>
          <w:tcPr>
            <w:tcW w:w="0" w:type="dxa"/>
            <w:vAlign w:val="bottom"/>
          </w:tcPr>
          <w:p>
            <w:pPr>
              <w:spacing w:after="0"/>
              <w:rPr>
                <w:sz w:val="1"/>
                <w:szCs w:val="1"/>
                <w:color w:val="auto"/>
              </w:rPr>
            </w:pPr>
          </w:p>
        </w:tc>
      </w:tr>
      <w:tr>
        <w:trPr>
          <w:trHeight w:val="216"/>
        </w:trPr>
        <w:tc>
          <w:tcPr>
            <w:tcW w:w="8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55,299</w:t>
            </w:r>
          </w:p>
        </w:tc>
        <w:tc>
          <w:tcPr>
            <w:tcW w:w="28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Arial" w:cs="Arial" w:eastAsia="Arial" w:hAnsi="Arial"/>
                <w:sz w:val="16"/>
                <w:szCs w:val="16"/>
                <w:color w:val="auto"/>
              </w:rPr>
              <w:t>Financial costs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(34,709)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(43,908)</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644</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6"/>
                <w:szCs w:val="16"/>
                <w:color w:val="auto"/>
              </w:rPr>
              <w:t>Gain on derivatives</w:t>
            </w:r>
          </w:p>
        </w:tc>
        <w:tc>
          <w:tcPr>
            <w:tcW w:w="1360" w:type="dxa"/>
            <w:vAlign w:val="bottom"/>
          </w:tcPr>
          <w:p>
            <w:pPr>
              <w:jc w:val="right"/>
              <w:spacing w:after="0"/>
              <w:rPr>
                <w:sz w:val="20"/>
                <w:szCs w:val="20"/>
                <w:color w:val="auto"/>
              </w:rPr>
            </w:pPr>
            <w:r>
              <w:rPr>
                <w:rFonts w:ascii="Arial" w:cs="Arial" w:eastAsia="Arial" w:hAnsi="Arial"/>
                <w:sz w:val="16"/>
                <w:szCs w:val="16"/>
                <w:color w:val="auto"/>
              </w:rPr>
              <w:t>3,137</w:t>
            </w: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Share of (loss)/profit of associates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(143)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(31,071)</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24,228</w:t>
            </w:r>
          </w:p>
        </w:tc>
        <w:tc>
          <w:tcPr>
            <w:tcW w:w="28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80" w:type="dxa"/>
            <w:vAlign w:val="bottom"/>
            <w:vMerge w:val="continue"/>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(18,893)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(21,047)</w:t>
            </w:r>
          </w:p>
        </w:tc>
        <w:tc>
          <w:tcPr>
            <w:tcW w:w="0" w:type="dxa"/>
            <w:vAlign w:val="bottom"/>
          </w:tcPr>
          <w:p>
            <w:pPr>
              <w:spacing w:after="0"/>
              <w:rPr>
                <w:sz w:val="1"/>
                <w:szCs w:val="1"/>
                <w:color w:val="auto"/>
              </w:rPr>
            </w:pPr>
          </w:p>
        </w:tc>
      </w:tr>
      <w:tr>
        <w:trPr>
          <w:trHeight w:val="213"/>
        </w:trPr>
        <w:tc>
          <w:tcPr>
            <w:tcW w:w="80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5,335</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20" w:firstLine="405"/>
        <w:spacing w:after="0" w:line="324" w:lineRule="auto"/>
        <w:rPr>
          <w:sz w:val="20"/>
          <w:szCs w:val="20"/>
          <w:color w:val="auto"/>
        </w:rPr>
      </w:pPr>
      <w:r>
        <w:rPr>
          <w:rFonts w:ascii="Arial" w:cs="Arial" w:eastAsia="Arial" w:hAnsi="Arial"/>
          <w:sz w:val="14"/>
          <w:szCs w:val="14"/>
          <w:color w:val="auto"/>
        </w:rPr>
        <w:t>During the three-month period ended September 30, 2017, we had an average of 23.0 ships operating in our owned and bareboat fleet (including ships owned by the Partnership) having 2,116 operating days, and an average of 23.0 ships operating under our technical management (including 22.0 of our owned and bareboat ships). During the three-month period ended September 30, 2018, we had an average of 26.0 ships operating in our owned and bareboat fleet (including ships owned by the Partnership) having 2,302 operating days, and an average of 26.0 ships operating under our technical management (including 25.0 of our owned and bareboat ships).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firstLine="405"/>
        <w:spacing w:after="0" w:line="267" w:lineRule="auto"/>
        <w:rPr>
          <w:sz w:val="20"/>
          <w:szCs w:val="20"/>
          <w:color w:val="auto"/>
        </w:rPr>
      </w:pPr>
      <w:r>
        <w:rPr>
          <w:rFonts w:ascii="Arial" w:cs="Arial" w:eastAsia="Arial" w:hAnsi="Arial"/>
          <w:sz w:val="16"/>
          <w:szCs w:val="16"/>
          <w:color w:val="auto"/>
        </w:rPr>
        <w:t xml:space="preserve">Revenues increased by 20.7%, or $27.2 million, from $131.2 million during the three-month period ended September 30, 2017 to $158.4 million during the three-month period ended September 30, 2018. The increase is attributable to an increase in revenues of $21.0 million due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(which were delivered on January 8, 2018, March 20, 2018 and March 29, 2018, respectively) in the three-month period ended September 30, 2018, which resulted in an increase in operating days. There was also an increase of $17.8 million in gross revenues from our vessels operating in the spot market under the Cool Pool (before any Net pool allocation which is recorded in a separate Profit and Loss line below) and a further increase of $0.8 million from the remaining fleet. These increases were partially offset by a decrease of $9.0 million due to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a decrease of $3.2 million due to the off-hire days from the scheduled dry-docking of the </w:t>
      </w:r>
      <w:r>
        <w:rPr>
          <w:rFonts w:ascii="Arial" w:cs="Arial" w:eastAsia="Arial" w:hAnsi="Arial"/>
          <w:sz w:val="16"/>
          <w:szCs w:val="16"/>
          <w:i w:val="1"/>
          <w:iCs w:val="1"/>
          <w:color w:val="auto"/>
        </w:rPr>
        <w:t>GasLog Skagen</w:t>
      </w:r>
      <w:r>
        <w:rPr>
          <w:rFonts w:ascii="Arial" w:cs="Arial" w:eastAsia="Arial" w:hAnsi="Arial"/>
          <w:sz w:val="16"/>
          <w:szCs w:val="16"/>
          <w:color w:val="auto"/>
        </w:rPr>
        <w:t>. The average daily hire rate increased from $61,838 for the three-month period ended September 30, 2017 to $68,735 for the three-month period ended September 30, 2018. There was also a decrease of $0.2 million in revenues from technical management services.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80" w:firstLine="383"/>
        <w:spacing w:after="0" w:line="270" w:lineRule="auto"/>
        <w:rPr>
          <w:sz w:val="20"/>
          <w:szCs w:val="20"/>
          <w:color w:val="auto"/>
        </w:rPr>
      </w:pPr>
      <w:r>
        <w:rPr>
          <w:rFonts w:ascii="Arial" w:cs="Arial" w:eastAsia="Arial" w:hAnsi="Arial"/>
          <w:sz w:val="16"/>
          <w:szCs w:val="16"/>
          <w:color w:val="auto"/>
        </w:rPr>
        <w:t>Net pool allocation increased by $1.9 million, from $2.0 million during the three-month period ended September 30, 2017 to $3.9 million during the three-month period ended September 30, 2018. The increase was attributable to the movement in the adjustment of the net pool results earned by the GasLog vessels in accordance with the pool distribution formula. GasLog recognized gross revenues and gross voyage expenses and commissions of $25.9 million and $2.1 million, respectively, from the operation of its vessels in the Cool Pool during the quarter ended September 30, 2018 (September 30, 2017: $8.1 million and $2.5 million, respectively). The increase in GasLog’s total net pool performance was driven by higher spot rates and higher utilization achieved by all vessels trading in the Cool Pool. GasLog’s total net pool performance is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31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80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8,146</w:t>
            </w:r>
          </w:p>
        </w:tc>
        <w:tc>
          <w:tcPr>
            <w:tcW w:w="26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(2,480)</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2,041</w:t>
            </w:r>
          </w:p>
        </w:tc>
        <w:tc>
          <w:tcPr>
            <w:tcW w:w="260" w:type="dxa"/>
            <w:vAlign w:val="bottom"/>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3,882</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7,707</w:t>
            </w:r>
          </w:p>
        </w:tc>
        <w:tc>
          <w:tcPr>
            <w:tcW w:w="26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27,763</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jc w:val="both"/>
        <w:ind w:right="260" w:firstLine="428"/>
        <w:spacing w:after="0" w:line="273" w:lineRule="auto"/>
        <w:rPr>
          <w:sz w:val="20"/>
          <w:szCs w:val="20"/>
          <w:color w:val="auto"/>
        </w:rPr>
      </w:pPr>
      <w:r>
        <w:rPr>
          <w:rFonts w:ascii="Arial" w:cs="Arial" w:eastAsia="Arial" w:hAnsi="Arial"/>
          <w:sz w:val="16"/>
          <w:szCs w:val="16"/>
          <w:color w:val="auto"/>
        </w:rPr>
        <w:t>Voyage expenses and commissions increased by $2.8 million, from $4.0 million during the three-month period ended September 30, 2017 to $6.8 million during the three-month period ended September 30, 2018. The increase is due to an increase of $3.1 million in bunkers consumed and voyage expenses during certain unchartered and off-hire periods and an increase of $0.1 million in broker commissions, partially offset by a decrease of $0.4 million in voyage expenses of the vessels operating in the spot market.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right="40" w:firstLine="428"/>
        <w:spacing w:after="0" w:line="297" w:lineRule="auto"/>
        <w:rPr>
          <w:sz w:val="20"/>
          <w:szCs w:val="20"/>
          <w:color w:val="auto"/>
        </w:rPr>
      </w:pPr>
      <w:r>
        <w:rPr>
          <w:rFonts w:ascii="Arial" w:cs="Arial" w:eastAsia="Arial" w:hAnsi="Arial"/>
          <w:sz w:val="15"/>
          <w:szCs w:val="15"/>
          <w:color w:val="auto"/>
        </w:rPr>
        <w:t xml:space="preserve">Vessel operating and supervision costs increased by 7.8%, or $2.3 million, from $29.6 million during the three-month period ended September 30, 2017 to $31.9 million during the three-month period ended September 30, 2018. The increase was mainly attributable to the deliveries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 xml:space="preserve">GasLog Genoa </w:t>
      </w:r>
      <w:r>
        <w:rPr>
          <w:rFonts w:ascii="Arial" w:cs="Arial" w:eastAsia="Arial" w:hAnsi="Arial"/>
          <w:sz w:val="15"/>
          <w:szCs w:val="15"/>
          <w:color w:val="auto"/>
        </w:rPr>
        <w:t>operating in our fleet for the full third quarter in 2018, partially offset by one-off savings in certain expenses. Daily operating cost per vessel decreased from</w:t>
      </w:r>
      <w:r>
        <w:rPr>
          <w:rFonts w:ascii="Arial" w:cs="Arial" w:eastAsia="Arial" w:hAnsi="Arial"/>
          <w:sz w:val="15"/>
          <w:szCs w:val="15"/>
          <w:i w:val="1"/>
          <w:iCs w:val="1"/>
          <w:color w:val="auto"/>
        </w:rPr>
        <w:t xml:space="preserve"> </w:t>
      </w:r>
      <w:r>
        <w:rPr>
          <w:rFonts w:ascii="Arial" w:cs="Arial" w:eastAsia="Arial" w:hAnsi="Arial"/>
          <w:sz w:val="15"/>
          <w:szCs w:val="15"/>
          <w:color w:val="auto"/>
        </w:rPr>
        <w:t>$14,564 per day for the three-month period ended September 30, 2017 to $13,859 per day for the three-month period ended September 30, 2018.</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120" w:firstLine="356"/>
        <w:spacing w:after="0" w:line="278" w:lineRule="auto"/>
        <w:rPr>
          <w:sz w:val="20"/>
          <w:szCs w:val="20"/>
          <w:color w:val="auto"/>
        </w:rPr>
      </w:pPr>
      <w:r>
        <w:rPr>
          <w:rFonts w:ascii="Arial" w:cs="Arial" w:eastAsia="Arial" w:hAnsi="Arial"/>
          <w:sz w:val="16"/>
          <w:szCs w:val="16"/>
          <w:color w:val="auto"/>
        </w:rPr>
        <w:t>Depreciation increased by 14.2%, or $4.9 million, from $34.4 million during the three-month period ended September 30, 2017 to $39.3 million during the three-month period ended September 30, 2018. The increase in depreciation resulted mainly from the increase in the average number of vessels in our fleet in the three-month period ended September 30, 2018 compared to the same period in 2017.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General and administrative expenses marginally decreased by 1.0%, or $0.1 million, from $10.0 million during the three-month period ended September 30, 2017 to $9.9 million during the three-month period ended September 30, 2018.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right="80" w:firstLine="356"/>
        <w:spacing w:after="0" w:line="270" w:lineRule="auto"/>
        <w:rPr>
          <w:sz w:val="20"/>
          <w:szCs w:val="20"/>
          <w:color w:val="auto"/>
        </w:rPr>
      </w:pPr>
      <w:r>
        <w:rPr>
          <w:rFonts w:ascii="Arial" w:cs="Arial" w:eastAsia="Arial" w:hAnsi="Arial"/>
          <w:sz w:val="16"/>
          <w:szCs w:val="16"/>
          <w:color w:val="auto"/>
        </w:rPr>
        <w:t>Financial costs increased by 26.5%, or $9.2 million, from $34.7 million during the three-month period ended September 30, 2017 to $43.9 million during the three-month period ended September 30, 2018. The increase is mainly attributable to an increase of $9.0 million in interest expense on loans and an increase of $0.3 million in amortization of deferred loan fees. During the three-month period ended September 30, 2018, we had an average of $2,930.1 million of outstanding indebtedness, with a weighted average interest rate of 5.0%, while during the three-month period ended September 30, 2017, we had an average of $2,628.5 million of outstanding indebtedness having an aggregate weighted average interest rate of 4.3%. These weighted average interest rates include interest expense on loans and cash flow hedges and interest expense on senior unsecured notes and cross-currency swaps (“CCS”).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 on Derivatives:</w:t>
      </w:r>
    </w:p>
    <w:p>
      <w:pPr>
        <w:spacing w:after="0" w:line="235" w:lineRule="exact"/>
        <w:rPr>
          <w:sz w:val="20"/>
          <w:szCs w:val="20"/>
          <w:color w:val="auto"/>
        </w:rPr>
      </w:pPr>
    </w:p>
    <w:p>
      <w:pPr>
        <w:ind w:right="160" w:firstLine="356"/>
        <w:spacing w:after="0" w:line="318" w:lineRule="auto"/>
        <w:rPr>
          <w:sz w:val="20"/>
          <w:szCs w:val="20"/>
          <w:color w:val="auto"/>
        </w:rPr>
      </w:pPr>
      <w:r>
        <w:rPr>
          <w:rFonts w:ascii="Arial" w:cs="Arial" w:eastAsia="Arial" w:hAnsi="Arial"/>
          <w:sz w:val="14"/>
          <w:szCs w:val="14"/>
          <w:color w:val="auto"/>
        </w:rPr>
        <w:t>Gain on derivatives increased by $4.3 million, from $3.1 million during the three-month period ended September 30, 2017 to $7.4 million during the three-month period ended September 30, 2018. The increase in gain on derivatives is primarily attributable to an increase of $3.8 million in gain from mark-to-market valuation of our derivative financial instruments carried at fair value through profit or loss, which reflected a gain of $7.0 million for the quarter ended September 30, 2018 as compared to a gain of $3.2 million for the quarter ended September 30, 2017, a decrease of $2.5 million in realized loss on interest rate swaps held for trading and an increase of $0.2 million in the ineffective portion of cash flow hedges, which were partially offset by a decrease of $2.2 million in realized gain on forward foreign exchange contracts held for trading.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for the Period:</w:t>
      </w:r>
    </w:p>
    <w:p>
      <w:pPr>
        <w:spacing w:after="0" w:line="235" w:lineRule="exact"/>
        <w:rPr>
          <w:sz w:val="20"/>
          <w:szCs w:val="20"/>
          <w:color w:val="auto"/>
        </w:rPr>
      </w:pPr>
    </w:p>
    <w:p>
      <w:pPr>
        <w:ind w:right="280" w:firstLine="356"/>
        <w:spacing w:after="0" w:line="293" w:lineRule="auto"/>
        <w:rPr>
          <w:sz w:val="20"/>
          <w:szCs w:val="20"/>
          <w:color w:val="auto"/>
        </w:rPr>
      </w:pPr>
      <w:r>
        <w:rPr>
          <w:rFonts w:ascii="Arial" w:cs="Arial" w:eastAsia="Arial" w:hAnsi="Arial"/>
          <w:sz w:val="16"/>
          <w:szCs w:val="16"/>
          <w:color w:val="auto"/>
        </w:rPr>
        <w:t>Profit for the period increased by $15.1 million, from a profit of $24.2 million for the three-month period ended September 30, 2017 to a profit of $39.3 million for the three-month period ended September 30, 2018,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Attributable to Owners of the Group:</w:t>
      </w:r>
    </w:p>
    <w:p>
      <w:pPr>
        <w:spacing w:after="0" w:line="235" w:lineRule="exact"/>
        <w:rPr>
          <w:sz w:val="20"/>
          <w:szCs w:val="20"/>
          <w:color w:val="auto"/>
        </w:rPr>
      </w:pPr>
    </w:p>
    <w:p>
      <w:pPr>
        <w:ind w:right="340" w:firstLine="356"/>
        <w:spacing w:after="0" w:line="271" w:lineRule="auto"/>
        <w:rPr>
          <w:sz w:val="20"/>
          <w:szCs w:val="20"/>
          <w:color w:val="auto"/>
        </w:rPr>
      </w:pPr>
      <w:r>
        <w:rPr>
          <w:rFonts w:ascii="Arial" w:cs="Arial" w:eastAsia="Arial" w:hAnsi="Arial"/>
          <w:sz w:val="16"/>
          <w:szCs w:val="16"/>
          <w:color w:val="auto"/>
        </w:rPr>
        <w:t xml:space="preserve">Profit attributable to owners of the Group increased by $12.9 million, from $5.3 million for the three-month period ended September 30, 2017 to $18.2 million for the three-month period ended September 30, 2018. The increase in profit attributable to the owners of GasLog resulted mainly from the increase in profit mentioned above, partially offset by the increase of $2.1 million in profit attributable to the non-controlling interests (non-controlling unitholders of GasLog Partners) as a result of issuances under the GasLog Partners’ ATM Programme, the preference unit issuance in January 2018 and the associated sales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on July 3, 2017, October 20, 2017 and April 26, 2018,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80" w:type="dxa"/>
            <w:vAlign w:val="bottom"/>
          </w:tcPr>
          <w:p>
            <w:pPr>
              <w:spacing w:after="0"/>
              <w:rPr>
                <w:sz w:val="20"/>
                <w:szCs w:val="20"/>
                <w:color w:val="auto"/>
              </w:rPr>
            </w:pPr>
            <w:r>
              <w:rPr>
                <w:rFonts w:ascii="Arial" w:cs="Arial" w:eastAsia="Arial" w:hAnsi="Arial"/>
                <w:sz w:val="16"/>
                <w:szCs w:val="16"/>
                <w:b w:val="1"/>
                <w:bCs w:val="1"/>
                <w:i w:val="1"/>
                <w:iCs w:val="1"/>
                <w:color w:val="auto"/>
                <w:w w:val="97"/>
              </w:rPr>
              <w:t>Nine-month period ended September 30, 2017 compared to the nine-month period ended September 30, 2018</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8080" w:type="dxa"/>
            <w:vAlign w:val="bottom"/>
          </w:tcPr>
          <w:p>
            <w:pPr>
              <w:spacing w:after="0"/>
              <w:rPr>
                <w:sz w:val="24"/>
                <w:szCs w:val="24"/>
                <w:color w:val="auto"/>
              </w:rPr>
            </w:pPr>
          </w:p>
        </w:tc>
        <w:tc>
          <w:tcPr>
            <w:tcW w:w="3380" w:type="dxa"/>
            <w:vAlign w:val="bottom"/>
            <w:gridSpan w:val="4"/>
          </w:tcPr>
          <w:p>
            <w:pPr>
              <w:jc w:val="right"/>
              <w:ind w:right="9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7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80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389,457</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429,700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3,361</w:t>
            </w:r>
          </w:p>
        </w:tc>
        <w:tc>
          <w:tcPr>
            <w:tcW w:w="28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6"/>
                <w:szCs w:val="16"/>
                <w:color w:val="auto"/>
              </w:rPr>
              <w:t>19,493</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(10,171)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(16,743)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(86,891)</w:t>
            </w:r>
          </w:p>
        </w:tc>
        <w:tc>
          <w:tcPr>
            <w:tcW w:w="1740" w:type="dxa"/>
            <w:vAlign w:val="bottom"/>
            <w:gridSpan w:val="2"/>
          </w:tcPr>
          <w:p>
            <w:pPr>
              <w:jc w:val="right"/>
              <w:ind w:right="320"/>
              <w:spacing w:after="0"/>
              <w:rPr>
                <w:sz w:val="20"/>
                <w:szCs w:val="20"/>
                <w:color w:val="auto"/>
              </w:rPr>
            </w:pPr>
            <w:r>
              <w:rPr>
                <w:rFonts w:ascii="Arial" w:cs="Arial" w:eastAsia="Arial" w:hAnsi="Arial"/>
                <w:sz w:val="16"/>
                <w:szCs w:val="16"/>
                <w:color w:val="auto"/>
              </w:rPr>
              <w:t>(98,964)</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(102,606)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(113,683)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(30,213)</w:t>
            </w:r>
          </w:p>
        </w:tc>
        <w:tc>
          <w:tcPr>
            <w:tcW w:w="1740" w:type="dxa"/>
            <w:vAlign w:val="bottom"/>
            <w:gridSpan w:val="2"/>
          </w:tcPr>
          <w:p>
            <w:pPr>
              <w:jc w:val="right"/>
              <w:ind w:right="320"/>
              <w:spacing w:after="0"/>
              <w:rPr>
                <w:sz w:val="20"/>
                <w:szCs w:val="20"/>
                <w:color w:val="auto"/>
              </w:rPr>
            </w:pPr>
            <w:r>
              <w:rPr>
                <w:rFonts w:ascii="Arial" w:cs="Arial" w:eastAsia="Arial" w:hAnsi="Arial"/>
                <w:sz w:val="16"/>
                <w:szCs w:val="16"/>
                <w:color w:val="auto"/>
              </w:rPr>
              <w:t>(32,282)</w:t>
            </w:r>
          </w:p>
        </w:tc>
        <w:tc>
          <w:tcPr>
            <w:tcW w:w="0" w:type="dxa"/>
            <w:vAlign w:val="bottom"/>
          </w:tcPr>
          <w:p>
            <w:pPr>
              <w:spacing w:after="0"/>
              <w:rPr>
                <w:sz w:val="1"/>
                <w:szCs w:val="1"/>
                <w:color w:val="auto"/>
              </w:rPr>
            </w:pPr>
          </w:p>
        </w:tc>
      </w:tr>
      <w:tr>
        <w:trPr>
          <w:trHeight w:val="216"/>
        </w:trPr>
        <w:tc>
          <w:tcPr>
            <w:tcW w:w="8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162,937</w:t>
            </w:r>
          </w:p>
        </w:tc>
        <w:tc>
          <w:tcPr>
            <w:tcW w:w="28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187,521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Arial" w:cs="Arial" w:eastAsia="Arial" w:hAnsi="Arial"/>
                <w:sz w:val="16"/>
                <w:szCs w:val="16"/>
                <w:color w:val="auto"/>
              </w:rPr>
              <w:t>Financial costs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(104,311)</w:t>
            </w:r>
          </w:p>
        </w:tc>
        <w:tc>
          <w:tcPr>
            <w:tcW w:w="1740" w:type="dxa"/>
            <w:vAlign w:val="bottom"/>
            <w:gridSpan w:val="2"/>
          </w:tcPr>
          <w:p>
            <w:pPr>
              <w:jc w:val="right"/>
              <w:ind w:right="320"/>
              <w:spacing w:after="0"/>
              <w:rPr>
                <w:sz w:val="20"/>
                <w:szCs w:val="20"/>
                <w:color w:val="auto"/>
              </w:rPr>
            </w:pPr>
            <w:r>
              <w:rPr>
                <w:rFonts w:ascii="Arial" w:cs="Arial" w:eastAsia="Arial" w:hAnsi="Arial"/>
                <w:sz w:val="16"/>
                <w:szCs w:val="16"/>
                <w:color w:val="auto"/>
              </w:rPr>
              <w:t>(122,505)</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1,779</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(6,585)</w:t>
            </w:r>
          </w:p>
        </w:tc>
        <w:tc>
          <w:tcPr>
            <w:tcW w:w="1740" w:type="dxa"/>
            <w:vAlign w:val="bottom"/>
            <w:gridSpan w:val="2"/>
          </w:tcPr>
          <w:p>
            <w:pPr>
              <w:jc w:val="right"/>
              <w:ind w:right="380"/>
              <w:spacing w:after="0"/>
              <w:rPr>
                <w:sz w:val="20"/>
                <w:szCs w:val="20"/>
                <w:color w:val="auto"/>
              </w:rPr>
            </w:pPr>
            <w:r>
              <w:rPr>
                <w:rFonts w:ascii="Arial" w:cs="Arial" w:eastAsia="Arial" w:hAnsi="Arial"/>
                <w:sz w:val="16"/>
                <w:szCs w:val="16"/>
                <w:color w:val="auto"/>
              </w:rPr>
              <w:t>26,306</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704</w:t>
            </w:r>
          </w:p>
        </w:tc>
        <w:tc>
          <w:tcPr>
            <w:tcW w:w="280" w:type="dxa"/>
            <w:vAlign w:val="bottom"/>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(108,413)</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(91,507)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54,524</w:t>
            </w:r>
          </w:p>
        </w:tc>
        <w:tc>
          <w:tcPr>
            <w:tcW w:w="28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80" w:type="dxa"/>
            <w:vAlign w:val="bottom"/>
            <w:vMerge w:val="continue"/>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(47,952)</w:t>
            </w:r>
          </w:p>
        </w:tc>
        <w:tc>
          <w:tcPr>
            <w:tcW w:w="1740" w:type="dxa"/>
            <w:vAlign w:val="bottom"/>
            <w:gridSpan w:val="2"/>
          </w:tcPr>
          <w:p>
            <w:pPr>
              <w:jc w:val="right"/>
              <w:ind w:right="320"/>
              <w:spacing w:after="0"/>
              <w:rPr>
                <w:sz w:val="20"/>
                <w:szCs w:val="20"/>
                <w:color w:val="auto"/>
              </w:rPr>
            </w:pPr>
            <w:r>
              <w:rPr>
                <w:rFonts w:ascii="Arial" w:cs="Arial" w:eastAsia="Arial" w:hAnsi="Arial"/>
                <w:sz w:val="16"/>
                <w:szCs w:val="16"/>
                <w:color w:val="auto"/>
              </w:rPr>
              <w:t>(62,116)</w:t>
            </w:r>
          </w:p>
        </w:tc>
        <w:tc>
          <w:tcPr>
            <w:tcW w:w="0" w:type="dxa"/>
            <w:vAlign w:val="bottom"/>
          </w:tcPr>
          <w:p>
            <w:pPr>
              <w:spacing w:after="0"/>
              <w:rPr>
                <w:sz w:val="1"/>
                <w:szCs w:val="1"/>
                <w:color w:val="auto"/>
              </w:rPr>
            </w:pPr>
          </w:p>
        </w:tc>
      </w:tr>
      <w:tr>
        <w:trPr>
          <w:trHeight w:val="213"/>
        </w:trPr>
        <w:tc>
          <w:tcPr>
            <w:tcW w:w="80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6,572</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33,898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5640"/>
              <w:spacing w:after="0"/>
              <w:rPr>
                <w:sz w:val="20"/>
                <w:szCs w:val="20"/>
                <w:color w:val="auto"/>
              </w:rPr>
            </w:pPr>
            <w:r>
              <w:rPr>
                <w:rFonts w:ascii="Arial" w:cs="Arial" w:eastAsia="Arial" w:hAnsi="Arial"/>
                <w:sz w:val="14"/>
                <w:szCs w:val="14"/>
                <w:color w:val="auto"/>
              </w:rPr>
              <w:t>21</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0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21" w:name="page22"/>
    <w:bookmarkEnd w:id="21"/>
    <w:p>
      <w:pPr>
        <w:ind w:right="200" w:firstLine="405"/>
        <w:spacing w:after="0" w:line="324" w:lineRule="auto"/>
        <w:rPr>
          <w:sz w:val="20"/>
          <w:szCs w:val="20"/>
          <w:color w:val="auto"/>
        </w:rPr>
      </w:pPr>
      <w:r>
        <w:rPr>
          <w:rFonts w:ascii="Arial" w:cs="Arial" w:eastAsia="Arial" w:hAnsi="Arial"/>
          <w:sz w:val="14"/>
          <w:szCs w:val="14"/>
          <w:color w:val="auto"/>
        </w:rPr>
        <w:t>During the nine-month period ended September 30, 2017, we had an average of 23.0 ships operating in our owned and bareboat fleet (including ships owned by the Partnership) having 6,267 operating days, and an average of 23.6 ships operating under our technical management (including 22.0 of our owned and bareboat ships). During the nine-month period ended September 30, 2018, we had an average of 25.4 ships operating in our owned and bareboat fleet (including ships owned by the Partnership) having 6,713 operating days, and an average of 25.4 ships operating under our technical management (including 24.4 of our owned and bareboat ships).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right="40" w:firstLine="324"/>
        <w:spacing w:after="0" w:line="287" w:lineRule="auto"/>
        <w:rPr>
          <w:sz w:val="20"/>
          <w:szCs w:val="20"/>
          <w:color w:val="auto"/>
        </w:rPr>
      </w:pPr>
      <w:r>
        <w:rPr>
          <w:rFonts w:ascii="Arial" w:cs="Arial" w:eastAsia="Arial" w:hAnsi="Arial"/>
          <w:sz w:val="15"/>
          <w:szCs w:val="15"/>
          <w:color w:val="auto"/>
        </w:rPr>
        <w:t xml:space="preserve">Revenues increased by 10.3%, or $40.2 million, from $389.5 million during the nine-month period ended September 30, 2017 to $429.7 million during the nine-month period ended September 30, 2018. The increase is attributable to an increase in revenues of $42.1 million due to the deliveries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Genoa</w:t>
      </w:r>
      <w:r>
        <w:rPr>
          <w:rFonts w:ascii="Arial" w:cs="Arial" w:eastAsia="Arial" w:hAnsi="Arial"/>
          <w:sz w:val="15"/>
          <w:szCs w:val="15"/>
          <w:color w:val="auto"/>
        </w:rPr>
        <w:t xml:space="preserve"> (which were delivered on January 8, 2018, March 20, 2018 and March 29, 2018, respectively) in the nine-month period ended September 30, 2018, which resulted in an increase in operating days. There was also an increase of $20.9 million in gross revenues from our vessels operating in the spot market under the Cool Pool (before any Net pool allocation which is recorded in a separate Profit and Loss line below). These increases were partially offset by a decrease of $12.9 million due to the expiration of the initial time charters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 decrease of $9.2 million due to the off-hire days from the scheduled dry-dockings of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Skagen</w:t>
      </w:r>
      <w:r>
        <w:rPr>
          <w:rFonts w:ascii="Arial" w:cs="Arial" w:eastAsia="Arial" w:hAnsi="Arial"/>
          <w:sz w:val="15"/>
          <w:szCs w:val="15"/>
          <w:color w:val="auto"/>
        </w:rPr>
        <w:t>, and a further decrease of $0.3 million from the remaining fleet. The average daily hire rate increased from $61,995 for the nine-month period ended September 30, 2017 to $63,928 for the nine-month period ended September 30, 2018. There was also a decrease of $0.4 million in revenues from technical management services.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20" w:firstLine="383"/>
        <w:spacing w:after="0" w:line="270" w:lineRule="auto"/>
        <w:rPr>
          <w:sz w:val="20"/>
          <w:szCs w:val="20"/>
          <w:color w:val="auto"/>
        </w:rPr>
      </w:pPr>
      <w:r>
        <w:rPr>
          <w:rFonts w:ascii="Arial" w:cs="Arial" w:eastAsia="Arial" w:hAnsi="Arial"/>
          <w:sz w:val="16"/>
          <w:szCs w:val="16"/>
          <w:color w:val="auto"/>
        </w:rPr>
        <w:t>Net pool allocation increased by $16.1 million, from $3.4 million during the nine-month period ended September 30, 2017 to $19.5 million during the nine-month period ended September 30, 2018. The increase was attributable to the movement in the adjustment of the net pool results earned by the GasLog vessels in accordance with the pool distribution formula. GasLog recognized gross revenues and gross voyage expenses and commissions of $44.4 million and $7.8 million, respectively, from the operation of its vessels in the Cool Pool during the quarter ended September 30, 2018 (September 30, 2017: $23.5 million and $5.5 million, respectively). The increase in GasLog’s total net pool performance was driven by higher spot rates and higher utilization achieved by all vessels trading in the Cool Pool. GasLog’s total net pool performance is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12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76"/>
        </w:trPr>
        <w:tc>
          <w:tcPr>
            <w:tcW w:w="8080" w:type="dxa"/>
            <w:vAlign w:val="bottom"/>
          </w:tcPr>
          <w:p>
            <w:pPr>
              <w:spacing w:after="0"/>
              <w:rPr>
                <w:sz w:val="23"/>
                <w:szCs w:val="23"/>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80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23,524</w:t>
            </w:r>
          </w:p>
        </w:tc>
        <w:tc>
          <w:tcPr>
            <w:tcW w:w="280" w:type="dxa"/>
            <w:vAlign w:val="bottom"/>
            <w:shd w:val="clear" w:color="auto" w:fill="E5FFFF"/>
          </w:tcPr>
          <w:p>
            <w:pPr>
              <w:spacing w:after="0"/>
              <w:rPr>
                <w:sz w:val="19"/>
                <w:szCs w:val="19"/>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(5,542)</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(7,769)</w:t>
            </w:r>
          </w:p>
        </w:tc>
        <w:tc>
          <w:tcPr>
            <w:tcW w:w="0" w:type="dxa"/>
            <w:vAlign w:val="bottom"/>
          </w:tcPr>
          <w:p>
            <w:pPr>
              <w:spacing w:after="0"/>
              <w:rPr>
                <w:sz w:val="1"/>
                <w:szCs w:val="1"/>
                <w:color w:val="auto"/>
              </w:rPr>
            </w:pPr>
          </w:p>
        </w:tc>
      </w:tr>
      <w:tr>
        <w:trPr>
          <w:trHeight w:val="21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3,361</w:t>
            </w:r>
          </w:p>
        </w:tc>
        <w:tc>
          <w:tcPr>
            <w:tcW w:w="280" w:type="dxa"/>
            <w:vAlign w:val="bottom"/>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19,493</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21,343</w:t>
            </w:r>
          </w:p>
        </w:tc>
        <w:tc>
          <w:tcPr>
            <w:tcW w:w="28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56,123</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right="160" w:firstLine="428"/>
        <w:spacing w:after="0" w:line="273" w:lineRule="auto"/>
        <w:rPr>
          <w:sz w:val="20"/>
          <w:szCs w:val="20"/>
          <w:color w:val="auto"/>
        </w:rPr>
      </w:pPr>
      <w:r>
        <w:rPr>
          <w:rFonts w:ascii="Arial" w:cs="Arial" w:eastAsia="Arial" w:hAnsi="Arial"/>
          <w:sz w:val="16"/>
          <w:szCs w:val="16"/>
          <w:color w:val="auto"/>
        </w:rPr>
        <w:t>Voyage expenses and commissions increased by 63.7%, or $6.5 million, from $10.2 million during the nine-month period ended September 30, 2017 to $16.7 million during the nine-month period ended September 30, 2018. The increase is mainly attributable to an increase of $4.3 million in bunkers consumed and voyage expenses during certain unchartered and off-hire periods, an increase of $1.9 million in voyage expenses of the vessels operating in the spot market and an increase of $0.3 million in broker commissions.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firstLine="356"/>
        <w:spacing w:after="0" w:line="315" w:lineRule="auto"/>
        <w:rPr>
          <w:sz w:val="20"/>
          <w:szCs w:val="20"/>
          <w:color w:val="auto"/>
        </w:rPr>
      </w:pPr>
      <w:r>
        <w:rPr>
          <w:rFonts w:ascii="Arial" w:cs="Arial" w:eastAsia="Arial" w:hAnsi="Arial"/>
          <w:sz w:val="14"/>
          <w:szCs w:val="14"/>
          <w:color w:val="auto"/>
        </w:rPr>
        <w:t xml:space="preserve">Vessel operating and supervision costs increased by 13.9%, or $12.1 million, from $86.9 million during the nine-month period ended September 30, 2017 to $99.0 million during the nine-month period ended September 30, 2018. The increase is mainly attributable to the deliveries of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Genoa </w:t>
      </w:r>
      <w:r>
        <w:rPr>
          <w:rFonts w:ascii="Arial" w:cs="Arial" w:eastAsia="Arial" w:hAnsi="Arial"/>
          <w:sz w:val="14"/>
          <w:szCs w:val="14"/>
          <w:color w:val="auto"/>
        </w:rPr>
        <w:t>during the first quarter of 2018, increased scheduled technical maintenance costs related to engine maintenance, intermediate surveys and costs related to performed</w:t>
      </w:r>
      <w:r>
        <w:rPr>
          <w:rFonts w:ascii="Arial" w:cs="Arial" w:eastAsia="Arial" w:hAnsi="Arial"/>
          <w:sz w:val="14"/>
          <w:szCs w:val="14"/>
          <w:i w:val="1"/>
          <w:iCs w:val="1"/>
          <w:color w:val="auto"/>
        </w:rPr>
        <w:t xml:space="preserve"> </w:t>
      </w:r>
      <w:r>
        <w:rPr>
          <w:rFonts w:ascii="Arial" w:cs="Arial" w:eastAsia="Arial" w:hAnsi="Arial"/>
          <w:sz w:val="14"/>
          <w:szCs w:val="14"/>
          <w:color w:val="auto"/>
        </w:rPr>
        <w:t>dry-dockings and an increase due to the unfavorable movement of the United States dollar (“USD”) against the Euro (“EUR”). We have entered into forward foreign exchange contracts to hedge economically part of this exposure and the associated realized gains are recorded in (Loss)/gain on derivatives, which is discussed below. Daily operating cost per vessel increased from $14,424 per day for the nine-month period ended September 30, 2017, to $14,845 per day for the nine-month period ended September 30, 2018.</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20" w:firstLine="356"/>
        <w:spacing w:after="0" w:line="278" w:lineRule="auto"/>
        <w:rPr>
          <w:sz w:val="20"/>
          <w:szCs w:val="20"/>
          <w:color w:val="auto"/>
        </w:rPr>
      </w:pPr>
      <w:r>
        <w:rPr>
          <w:rFonts w:ascii="Arial" w:cs="Arial" w:eastAsia="Arial" w:hAnsi="Arial"/>
          <w:sz w:val="16"/>
          <w:szCs w:val="16"/>
          <w:color w:val="auto"/>
        </w:rPr>
        <w:t>Depreciation increased by 10.8%, or $11.1 million, from $102.6 million during the nine-month period ended September 30, 2017 to $113.7 million during the nine-month period ended September 30, 2018. The increase in depreciation resulted mainly from the increase in the average number of vessels in our fleet in the nine-month period ended September 30, 2018 compared to the same period of 2017.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40" w:firstLine="356"/>
        <w:spacing w:after="0" w:line="271" w:lineRule="auto"/>
        <w:rPr>
          <w:sz w:val="20"/>
          <w:szCs w:val="20"/>
          <w:color w:val="auto"/>
        </w:rPr>
      </w:pPr>
      <w:r>
        <w:rPr>
          <w:rFonts w:ascii="Arial" w:cs="Arial" w:eastAsia="Arial" w:hAnsi="Arial"/>
          <w:sz w:val="16"/>
          <w:szCs w:val="16"/>
          <w:color w:val="auto"/>
        </w:rPr>
        <w:t>General and administrative expenses increased by 7%, or $2.1 million, from $30.2 million during the nine-month period ended September 30, 2017 to $32.3 million during the nine-month period ended September 30, 2018. The increase is mainly attributable to an increase of $2.2 million in employee costs due to the unfavorable movement of the USD against the EUR and the British Pound (we have entered into forward foreign exchange contracts to hedge economically part of this exposure and the associated realized gains are recorded in (Loss)/gain on derivatives, which is discussed below), a net increase of $0.5 million in various other expenses, an increase of $0.4 million in share based compensation and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increase of $0.3 million in director’s fees, partially offset by a decrease of $1.3 million in legal and professional fees.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right="40" w:firstLine="356"/>
        <w:spacing w:after="0" w:line="315" w:lineRule="auto"/>
        <w:rPr>
          <w:sz w:val="20"/>
          <w:szCs w:val="20"/>
          <w:color w:val="auto"/>
        </w:rPr>
      </w:pPr>
      <w:r>
        <w:rPr>
          <w:rFonts w:ascii="Arial" w:cs="Arial" w:eastAsia="Arial" w:hAnsi="Arial"/>
          <w:sz w:val="14"/>
          <w:szCs w:val="14"/>
          <w:color w:val="auto"/>
        </w:rPr>
        <w:t>Financial costs increased by 17.4%, or $18.2 million, from $104.3 million during the nine-month period ended September 30, 2017 to $122.5 million during the nine-month period ended September 30, 2018. The increase is attributable to an increase of $19.6 million in interest expense on loans, bonds and cash flow hedges and $0.3 million in other financial costs, partially offset by a decrease of $1.5 million in losses arising on bond repurchase and a decrease of $0.3 million in finance lease charges. During the nine-month period ended September 30, 2018, we had an average of $2,882.4 million of outstanding indebtedness, with a weighted average interest rate of 4.7%, while during the nine-month period ended September 30, 2017, we had an average of $2,718.8 million of outstanding indebtedness having an aggregate weighted average interest rate of 4.1%. These weighted average interest rates include interest expense on loans and cash flow hedges and interest expense on senior unsecured notes and CCS.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(Loss)/gain on Derivatives:</w:t>
      </w:r>
    </w:p>
    <w:p>
      <w:pPr>
        <w:spacing w:after="0" w:line="235" w:lineRule="exact"/>
        <w:rPr>
          <w:sz w:val="20"/>
          <w:szCs w:val="20"/>
          <w:color w:val="auto"/>
        </w:rPr>
      </w:pPr>
    </w:p>
    <w:p>
      <w:pPr>
        <w:ind w:right="60" w:firstLine="356"/>
        <w:spacing w:after="0" w:line="291" w:lineRule="auto"/>
        <w:rPr>
          <w:sz w:val="20"/>
          <w:szCs w:val="20"/>
          <w:color w:val="auto"/>
        </w:rPr>
      </w:pPr>
      <w:r>
        <w:rPr>
          <w:rFonts w:ascii="Arial" w:cs="Arial" w:eastAsia="Arial" w:hAnsi="Arial"/>
          <w:sz w:val="15"/>
          <w:szCs w:val="15"/>
          <w:color w:val="auto"/>
        </w:rPr>
        <w:t>Gain on derivatives increased by $32.9 million, from a loss of $6.6 million during the nine-month period ended September 30, 2017 to a gain of $26.3 million during the nine-month period ended September 30, 2018. The increase in gain is mainly attributable to an increase of $22.2 million in gain from mark-to-market valuation of our derivative financial instruments carried at fair value through profit or loss, which reflected a gain of $24.2 million for the nine-month period ended September 30, 2018, as compared to a gain of $2.0 million for the nine-month period ended September 30, 2017, an increase of $7.2 million in realized gain from interest rate swaps held for trading and a decrease of $4.4 million in recycled loss of cash flow hedges reclassified to profit or loss, which were partially offset by a decrease of $0.6 million in realized gain on forward foreign exchange contracts held for trading and an increase of $0.3 million in the ineffective portion of cash flow hedges.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for the Period:</w:t>
      </w:r>
    </w:p>
    <w:p>
      <w:pPr>
        <w:spacing w:after="0" w:line="235" w:lineRule="exact"/>
        <w:rPr>
          <w:sz w:val="20"/>
          <w:szCs w:val="20"/>
          <w:color w:val="auto"/>
        </w:rPr>
      </w:pPr>
    </w:p>
    <w:p>
      <w:pPr>
        <w:ind w:right="240" w:firstLine="356"/>
        <w:spacing w:after="0" w:line="293" w:lineRule="auto"/>
        <w:rPr>
          <w:sz w:val="20"/>
          <w:szCs w:val="20"/>
          <w:color w:val="auto"/>
        </w:rPr>
      </w:pPr>
      <w:r>
        <w:rPr>
          <w:rFonts w:ascii="Arial" w:cs="Arial" w:eastAsia="Arial" w:hAnsi="Arial"/>
          <w:sz w:val="16"/>
          <w:szCs w:val="16"/>
          <w:color w:val="auto"/>
        </w:rPr>
        <w:t>Profit for the period increased by $41.5 million, from a profit of $54.5 million for the nine-month period ended September 30, 2017 to a profit of $96.0 million for the nine-month period ended September 30, 2018,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Attributable to Owners of the Group:</w:t>
      </w:r>
    </w:p>
    <w:p>
      <w:pPr>
        <w:spacing w:after="0" w:line="235" w:lineRule="exact"/>
        <w:rPr>
          <w:sz w:val="20"/>
          <w:szCs w:val="20"/>
          <w:color w:val="auto"/>
        </w:rPr>
      </w:pPr>
    </w:p>
    <w:p>
      <w:pPr>
        <w:ind w:right="120" w:firstLine="356"/>
        <w:spacing w:after="0" w:line="293" w:lineRule="auto"/>
        <w:rPr>
          <w:sz w:val="20"/>
          <w:szCs w:val="20"/>
          <w:color w:val="auto"/>
        </w:rPr>
      </w:pPr>
      <w:r>
        <w:rPr>
          <w:rFonts w:ascii="Arial" w:cs="Arial" w:eastAsia="Arial" w:hAnsi="Arial"/>
          <w:sz w:val="15"/>
          <w:szCs w:val="15"/>
          <w:color w:val="auto"/>
        </w:rPr>
        <w:t xml:space="preserve">Profit attributable to owners of the Group increased by $27.3 million, from a profit of $6.6 million for the nine-month period ended September 30, 2017 to a profit of $33.9 million for the nine-month period ended September 30, 2018. The increase in profit attributable to the owners of GasLog resulted mainly from the increase in profit mentioned above, partially offset by the increase of $14.1 million in profit attributable to the non-controlling interests (non-controlling unitholders of GasLog Partners) as a result of issuances under the GasLog Partners’ ATM Programme, the preference unit issuance in May 2017 and January 2018, and the associated sales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on May 3, 2017, July 3, 2017, October 20, 2017 and April 26, 2018,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39" w:lineRule="exact"/>
        <w:rPr>
          <w:sz w:val="20"/>
          <w:szCs w:val="20"/>
          <w:color w:val="auto"/>
        </w:rPr>
      </w:pPr>
    </w:p>
    <w:p>
      <w:pPr>
        <w:ind w:firstLine="356"/>
        <w:spacing w:after="0" w:line="273" w:lineRule="auto"/>
        <w:rPr>
          <w:sz w:val="20"/>
          <w:szCs w:val="20"/>
          <w:color w:val="auto"/>
        </w:rPr>
      </w:pPr>
      <w:r>
        <w:rPr>
          <w:rFonts w:ascii="Arial" w:cs="Arial" w:eastAsia="Arial" w:hAnsi="Arial"/>
          <w:sz w:val="16"/>
          <w:szCs w:val="16"/>
          <w:color w:val="auto"/>
        </w:rPr>
        <w:t>For the nine-month period ended September 30, 2018, we received 81.8% of our revenues from Shell, 10.3% of our revenues from various charterers in the spot/short-term market, 7.8% of our revenues from major LNG producers and 0.1% of our revenues from Egypt LNG, an entity in which we have a 25% ownership interest. For the nine-month period ended September 30, 2017, we received 93.8% of our revenues from Shell, 6.0% of our revenues from various charterers in the spot/short-term market and 0.2% of our revenues from Egypt LNG.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firstLine="356"/>
        <w:spacing w:after="0" w:line="273" w:lineRule="auto"/>
        <w:rPr>
          <w:sz w:val="20"/>
          <w:szCs w:val="20"/>
          <w:color w:val="auto"/>
        </w:rPr>
      </w:pPr>
      <w:r>
        <w:rPr>
          <w:rFonts w:ascii="Arial" w:cs="Arial" w:eastAsia="Arial" w:hAnsi="Arial"/>
          <w:sz w:val="16"/>
          <w:szCs w:val="16"/>
          <w:color w:val="auto"/>
        </w:rPr>
        <w:t>Our primary liquidity needs are to fund our operating and other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9" w:lineRule="exact"/>
        <w:rPr>
          <w:sz w:val="20"/>
          <w:szCs w:val="20"/>
          <w:color w:val="auto"/>
        </w:rPr>
      </w:pPr>
    </w:p>
    <w:p>
      <w:pPr>
        <w:ind w:right="120" w:firstLine="356"/>
        <w:spacing w:after="0" w:line="305" w:lineRule="auto"/>
        <w:rPr>
          <w:sz w:val="20"/>
          <w:szCs w:val="20"/>
          <w:color w:val="auto"/>
        </w:rPr>
      </w:pPr>
      <w:r>
        <w:rPr>
          <w:rFonts w:ascii="Arial" w:cs="Arial" w:eastAsia="Arial" w:hAnsi="Arial"/>
          <w:sz w:val="15"/>
          <w:szCs w:val="15"/>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66" w:lineRule="exact"/>
        <w:rPr>
          <w:sz w:val="20"/>
          <w:szCs w:val="20"/>
          <w:color w:val="auto"/>
        </w:rPr>
      </w:pPr>
    </w:p>
    <w:p>
      <w:pPr>
        <w:ind w:right="80" w:firstLine="356"/>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maintaining appropriate liquidity. Cash and cash equivalents are held primarily in U.S. dollars.</w:t>
      </w:r>
    </w:p>
    <w:p>
      <w:pPr>
        <w:spacing w:after="0" w:line="172" w:lineRule="exact"/>
        <w:rPr>
          <w:sz w:val="20"/>
          <w:szCs w:val="20"/>
          <w:color w:val="auto"/>
        </w:rPr>
      </w:pPr>
    </w:p>
    <w:p>
      <w:pPr>
        <w:ind w:right="140" w:firstLine="356"/>
        <w:spacing w:after="0" w:line="278" w:lineRule="auto"/>
        <w:rPr>
          <w:sz w:val="20"/>
          <w:szCs w:val="20"/>
          <w:color w:val="auto"/>
        </w:rPr>
      </w:pPr>
      <w:r>
        <w:rPr>
          <w:rFonts w:ascii="Arial" w:cs="Arial" w:eastAsia="Arial" w:hAnsi="Arial"/>
          <w:sz w:val="16"/>
          <w:szCs w:val="16"/>
          <w:color w:val="auto"/>
        </w:rPr>
        <w:t>As of September 30, 2018, GasLog had $293.9 million of cash and cash equivalents, of which $142.3 million was held in time deposits and the remaining balance in current accounts. Moreover, as of September 30, 2018, GasLog had $10.0 million held in time deposits with an initial duration of more than three months but less than a year that have been classified as short-term investments.</w:t>
      </w:r>
    </w:p>
    <w:p>
      <w:pPr>
        <w:spacing w:after="0" w:line="184" w:lineRule="exact"/>
        <w:rPr>
          <w:sz w:val="20"/>
          <w:szCs w:val="20"/>
          <w:color w:val="auto"/>
        </w:rPr>
      </w:pPr>
    </w:p>
    <w:p>
      <w:pPr>
        <w:jc w:val="both"/>
        <w:ind w:right="100" w:firstLine="356"/>
        <w:spacing w:after="0" w:line="278" w:lineRule="auto"/>
        <w:rPr>
          <w:sz w:val="20"/>
          <w:szCs w:val="20"/>
          <w:color w:val="auto"/>
        </w:rPr>
      </w:pPr>
      <w:r>
        <w:rPr>
          <w:rFonts w:ascii="Arial" w:cs="Arial" w:eastAsia="Arial" w:hAnsi="Arial"/>
          <w:sz w:val="16"/>
          <w:szCs w:val="16"/>
          <w:color w:val="auto"/>
        </w:rPr>
        <w:t xml:space="preserve">As of September 30, 2018, GasLog had an aggregate of $2.9 billion of indebtedness outstanding under its credit facilities and bond agreements, of which $182.7 million was repayable within one year, and a $208.0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of which $6.6 million was repayable within one year.</w:t>
      </w:r>
    </w:p>
    <w:p>
      <w:pPr>
        <w:spacing w:after="0" w:line="184" w:lineRule="exact"/>
        <w:rPr>
          <w:sz w:val="20"/>
          <w:szCs w:val="20"/>
          <w:color w:val="auto"/>
        </w:rPr>
      </w:pPr>
    </w:p>
    <w:p>
      <w:pPr>
        <w:ind w:right="20" w:firstLine="356"/>
        <w:spacing w:after="0" w:line="293" w:lineRule="auto"/>
        <w:rPr>
          <w:sz w:val="20"/>
          <w:szCs w:val="20"/>
          <w:color w:val="auto"/>
        </w:rPr>
      </w:pPr>
      <w:r>
        <w:rPr>
          <w:rFonts w:ascii="Arial" w:cs="Arial" w:eastAsia="Arial" w:hAnsi="Arial"/>
          <w:sz w:val="16"/>
          <w:szCs w:val="16"/>
          <w:color w:val="auto"/>
        </w:rPr>
        <w:t>As of September 30, 2018, there was undrawn available capacity of $100.0 million under the revolving credit facility of the credit agreement of up to $1.1 billion entered into on July 19, 2016 (the “Legacy Facility Refinancing”).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2018, the total remaining balance of the contract prices of the seven LNG carriers on order was $1.2 billion which</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23" w:name="page24"/>
    <w:bookmarkEnd w:id="23"/>
    <w:p>
      <w:pPr>
        <w:ind w:right="180"/>
        <w:spacing w:after="0" w:line="293" w:lineRule="auto"/>
        <w:rPr>
          <w:sz w:val="20"/>
          <w:szCs w:val="20"/>
          <w:color w:val="auto"/>
        </w:rPr>
      </w:pPr>
      <w:r>
        <w:rPr>
          <w:rFonts w:ascii="Arial" w:cs="Arial" w:eastAsia="Arial" w:hAnsi="Arial"/>
          <w:sz w:val="16"/>
          <w:szCs w:val="16"/>
          <w:color w:val="auto"/>
        </w:rPr>
        <w:t>GasLog expects to be funded with the $165.8 million undrawn capacity under the financing agreement entered into on October 16, 2015, as well as cash balances, cash from operations, borrowings under new debt agreements and proceeds from the issuance of new equity by GasLog Partners, if any.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September 30, 2018, GasLog maintains a total interest rate swap notional amount at $1.2 billion after terminations, extensions and the signing of new agreements.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47.5% of its expected floating interest rate exposure on its outstanding debt (excluding the finance lease liability) as of September 30, 2018.</w:t>
      </w:r>
    </w:p>
    <w:p>
      <w:pPr>
        <w:spacing w:after="0" w:line="231" w:lineRule="exact"/>
        <w:rPr>
          <w:sz w:val="20"/>
          <w:szCs w:val="20"/>
          <w:color w:val="auto"/>
        </w:rPr>
      </w:pPr>
    </w:p>
    <w:p>
      <w:pPr>
        <w:ind w:right="120" w:firstLine="356"/>
        <w:spacing w:after="0" w:line="293"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February 28, 2018 and Note 7 of our unaudited condensed consolidated financial statements included elsewhere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60" w:firstLine="383"/>
        <w:spacing w:after="0" w:line="293" w:lineRule="auto"/>
        <w:rPr>
          <w:sz w:val="20"/>
          <w:szCs w:val="20"/>
          <w:color w:val="auto"/>
        </w:rPr>
      </w:pPr>
      <w:r>
        <w:rPr>
          <w:rFonts w:ascii="Arial" w:cs="Arial" w:eastAsia="Arial" w:hAnsi="Arial"/>
          <w:sz w:val="16"/>
          <w:szCs w:val="16"/>
          <w:color w:val="auto"/>
        </w:rPr>
        <w:t>As of September 30, 2018, GasLog’s current assets totaled $355.3 million, while current liabilities totaled $303.9 million, resulting in a positive working capital position of $51.4 million.</w:t>
      </w:r>
    </w:p>
    <w:p>
      <w:pPr>
        <w:spacing w:after="0" w:line="172" w:lineRule="exact"/>
        <w:rPr>
          <w:sz w:val="20"/>
          <w:szCs w:val="20"/>
          <w:color w:val="auto"/>
        </w:rPr>
      </w:pPr>
    </w:p>
    <w:p>
      <w:pPr>
        <w:ind w:right="500" w:firstLine="383"/>
        <w:spacing w:after="0" w:line="369" w:lineRule="auto"/>
        <w:rPr>
          <w:sz w:val="20"/>
          <w:szCs w:val="20"/>
          <w:color w:val="auto"/>
        </w:rPr>
      </w:pPr>
      <w:r>
        <w:rPr>
          <w:rFonts w:ascii="Arial" w:cs="Arial" w:eastAsia="Arial" w:hAnsi="Arial"/>
          <w:sz w:val="14"/>
          <w:szCs w:val="14"/>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Nine-month period ended September 30, 2017 compared to the nine-month period ended September 30, 2018</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92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7980" w:type="dxa"/>
            <w:vAlign w:val="bottom"/>
          </w:tcPr>
          <w:p>
            <w:pPr>
              <w:spacing w:after="0"/>
              <w:rPr>
                <w:sz w:val="17"/>
                <w:szCs w:val="17"/>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79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9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154,796</w:t>
            </w:r>
          </w:p>
        </w:tc>
        <w:tc>
          <w:tcPr>
            <w:tcW w:w="16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172,617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(84,993)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(624,631)</w:t>
            </w:r>
          </w:p>
        </w:tc>
        <w:tc>
          <w:tcPr>
            <w:tcW w:w="0" w:type="dxa"/>
            <w:vAlign w:val="bottom"/>
          </w:tcPr>
          <w:p>
            <w:pPr>
              <w:spacing w:after="0"/>
              <w:rPr>
                <w:sz w:val="1"/>
                <w:szCs w:val="1"/>
                <w:color w:val="auto"/>
              </w:rPr>
            </w:pPr>
          </w:p>
        </w:tc>
      </w:tr>
      <w:tr>
        <w:trPr>
          <w:trHeight w:val="219"/>
        </w:trPr>
        <w:tc>
          <w:tcPr>
            <w:tcW w:w="798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financing activities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60,437</w:t>
            </w:r>
          </w:p>
        </w:tc>
        <w:tc>
          <w:tcPr>
            <w:tcW w:w="16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361,913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235" w:lineRule="exact"/>
        <w:rPr>
          <w:sz w:val="20"/>
          <w:szCs w:val="20"/>
          <w:color w:val="auto"/>
        </w:rPr>
      </w:pPr>
    </w:p>
    <w:p>
      <w:pPr>
        <w:ind w:right="140" w:firstLine="356"/>
        <w:spacing w:after="0" w:line="270" w:lineRule="auto"/>
        <w:rPr>
          <w:sz w:val="20"/>
          <w:szCs w:val="20"/>
          <w:color w:val="auto"/>
        </w:rPr>
      </w:pPr>
      <w:r>
        <w:rPr>
          <w:rFonts w:ascii="Arial" w:cs="Arial" w:eastAsia="Arial" w:hAnsi="Arial"/>
          <w:sz w:val="16"/>
          <w:szCs w:val="16"/>
          <w:color w:val="auto"/>
        </w:rPr>
        <w:t>Net cash provided by operating activities increased by $17.8 million, from $154.8 million during the nine-month period ended September 30, 2017 to $172.6 million during the nine-month period ended September 30, 2018. The increase was mainly attributable to an increase of $40.2 million in revenues, an increase of $16.1 million in net pool allocation, a decrease of $7.3 million in realized losses on interest rate swaps held for trading and a net increase of the remaining movements of $0.7 million, partially offset by an increase of $13.1 million in cash paid for interest, an increased cash outflow of $12.7 million caused by movements in working capital accounts, an increase of $12.1 million in vessel operating and supervision costs, an increase of $6.5 million in voyage expenses and commissions and an increase of $2.1 million in general and administrative expenses.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35" w:lineRule="exact"/>
        <w:rPr>
          <w:sz w:val="20"/>
          <w:szCs w:val="20"/>
          <w:color w:val="auto"/>
        </w:rPr>
      </w:pPr>
    </w:p>
    <w:p>
      <w:pPr>
        <w:ind w:firstLine="356"/>
        <w:spacing w:after="0" w:line="324" w:lineRule="auto"/>
        <w:rPr>
          <w:sz w:val="20"/>
          <w:szCs w:val="20"/>
          <w:color w:val="auto"/>
        </w:rPr>
      </w:pPr>
      <w:r>
        <w:rPr>
          <w:rFonts w:ascii="Arial" w:cs="Arial" w:eastAsia="Arial" w:hAnsi="Arial"/>
          <w:sz w:val="14"/>
          <w:szCs w:val="14"/>
          <w:color w:val="auto"/>
        </w:rPr>
        <w:t>Net cash used in investing activities increased by $539.6 million, from $85.0 million in the nine-month period ended September 30, 2017 to $624.6 million in the nine-month period ended September 30, 2018. The increase is mainly attributable to an increase of $549.0 million in payments for the construction costs of newbuildings and other fixed assets and a net increase of $5.8 million in short-term investments. The above movements were partially offset by an increase of $1.6 million in financial income received and because no payments were made to Gastrade in the nine-month period ended September 30, 2018 ($14.0 million in the nine-month period ended September 30, 2017).</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ind w:right="220" w:firstLine="356"/>
        <w:spacing w:after="0" w:line="270" w:lineRule="auto"/>
        <w:rPr>
          <w:sz w:val="20"/>
          <w:szCs w:val="20"/>
          <w:color w:val="auto"/>
        </w:rPr>
      </w:pPr>
      <w:r>
        <w:rPr>
          <w:rFonts w:ascii="Arial" w:cs="Arial" w:eastAsia="Arial" w:hAnsi="Arial"/>
          <w:sz w:val="16"/>
          <w:szCs w:val="16"/>
          <w:color w:val="auto"/>
        </w:rPr>
        <w:t>Net cash provided by financing activities increased by $301.5 million, from $60.4 million in the nine-month period ended September 30, 2017 to $361.9 million in the nine-month period ended September 30, 2018. The increase is mainly attributable to an increase of $218.2 million in proceeds from our borrowings, a decrease of $191.2 million in bank loan and bond repayments and a decrease of $20.6 million from payments for CCS termination. The above movements were partially offset by a decrease of $78.1 million in GasLog Partners’ common unit offerings, a decrease of $27.7 million in proceeds from the issuance of the Partnership’s Series B Preference Units as compared to the Partnership’s Series A Preference Units, an increase of $19.5 million in dividend payments and an increase of $3.7 million in payments for finance lease liabilities.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Contracted Charter Revenues and Days from Time Charters</w:t>
      </w:r>
    </w:p>
    <w:p>
      <w:pPr>
        <w:spacing w:after="0" w:line="239" w:lineRule="exact"/>
        <w:rPr>
          <w:sz w:val="20"/>
          <w:szCs w:val="20"/>
          <w:color w:val="auto"/>
        </w:rPr>
      </w:pPr>
    </w:p>
    <w:p>
      <w:pPr>
        <w:ind w:right="660" w:firstLine="356"/>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vessel utilization as of September 30,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gridSpan w:val="6"/>
          </w:tcPr>
          <w:p>
            <w:pPr>
              <w:jc w:val="right"/>
              <w:ind w:right="339"/>
              <w:spacing w:after="0"/>
              <w:rPr>
                <w:sz w:val="20"/>
                <w:szCs w:val="20"/>
                <w:color w:val="auto"/>
              </w:rPr>
            </w:pPr>
            <w:r>
              <w:rPr>
                <w:rFonts w:ascii="Arial" w:cs="Arial" w:eastAsia="Arial" w:hAnsi="Arial"/>
                <w:sz w:val="16"/>
                <w:szCs w:val="16"/>
                <w:b w:val="1"/>
                <w:bCs w:val="1"/>
                <w:color w:val="auto"/>
                <w:w w:val="94"/>
              </w:rPr>
              <w:t>Contracted Charter Revenues and Days from Time Charters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1"/>
        </w:trPr>
        <w:tc>
          <w:tcPr>
            <w:tcW w:w="1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0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4"/>
              </w:rPr>
              <w:t>On and</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1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10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7"/>
              </w:rPr>
              <w:t>after</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1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0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0"/>
              </w:rPr>
              <w:t>October 1,</w:t>
            </w:r>
          </w:p>
        </w:tc>
        <w:tc>
          <w:tcPr>
            <w:tcW w:w="940" w:type="dxa"/>
            <w:vAlign w:val="bottom"/>
          </w:tcPr>
          <w:p>
            <w:pPr>
              <w:spacing w:after="0"/>
              <w:rPr>
                <w:sz w:val="18"/>
                <w:szCs w:val="18"/>
                <w:color w:val="auto"/>
              </w:rPr>
            </w:pPr>
          </w:p>
        </w:tc>
        <w:tc>
          <w:tcPr>
            <w:tcW w:w="36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For the years ending December 31,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1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80" w:type="dxa"/>
            <w:vAlign w:val="bottom"/>
            <w:tcBorders>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6"/>
              </w:rPr>
              <w:t>2023-2029</w:t>
            </w:r>
          </w:p>
        </w:tc>
        <w:tc>
          <w:tcPr>
            <w:tcW w:w="6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4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w w:val="91"/>
              </w:rPr>
              <w:t>(in millions of U.S. dollars, except days and percentages)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4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129.8</w:t>
            </w: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548.0</w:t>
            </w:r>
          </w:p>
        </w:tc>
        <w:tc>
          <w:tcPr>
            <w:tcW w:w="86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475.0</w:t>
            </w:r>
          </w:p>
        </w:tc>
        <w:tc>
          <w:tcPr>
            <w:tcW w:w="84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424.3</w:t>
            </w:r>
          </w:p>
        </w:tc>
        <w:tc>
          <w:tcPr>
            <w:tcW w:w="8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401.7</w:t>
            </w:r>
          </w:p>
        </w:tc>
        <w:tc>
          <w:tcPr>
            <w:tcW w:w="110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1,400.4</w:t>
            </w:r>
          </w:p>
        </w:tc>
        <w:tc>
          <w:tcPr>
            <w:tcW w:w="7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3,379.2</w:t>
            </w: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6"/>
                <w:szCs w:val="16"/>
                <w:color w:val="auto"/>
              </w:rPr>
              <w:t>1,767</w:t>
            </w:r>
          </w:p>
        </w:tc>
        <w:tc>
          <w:tcPr>
            <w:tcW w:w="1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7,421</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6,463</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5,536</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5,110</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18,018</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44,315</w:t>
            </w:r>
          </w:p>
        </w:tc>
      </w:tr>
      <w:tr>
        <w:trPr>
          <w:trHeight w:val="216"/>
        </w:trPr>
        <w:tc>
          <w:tcPr>
            <w:tcW w:w="5040" w:type="dxa"/>
            <w:vAlign w:val="bottom"/>
            <w:gridSpan w:val="2"/>
            <w:shd w:val="clear" w:color="auto" w:fill="E5FFFF"/>
          </w:tcPr>
          <w:p>
            <w:pPr>
              <w:spacing w:after="0" w:line="216"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(2)</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2,362</w:t>
            </w: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9,874</w:t>
            </w:r>
          </w:p>
        </w:tc>
        <w:tc>
          <w:tcPr>
            <w:tcW w:w="86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10,697</w:t>
            </w:r>
          </w:p>
        </w:tc>
        <w:tc>
          <w:tcPr>
            <w:tcW w:w="84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11,865</w:t>
            </w:r>
          </w:p>
        </w:tc>
        <w:tc>
          <w:tcPr>
            <w:tcW w:w="8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12,045</w:t>
            </w:r>
          </w:p>
        </w:tc>
        <w:tc>
          <w:tcPr>
            <w:tcW w:w="110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83,031</w:t>
            </w:r>
          </w:p>
        </w:tc>
        <w:tc>
          <w:tcPr>
            <w:tcW w:w="7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129,874</w:t>
            </w: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6"/>
                <w:szCs w:val="16"/>
                <w:color w:val="auto"/>
              </w:rPr>
              <w:t>595</w:t>
            </w:r>
          </w:p>
        </w:tc>
        <w:tc>
          <w:tcPr>
            <w:tcW w:w="1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2,453</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4,234</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6,329</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6,935</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65,013</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85,559</w:t>
            </w:r>
          </w:p>
        </w:tc>
      </w:tr>
      <w:tr>
        <w:trPr>
          <w:trHeight w:val="216"/>
        </w:trPr>
        <w:tc>
          <w:tcPr>
            <w:tcW w:w="5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74.8%</w:t>
            </w:r>
          </w:p>
        </w:tc>
        <w:tc>
          <w:tcPr>
            <w:tcW w:w="94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75.2%</w:t>
            </w:r>
          </w:p>
        </w:tc>
        <w:tc>
          <w:tcPr>
            <w:tcW w:w="86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60.4%</w:t>
            </w:r>
          </w:p>
        </w:tc>
        <w:tc>
          <w:tcPr>
            <w:tcW w:w="8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46.7%</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42.4%</w:t>
            </w:r>
          </w:p>
        </w:tc>
        <w:tc>
          <w:tcPr>
            <w:tcW w:w="110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21.7%</w:t>
            </w:r>
          </w:p>
        </w:tc>
        <w:tc>
          <w:tcPr>
            <w:tcW w:w="7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34.1%</w:t>
            </w:r>
          </w:p>
        </w:tc>
      </w:tr>
      <w:tr>
        <w:trPr>
          <w:trHeight w:val="203"/>
        </w:trPr>
        <w:tc>
          <w:tcPr>
            <w:tcW w:w="1180" w:type="dxa"/>
            <w:vAlign w:val="bottom"/>
            <w:tcBorders>
              <w:bottom w:val="single" w:sz="8" w:color="808080"/>
            </w:tcBorders>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24" w:lineRule="exact"/>
        <w:rPr>
          <w:sz w:val="20"/>
          <w:szCs w:val="20"/>
          <w:color w:val="auto"/>
        </w:rPr>
      </w:pPr>
    </w:p>
    <w:p>
      <w:pPr>
        <w:ind w:left="200" w:right="40" w:hanging="192"/>
        <w:spacing w:after="0" w:line="219"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 xml:space="preserve">Reflects time charter revenues and contracted days for seven of our currently wholly owned ships, 12 of the 13 ships currently owned by the Partnership, the bareboat vessel and five of our seven newbuildings on order for which we have secured time charters. Does not include charter revenues for the vessels operating in the spot/short-term market under the Cool Pool agreement and the </w:t>
      </w:r>
      <w:r>
        <w:rPr>
          <w:rFonts w:ascii="Arial" w:cs="Arial" w:eastAsia="Arial" w:hAnsi="Arial"/>
          <w:sz w:val="14"/>
          <w:szCs w:val="14"/>
          <w:i w:val="1"/>
          <w:iCs w:val="1"/>
          <w:color w:val="auto"/>
        </w:rPr>
        <w:t>Methane Nile Eagle</w:t>
      </w:r>
      <w:r>
        <w:rPr>
          <w:rFonts w:ascii="Arial" w:cs="Arial" w:eastAsia="Arial" w:hAnsi="Arial"/>
          <w:sz w:val="14"/>
          <w:szCs w:val="14"/>
          <w:color w:val="auto"/>
        </w:rPr>
        <w:t>, in which we hold a 25% minority interest. Contracted revenue calculations assume: (a) 365 revenue days per annum, with 30 off-hire days when the ship undergoes</w:t>
      </w:r>
      <w:r>
        <w:rPr>
          <w:rFonts w:ascii="Arial" w:cs="Arial" w:eastAsia="Arial" w:hAnsi="Arial"/>
          <w:sz w:val="14"/>
          <w:szCs w:val="14"/>
          <w:i w:val="1"/>
          <w:iCs w:val="1"/>
          <w:color w:val="auto"/>
        </w:rPr>
        <w:t xml:space="preserve"> </w:t>
      </w:r>
      <w:r>
        <w:rPr>
          <w:rFonts w:ascii="Arial" w:cs="Arial" w:eastAsia="Arial" w:hAnsi="Arial"/>
          <w:sz w:val="14"/>
          <w:szCs w:val="14"/>
          <w:color w:val="auto"/>
        </w:rPr>
        <w:t>scheduled dry-docking (every five years); (b) all LNG carriers on order are delivered on schedule; and (c) no exercise of any option to extend the terms of charters. Revenue calculations for such charters include an estimate of the amount of the operating cost component and the management fee component.</w:t>
      </w:r>
    </w:p>
    <w:p>
      <w:pPr>
        <w:spacing w:after="0" w:line="114" w:lineRule="exact"/>
        <w:rPr>
          <w:rFonts w:ascii="Arial" w:cs="Arial" w:eastAsia="Arial" w:hAnsi="Arial"/>
          <w:sz w:val="18"/>
          <w:szCs w:val="18"/>
          <w:color w:val="auto"/>
          <w:vertAlign w:val="superscript"/>
        </w:rPr>
      </w:pPr>
    </w:p>
    <w:p>
      <w:pPr>
        <w:ind w:left="200" w:right="16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116" w:lineRule="exact"/>
        <w:rPr>
          <w:rFonts w:ascii="Arial" w:cs="Arial" w:eastAsia="Arial" w:hAnsi="Arial"/>
          <w:sz w:val="18"/>
          <w:szCs w:val="18"/>
          <w:color w:val="auto"/>
          <w:vertAlign w:val="superscript"/>
        </w:rPr>
      </w:pPr>
    </w:p>
    <w:p>
      <w:pPr>
        <w:ind w:left="200" w:right="14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92" w:lineRule="exact"/>
        <w:rPr>
          <w:sz w:val="20"/>
          <w:szCs w:val="20"/>
          <w:color w:val="auto"/>
        </w:rPr>
      </w:pPr>
    </w:p>
    <w:p>
      <w:pPr>
        <w:ind w:firstLine="356"/>
        <w:spacing w:after="0" w:line="306" w:lineRule="auto"/>
        <w:rPr>
          <w:sz w:val="20"/>
          <w:szCs w:val="20"/>
          <w:color w:val="auto"/>
        </w:rPr>
      </w:pPr>
      <w:r>
        <w:rPr>
          <w:rFonts w:ascii="Arial" w:cs="Arial" w:eastAsia="Arial" w:hAnsi="Arial"/>
          <w:sz w:val="14"/>
          <w:szCs w:val="14"/>
          <w:color w:val="auto"/>
        </w:rPr>
        <w:t>Other than the assumptions reflected in the footnotes to the table, including our assumption that our newbuildings are delivered on schedule, the table does not reflect events occurring after September 30, 2018.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six vessels that are operating in the Cool Pool, any additional ships we may acquire in the future, nor does it reflect the options under our time charters that permit our charterers to extend the time charter terms for successive multi-year periods. The entry into time charter contracts for the six vessels that are operating in the Cool Pool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the service elements of revenues.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28, 2018.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39" w:lineRule="exact"/>
        <w:rPr>
          <w:sz w:val="20"/>
          <w:szCs w:val="20"/>
          <w:color w:val="auto"/>
        </w:rPr>
      </w:pPr>
    </w:p>
    <w:p>
      <w:pPr>
        <w:ind w:right="520" w:firstLine="356"/>
        <w:spacing w:after="0" w:line="329" w:lineRule="auto"/>
        <w:rPr>
          <w:sz w:val="20"/>
          <w:szCs w:val="20"/>
          <w:color w:val="auto"/>
        </w:rPr>
      </w:pPr>
      <w:r>
        <w:rPr>
          <w:rFonts w:ascii="Arial" w:cs="Arial" w:eastAsia="Arial" w:hAnsi="Arial"/>
          <w:sz w:val="15"/>
          <w:szCs w:val="15"/>
          <w:color w:val="auto"/>
        </w:rPr>
        <w:t>For a description of all of our significant accounting policies, see Note 2 of our annual audited consolidated financial statements included in our Annual Report on Form 20-F filed on February 28, 2018 and Note 2 of our unaudited condensed consolidated financial statements included elsewhere in this report.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6"/>
          <w:szCs w:val="16"/>
          <w:b w:val="1"/>
          <w:bCs w:val="1"/>
          <w:color w:val="auto"/>
        </w:rPr>
        <w:t>GASLOG LTD.</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INDEX TO UNAUDITED CONDENSED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4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c>
          <w:tcPr>
            <w:tcW w:w="40" w:type="dxa"/>
            <w:vAlign w:val="bottom"/>
          </w:tcPr>
          <w:p>
            <w:pPr>
              <w:spacing w:after="0"/>
              <w:rPr>
                <w:sz w:val="18"/>
                <w:szCs w:val="18"/>
                <w:color w:val="auto"/>
              </w:rPr>
            </w:pPr>
          </w:p>
        </w:tc>
      </w:tr>
      <w:tr>
        <w:trPr>
          <w:trHeight w:val="213"/>
        </w:trPr>
        <w:tc>
          <w:tcPr>
            <w:tcW w:w="10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0400" w:type="dxa"/>
            <w:vAlign w:val="bottom"/>
            <w:shd w:val="clear" w:color="auto" w:fill="E5FFFF"/>
          </w:tcPr>
          <w:p>
            <w:pPr>
              <w:spacing w:after="0"/>
              <w:rPr>
                <w:sz w:val="20"/>
                <w:szCs w:val="20"/>
                <w:color w:val="auto"/>
              </w:rPr>
            </w:pPr>
            <w:r>
              <w:rPr>
                <w:rFonts w:ascii="Arial" w:cs="Arial" w:eastAsia="Arial" w:hAnsi="Arial"/>
                <w:sz w:val="16"/>
                <w:szCs w:val="16"/>
                <w:color w:val="auto"/>
              </w:rPr>
              <w:t>Unaudited condensed consolidated statements of financial position as of December 31, 2017 and September 30, 2018</w:t>
            </w: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F-2</w:t>
            </w:r>
          </w:p>
        </w:tc>
        <w:tc>
          <w:tcPr>
            <w:tcW w:w="40" w:type="dxa"/>
            <w:vAlign w:val="bottom"/>
          </w:tcPr>
          <w:p>
            <w:pPr>
              <w:spacing w:after="0"/>
              <w:rPr>
                <w:sz w:val="21"/>
                <w:szCs w:val="21"/>
                <w:color w:val="auto"/>
              </w:rPr>
            </w:pPr>
          </w:p>
        </w:tc>
      </w:tr>
      <w:tr>
        <w:trPr>
          <w:trHeight w:val="240"/>
        </w:trPr>
        <w:tc>
          <w:tcPr>
            <w:tcW w:w="10400" w:type="dxa"/>
            <w:vAlign w:val="bottom"/>
          </w:tcPr>
          <w:p>
            <w:pPr>
              <w:spacing w:after="0"/>
              <w:rPr>
                <w:sz w:val="20"/>
                <w:szCs w:val="20"/>
                <w:color w:val="auto"/>
              </w:rPr>
            </w:pPr>
            <w:r>
              <w:rPr>
                <w:rFonts w:ascii="Arial" w:cs="Arial" w:eastAsia="Arial" w:hAnsi="Arial"/>
                <w:sz w:val="16"/>
                <w:szCs w:val="16"/>
                <w:color w:val="auto"/>
              </w:rPr>
              <w:t>Unaudited condensed consolidated statements of profit or loss for the three and nine months ended September 30, 2017 and 2018</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F-3</w:t>
            </w:r>
          </w:p>
        </w:tc>
        <w:tc>
          <w:tcPr>
            <w:tcW w:w="40" w:type="dxa"/>
            <w:vAlign w:val="bottom"/>
          </w:tcPr>
          <w:p>
            <w:pPr>
              <w:spacing w:after="0"/>
              <w:rPr>
                <w:sz w:val="20"/>
                <w:szCs w:val="20"/>
                <w:color w:val="auto"/>
              </w:rPr>
            </w:pPr>
          </w:p>
        </w:tc>
      </w:tr>
      <w:tr>
        <w:trPr>
          <w:trHeight w:val="246"/>
        </w:trPr>
        <w:tc>
          <w:tcPr>
            <w:tcW w:w="10400" w:type="dxa"/>
            <w:vAlign w:val="bottom"/>
            <w:shd w:val="clear" w:color="auto" w:fill="E5FFFF"/>
          </w:tcPr>
          <w:p>
            <w:pPr>
              <w:spacing w:after="0"/>
              <w:rPr>
                <w:sz w:val="20"/>
                <w:szCs w:val="20"/>
                <w:color w:val="auto"/>
              </w:rPr>
            </w:pPr>
            <w:r>
              <w:rPr>
                <w:rFonts w:ascii="Arial" w:cs="Arial" w:eastAsia="Arial" w:hAnsi="Arial"/>
                <w:sz w:val="16"/>
                <w:szCs w:val="16"/>
                <w:color w:val="auto"/>
                <w:w w:val="98"/>
              </w:rPr>
              <w:t>Unaudited condensed consolidated statements of comprehensive income or loss for the three and nine months ended September 30, 2017 and 2018</w:t>
            </w: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F-4</w:t>
            </w:r>
          </w:p>
        </w:tc>
        <w:tc>
          <w:tcPr>
            <w:tcW w:w="40" w:type="dxa"/>
            <w:vAlign w:val="bottom"/>
          </w:tcPr>
          <w:p>
            <w:pPr>
              <w:spacing w:after="0"/>
              <w:rPr>
                <w:sz w:val="21"/>
                <w:szCs w:val="21"/>
                <w:color w:val="auto"/>
              </w:rPr>
            </w:pPr>
          </w:p>
        </w:tc>
      </w:tr>
      <w:tr>
        <w:trPr>
          <w:trHeight w:val="240"/>
        </w:trPr>
        <w:tc>
          <w:tcPr>
            <w:tcW w:w="10400" w:type="dxa"/>
            <w:vAlign w:val="bottom"/>
          </w:tcPr>
          <w:p>
            <w:pPr>
              <w:spacing w:after="0"/>
              <w:rPr>
                <w:sz w:val="20"/>
                <w:szCs w:val="20"/>
                <w:color w:val="auto"/>
              </w:rPr>
            </w:pPr>
            <w:r>
              <w:rPr>
                <w:rFonts w:ascii="Arial" w:cs="Arial" w:eastAsia="Arial" w:hAnsi="Arial"/>
                <w:sz w:val="16"/>
                <w:szCs w:val="16"/>
                <w:color w:val="auto"/>
              </w:rPr>
              <w:t>Unaudited condensed consolidated statements of changes in equity for the nine months ended September 30, 2017 and 2018</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F-5</w:t>
            </w:r>
          </w:p>
        </w:tc>
        <w:tc>
          <w:tcPr>
            <w:tcW w:w="40" w:type="dxa"/>
            <w:vAlign w:val="bottom"/>
          </w:tcPr>
          <w:p>
            <w:pPr>
              <w:spacing w:after="0"/>
              <w:rPr>
                <w:sz w:val="20"/>
                <w:szCs w:val="20"/>
                <w:color w:val="auto"/>
              </w:rPr>
            </w:pPr>
          </w:p>
        </w:tc>
      </w:tr>
      <w:tr>
        <w:trPr>
          <w:trHeight w:val="246"/>
        </w:trPr>
        <w:tc>
          <w:tcPr>
            <w:tcW w:w="10400" w:type="dxa"/>
            <w:vAlign w:val="bottom"/>
            <w:shd w:val="clear" w:color="auto" w:fill="E5FFFF"/>
          </w:tcPr>
          <w:p>
            <w:pPr>
              <w:spacing w:after="0"/>
              <w:rPr>
                <w:sz w:val="20"/>
                <w:szCs w:val="20"/>
                <w:color w:val="auto"/>
              </w:rPr>
            </w:pPr>
            <w:r>
              <w:rPr>
                <w:rFonts w:ascii="Arial" w:cs="Arial" w:eastAsia="Arial" w:hAnsi="Arial"/>
                <w:sz w:val="16"/>
                <w:szCs w:val="16"/>
                <w:color w:val="auto"/>
              </w:rPr>
              <w:t>Unaudited condensed consolidated statements of cash flows for the nine months ended September 30, 2017 and 2018</w:t>
            </w: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F-6</w:t>
            </w:r>
          </w:p>
        </w:tc>
        <w:tc>
          <w:tcPr>
            <w:tcW w:w="40" w:type="dxa"/>
            <w:vAlign w:val="bottom"/>
          </w:tcPr>
          <w:p>
            <w:pPr>
              <w:spacing w:after="0"/>
              <w:rPr>
                <w:sz w:val="21"/>
                <w:szCs w:val="21"/>
                <w:color w:val="auto"/>
              </w:rPr>
            </w:pPr>
          </w:p>
        </w:tc>
      </w:tr>
      <w:tr>
        <w:trPr>
          <w:trHeight w:val="237"/>
        </w:trPr>
        <w:tc>
          <w:tcPr>
            <w:tcW w:w="10400" w:type="dxa"/>
            <w:vAlign w:val="bottom"/>
          </w:tcPr>
          <w:p>
            <w:pPr>
              <w:spacing w:after="0"/>
              <w:rPr>
                <w:sz w:val="20"/>
                <w:szCs w:val="20"/>
                <w:color w:val="auto"/>
              </w:rPr>
            </w:pPr>
            <w:r>
              <w:rPr>
                <w:rFonts w:ascii="Arial" w:cs="Arial" w:eastAsia="Arial" w:hAnsi="Arial"/>
                <w:sz w:val="16"/>
                <w:szCs w:val="16"/>
                <w:color w:val="auto"/>
              </w:rPr>
              <w:t>Notes to the unaudited condensed consolidated financial statements</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F-7</w:t>
            </w:r>
          </w:p>
        </w:tc>
        <w:tc>
          <w:tcPr>
            <w:tcW w:w="40" w:type="dxa"/>
            <w:vAlign w:val="bottom"/>
          </w:tcPr>
          <w:p>
            <w:pPr>
              <w:spacing w:after="0"/>
              <w:rPr>
                <w:sz w:val="20"/>
                <w:szCs w:val="20"/>
                <w:color w:val="auto"/>
              </w:rPr>
            </w:pPr>
          </w:p>
        </w:tc>
      </w:tr>
      <w:tr>
        <w:trPr>
          <w:trHeight w:val="419"/>
        </w:trPr>
        <w:tc>
          <w:tcPr>
            <w:tcW w:w="10400" w:type="dxa"/>
            <w:vAlign w:val="bottom"/>
          </w:tcPr>
          <w:p>
            <w:pPr>
              <w:ind w:left="5600"/>
              <w:spacing w:after="0"/>
              <w:rPr>
                <w:sz w:val="20"/>
                <w:szCs w:val="20"/>
                <w:color w:val="auto"/>
              </w:rPr>
            </w:pPr>
            <w:r>
              <w:rPr>
                <w:rFonts w:ascii="Arial" w:cs="Arial" w:eastAsia="Arial" w:hAnsi="Arial"/>
                <w:sz w:val="16"/>
                <w:szCs w:val="16"/>
                <w:color w:val="auto"/>
              </w:rPr>
              <w:t>F-1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104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65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b w:val="1"/>
                <w:bCs w:val="1"/>
                <w:color w:val="auto"/>
              </w:rPr>
              <w:t>As of December 31, 2017 and September 30, 2018</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654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December 31, 2017</w:t>
            </w:r>
          </w:p>
        </w:tc>
        <w:tc>
          <w:tcPr>
            <w:tcW w:w="188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 2018</w:t>
            </w:r>
          </w:p>
        </w:tc>
      </w:tr>
      <w:tr>
        <w:trPr>
          <w:trHeight w:val="189"/>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68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840" w:type="dxa"/>
            <w:vAlign w:val="bottom"/>
            <w:tcBorders>
              <w:top w:val="single" w:sz="8" w:color="auto"/>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9,511</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20,800</w:t>
            </w:r>
          </w:p>
        </w:tc>
        <w:tc>
          <w:tcPr>
            <w:tcW w:w="1840" w:type="dxa"/>
            <w:vAlign w:val="bottom"/>
          </w:tcPr>
          <w:p>
            <w:pPr>
              <w:jc w:val="right"/>
              <w:spacing w:after="0"/>
              <w:rPr>
                <w:sz w:val="20"/>
                <w:szCs w:val="20"/>
                <w:color w:val="auto"/>
              </w:rPr>
            </w:pPr>
            <w:r>
              <w:rPr>
                <w:rFonts w:ascii="Arial" w:cs="Arial" w:eastAsia="Arial" w:hAnsi="Arial"/>
                <w:sz w:val="16"/>
                <w:szCs w:val="16"/>
                <w:color w:val="auto"/>
              </w:rPr>
              <w:t>21,123</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17,519</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4,324</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428</w:t>
            </w:r>
          </w:p>
        </w:tc>
        <w:tc>
          <w:tcPr>
            <w:tcW w:w="1840" w:type="dxa"/>
            <w:vAlign w:val="bottom"/>
          </w:tcPr>
          <w:p>
            <w:pPr>
              <w:jc w:val="right"/>
              <w:spacing w:after="0"/>
              <w:rPr>
                <w:sz w:val="20"/>
                <w:szCs w:val="20"/>
                <w:color w:val="auto"/>
              </w:rPr>
            </w:pPr>
            <w:r>
              <w:rPr>
                <w:rFonts w:ascii="Arial" w:cs="Arial" w:eastAsia="Arial" w:hAnsi="Arial"/>
                <w:sz w:val="16"/>
                <w:szCs w:val="16"/>
                <w:color w:val="auto"/>
              </w:rPr>
              <w:t>1,812</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16,012</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35,403</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Tangible fixed assets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3,772,566</w:t>
            </w:r>
          </w:p>
        </w:tc>
        <w:tc>
          <w:tcPr>
            <w:tcW w:w="1840" w:type="dxa"/>
            <w:vAlign w:val="bottom"/>
          </w:tcPr>
          <w:p>
            <w:pPr>
              <w:jc w:val="right"/>
              <w:spacing w:after="0"/>
              <w:rPr>
                <w:sz w:val="20"/>
                <w:szCs w:val="20"/>
                <w:color w:val="auto"/>
              </w:rPr>
            </w:pPr>
            <w:r>
              <w:rPr>
                <w:rFonts w:ascii="Arial" w:cs="Arial" w:eastAsia="Arial" w:hAnsi="Arial"/>
                <w:sz w:val="16"/>
                <w:szCs w:val="16"/>
                <w:color w:val="auto"/>
              </w:rPr>
              <w:t>4,353,523</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166,655</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111,534</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Vessel held under finance lease</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214,329</w:t>
            </w:r>
          </w:p>
        </w:tc>
        <w:tc>
          <w:tcPr>
            <w:tcW w:w="1840" w:type="dxa"/>
            <w:vAlign w:val="bottom"/>
          </w:tcPr>
          <w:p>
            <w:pPr>
              <w:jc w:val="right"/>
              <w:spacing w:after="0"/>
              <w:rPr>
                <w:sz w:val="20"/>
                <w:szCs w:val="20"/>
                <w:color w:val="auto"/>
              </w:rPr>
            </w:pPr>
            <w:r>
              <w:rPr>
                <w:rFonts w:ascii="Arial" w:cs="Arial" w:eastAsia="Arial" w:hAnsi="Arial"/>
                <w:sz w:val="16"/>
                <w:szCs w:val="16"/>
                <w:color w:val="auto"/>
              </w:rPr>
              <w:t>208,699</w:t>
            </w:r>
          </w:p>
        </w:tc>
        <w:tc>
          <w:tcPr>
            <w:tcW w:w="40" w:type="dxa"/>
            <w:vAlign w:val="bottom"/>
          </w:tcPr>
          <w:p>
            <w:pPr>
              <w:spacing w:after="0"/>
              <w:rPr>
                <w:sz w:val="17"/>
                <w:szCs w:val="17"/>
                <w:color w:val="auto"/>
              </w:rPr>
            </w:pPr>
          </w:p>
        </w:tc>
      </w:tr>
      <w:tr>
        <w:trPr>
          <w:trHeight w:val="196"/>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4,217,820</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4,745,929</w:t>
            </w:r>
          </w:p>
        </w:tc>
        <w:tc>
          <w:tcPr>
            <w:tcW w:w="40" w:type="dxa"/>
            <w:vAlign w:val="bottom"/>
          </w:tcPr>
          <w:p>
            <w:pPr>
              <w:spacing w:after="0"/>
              <w:rPr>
                <w:sz w:val="17"/>
                <w:szCs w:val="17"/>
                <w:color w:val="auto"/>
              </w:rPr>
            </w:pPr>
          </w:p>
        </w:tc>
      </w:tr>
      <w:tr>
        <w:trPr>
          <w:trHeight w:val="183"/>
        </w:trPr>
        <w:tc>
          <w:tcPr>
            <w:tcW w:w="654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10,706</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17,068</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8,666</w:t>
            </w:r>
          </w:p>
        </w:tc>
        <w:tc>
          <w:tcPr>
            <w:tcW w:w="1840" w:type="dxa"/>
            <w:vAlign w:val="bottom"/>
          </w:tcPr>
          <w:p>
            <w:pPr>
              <w:jc w:val="right"/>
              <w:spacing w:after="0"/>
              <w:rPr>
                <w:sz w:val="20"/>
                <w:szCs w:val="20"/>
                <w:color w:val="auto"/>
              </w:rPr>
            </w:pPr>
            <w:r>
              <w:rPr>
                <w:rFonts w:ascii="Arial" w:cs="Arial" w:eastAsia="Arial" w:hAnsi="Arial"/>
                <w:sz w:val="16"/>
                <w:szCs w:val="16"/>
                <w:color w:val="auto"/>
              </w:rPr>
              <w:t>14,191</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2,199</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8,478</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Inventories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6,839</w:t>
            </w:r>
          </w:p>
        </w:tc>
        <w:tc>
          <w:tcPr>
            <w:tcW w:w="1840" w:type="dxa"/>
            <w:vAlign w:val="bottom"/>
          </w:tcPr>
          <w:p>
            <w:pPr>
              <w:jc w:val="right"/>
              <w:spacing w:after="0"/>
              <w:rPr>
                <w:sz w:val="20"/>
                <w:szCs w:val="20"/>
                <w:color w:val="auto"/>
              </w:rPr>
            </w:pPr>
            <w:r>
              <w:rPr>
                <w:rFonts w:ascii="Arial" w:cs="Arial" w:eastAsia="Arial" w:hAnsi="Arial"/>
                <w:sz w:val="16"/>
                <w:szCs w:val="16"/>
                <w:color w:val="auto"/>
              </w:rPr>
              <w:t>7,159</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4,569</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4,593</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Short-term investments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384,092</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293,854</w:t>
            </w:r>
          </w:p>
        </w:tc>
        <w:tc>
          <w:tcPr>
            <w:tcW w:w="40" w:type="dxa"/>
            <w:vAlign w:val="bottom"/>
          </w:tcPr>
          <w:p>
            <w:pPr>
              <w:spacing w:after="0"/>
              <w:rPr>
                <w:sz w:val="17"/>
                <w:szCs w:val="17"/>
                <w:color w:val="auto"/>
              </w:rPr>
            </w:pPr>
          </w:p>
        </w:tc>
      </w:tr>
      <w:tr>
        <w:trPr>
          <w:trHeight w:val="196"/>
        </w:trPr>
        <w:tc>
          <w:tcPr>
            <w:tcW w:w="65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417,071</w:t>
            </w:r>
          </w:p>
        </w:tc>
        <w:tc>
          <w:tcPr>
            <w:tcW w:w="280" w:type="dxa"/>
            <w:vAlign w:val="bottom"/>
            <w:tcBorders>
              <w:bottom w:val="single" w:sz="8" w:color="E5FFFF"/>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355,343</w:t>
            </w:r>
          </w:p>
        </w:tc>
        <w:tc>
          <w:tcPr>
            <w:tcW w:w="40" w:type="dxa"/>
            <w:vAlign w:val="bottom"/>
          </w:tcPr>
          <w:p>
            <w:pPr>
              <w:spacing w:after="0"/>
              <w:rPr>
                <w:sz w:val="17"/>
                <w:szCs w:val="17"/>
                <w:color w:val="auto"/>
              </w:rPr>
            </w:pPr>
          </w:p>
        </w:tc>
      </w:tr>
      <w:tr>
        <w:trPr>
          <w:trHeight w:val="236"/>
        </w:trPr>
        <w:tc>
          <w:tcPr>
            <w:tcW w:w="6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680" w:type="dxa"/>
            <w:vAlign w:val="bottom"/>
            <w:tcBorders>
              <w:bottom w:val="single" w:sz="8" w:color="E5FFFF"/>
            </w:tcBorders>
            <w:shd w:val="clear" w:color="auto" w:fill="E5FFFF"/>
          </w:tcPr>
          <w:p>
            <w:pPr>
              <w:spacing w:after="0"/>
              <w:rPr>
                <w:sz w:val="20"/>
                <w:szCs w:val="20"/>
                <w:color w:val="auto"/>
              </w:rPr>
            </w:pPr>
          </w:p>
        </w:tc>
        <w:tc>
          <w:tcPr>
            <w:tcW w:w="280" w:type="dxa"/>
            <w:vAlign w:val="bottom"/>
            <w:tcBorders>
              <w:bottom w:val="single" w:sz="8" w:color="E5FFFF"/>
            </w:tcBorders>
            <w:shd w:val="clear" w:color="auto" w:fill="E5FFFF"/>
          </w:tcPr>
          <w:p>
            <w:pPr>
              <w:spacing w:after="0"/>
              <w:rPr>
                <w:sz w:val="20"/>
                <w:szCs w:val="20"/>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4,634,891</w:t>
            </w:r>
          </w:p>
        </w:tc>
        <w:tc>
          <w:tcPr>
            <w:tcW w:w="280" w:type="dxa"/>
            <w:vAlign w:val="bottom"/>
            <w:tcBorders>
              <w:bottom w:val="single" w:sz="8" w:color="E5FFFF"/>
            </w:tcBorders>
            <w:shd w:val="clear" w:color="auto" w:fill="E5FFFF"/>
          </w:tcPr>
          <w:p>
            <w:pPr>
              <w:spacing w:after="0"/>
              <w:rPr>
                <w:sz w:val="20"/>
                <w:szCs w:val="20"/>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5,101,272</w:t>
            </w:r>
          </w:p>
        </w:tc>
        <w:tc>
          <w:tcPr>
            <w:tcW w:w="40" w:type="dxa"/>
            <w:vAlign w:val="bottom"/>
          </w:tcPr>
          <w:p>
            <w:pPr>
              <w:spacing w:after="0"/>
              <w:rPr>
                <w:sz w:val="20"/>
                <w:szCs w:val="20"/>
                <w:color w:val="auto"/>
              </w:rPr>
            </w:pPr>
          </w:p>
        </w:tc>
      </w:tr>
      <w:tr>
        <w:trPr>
          <w:trHeight w:val="156"/>
        </w:trPr>
        <w:tc>
          <w:tcPr>
            <w:tcW w:w="6540" w:type="dxa"/>
            <w:vAlign w:val="bottom"/>
          </w:tcPr>
          <w:p>
            <w:pPr>
              <w:spacing w:after="0" w:line="156" w:lineRule="exact"/>
              <w:rPr>
                <w:sz w:val="20"/>
                <w:szCs w:val="20"/>
                <w:color w:val="auto"/>
              </w:rPr>
            </w:pPr>
            <w:r>
              <w:rPr>
                <w:rFonts w:ascii="Arial" w:cs="Arial" w:eastAsia="Arial" w:hAnsi="Arial"/>
                <w:sz w:val="16"/>
                <w:szCs w:val="16"/>
                <w:b w:val="1"/>
                <w:bCs w:val="1"/>
                <w:color w:val="auto"/>
              </w:rPr>
              <w:t>Equity and liabilities</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Preference shares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46</w:t>
            </w:r>
          </w:p>
        </w:tc>
        <w:tc>
          <w:tcPr>
            <w:tcW w:w="184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810</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Contributed surplus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911,766</w:t>
            </w:r>
          </w:p>
        </w:tc>
        <w:tc>
          <w:tcPr>
            <w:tcW w:w="1840" w:type="dxa"/>
            <w:vAlign w:val="bottom"/>
          </w:tcPr>
          <w:p>
            <w:pPr>
              <w:jc w:val="right"/>
              <w:spacing w:after="0"/>
              <w:rPr>
                <w:sz w:val="20"/>
                <w:szCs w:val="20"/>
                <w:color w:val="auto"/>
              </w:rPr>
            </w:pPr>
            <w:r>
              <w:rPr>
                <w:rFonts w:ascii="Arial" w:cs="Arial" w:eastAsia="Arial" w:hAnsi="Arial"/>
                <w:sz w:val="16"/>
                <w:szCs w:val="16"/>
                <w:color w:val="auto"/>
              </w:rPr>
              <w:t>883,314</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18,347</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20,134</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Treasury shares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80" w:type="dxa"/>
            <w:vAlign w:val="bottom"/>
          </w:tcPr>
          <w:p>
            <w:pPr>
              <w:spacing w:after="0"/>
              <w:rPr>
                <w:sz w:val="17"/>
                <w:szCs w:val="17"/>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6"/>
                <w:szCs w:val="16"/>
                <w:color w:val="auto"/>
              </w:rPr>
              <w:t>(6,960)</w:t>
            </w:r>
          </w:p>
        </w:tc>
        <w:tc>
          <w:tcPr>
            <w:tcW w:w="1840" w:type="dxa"/>
            <w:vAlign w:val="bottom"/>
          </w:tcPr>
          <w:p>
            <w:pPr>
              <w:jc w:val="right"/>
              <w:spacing w:after="0"/>
              <w:rPr>
                <w:sz w:val="20"/>
                <w:szCs w:val="20"/>
                <w:color w:val="auto"/>
              </w:rPr>
            </w:pPr>
            <w:r>
              <w:rPr>
                <w:rFonts w:ascii="Arial" w:cs="Arial" w:eastAsia="Arial" w:hAnsi="Arial"/>
                <w:sz w:val="16"/>
                <w:szCs w:val="16"/>
                <w:color w:val="auto"/>
              </w:rPr>
              <w:t>(4,424)</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(Accumulated deficit)/ retained earnings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(5,980)</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13,470</w:t>
            </w:r>
          </w:p>
        </w:tc>
        <w:tc>
          <w:tcPr>
            <w:tcW w:w="40" w:type="dxa"/>
            <w:vAlign w:val="bottom"/>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918,029</w:t>
            </w:r>
          </w:p>
        </w:tc>
        <w:tc>
          <w:tcPr>
            <w:tcW w:w="280" w:type="dxa"/>
            <w:vAlign w:val="bottom"/>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913,350</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845,105</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1,007,686</w:t>
            </w:r>
          </w:p>
        </w:tc>
        <w:tc>
          <w:tcPr>
            <w:tcW w:w="40" w:type="dxa"/>
            <w:vAlign w:val="bottom"/>
          </w:tcPr>
          <w:p>
            <w:pPr>
              <w:spacing w:after="0"/>
              <w:rPr>
                <w:sz w:val="17"/>
                <w:szCs w:val="17"/>
                <w:color w:val="auto"/>
              </w:rPr>
            </w:pPr>
          </w:p>
        </w:tc>
      </w:tr>
      <w:tr>
        <w:trPr>
          <w:trHeight w:val="196"/>
        </w:trPr>
        <w:tc>
          <w:tcPr>
            <w:tcW w:w="65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1,763,134</w:t>
            </w:r>
          </w:p>
        </w:tc>
        <w:tc>
          <w:tcPr>
            <w:tcW w:w="280" w:type="dxa"/>
            <w:vAlign w:val="bottom"/>
            <w:tcBorders>
              <w:bottom w:val="single" w:sz="8" w:color="E5FFFF"/>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1,921,036</w:t>
            </w:r>
          </w:p>
        </w:tc>
        <w:tc>
          <w:tcPr>
            <w:tcW w:w="40" w:type="dxa"/>
            <w:vAlign w:val="bottom"/>
          </w:tcPr>
          <w:p>
            <w:pPr>
              <w:spacing w:after="0"/>
              <w:rPr>
                <w:sz w:val="17"/>
                <w:szCs w:val="17"/>
                <w:color w:val="auto"/>
              </w:rPr>
            </w:pPr>
          </w:p>
        </w:tc>
      </w:tr>
      <w:tr>
        <w:trPr>
          <w:trHeight w:val="183"/>
        </w:trPr>
        <w:tc>
          <w:tcPr>
            <w:tcW w:w="654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6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7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84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Trade accounts payable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11,526</w:t>
            </w:r>
          </w:p>
        </w:tc>
        <w:tc>
          <w:tcPr>
            <w:tcW w:w="1840" w:type="dxa"/>
            <w:vAlign w:val="bottom"/>
          </w:tcPr>
          <w:p>
            <w:pPr>
              <w:jc w:val="right"/>
              <w:spacing w:after="0"/>
              <w:rPr>
                <w:sz w:val="20"/>
                <w:szCs w:val="20"/>
                <w:color w:val="auto"/>
              </w:rPr>
            </w:pPr>
            <w:r>
              <w:rPr>
                <w:rFonts w:ascii="Arial" w:cs="Arial" w:eastAsia="Arial" w:hAnsi="Arial"/>
                <w:sz w:val="16"/>
                <w:szCs w:val="16"/>
                <w:color w:val="auto"/>
              </w:rPr>
              <w:t>12,841</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2,394</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1,840</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840" w:type="dxa"/>
            <w:vAlign w:val="bottom"/>
          </w:tcPr>
          <w:p>
            <w:pPr>
              <w:jc w:val="right"/>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1,815</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1,315</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93,418</w:t>
            </w:r>
          </w:p>
        </w:tc>
        <w:tc>
          <w:tcPr>
            <w:tcW w:w="1840" w:type="dxa"/>
            <w:vAlign w:val="bottom"/>
          </w:tcPr>
          <w:p>
            <w:pPr>
              <w:jc w:val="right"/>
              <w:spacing w:after="0"/>
              <w:rPr>
                <w:sz w:val="20"/>
                <w:szCs w:val="20"/>
                <w:color w:val="auto"/>
              </w:rPr>
            </w:pPr>
            <w:r>
              <w:rPr>
                <w:rFonts w:ascii="Arial" w:cs="Arial" w:eastAsia="Arial" w:hAnsi="Arial"/>
                <w:sz w:val="16"/>
                <w:szCs w:val="16"/>
                <w:color w:val="auto"/>
              </w:rPr>
              <w:t>98,567</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179,367</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182,709</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Finance lease liability, current portion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6,302</w:t>
            </w:r>
          </w:p>
        </w:tc>
        <w:tc>
          <w:tcPr>
            <w:tcW w:w="1840" w:type="dxa"/>
            <w:vAlign w:val="bottom"/>
          </w:tcPr>
          <w:p>
            <w:pPr>
              <w:jc w:val="right"/>
              <w:spacing w:after="0"/>
              <w:rPr>
                <w:sz w:val="20"/>
                <w:szCs w:val="20"/>
                <w:color w:val="auto"/>
              </w:rPr>
            </w:pPr>
            <w:r>
              <w:rPr>
                <w:rFonts w:ascii="Arial" w:cs="Arial" w:eastAsia="Arial" w:hAnsi="Arial"/>
                <w:sz w:val="16"/>
                <w:szCs w:val="16"/>
                <w:color w:val="auto"/>
              </w:rPr>
              <w:t>6,579</w:t>
            </w:r>
          </w:p>
        </w:tc>
        <w:tc>
          <w:tcPr>
            <w:tcW w:w="40" w:type="dxa"/>
            <w:vAlign w:val="bottom"/>
          </w:tcPr>
          <w:p>
            <w:pPr>
              <w:spacing w:after="0"/>
              <w:rPr>
                <w:sz w:val="17"/>
                <w:szCs w:val="17"/>
                <w:color w:val="auto"/>
              </w:rPr>
            </w:pPr>
          </w:p>
        </w:tc>
      </w:tr>
      <w:tr>
        <w:trPr>
          <w:trHeight w:val="196"/>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294,857</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303,920</w:t>
            </w:r>
          </w:p>
        </w:tc>
        <w:tc>
          <w:tcPr>
            <w:tcW w:w="40" w:type="dxa"/>
            <w:vAlign w:val="bottom"/>
          </w:tcPr>
          <w:p>
            <w:pPr>
              <w:spacing w:after="0"/>
              <w:rPr>
                <w:sz w:val="17"/>
                <w:szCs w:val="17"/>
                <w:color w:val="auto"/>
              </w:rPr>
            </w:pPr>
          </w:p>
        </w:tc>
      </w:tr>
      <w:tr>
        <w:trPr>
          <w:trHeight w:val="183"/>
        </w:trPr>
        <w:tc>
          <w:tcPr>
            <w:tcW w:w="654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Borrowings, non-current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2,368,189</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2,673,414</w:t>
            </w:r>
          </w:p>
        </w:tc>
        <w:tc>
          <w:tcPr>
            <w:tcW w:w="40" w:type="dxa"/>
            <w:vAlign w:val="bottom"/>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Finance lease liability, non-current portion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207,126</w:t>
            </w:r>
          </w:p>
        </w:tc>
        <w:tc>
          <w:tcPr>
            <w:tcW w:w="1840" w:type="dxa"/>
            <w:vAlign w:val="bottom"/>
          </w:tcPr>
          <w:p>
            <w:pPr>
              <w:jc w:val="right"/>
              <w:spacing w:after="0"/>
              <w:rPr>
                <w:sz w:val="20"/>
                <w:szCs w:val="20"/>
                <w:color w:val="auto"/>
              </w:rPr>
            </w:pPr>
            <w:r>
              <w:rPr>
                <w:rFonts w:ascii="Arial" w:cs="Arial" w:eastAsia="Arial" w:hAnsi="Arial"/>
                <w:sz w:val="16"/>
                <w:szCs w:val="16"/>
                <w:color w:val="auto"/>
              </w:rPr>
              <w:t>201,402</w:t>
            </w:r>
          </w:p>
        </w:tc>
        <w:tc>
          <w:tcPr>
            <w:tcW w:w="40" w:type="dxa"/>
            <w:vAlign w:val="bottom"/>
          </w:tcPr>
          <w:p>
            <w:pPr>
              <w:spacing w:after="0"/>
              <w:rPr>
                <w:sz w:val="17"/>
                <w:szCs w:val="17"/>
                <w:color w:val="auto"/>
              </w:rPr>
            </w:pPr>
          </w:p>
        </w:tc>
      </w:tr>
      <w:tr>
        <w:trPr>
          <w:trHeight w:val="203"/>
        </w:trPr>
        <w:tc>
          <w:tcPr>
            <w:tcW w:w="654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1,585</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1,500</w:t>
            </w:r>
          </w:p>
        </w:tc>
        <w:tc>
          <w:tcPr>
            <w:tcW w:w="40" w:type="dxa"/>
            <w:vAlign w:val="bottom"/>
          </w:tcPr>
          <w:p>
            <w:pPr>
              <w:spacing w:after="0"/>
              <w:rPr>
                <w:sz w:val="17"/>
                <w:szCs w:val="17"/>
                <w:color w:val="auto"/>
              </w:rPr>
            </w:pPr>
          </w:p>
        </w:tc>
      </w:tr>
      <w:tr>
        <w:trPr>
          <w:trHeight w:val="196"/>
        </w:trPr>
        <w:tc>
          <w:tcPr>
            <w:tcW w:w="65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2,576,900</w:t>
            </w:r>
          </w:p>
        </w:tc>
        <w:tc>
          <w:tcPr>
            <w:tcW w:w="280" w:type="dxa"/>
            <w:vAlign w:val="bottom"/>
            <w:tcBorders>
              <w:bottom w:val="single" w:sz="8" w:color="E5FFFF"/>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2,876,316</w:t>
            </w:r>
          </w:p>
        </w:tc>
        <w:tc>
          <w:tcPr>
            <w:tcW w:w="40" w:type="dxa"/>
            <w:vAlign w:val="bottom"/>
          </w:tcPr>
          <w:p>
            <w:pPr>
              <w:spacing w:after="0"/>
              <w:rPr>
                <w:sz w:val="17"/>
                <w:szCs w:val="17"/>
                <w:color w:val="auto"/>
              </w:rPr>
            </w:pPr>
          </w:p>
        </w:tc>
      </w:tr>
      <w:tr>
        <w:trPr>
          <w:trHeight w:val="236"/>
        </w:trPr>
        <w:tc>
          <w:tcPr>
            <w:tcW w:w="6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equity and liabilities</w:t>
            </w:r>
          </w:p>
        </w:tc>
        <w:tc>
          <w:tcPr>
            <w:tcW w:w="680" w:type="dxa"/>
            <w:vAlign w:val="bottom"/>
            <w:tcBorders>
              <w:bottom w:val="single" w:sz="8" w:color="E5FFFF"/>
            </w:tcBorders>
            <w:shd w:val="clear" w:color="auto" w:fill="E5FFFF"/>
          </w:tcPr>
          <w:p>
            <w:pPr>
              <w:spacing w:after="0"/>
              <w:rPr>
                <w:sz w:val="20"/>
                <w:szCs w:val="20"/>
                <w:color w:val="auto"/>
              </w:rPr>
            </w:pPr>
          </w:p>
        </w:tc>
        <w:tc>
          <w:tcPr>
            <w:tcW w:w="280" w:type="dxa"/>
            <w:vAlign w:val="bottom"/>
            <w:tcBorders>
              <w:bottom w:val="single" w:sz="8" w:color="E5FFFF"/>
            </w:tcBorders>
            <w:shd w:val="clear" w:color="auto" w:fill="E5FFFF"/>
          </w:tcPr>
          <w:p>
            <w:pPr>
              <w:spacing w:after="0"/>
              <w:rPr>
                <w:sz w:val="20"/>
                <w:szCs w:val="20"/>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4,634,891</w:t>
            </w:r>
          </w:p>
        </w:tc>
        <w:tc>
          <w:tcPr>
            <w:tcW w:w="280" w:type="dxa"/>
            <w:vAlign w:val="bottom"/>
            <w:tcBorders>
              <w:bottom w:val="single" w:sz="8" w:color="E5FFFF"/>
            </w:tcBorders>
            <w:shd w:val="clear" w:color="auto" w:fill="E5FFFF"/>
          </w:tcPr>
          <w:p>
            <w:pPr>
              <w:spacing w:after="0"/>
              <w:rPr>
                <w:sz w:val="20"/>
                <w:szCs w:val="20"/>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5,101,272</w:t>
            </w:r>
          </w:p>
        </w:tc>
        <w:tc>
          <w:tcPr>
            <w:tcW w:w="40" w:type="dxa"/>
            <w:vAlign w:val="bottom"/>
          </w:tcPr>
          <w:p>
            <w:pPr>
              <w:spacing w:after="0"/>
              <w:rPr>
                <w:sz w:val="20"/>
                <w:szCs w:val="20"/>
                <w:color w:val="auto"/>
              </w:rPr>
            </w:pPr>
          </w:p>
        </w:tc>
      </w:tr>
    </w:tbl>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c>
          <w:tcPr>
            <w:tcW w:w="282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6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131,242</w:t>
            </w:r>
          </w:p>
        </w:tc>
        <w:tc>
          <w:tcPr>
            <w:tcW w:w="3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389,457</w:t>
            </w:r>
          </w:p>
        </w:tc>
        <w:tc>
          <w:tcPr>
            <w:tcW w:w="2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429,700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Net pool allocation</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2,041</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3,882</w:t>
            </w:r>
          </w:p>
        </w:tc>
        <w:tc>
          <w:tcPr>
            <w:tcW w:w="1240" w:type="dxa"/>
            <w:vAlign w:val="bottom"/>
          </w:tcPr>
          <w:p>
            <w:pPr>
              <w:jc w:val="right"/>
              <w:spacing w:after="0"/>
              <w:rPr>
                <w:sz w:val="20"/>
                <w:szCs w:val="20"/>
                <w:color w:val="auto"/>
              </w:rPr>
            </w:pPr>
            <w:r>
              <w:rPr>
                <w:rFonts w:ascii="Arial" w:cs="Arial" w:eastAsia="Arial" w:hAnsi="Arial"/>
                <w:sz w:val="16"/>
                <w:szCs w:val="16"/>
                <w:color w:val="auto"/>
              </w:rPr>
              <w:t>3,361</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(3,980)</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(6,828)</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(10,171)</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(29,569)</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(31,948)</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(86,891)</w:t>
            </w:r>
          </w:p>
        </w:tc>
        <w:tc>
          <w:tcPr>
            <w:tcW w:w="1260" w:type="dxa"/>
            <w:vAlign w:val="bottom"/>
          </w:tcPr>
          <w:p>
            <w:pPr>
              <w:jc w:val="right"/>
              <w:spacing w:after="0"/>
              <w:rPr>
                <w:sz w:val="20"/>
                <w:szCs w:val="20"/>
                <w:color w:val="auto"/>
              </w:rPr>
            </w:pPr>
            <w:r>
              <w:rPr>
                <w:rFonts w:ascii="Arial" w:cs="Arial" w:eastAsia="Arial" w:hAnsi="Arial"/>
                <w:sz w:val="16"/>
                <w:szCs w:val="16"/>
                <w:color w:val="auto"/>
              </w:rPr>
              <w:t>(98,964)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(34,447)</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(39,341)</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(102,606)</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(113,683)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30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(9,988)</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(9,917)</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(30,213)</w:t>
            </w:r>
          </w:p>
        </w:tc>
        <w:tc>
          <w:tcPr>
            <w:tcW w:w="1260" w:type="dxa"/>
            <w:vAlign w:val="bottom"/>
          </w:tcPr>
          <w:p>
            <w:pPr>
              <w:jc w:val="right"/>
              <w:spacing w:after="0"/>
              <w:rPr>
                <w:sz w:val="20"/>
                <w:szCs w:val="20"/>
                <w:color w:val="auto"/>
              </w:rPr>
            </w:pPr>
            <w:r>
              <w:rPr>
                <w:rFonts w:ascii="Arial" w:cs="Arial" w:eastAsia="Arial" w:hAnsi="Arial"/>
                <w:sz w:val="16"/>
                <w:szCs w:val="16"/>
                <w:color w:val="auto"/>
              </w:rPr>
              <w:t>(32,282)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68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55,299</w:t>
            </w:r>
          </w:p>
        </w:tc>
        <w:tc>
          <w:tcPr>
            <w:tcW w:w="3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74,246</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162,937</w:t>
            </w:r>
          </w:p>
        </w:tc>
        <w:tc>
          <w:tcPr>
            <w:tcW w:w="2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Financial costs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(34,709)</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(43,908)</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(104,311)</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644</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1,057</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1,779</w:t>
            </w: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3,137</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7,368</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(6,585)</w:t>
            </w:r>
          </w:p>
        </w:tc>
        <w:tc>
          <w:tcPr>
            <w:tcW w:w="1260" w:type="dxa"/>
            <w:vAlign w:val="bottom"/>
          </w:tcPr>
          <w:p>
            <w:pPr>
              <w:jc w:val="right"/>
              <w:spacing w:after="0"/>
              <w:rPr>
                <w:sz w:val="20"/>
                <w:szCs w:val="20"/>
                <w:color w:val="auto"/>
              </w:rPr>
            </w:pPr>
            <w:r>
              <w:rPr>
                <w:rFonts w:ascii="Arial" w:cs="Arial" w:eastAsia="Arial" w:hAnsi="Arial"/>
                <w:sz w:val="16"/>
                <w:szCs w:val="16"/>
                <w:color w:val="auto"/>
              </w:rPr>
              <w:t>26,306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Share of (loss)/profit of associates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(143)</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498</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704</w:t>
            </w: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68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(31,071)</w:t>
            </w:r>
          </w:p>
        </w:tc>
        <w:tc>
          <w:tcPr>
            <w:tcW w:w="3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(34,985)</w:t>
            </w:r>
          </w:p>
        </w:tc>
        <w:tc>
          <w:tcPr>
            <w:tcW w:w="2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(108,413)</w:t>
            </w:r>
          </w:p>
        </w:tc>
        <w:tc>
          <w:tcPr>
            <w:tcW w:w="28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68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24,228</w:t>
            </w:r>
          </w:p>
        </w:tc>
        <w:tc>
          <w:tcPr>
            <w:tcW w:w="3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54,524</w:t>
            </w:r>
          </w:p>
        </w:tc>
        <w:tc>
          <w:tcPr>
            <w:tcW w:w="28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5,335</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18,214</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6,572</w:t>
            </w: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18,893</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21,047</w:t>
            </w:r>
          </w:p>
        </w:tc>
        <w:tc>
          <w:tcPr>
            <w:tcW w:w="1240" w:type="dxa"/>
            <w:vAlign w:val="bottom"/>
          </w:tcPr>
          <w:p>
            <w:pPr>
              <w:jc w:val="right"/>
              <w:spacing w:after="0"/>
              <w:rPr>
                <w:sz w:val="20"/>
                <w:szCs w:val="20"/>
                <w:color w:val="auto"/>
              </w:rPr>
            </w:pPr>
            <w:r>
              <w:rPr>
                <w:rFonts w:ascii="Arial" w:cs="Arial" w:eastAsia="Arial" w:hAnsi="Arial"/>
                <w:sz w:val="16"/>
                <w:szCs w:val="16"/>
                <w:color w:val="auto"/>
              </w:rPr>
              <w:t>47,952</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E5FFFF"/>
              <w:bottom w:val="single" w:sz="8" w:color="E5FFFF"/>
            </w:tcBorders>
            <w:shd w:val="clear" w:color="auto" w:fill="E5FFFF"/>
          </w:tcPr>
          <w:p>
            <w:pPr>
              <w:spacing w:after="0"/>
              <w:rPr>
                <w:sz w:val="17"/>
                <w:szCs w:val="17"/>
                <w:color w:val="auto"/>
              </w:rPr>
            </w:pPr>
          </w:p>
        </w:tc>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54,524</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Earnings/(loss) per share – basic</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w:t>
            </w: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b w:val="1"/>
                <w:bCs w:val="1"/>
                <w:color w:val="auto"/>
              </w:rPr>
              <w:t>0.03</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0.19</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(0.01)</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0.33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Earnings/(loss) per share – diluted</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0.03</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0.19</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(0.01)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68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24,228</w:t>
            </w:r>
          </w:p>
        </w:tc>
        <w:tc>
          <w:tcPr>
            <w:tcW w:w="3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54,524</w:t>
            </w:r>
          </w:p>
        </w:tc>
        <w:tc>
          <w:tcPr>
            <w:tcW w:w="2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Items that may be reclassified subsequently to profit or</w:t>
            </w:r>
          </w:p>
        </w:tc>
        <w:tc>
          <w:tcPr>
            <w:tcW w:w="68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loss:</w:t>
            </w: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 hedges,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80" w:type="dxa"/>
            <w:vAlign w:val="bottom"/>
          </w:tcPr>
          <w:p>
            <w:pPr>
              <w:ind w:left="180"/>
              <w:spacing w:after="0"/>
              <w:rPr>
                <w:sz w:val="20"/>
                <w:szCs w:val="20"/>
                <w:color w:val="auto"/>
              </w:rPr>
            </w:pPr>
            <w:r>
              <w:rPr>
                <w:rFonts w:ascii="Arial" w:cs="Arial" w:eastAsia="Arial" w:hAnsi="Arial"/>
                <w:sz w:val="16"/>
                <w:szCs w:val="16"/>
                <w:color w:val="auto"/>
              </w:rPr>
              <w:t>net of amounts recycled to profit or loss</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1,441</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77</w:t>
            </w:r>
          </w:p>
        </w:tc>
        <w:tc>
          <w:tcPr>
            <w:tcW w:w="1240" w:type="dxa"/>
            <w:vAlign w:val="bottom"/>
          </w:tcPr>
          <w:p>
            <w:pPr>
              <w:jc w:val="right"/>
              <w:spacing w:after="0"/>
              <w:rPr>
                <w:sz w:val="20"/>
                <w:szCs w:val="20"/>
                <w:color w:val="auto"/>
              </w:rPr>
            </w:pPr>
            <w:r>
              <w:rPr>
                <w:rFonts w:ascii="Arial" w:cs="Arial" w:eastAsia="Arial" w:hAnsi="Arial"/>
                <w:sz w:val="16"/>
                <w:szCs w:val="16"/>
                <w:color w:val="auto"/>
              </w:rPr>
              <w:t>2,160</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09"/>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4,368</w:t>
            </w:r>
          </w:p>
        </w:tc>
        <w:tc>
          <w:tcPr>
            <w:tcW w:w="2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Other comprehensive income for the period</w:t>
            </w:r>
          </w:p>
        </w:tc>
        <w:tc>
          <w:tcPr>
            <w:tcW w:w="68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1,441</w:t>
            </w:r>
          </w:p>
        </w:tc>
        <w:tc>
          <w:tcPr>
            <w:tcW w:w="3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2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6,528</w:t>
            </w:r>
          </w:p>
        </w:tc>
        <w:tc>
          <w:tcPr>
            <w:tcW w:w="28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1,287</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68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25,669</w:t>
            </w:r>
          </w:p>
        </w:tc>
        <w:tc>
          <w:tcPr>
            <w:tcW w:w="3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39,338</w:t>
            </w:r>
          </w:p>
        </w:tc>
        <w:tc>
          <w:tcPr>
            <w:tcW w:w="28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61,052</w:t>
            </w:r>
          </w:p>
        </w:tc>
        <w:tc>
          <w:tcPr>
            <w:tcW w:w="28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97,301</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6,776</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18,291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13,100</w:t>
            </w: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35,185</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18,893</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21,047</w:t>
            </w:r>
          </w:p>
        </w:tc>
        <w:tc>
          <w:tcPr>
            <w:tcW w:w="1240" w:type="dxa"/>
            <w:vAlign w:val="bottom"/>
          </w:tcPr>
          <w:p>
            <w:pPr>
              <w:jc w:val="right"/>
              <w:spacing w:after="0"/>
              <w:rPr>
                <w:sz w:val="20"/>
                <w:szCs w:val="20"/>
                <w:color w:val="auto"/>
              </w:rPr>
            </w:pPr>
            <w:r>
              <w:rPr>
                <w:rFonts w:ascii="Arial" w:cs="Arial" w:eastAsia="Arial" w:hAnsi="Arial"/>
                <w:sz w:val="16"/>
                <w:szCs w:val="16"/>
                <w:color w:val="auto"/>
              </w:rPr>
              <w:t>47,952</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62,116</w:t>
            </w:r>
          </w:p>
        </w:tc>
        <w:tc>
          <w:tcPr>
            <w:tcW w:w="0" w:type="dxa"/>
            <w:vAlign w:val="bottom"/>
          </w:tcPr>
          <w:p>
            <w:pPr>
              <w:spacing w:after="0"/>
              <w:rPr>
                <w:sz w:val="1"/>
                <w:szCs w:val="1"/>
                <w:color w:val="auto"/>
              </w:rPr>
            </w:pPr>
          </w:p>
        </w:tc>
      </w:tr>
      <w:tr>
        <w:trPr>
          <w:trHeight w:val="196"/>
        </w:trPr>
        <w:tc>
          <w:tcPr>
            <w:tcW w:w="4480" w:type="dxa"/>
            <w:vAlign w:val="bottom"/>
            <w:tcBorders>
              <w:top w:val="single" w:sz="8" w:color="E5FFFF"/>
              <w:bottom w:val="single" w:sz="8" w:color="E5FFFF"/>
            </w:tcBorders>
            <w:shd w:val="clear" w:color="auto" w:fill="E5FFFF"/>
          </w:tcPr>
          <w:p>
            <w:pPr>
              <w:spacing w:after="0"/>
              <w:rPr>
                <w:sz w:val="17"/>
                <w:szCs w:val="17"/>
                <w:color w:val="auto"/>
              </w:rPr>
            </w:pPr>
          </w:p>
        </w:tc>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25,669</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39,338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61,052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97,301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(Accumulated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Preference</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Contributed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Treasury</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deficit)/</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Attributable</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Non -</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capital</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shares</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surplus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retained</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to owners of</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controlling</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(Note 12)</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(Note 12)</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(Note 12)</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Reserves</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(Note 12)</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earnings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the Group</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9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Balance as of January 1,</w:t>
            </w:r>
          </w:p>
        </w:tc>
        <w:tc>
          <w:tcPr>
            <w:tcW w:w="8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2017</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46</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966,974</w:t>
            </w: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10,160</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(10,861)</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(21,486)</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945,643</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564,039</w:t>
            </w: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1,509,682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line="173" w:lineRule="exact"/>
              <w:rPr>
                <w:sz w:val="20"/>
                <w:szCs w:val="20"/>
                <w:color w:val="auto"/>
              </w:rPr>
            </w:pPr>
            <w:r>
              <w:rPr>
                <w:rFonts w:ascii="Arial" w:cs="Arial" w:eastAsia="Arial" w:hAnsi="Arial"/>
                <w:sz w:val="16"/>
                <w:szCs w:val="16"/>
                <w:color w:val="auto"/>
                <w:w w:val="99"/>
              </w:rPr>
              <w:t>Net proceeds from GasLog</w:t>
            </w: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w w:val="99"/>
              </w:rPr>
              <w:t>Partners’ public offerings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269,708</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269,708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6"/>
                <w:szCs w:val="16"/>
                <w:color w:val="auto"/>
              </w:rPr>
              <w:t>Dividend declared</w:t>
            </w:r>
          </w:p>
        </w:tc>
        <w:tc>
          <w:tcPr>
            <w:tcW w:w="8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color w:val="auto"/>
                <w:w w:val="98"/>
              </w:rPr>
              <w:t>(common and preference</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color w:val="auto"/>
              </w:rPr>
              <w:t>shares)</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(41,401)</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(41,401)</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(46,844)</w:t>
            </w:r>
          </w:p>
        </w:tc>
        <w:tc>
          <w:tcPr>
            <w:tcW w:w="9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(88,245)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w w:val="95"/>
              </w:rPr>
              <w:t>Share-based 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net of accrued dividend</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3,149</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3,149</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3,149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6"/>
                <w:szCs w:val="16"/>
                <w:color w:val="auto"/>
              </w:rPr>
              <w:t>Settlement of share-based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color w:val="auto"/>
              </w:rPr>
              <w:t>compensation</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(2,061)</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2,212</w:t>
            </w: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151</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151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Profit for the period</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6,572</w:t>
            </w:r>
          </w:p>
        </w:tc>
        <w:tc>
          <w:tcPr>
            <w:tcW w:w="900" w:type="dxa"/>
            <w:vAlign w:val="bottom"/>
          </w:tcPr>
          <w:p>
            <w:pPr>
              <w:jc w:val="right"/>
              <w:spacing w:after="0"/>
              <w:rPr>
                <w:sz w:val="20"/>
                <w:szCs w:val="20"/>
                <w:color w:val="auto"/>
              </w:rPr>
            </w:pPr>
            <w:r>
              <w:rPr>
                <w:rFonts w:ascii="Arial" w:cs="Arial" w:eastAsia="Arial" w:hAnsi="Arial"/>
                <w:sz w:val="16"/>
                <w:szCs w:val="16"/>
                <w:color w:val="auto"/>
              </w:rPr>
              <w:t>47,952</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54,524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6"/>
                <w:szCs w:val="16"/>
                <w:color w:val="auto"/>
              </w:rPr>
              <w:t>Other comprehensive</w:t>
            </w:r>
          </w:p>
        </w:tc>
        <w:tc>
          <w:tcPr>
            <w:tcW w:w="8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color w:val="auto"/>
              </w:rPr>
              <w:t>income for the period</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6,528</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6,528</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6,528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Pr>
          <w:p>
            <w:pPr>
              <w:spacing w:after="0" w:line="169" w:lineRule="exact"/>
              <w:rPr>
                <w:sz w:val="20"/>
                <w:szCs w:val="20"/>
                <w:color w:val="auto"/>
              </w:rPr>
            </w:pPr>
            <w:r>
              <w:rPr>
                <w:rFonts w:ascii="Arial" w:cs="Arial" w:eastAsia="Arial" w:hAnsi="Arial"/>
                <w:sz w:val="16"/>
                <w:szCs w:val="16"/>
                <w:b w:val="1"/>
                <w:bCs w:val="1"/>
                <w:color w:val="auto"/>
              </w:rPr>
              <w:t>Total comprehensive</w:t>
            </w: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6"/>
                <w:szCs w:val="16"/>
                <w:b w:val="1"/>
                <w:bCs w:val="1"/>
                <w:color w:val="auto"/>
              </w:rPr>
              <w:t>income for the period</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6,528</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6,572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13,100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47,952</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61,052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Balance as of</w:t>
            </w:r>
          </w:p>
        </w:tc>
        <w:tc>
          <w:tcPr>
            <w:tcW w:w="8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September 30, 2017</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46</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925,573</w:t>
            </w:r>
          </w:p>
        </w:tc>
        <w:tc>
          <w:tcPr>
            <w:tcW w:w="12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17,776</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(8,649)</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(14,914)</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920,642</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834,855</w:t>
            </w: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1,755,497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tcBorders>
              <w:bottom w:val="single" w:sz="8" w:color="E5FF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shd w:val="clear" w:color="auto" w:fill="E5FFFF"/>
          </w:tcPr>
          <w:p>
            <w:pPr>
              <w:spacing w:after="0" w:line="169" w:lineRule="exact"/>
              <w:rPr>
                <w:sz w:val="20"/>
                <w:szCs w:val="20"/>
                <w:color w:val="auto"/>
              </w:rPr>
            </w:pPr>
            <w:r>
              <w:rPr>
                <w:rFonts w:ascii="Arial" w:cs="Arial" w:eastAsia="Arial" w:hAnsi="Arial"/>
                <w:sz w:val="16"/>
                <w:szCs w:val="16"/>
                <w:b w:val="1"/>
                <w:bCs w:val="1"/>
                <w:color w:val="auto"/>
              </w:rPr>
              <w:t>Balance as of</w:t>
            </w:r>
          </w:p>
        </w:tc>
        <w:tc>
          <w:tcPr>
            <w:tcW w:w="8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December 31, 2017</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46</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911,766</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18,347</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(6,960)</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(5,980)</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918,029</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845,105</w:t>
            </w: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1,763,134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E5FFFF"/>
            </w:tcBorders>
          </w:tcPr>
          <w:p>
            <w:pPr>
              <w:spacing w:after="0" w:line="196" w:lineRule="exact"/>
              <w:rPr>
                <w:sz w:val="20"/>
                <w:szCs w:val="20"/>
                <w:color w:val="auto"/>
              </w:rPr>
            </w:pPr>
            <w:r>
              <w:rPr>
                <w:rFonts w:ascii="Arial" w:cs="Arial" w:eastAsia="Arial" w:hAnsi="Arial"/>
                <w:sz w:val="16"/>
                <w:szCs w:val="16"/>
                <w:color w:val="auto"/>
              </w:rPr>
              <w:t>Opening adjustment</w:t>
            </w:r>
            <w:r>
              <w:rPr>
                <w:rFonts w:ascii="Arial" w:cs="Arial" w:eastAsia="Arial" w:hAnsi="Arial"/>
                <w:sz w:val="21"/>
                <w:szCs w:val="21"/>
                <w:color w:val="auto"/>
                <w:vertAlign w:val="superscript"/>
              </w:rPr>
              <w:t>(1)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E5FF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E5FF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shd w:val="clear" w:color="auto" w:fill="E5FFFF"/>
          </w:tcPr>
          <w:p>
            <w:pPr>
              <w:spacing w:after="0" w:line="169" w:lineRule="exact"/>
              <w:rPr>
                <w:sz w:val="20"/>
                <w:szCs w:val="20"/>
                <w:color w:val="auto"/>
              </w:rPr>
            </w:pPr>
            <w:r>
              <w:rPr>
                <w:rFonts w:ascii="Arial" w:cs="Arial" w:eastAsia="Arial" w:hAnsi="Arial"/>
                <w:sz w:val="16"/>
                <w:szCs w:val="16"/>
                <w:b w:val="1"/>
                <w:bCs w:val="1"/>
                <w:color w:val="auto"/>
              </w:rPr>
              <w:t>Balance as of January 1,</w:t>
            </w:r>
          </w:p>
        </w:tc>
        <w:tc>
          <w:tcPr>
            <w:tcW w:w="8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2018</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46</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911,766</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17,911</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(6,960)</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(5,790)</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917,783</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845,105</w:t>
            </w: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1,762,888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line="173" w:lineRule="exact"/>
              <w:rPr>
                <w:sz w:val="20"/>
                <w:szCs w:val="20"/>
                <w:color w:val="auto"/>
              </w:rPr>
            </w:pPr>
            <w:r>
              <w:rPr>
                <w:rFonts w:ascii="Arial" w:cs="Arial" w:eastAsia="Arial" w:hAnsi="Arial"/>
                <w:sz w:val="16"/>
                <w:szCs w:val="16"/>
                <w:color w:val="auto"/>
                <w:w w:val="99"/>
              </w:rPr>
              <w:t>Net proceeds from GasLog</w:t>
            </w: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w w:val="99"/>
              </w:rPr>
              <w:t>Partners’ public offerings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(Note 3)</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165,151</w:t>
            </w:r>
          </w:p>
        </w:tc>
        <w:tc>
          <w:tcPr>
            <w:tcW w:w="1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165,151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6"/>
                <w:szCs w:val="16"/>
                <w:color w:val="auto"/>
              </w:rPr>
              <w:t>Dividend declared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color w:val="auto"/>
                <w:w w:val="98"/>
              </w:rPr>
              <w:t>(common and preference</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color w:val="auto"/>
                <w:w w:val="99"/>
              </w:rPr>
              <w:t>shares) (Notes 3 and 12)</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(28,452)</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(14,638)</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(43,090)</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(64,686)</w:t>
            </w:r>
          </w:p>
        </w:tc>
        <w:tc>
          <w:tcPr>
            <w:tcW w:w="9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(107,776)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w w:val="95"/>
              </w:rPr>
              <w:t>Share-based 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net of accrued dividend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(Note 17)</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3,431</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3,431</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3,431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6"/>
                <w:szCs w:val="16"/>
                <w:color w:val="auto"/>
              </w:rPr>
              <w:t>Settlement of share-based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color w:val="auto"/>
              </w:rPr>
              <w:t>compensation</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(2,495)</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2,598</w:t>
            </w: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103</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Treasury shares, net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33,898</w:t>
            </w: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33,898</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62,116</w:t>
            </w: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96,014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income for the period</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1,287</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1,287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Total comprehensive</w:t>
            </w:r>
          </w:p>
        </w:tc>
        <w:tc>
          <w:tcPr>
            <w:tcW w:w="8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income for the period</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1,287</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33,898</w:t>
            </w:r>
          </w:p>
        </w:tc>
        <w:tc>
          <w:tcPr>
            <w:tcW w:w="1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35,185</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62,116</w:t>
            </w: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97,301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w:t>
            </w: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vMerge w:val="restart"/>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883,314</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20,134</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(4,424)</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13,470</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913,350</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1,007,686</w:t>
            </w:r>
          </w:p>
        </w:tc>
        <w:tc>
          <w:tcPr>
            <w:tcW w:w="12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1,921,036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b w:val="1"/>
                <w:bCs w:val="1"/>
                <w:color w:val="auto"/>
              </w:rPr>
              <w:t>September 30, 2018</w:t>
            </w: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00" w:right="80" w:hanging="292"/>
        <w:spacing w:after="0" w:line="253" w:lineRule="auto"/>
        <w:tabs>
          <w:tab w:leader="none" w:pos="300" w:val="left"/>
        </w:tabs>
        <w:numPr>
          <w:ilvl w:val="0"/>
          <w:numId w:val="13"/>
        </w:numPr>
        <w:rPr>
          <w:rFonts w:ascii="Arial" w:cs="Arial" w:eastAsia="Arial" w:hAnsi="Arial"/>
          <w:sz w:val="11"/>
          <w:szCs w:val="11"/>
          <w:color w:val="auto"/>
        </w:rPr>
      </w:pPr>
      <w:r>
        <w:rPr>
          <w:rFonts w:ascii="Arial" w:cs="Arial" w:eastAsia="Arial" w:hAnsi="Arial"/>
          <w:sz w:val="14"/>
          <w:szCs w:val="14"/>
          <w:color w:val="auto"/>
        </w:rPr>
        <w:t xml:space="preserve">Adjusted so as to reflect certain amendments introduced due to the adoption of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IFRS 9 </w:t>
      </w:r>
      <w:r>
        <w:rPr>
          <w:rFonts w:ascii="Arial" w:cs="Arial" w:eastAsia="Arial" w:hAnsi="Arial"/>
          <w:sz w:val="14"/>
          <w:szCs w:val="14"/>
          <w:i w:val="1"/>
          <w:iCs w:val="1"/>
          <w:color w:val="auto"/>
        </w:rPr>
        <w:t>Financial Instruments</w:t>
      </w:r>
      <w:r>
        <w:rPr>
          <w:rFonts w:ascii="Arial" w:cs="Arial" w:eastAsia="Arial" w:hAnsi="Arial"/>
          <w:sz w:val="14"/>
          <w:szCs w:val="14"/>
          <w:color w:val="auto"/>
        </w:rPr>
        <w:t>, which became effective on January 1, 2018 (Note 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For the nine months ended September 30, 2017 and 2018</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06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Profit for the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54,524</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Depreciation</w:t>
            </w:r>
          </w:p>
        </w:tc>
        <w:tc>
          <w:tcPr>
            <w:tcW w:w="1360" w:type="dxa"/>
            <w:vAlign w:val="bottom"/>
          </w:tcPr>
          <w:p>
            <w:pPr>
              <w:jc w:val="right"/>
              <w:spacing w:after="0"/>
              <w:rPr>
                <w:sz w:val="20"/>
                <w:szCs w:val="20"/>
                <w:color w:val="auto"/>
              </w:rPr>
            </w:pPr>
            <w:r>
              <w:rPr>
                <w:rFonts w:ascii="Arial" w:cs="Arial" w:eastAsia="Arial" w:hAnsi="Arial"/>
                <w:sz w:val="16"/>
                <w:szCs w:val="16"/>
                <w:color w:val="auto"/>
              </w:rPr>
              <w:t>102,606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113,683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(704)</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(1,779)</w:t>
            </w:r>
          </w:p>
        </w:tc>
        <w:tc>
          <w:tcPr>
            <w:tcW w:w="1380" w:type="dxa"/>
            <w:vAlign w:val="bottom"/>
          </w:tcPr>
          <w:p>
            <w:pPr>
              <w:jc w:val="right"/>
              <w:spacing w:after="0"/>
              <w:rPr>
                <w:sz w:val="20"/>
                <w:szCs w:val="20"/>
                <w:color w:val="auto"/>
              </w:rPr>
            </w:pPr>
            <w:r>
              <w:rPr>
                <w:rFonts w:ascii="Arial" w:cs="Arial" w:eastAsia="Arial" w:hAnsi="Arial"/>
                <w:sz w:val="16"/>
                <w:szCs w:val="16"/>
                <w:color w:val="auto"/>
              </w:rPr>
              <w:t>(3,367)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104,311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Unrealized foreign exchange (gain)/loss on cash and cash equivalents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(761)</w:t>
            </w:r>
          </w:p>
        </w:tc>
        <w:tc>
          <w:tcPr>
            <w:tcW w:w="1380" w:type="dxa"/>
            <w:vAlign w:val="bottom"/>
          </w:tcPr>
          <w:p>
            <w:pPr>
              <w:jc w:val="right"/>
              <w:spacing w:after="0"/>
              <w:rPr>
                <w:sz w:val="20"/>
                <w:szCs w:val="20"/>
                <w:color w:val="auto"/>
              </w:rPr>
            </w:pPr>
            <w:r>
              <w:rPr>
                <w:rFonts w:ascii="Arial" w:cs="Arial" w:eastAsia="Arial" w:hAnsi="Arial"/>
                <w:sz w:val="16"/>
                <w:szCs w:val="16"/>
                <w:color w:val="auto"/>
              </w:rPr>
              <w:t>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Unrealized gain on derivative financial instruments held for trading, including ineffective portion of cash flow hedges</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(Note 15)</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(2,034)</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1360" w:type="dxa"/>
            <w:vAlign w:val="bottom"/>
          </w:tcPr>
          <w:p>
            <w:pPr>
              <w:jc w:val="right"/>
              <w:spacing w:after="0"/>
              <w:rPr>
                <w:sz w:val="20"/>
                <w:szCs w:val="20"/>
                <w:color w:val="auto"/>
              </w:rPr>
            </w:pPr>
            <w:r>
              <w:rPr>
                <w:rFonts w:ascii="Arial" w:cs="Arial" w:eastAsia="Arial" w:hAnsi="Arial"/>
                <w:sz w:val="16"/>
                <w:szCs w:val="16"/>
                <w:color w:val="auto"/>
              </w:rPr>
              <w:t>4,368</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 (Note 17)</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3,492</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264,023</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(5,523)</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258,500</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289,388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(103,704)</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(116,771)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154,796</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172,617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Payments for tangible fixed assets, vessels under construction and vessel held under finance lease</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(69,567)</w:t>
            </w:r>
          </w:p>
        </w:tc>
        <w:tc>
          <w:tcPr>
            <w:tcW w:w="1380" w:type="dxa"/>
            <w:vAlign w:val="bottom"/>
          </w:tcPr>
          <w:p>
            <w:pPr>
              <w:jc w:val="right"/>
              <w:spacing w:after="0"/>
              <w:rPr>
                <w:sz w:val="20"/>
                <w:szCs w:val="20"/>
                <w:color w:val="auto"/>
              </w:rPr>
            </w:pPr>
            <w:r>
              <w:rPr>
                <w:rFonts w:ascii="Arial" w:cs="Arial" w:eastAsia="Arial" w:hAnsi="Arial"/>
                <w:sz w:val="16"/>
                <w:szCs w:val="16"/>
                <w:color w:val="auto"/>
              </w:rPr>
              <w:t>(618,601)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Return of contributed capital from associate</w:t>
            </w:r>
          </w:p>
        </w:tc>
        <w:tc>
          <w:tcPr>
            <w:tcW w:w="136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(14,125)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(37,244)</w:t>
            </w:r>
          </w:p>
        </w:tc>
        <w:tc>
          <w:tcPr>
            <w:tcW w:w="1380" w:type="dxa"/>
            <w:vAlign w:val="bottom"/>
          </w:tcPr>
          <w:p>
            <w:pPr>
              <w:jc w:val="right"/>
              <w:spacing w:after="0"/>
              <w:rPr>
                <w:sz w:val="20"/>
                <w:szCs w:val="20"/>
                <w:color w:val="auto"/>
              </w:rPr>
            </w:pPr>
            <w:r>
              <w:rPr>
                <w:rFonts w:ascii="Arial" w:cs="Arial" w:eastAsia="Arial" w:hAnsi="Arial"/>
                <w:sz w:val="16"/>
                <w:szCs w:val="16"/>
                <w:color w:val="auto"/>
              </w:rPr>
              <w:t>(46,000)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33,000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Financial income received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(84,993)</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(624,631)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8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Proceeds from bank loans and bonds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280,000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498,225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Bank loans and bonds repayments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(371,987)</w:t>
            </w:r>
          </w:p>
        </w:tc>
        <w:tc>
          <w:tcPr>
            <w:tcW w:w="1380" w:type="dxa"/>
            <w:vAlign w:val="bottom"/>
          </w:tcPr>
          <w:p>
            <w:pPr>
              <w:jc w:val="right"/>
              <w:spacing w:after="0"/>
              <w:rPr>
                <w:sz w:val="20"/>
                <w:szCs w:val="20"/>
                <w:color w:val="auto"/>
              </w:rPr>
            </w:pPr>
            <w:r>
              <w:rPr>
                <w:rFonts w:ascii="Arial" w:cs="Arial" w:eastAsia="Arial" w:hAnsi="Arial"/>
                <w:sz w:val="16"/>
                <w:szCs w:val="16"/>
                <w:color w:val="auto"/>
              </w:rPr>
              <w:t>(180,792)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(6,245)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Proceeds from GasLog Partners’ public common unit offerings (net of underwriting discounts and commissions)</w:t>
            </w:r>
          </w:p>
        </w:tc>
        <w:tc>
          <w:tcPr>
            <w:tcW w:w="1360" w:type="dxa"/>
            <w:vAlign w:val="bottom"/>
          </w:tcPr>
          <w:p>
            <w:pPr>
              <w:jc w:val="right"/>
              <w:spacing w:after="0"/>
              <w:rPr>
                <w:sz w:val="20"/>
                <w:szCs w:val="20"/>
                <w:color w:val="auto"/>
              </w:rPr>
            </w:pPr>
            <w:r>
              <w:rPr>
                <w:rFonts w:ascii="Arial" w:cs="Arial" w:eastAsia="Arial" w:hAnsi="Arial"/>
                <w:sz w:val="16"/>
                <w:szCs w:val="16"/>
                <w:color w:val="auto"/>
              </w:rPr>
              <w:t>132,410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54,338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Proceeds from GasLog Partners’ preference unit offering (net of underwriting discounts and commissions)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139,222</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(1,216)</w:t>
            </w:r>
          </w:p>
        </w:tc>
        <w:tc>
          <w:tcPr>
            <w:tcW w:w="1380" w:type="dxa"/>
            <w:vAlign w:val="bottom"/>
          </w:tcPr>
          <w:p>
            <w:pPr>
              <w:jc w:val="right"/>
              <w:spacing w:after="0"/>
              <w:rPr>
                <w:sz w:val="20"/>
                <w:szCs w:val="20"/>
                <w:color w:val="auto"/>
              </w:rPr>
            </w:pPr>
            <w:r>
              <w:rPr>
                <w:rFonts w:ascii="Arial" w:cs="Arial" w:eastAsia="Arial" w:hAnsi="Arial"/>
                <w:sz w:val="16"/>
                <w:szCs w:val="16"/>
                <w:color w:val="auto"/>
              </w:rPr>
              <w:t>(929)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Payment for NOK bond repurchase at a premium</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(1,459)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Payment for cross currency swaps’ termination</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(20,603)</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Proceeds from stock options’ exercise</w:t>
            </w:r>
          </w:p>
        </w:tc>
        <w:tc>
          <w:tcPr>
            <w:tcW w:w="1360" w:type="dxa"/>
            <w:vAlign w:val="bottom"/>
          </w:tcPr>
          <w:p>
            <w:pPr>
              <w:jc w:val="right"/>
              <w:spacing w:after="0"/>
              <w:rPr>
                <w:sz w:val="20"/>
                <w:szCs w:val="20"/>
                <w:color w:val="auto"/>
              </w:rPr>
            </w:pPr>
            <w:r>
              <w:rPr>
                <w:rFonts w:ascii="Arial" w:cs="Arial" w:eastAsia="Arial" w:hAnsi="Arial"/>
                <w:sz w:val="16"/>
                <w:szCs w:val="16"/>
                <w:color w:val="auto"/>
              </w:rPr>
              <w:t>341</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(88,245)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(107,776)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Payments for finance lease liability</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(1,781)</w:t>
            </w:r>
          </w:p>
        </w:tc>
        <w:tc>
          <w:tcPr>
            <w:tcW w:w="1380" w:type="dxa"/>
            <w:vAlign w:val="bottom"/>
          </w:tcPr>
          <w:p>
            <w:pPr>
              <w:jc w:val="right"/>
              <w:spacing w:after="0"/>
              <w:rPr>
                <w:sz w:val="20"/>
                <w:szCs w:val="20"/>
                <w:color w:val="auto"/>
              </w:rPr>
            </w:pPr>
            <w:r>
              <w:rPr>
                <w:rFonts w:ascii="Arial" w:cs="Arial" w:eastAsia="Arial" w:hAnsi="Arial"/>
                <w:sz w:val="16"/>
                <w:szCs w:val="16"/>
                <w:color w:val="auto"/>
              </w:rPr>
              <w:t>(5,447)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60,437</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361,913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131,001</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(90,238)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227,024</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358,025</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293,854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Capital expenditures – net payable at the end of the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4,557</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19,954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713</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776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60" w:firstLine="436"/>
        <w:spacing w:after="0" w:line="288" w:lineRule="auto"/>
        <w:rPr>
          <w:sz w:val="20"/>
          <w:szCs w:val="20"/>
          <w:color w:val="auto"/>
        </w:rPr>
      </w:pPr>
      <w:r>
        <w:rPr>
          <w:rFonts w:ascii="Arial" w:cs="Arial" w:eastAsia="Arial" w:hAnsi="Arial"/>
          <w:sz w:val="15"/>
          <w:szCs w:val="15"/>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September 30, 2018, entities controlled by members of the Livanos family, including GasLog’s chairman, are deemed to beneficially own approximately 40.1% of GasLog’s issued and outstanding common shares. As a result of his ownership of GasLog’s common shares, Mr. Livanos can effectively control the outcome of most matters on which GasLog’s shareholders are entitled to vote.</w:t>
      </w:r>
    </w:p>
    <w:p>
      <w:pPr>
        <w:spacing w:after="0" w:line="181" w:lineRule="exact"/>
        <w:rPr>
          <w:sz w:val="20"/>
          <w:szCs w:val="20"/>
          <w:color w:val="auto"/>
        </w:rPr>
      </w:pPr>
    </w:p>
    <w:p>
      <w:pPr>
        <w:ind w:right="180" w:firstLine="405"/>
        <w:spacing w:after="0" w:line="273" w:lineRule="auto"/>
        <w:rPr>
          <w:sz w:val="20"/>
          <w:szCs w:val="20"/>
          <w:color w:val="auto"/>
        </w:rPr>
      </w:pPr>
      <w:r>
        <w:rPr>
          <w:rFonts w:ascii="Arial" w:cs="Arial" w:eastAsia="Arial" w:hAnsi="Arial"/>
          <w:sz w:val="16"/>
          <w:szCs w:val="16"/>
          <w:color w:val="auto"/>
        </w:rPr>
        <w:t>As of September 30, 2018, GasLog held a 27.7%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9" w:lineRule="exact"/>
        <w:rPr>
          <w:sz w:val="20"/>
          <w:szCs w:val="20"/>
          <w:color w:val="auto"/>
        </w:rPr>
      </w:pPr>
    </w:p>
    <w:p>
      <w:pPr>
        <w:ind w:right="180" w:firstLine="436"/>
        <w:spacing w:after="0" w:line="329"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Unless indicated otherwise, the subsidiaries listed below are 100% held (either directly or indirectly) by GasLog. As of September 30, 2018, the Group’s structure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Place of</w:t>
            </w:r>
          </w:p>
        </w:tc>
        <w:tc>
          <w:tcPr>
            <w:tcW w:w="180" w:type="dxa"/>
            <w:vAlign w:val="bottom"/>
          </w:tcPr>
          <w:p>
            <w:pPr>
              <w:spacing w:after="0"/>
              <w:rPr>
                <w:sz w:val="14"/>
                <w:szCs w:val="14"/>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Date of</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Cargo</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Principal activities</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capacity</w:t>
            </w:r>
          </w:p>
        </w:tc>
        <w:tc>
          <w:tcPr>
            <w:tcW w:w="17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Vessel</w:t>
            </w:r>
          </w:p>
        </w:tc>
        <w:tc>
          <w:tcPr>
            <w:tcW w:w="180" w:type="dxa"/>
            <w:vAlign w:val="bottom"/>
          </w:tcPr>
          <w:p>
            <w:pPr>
              <w:spacing w:after="0"/>
              <w:rPr>
                <w:sz w:val="12"/>
                <w:szCs w:val="1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Delivery date</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8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incorporation</w:t>
            </w:r>
          </w:p>
        </w:tc>
        <w:tc>
          <w:tcPr>
            <w:tcW w:w="222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(cbm)</w:t>
            </w:r>
          </w:p>
        </w:tc>
        <w:tc>
          <w:tcPr>
            <w:tcW w:w="1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Investments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BVI</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July 2003</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Holding company</w:t>
            </w:r>
          </w:p>
        </w:tc>
        <w:tc>
          <w:tcPr>
            <w:tcW w:w="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rPr>
              <w:t>GasLog Carriers Ltd. (“GasLog</w:t>
            </w:r>
          </w:p>
        </w:tc>
        <w:tc>
          <w:tcPr>
            <w:tcW w:w="132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February 2008</w:t>
            </w:r>
          </w:p>
        </w:tc>
        <w:tc>
          <w:tcPr>
            <w:tcW w:w="2220" w:type="dxa"/>
            <w:vAlign w:val="bottom"/>
            <w:gridSpan w:val="2"/>
          </w:tcPr>
          <w:p>
            <w:pPr>
              <w:spacing w:after="0" w:line="130" w:lineRule="exact"/>
              <w:rPr>
                <w:sz w:val="20"/>
                <w:szCs w:val="20"/>
                <w:color w:val="auto"/>
              </w:rPr>
            </w:pPr>
            <w:r>
              <w:rPr>
                <w:rFonts w:ascii="Arial" w:cs="Arial" w:eastAsia="Arial" w:hAnsi="Arial"/>
                <w:sz w:val="14"/>
                <w:szCs w:val="14"/>
                <w:color w:val="auto"/>
              </w:rPr>
              <w:t>Holding company</w:t>
            </w:r>
          </w:p>
        </w:tc>
        <w:tc>
          <w:tcPr>
            <w:tcW w:w="960" w:type="dxa"/>
            <w:vAlign w:val="bottom"/>
            <w:gridSpan w:val="2"/>
          </w:tcPr>
          <w:p>
            <w:pPr>
              <w:spacing w:after="0" w:line="130" w:lineRule="exact"/>
              <w:rPr>
                <w:sz w:val="20"/>
                <w:szCs w:val="20"/>
                <w:color w:val="auto"/>
              </w:rPr>
            </w:pPr>
            <w:r>
              <w:rPr>
                <w:rFonts w:ascii="Arial" w:cs="Arial" w:eastAsia="Arial" w:hAnsi="Arial"/>
                <w:sz w:val="14"/>
                <w:szCs w:val="14"/>
                <w:color w:val="auto"/>
              </w:rPr>
              <w:t>—</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136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Carriers”)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Shipping Company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January 2006</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Holding company</w:t>
            </w:r>
          </w:p>
        </w:tc>
        <w:tc>
          <w:tcPr>
            <w:tcW w:w="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GasLog Partners GP LLC</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Marshall Islands</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January 2014</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Holding company</w:t>
            </w: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Cyprus Investments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Cyprus</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December 2016</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Holding company</w:t>
            </w:r>
          </w:p>
        </w:tc>
        <w:tc>
          <w:tcPr>
            <w:tcW w:w="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GasLog Services UK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2"/>
              </w:rPr>
              <w:t>England and Wales</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2014</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Service company</w:t>
            </w: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Services US Inc.</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Delaware</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May 2014</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Service company</w:t>
            </w:r>
          </w:p>
        </w:tc>
        <w:tc>
          <w:tcPr>
            <w:tcW w:w="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GasLog Asia Pte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Singapore</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2015</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Service company</w:t>
            </w: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LNG Services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August 2004</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 management services</w:t>
            </w:r>
          </w:p>
        </w:tc>
        <w:tc>
          <w:tcPr>
            <w:tcW w:w="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GasLog Monaco S.A.M.</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Monaco</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February 2010</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Service company</w:t>
            </w: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GAS-one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February 2008</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Savannah</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May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GAS-two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February 2008</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GasLog Singapore</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July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GAS-six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February 2011</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Skagen</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July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GAS-nine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June 2011</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GasLog Saratoga</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December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GAS-ten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June 2011</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Salem</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GAS-twelve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December 2012</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GasLog Glasgow</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June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GAS-fifteen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August 2013</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153,600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Chelsea</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GAS-eighteen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January 2014</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Methane Lydon Volney</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two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May 2014</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Genoa</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March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GAS-twenty three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2014</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Hull No. 2131</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Q1 2019</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four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June 2014</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Houston</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January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GAS-twenty five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June 2014</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GasLog Hong Kong</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March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six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January 2015</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 xml:space="preserve">Finance lease asset company </w:t>
            </w:r>
            <w:r>
              <w:rPr>
                <w:rFonts w:ascii="Arial" w:cs="Arial" w:eastAsia="Arial" w:hAnsi="Arial"/>
                <w:sz w:val="17"/>
                <w:szCs w:val="17"/>
                <w:color w:val="auto"/>
                <w:vertAlign w:val="superscript"/>
              </w:rPr>
              <w:t>(2)</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170,000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Methane Julia Louise</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March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GAS-twenty seven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January 2015</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170,000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Methane Becki Anne</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March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eight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September 2016</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180,000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Hull No. 2213</w:t>
            </w:r>
            <w:r>
              <w:rPr>
                <w:rFonts w:ascii="Arial" w:cs="Arial" w:eastAsia="Arial" w:hAnsi="Arial"/>
                <w:sz w:val="17"/>
                <w:szCs w:val="17"/>
                <w:color w:val="auto"/>
                <w:vertAlign w:val="superscript"/>
              </w:rPr>
              <w:t>(4)</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Q2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GAS-twenty nine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September 2016</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180,000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Hull No. 2212</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Q3 2019</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December 2017</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180,000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Hull No. 2262</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Q3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GAS-thirty one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December 2017</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180,000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Hull No. 2274</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Q2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two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December 2017</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Hull No. 2300</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Q4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GAS-thirty three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2018</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Hull No. 2301</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Q4 2020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four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May 2018</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Dormant</w:t>
            </w:r>
          </w:p>
        </w:tc>
        <w:tc>
          <w:tcPr>
            <w:tcW w:w="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GasLog Shipping Limited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BVI</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July 2003</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Dormant</w:t>
            </w: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27.7% interest subsidiaries:</w:t>
            </w:r>
          </w:p>
        </w:tc>
        <w:tc>
          <w:tcPr>
            <w:tcW w:w="180" w:type="dxa"/>
            <w:vAlign w:val="bottom"/>
            <w:shd w:val="clear" w:color="auto" w:fill="E5FFFF"/>
          </w:tcPr>
          <w:p>
            <w:pPr>
              <w:spacing w:after="0"/>
              <w:rPr>
                <w:sz w:val="12"/>
                <w:szCs w:val="12"/>
                <w:color w:val="auto"/>
              </w:rPr>
            </w:pPr>
          </w:p>
        </w:tc>
        <w:tc>
          <w:tcPr>
            <w:tcW w:w="1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1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GasLog Partners LP</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Marshall Islands</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January 2014</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Holding company</w:t>
            </w: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Marshall Islands</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April 2014</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Holding company</w:t>
            </w:r>
          </w:p>
        </w:tc>
        <w:tc>
          <w:tcPr>
            <w:tcW w:w="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GAS-three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April 2010</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GasLog Shanghai</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GAS-four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April 2010</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Santiago</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GAS-five Ltd.</w:t>
            </w: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February 2011</w:t>
            </w: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i w:val="1"/>
                <w:iCs w:val="1"/>
                <w:color w:val="auto"/>
              </w:rPr>
              <w:t>GasLog Sydney</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GAS-seven Ltd.</w:t>
            </w:r>
          </w:p>
        </w:tc>
        <w:tc>
          <w:tcPr>
            <w:tcW w:w="132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Bermuda</w:t>
            </w:r>
          </w:p>
        </w:tc>
        <w:tc>
          <w:tcPr>
            <w:tcW w:w="1560" w:type="dxa"/>
            <w:vAlign w:val="bottom"/>
            <w:gridSpan w:val="3"/>
            <w:shd w:val="clear" w:color="auto" w:fill="E5FFFF"/>
          </w:tcPr>
          <w:p>
            <w:pPr>
              <w:ind w:left="180"/>
              <w:spacing w:after="0" w:line="149" w:lineRule="exact"/>
              <w:rPr>
                <w:sz w:val="20"/>
                <w:szCs w:val="20"/>
                <w:color w:val="auto"/>
              </w:rPr>
            </w:pPr>
            <w:r>
              <w:rPr>
                <w:rFonts w:ascii="Arial" w:cs="Arial" w:eastAsia="Arial" w:hAnsi="Arial"/>
                <w:sz w:val="14"/>
                <w:szCs w:val="14"/>
                <w:color w:val="auto"/>
              </w:rPr>
              <w:t>March 2011</w:t>
            </w:r>
          </w:p>
        </w:tc>
        <w:tc>
          <w:tcPr>
            <w:tcW w:w="22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Vessel-owning company</w:t>
            </w:r>
          </w:p>
        </w:tc>
        <w:tc>
          <w:tcPr>
            <w:tcW w:w="8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E5FFFF"/>
          </w:tcPr>
          <w:p>
            <w:pPr>
              <w:spacing w:after="0"/>
              <w:rPr>
                <w:sz w:val="12"/>
                <w:szCs w:val="12"/>
                <w:color w:val="auto"/>
              </w:rPr>
            </w:pPr>
          </w:p>
        </w:tc>
        <w:tc>
          <w:tcPr>
            <w:tcW w:w="1700" w:type="dxa"/>
            <w:vAlign w:val="bottom"/>
            <w:shd w:val="clear" w:color="auto" w:fill="E5FFFF"/>
          </w:tcPr>
          <w:p>
            <w:pPr>
              <w:spacing w:after="0" w:line="149" w:lineRule="exact"/>
              <w:rPr>
                <w:sz w:val="20"/>
                <w:szCs w:val="20"/>
                <w:color w:val="auto"/>
              </w:rPr>
            </w:pPr>
            <w:r>
              <w:rPr>
                <w:rFonts w:ascii="Arial" w:cs="Arial" w:eastAsia="Arial" w:hAnsi="Arial"/>
                <w:sz w:val="14"/>
                <w:szCs w:val="14"/>
                <w:i w:val="1"/>
                <w:iCs w:val="1"/>
                <w:color w:val="auto"/>
              </w:rPr>
              <w:t>GasLog Seattle</w:t>
            </w:r>
          </w:p>
        </w:tc>
        <w:tc>
          <w:tcPr>
            <w:tcW w:w="136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December 2013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20"/>
                <w:szCs w:val="20"/>
                <w:color w:val="auto"/>
              </w:rPr>
            </w:pPr>
            <w:r>
              <w:rPr>
                <w:rFonts w:ascii="Arial" w:cs="Arial" w:eastAsia="Arial" w:hAnsi="Arial"/>
                <w:sz w:val="14"/>
                <w:szCs w:val="14"/>
                <w:color w:val="auto"/>
              </w:rPr>
              <w:t>GAS-eight Ltd.</w:t>
            </w:r>
          </w:p>
        </w:tc>
        <w:tc>
          <w:tcPr>
            <w:tcW w:w="1400" w:type="dxa"/>
            <w:vAlign w:val="bottom"/>
          </w:tcPr>
          <w:p>
            <w:pPr>
              <w:ind w:left="260"/>
              <w:spacing w:after="0"/>
              <w:rPr>
                <w:sz w:val="20"/>
                <w:szCs w:val="20"/>
                <w:color w:val="auto"/>
              </w:rPr>
            </w:pPr>
            <w:r>
              <w:rPr>
                <w:rFonts w:ascii="Arial" w:cs="Arial" w:eastAsia="Arial" w:hAnsi="Arial"/>
                <w:sz w:val="14"/>
                <w:szCs w:val="14"/>
                <w:color w:val="auto"/>
              </w:rPr>
              <w:t>Bermuda</w:t>
            </w:r>
          </w:p>
        </w:tc>
        <w:tc>
          <w:tcPr>
            <w:tcW w:w="1340" w:type="dxa"/>
            <w:vAlign w:val="bottom"/>
          </w:tcPr>
          <w:p>
            <w:pPr>
              <w:ind w:left="180"/>
              <w:spacing w:after="0"/>
              <w:rPr>
                <w:sz w:val="20"/>
                <w:szCs w:val="20"/>
                <w:color w:val="auto"/>
              </w:rPr>
            </w:pPr>
            <w:r>
              <w:rPr>
                <w:rFonts w:ascii="Arial" w:cs="Arial" w:eastAsia="Arial" w:hAnsi="Arial"/>
                <w:sz w:val="14"/>
                <w:szCs w:val="14"/>
                <w:color w:val="auto"/>
              </w:rPr>
              <w:t>March 2011</w:t>
            </w:r>
          </w:p>
        </w:tc>
        <w:tc>
          <w:tcPr>
            <w:tcW w:w="2040" w:type="dxa"/>
            <w:vAlign w:val="bottom"/>
          </w:tcPr>
          <w:p>
            <w:pPr>
              <w:ind w:left="220"/>
              <w:spacing w:after="0"/>
              <w:rPr>
                <w:sz w:val="20"/>
                <w:szCs w:val="20"/>
                <w:color w:val="auto"/>
              </w:rPr>
            </w:pPr>
            <w:r>
              <w:rPr>
                <w:rFonts w:ascii="Arial" w:cs="Arial" w:eastAsia="Arial" w:hAnsi="Arial"/>
                <w:sz w:val="14"/>
                <w:szCs w:val="14"/>
                <w:color w:val="auto"/>
              </w:rPr>
              <w:t>Vessel-owning company</w:t>
            </w:r>
          </w:p>
        </w:tc>
        <w:tc>
          <w:tcPr>
            <w:tcW w:w="1120" w:type="dxa"/>
            <w:vAlign w:val="bottom"/>
          </w:tcPr>
          <w:p>
            <w:pPr>
              <w:ind w:left="400"/>
              <w:spacing w:after="0"/>
              <w:rPr>
                <w:sz w:val="20"/>
                <w:szCs w:val="20"/>
                <w:color w:val="auto"/>
              </w:rPr>
            </w:pPr>
            <w:r>
              <w:rPr>
                <w:rFonts w:ascii="Arial" w:cs="Arial" w:eastAsia="Arial" w:hAnsi="Arial"/>
                <w:sz w:val="14"/>
                <w:szCs w:val="14"/>
                <w:color w:val="auto"/>
              </w:rPr>
              <w:t>155,000</w:t>
            </w:r>
          </w:p>
        </w:tc>
        <w:tc>
          <w:tcPr>
            <w:tcW w:w="1940" w:type="dxa"/>
            <w:vAlign w:val="bottom"/>
          </w:tcPr>
          <w:p>
            <w:pPr>
              <w:ind w:left="240"/>
              <w:spacing w:after="0"/>
              <w:rPr>
                <w:sz w:val="20"/>
                <w:szCs w:val="20"/>
                <w:color w:val="auto"/>
              </w:rPr>
            </w:pPr>
            <w:r>
              <w:rPr>
                <w:rFonts w:ascii="Arial" w:cs="Arial" w:eastAsia="Arial" w:hAnsi="Arial"/>
                <w:sz w:val="14"/>
                <w:szCs w:val="14"/>
                <w:i w:val="1"/>
                <w:iCs w:val="1"/>
                <w:color w:val="auto"/>
              </w:rPr>
              <w:t>Solaris</w:t>
            </w:r>
          </w:p>
        </w:tc>
        <w:tc>
          <w:tcPr>
            <w:tcW w:w="1360" w:type="dxa"/>
            <w:vAlign w:val="bottom"/>
          </w:tcPr>
          <w:p>
            <w:pPr>
              <w:ind w:left="180"/>
              <w:spacing w:after="0"/>
              <w:rPr>
                <w:sz w:val="20"/>
                <w:szCs w:val="20"/>
                <w:color w:val="auto"/>
              </w:rPr>
            </w:pPr>
            <w:r>
              <w:rPr>
                <w:rFonts w:ascii="Arial" w:cs="Arial" w:eastAsia="Arial" w:hAnsi="Arial"/>
                <w:sz w:val="14"/>
                <w:szCs w:val="14"/>
                <w:color w:val="auto"/>
              </w:rPr>
              <w:t>June 2014</w:t>
            </w:r>
          </w:p>
        </w:tc>
      </w:tr>
      <w:tr>
        <w:trPr>
          <w:trHeight w:val="149"/>
        </w:trPr>
        <w:tc>
          <w:tcPr>
            <w:tcW w:w="22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GAS-eleven Ltd.</w:t>
            </w:r>
          </w:p>
        </w:tc>
        <w:tc>
          <w:tcPr>
            <w:tcW w:w="1400" w:type="dxa"/>
            <w:vAlign w:val="bottom"/>
            <w:shd w:val="clear" w:color="auto" w:fill="E5FFFF"/>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December 2012</w:t>
            </w:r>
          </w:p>
        </w:tc>
        <w:tc>
          <w:tcPr>
            <w:tcW w:w="204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shd w:val="clear" w:color="auto" w:fill="E5FFFF"/>
          </w:tcPr>
          <w:p>
            <w:pPr>
              <w:ind w:left="400"/>
              <w:spacing w:after="0" w:line="149" w:lineRule="exact"/>
              <w:rPr>
                <w:sz w:val="20"/>
                <w:szCs w:val="20"/>
                <w:color w:val="auto"/>
              </w:rPr>
            </w:pPr>
            <w:r>
              <w:rPr>
                <w:rFonts w:ascii="Arial" w:cs="Arial" w:eastAsia="Arial" w:hAnsi="Arial"/>
                <w:sz w:val="14"/>
                <w:szCs w:val="14"/>
                <w:color w:val="auto"/>
              </w:rPr>
              <w:t>174,000</w:t>
            </w:r>
          </w:p>
        </w:tc>
        <w:tc>
          <w:tcPr>
            <w:tcW w:w="1940" w:type="dxa"/>
            <w:vAlign w:val="bottom"/>
            <w:shd w:val="clear" w:color="auto" w:fill="E5FFFF"/>
          </w:tcPr>
          <w:p>
            <w:pPr>
              <w:ind w:left="240"/>
              <w:spacing w:after="0" w:line="149" w:lineRule="exact"/>
              <w:rPr>
                <w:sz w:val="20"/>
                <w:szCs w:val="20"/>
                <w:color w:val="auto"/>
              </w:rPr>
            </w:pPr>
            <w:r>
              <w:rPr>
                <w:rFonts w:ascii="Arial" w:cs="Arial" w:eastAsia="Arial" w:hAnsi="Arial"/>
                <w:sz w:val="14"/>
                <w:szCs w:val="14"/>
                <w:i w:val="1"/>
                <w:iCs w:val="1"/>
                <w:color w:val="auto"/>
              </w:rPr>
              <w:t>GasLog Greece</w:t>
            </w:r>
          </w:p>
        </w:tc>
        <w:tc>
          <w:tcPr>
            <w:tcW w:w="136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March 2016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GAS-thirteen Ltd.</w:t>
            </w:r>
          </w:p>
        </w:tc>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July 2013</w:t>
            </w:r>
          </w:p>
        </w:tc>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174,000</w:t>
            </w:r>
          </w:p>
        </w:tc>
        <w:tc>
          <w:tcPr>
            <w:tcW w:w="194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GasLog Geneva</w:t>
            </w:r>
          </w:p>
        </w:tc>
        <w:tc>
          <w:tcPr>
            <w:tcW w:w="1360" w:type="dxa"/>
            <w:vAlign w:val="bottom"/>
          </w:tcPr>
          <w:p>
            <w:pPr>
              <w:ind w:left="180"/>
              <w:spacing w:after="0" w:line="149" w:lineRule="exact"/>
              <w:rPr>
                <w:sz w:val="20"/>
                <w:szCs w:val="20"/>
                <w:color w:val="auto"/>
              </w:rPr>
            </w:pPr>
            <w:r>
              <w:rPr>
                <w:rFonts w:ascii="Arial" w:cs="Arial" w:eastAsia="Arial" w:hAnsi="Arial"/>
                <w:sz w:val="14"/>
                <w:szCs w:val="14"/>
                <w:color w:val="auto"/>
              </w:rPr>
              <w:t>September 2016</w:t>
            </w:r>
          </w:p>
        </w:tc>
      </w:tr>
      <w:tr>
        <w:trPr>
          <w:trHeight w:val="149"/>
        </w:trPr>
        <w:tc>
          <w:tcPr>
            <w:tcW w:w="22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400" w:type="dxa"/>
            <w:vAlign w:val="bottom"/>
            <w:shd w:val="clear" w:color="auto" w:fill="E5FFFF"/>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July 2013</w:t>
            </w:r>
          </w:p>
        </w:tc>
        <w:tc>
          <w:tcPr>
            <w:tcW w:w="204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shd w:val="clear" w:color="auto" w:fill="E5FFFF"/>
          </w:tcPr>
          <w:p>
            <w:pPr>
              <w:ind w:left="400"/>
              <w:spacing w:after="0" w:line="149" w:lineRule="exact"/>
              <w:rPr>
                <w:sz w:val="20"/>
                <w:szCs w:val="20"/>
                <w:color w:val="auto"/>
              </w:rPr>
            </w:pPr>
            <w:r>
              <w:rPr>
                <w:rFonts w:ascii="Arial" w:cs="Arial" w:eastAsia="Arial" w:hAnsi="Arial"/>
                <w:sz w:val="14"/>
                <w:szCs w:val="14"/>
                <w:color w:val="auto"/>
              </w:rPr>
              <w:t>174,000</w:t>
            </w:r>
          </w:p>
        </w:tc>
        <w:tc>
          <w:tcPr>
            <w:tcW w:w="1940" w:type="dxa"/>
            <w:vAlign w:val="bottom"/>
            <w:shd w:val="clear" w:color="auto" w:fill="E5FFFF"/>
          </w:tcPr>
          <w:p>
            <w:pPr>
              <w:ind w:left="240"/>
              <w:spacing w:after="0" w:line="149" w:lineRule="exact"/>
              <w:rPr>
                <w:sz w:val="20"/>
                <w:szCs w:val="20"/>
                <w:color w:val="auto"/>
              </w:rPr>
            </w:pPr>
            <w:r>
              <w:rPr>
                <w:rFonts w:ascii="Arial" w:cs="Arial" w:eastAsia="Arial" w:hAnsi="Arial"/>
                <w:sz w:val="14"/>
                <w:szCs w:val="14"/>
                <w:i w:val="1"/>
                <w:iCs w:val="1"/>
                <w:color w:val="auto"/>
              </w:rPr>
              <w:t>GasLog Gibraltar</w:t>
            </w:r>
          </w:p>
        </w:tc>
        <w:tc>
          <w:tcPr>
            <w:tcW w:w="136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October 2016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GAS-sixteen Ltd.</w:t>
            </w:r>
          </w:p>
        </w:tc>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January 2014</w:t>
            </w:r>
          </w:p>
        </w:tc>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145,000</w:t>
            </w:r>
          </w:p>
        </w:tc>
        <w:tc>
          <w:tcPr>
            <w:tcW w:w="194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Methane Rita Andrea</w:t>
            </w:r>
          </w:p>
        </w:tc>
        <w:tc>
          <w:tcPr>
            <w:tcW w:w="1360" w:type="dxa"/>
            <w:vAlign w:val="bottom"/>
          </w:tcPr>
          <w:p>
            <w:pPr>
              <w:ind w:left="180"/>
              <w:spacing w:after="0" w:line="149" w:lineRule="exact"/>
              <w:rPr>
                <w:sz w:val="20"/>
                <w:szCs w:val="20"/>
                <w:color w:val="auto"/>
              </w:rPr>
            </w:pPr>
            <w:r>
              <w:rPr>
                <w:rFonts w:ascii="Arial" w:cs="Arial" w:eastAsia="Arial" w:hAnsi="Arial"/>
                <w:sz w:val="14"/>
                <w:szCs w:val="14"/>
                <w:color w:val="auto"/>
              </w:rPr>
              <w:t>April 2014</w:t>
            </w:r>
          </w:p>
        </w:tc>
      </w:tr>
      <w:tr>
        <w:trPr>
          <w:trHeight w:val="149"/>
        </w:trPr>
        <w:tc>
          <w:tcPr>
            <w:tcW w:w="22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400" w:type="dxa"/>
            <w:vAlign w:val="bottom"/>
            <w:shd w:val="clear" w:color="auto" w:fill="E5FFFF"/>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January 2014</w:t>
            </w:r>
          </w:p>
        </w:tc>
        <w:tc>
          <w:tcPr>
            <w:tcW w:w="204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shd w:val="clear" w:color="auto" w:fill="E5FFFF"/>
          </w:tcPr>
          <w:p>
            <w:pPr>
              <w:ind w:left="400"/>
              <w:spacing w:after="0" w:line="149" w:lineRule="exact"/>
              <w:rPr>
                <w:sz w:val="20"/>
                <w:szCs w:val="20"/>
                <w:color w:val="auto"/>
              </w:rPr>
            </w:pPr>
            <w:r>
              <w:rPr>
                <w:rFonts w:ascii="Arial" w:cs="Arial" w:eastAsia="Arial" w:hAnsi="Arial"/>
                <w:sz w:val="14"/>
                <w:szCs w:val="14"/>
                <w:color w:val="auto"/>
              </w:rPr>
              <w:t>145,000</w:t>
            </w:r>
          </w:p>
        </w:tc>
        <w:tc>
          <w:tcPr>
            <w:tcW w:w="1940" w:type="dxa"/>
            <w:vAlign w:val="bottom"/>
            <w:shd w:val="clear" w:color="auto" w:fill="E5FFFF"/>
          </w:tcPr>
          <w:p>
            <w:pPr>
              <w:ind w:left="240"/>
              <w:spacing w:after="0" w:line="149" w:lineRule="exact"/>
              <w:rPr>
                <w:sz w:val="20"/>
                <w:szCs w:val="20"/>
                <w:color w:val="auto"/>
              </w:rPr>
            </w:pPr>
            <w:r>
              <w:rPr>
                <w:rFonts w:ascii="Arial" w:cs="Arial" w:eastAsia="Arial" w:hAnsi="Arial"/>
                <w:sz w:val="14"/>
                <w:szCs w:val="14"/>
                <w:i w:val="1"/>
                <w:iCs w:val="1"/>
                <w:color w:val="auto"/>
              </w:rPr>
              <w:t>Methane Jane Elizabeth</w:t>
            </w:r>
          </w:p>
        </w:tc>
        <w:tc>
          <w:tcPr>
            <w:tcW w:w="136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April 2014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GAS-nineteen Ltd.</w:t>
            </w:r>
          </w:p>
        </w:tc>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April 2014</w:t>
            </w:r>
          </w:p>
        </w:tc>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145,000</w:t>
            </w:r>
          </w:p>
        </w:tc>
        <w:tc>
          <w:tcPr>
            <w:tcW w:w="194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Methane Alison Victoria</w:t>
            </w:r>
          </w:p>
        </w:tc>
        <w:tc>
          <w:tcPr>
            <w:tcW w:w="1360" w:type="dxa"/>
            <w:vAlign w:val="bottom"/>
          </w:tcPr>
          <w:p>
            <w:pPr>
              <w:ind w:left="180"/>
              <w:spacing w:after="0" w:line="149" w:lineRule="exact"/>
              <w:rPr>
                <w:sz w:val="20"/>
                <w:szCs w:val="20"/>
                <w:color w:val="auto"/>
              </w:rPr>
            </w:pPr>
            <w:r>
              <w:rPr>
                <w:rFonts w:ascii="Arial" w:cs="Arial" w:eastAsia="Arial" w:hAnsi="Arial"/>
                <w:sz w:val="14"/>
                <w:szCs w:val="14"/>
                <w:color w:val="auto"/>
              </w:rPr>
              <w:t>June 2014</w:t>
            </w:r>
          </w:p>
        </w:tc>
      </w:tr>
      <w:tr>
        <w:trPr>
          <w:trHeight w:val="149"/>
        </w:trPr>
        <w:tc>
          <w:tcPr>
            <w:tcW w:w="22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Ltd.</w:t>
            </w:r>
          </w:p>
        </w:tc>
        <w:tc>
          <w:tcPr>
            <w:tcW w:w="1400" w:type="dxa"/>
            <w:vAlign w:val="bottom"/>
            <w:shd w:val="clear" w:color="auto" w:fill="E5FFFF"/>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April 2014</w:t>
            </w:r>
          </w:p>
        </w:tc>
        <w:tc>
          <w:tcPr>
            <w:tcW w:w="204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shd w:val="clear" w:color="auto" w:fill="E5FFFF"/>
          </w:tcPr>
          <w:p>
            <w:pPr>
              <w:ind w:left="400"/>
              <w:spacing w:after="0" w:line="149" w:lineRule="exact"/>
              <w:rPr>
                <w:sz w:val="20"/>
                <w:szCs w:val="20"/>
                <w:color w:val="auto"/>
              </w:rPr>
            </w:pPr>
            <w:r>
              <w:rPr>
                <w:rFonts w:ascii="Arial" w:cs="Arial" w:eastAsia="Arial" w:hAnsi="Arial"/>
                <w:sz w:val="14"/>
                <w:szCs w:val="14"/>
                <w:color w:val="auto"/>
              </w:rPr>
              <w:t>145,000</w:t>
            </w:r>
          </w:p>
        </w:tc>
        <w:tc>
          <w:tcPr>
            <w:tcW w:w="1940" w:type="dxa"/>
            <w:vAlign w:val="bottom"/>
            <w:shd w:val="clear" w:color="auto" w:fill="E5FFFF"/>
          </w:tcPr>
          <w:p>
            <w:pPr>
              <w:ind w:left="240"/>
              <w:spacing w:after="0" w:line="149" w:lineRule="exact"/>
              <w:rPr>
                <w:sz w:val="20"/>
                <w:szCs w:val="20"/>
                <w:color w:val="auto"/>
              </w:rPr>
            </w:pPr>
            <w:r>
              <w:rPr>
                <w:rFonts w:ascii="Arial" w:cs="Arial" w:eastAsia="Arial" w:hAnsi="Arial"/>
                <w:sz w:val="14"/>
                <w:szCs w:val="14"/>
                <w:i w:val="1"/>
                <w:iCs w:val="1"/>
                <w:color w:val="auto"/>
              </w:rPr>
              <w:t>Methane Shirley Elisabeth</w:t>
            </w:r>
          </w:p>
        </w:tc>
        <w:tc>
          <w:tcPr>
            <w:tcW w:w="136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June 2014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GAS-twenty one Ltd.</w:t>
            </w:r>
          </w:p>
        </w:tc>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April 2014</w:t>
            </w:r>
          </w:p>
        </w:tc>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145,000</w:t>
            </w:r>
          </w:p>
        </w:tc>
        <w:tc>
          <w:tcPr>
            <w:tcW w:w="194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Methane Heather Sally</w:t>
            </w:r>
          </w:p>
        </w:tc>
        <w:tc>
          <w:tcPr>
            <w:tcW w:w="1360" w:type="dxa"/>
            <w:vAlign w:val="bottom"/>
          </w:tcPr>
          <w:p>
            <w:pPr>
              <w:ind w:left="180"/>
              <w:spacing w:after="0" w:line="149" w:lineRule="exact"/>
              <w:rPr>
                <w:sz w:val="20"/>
                <w:szCs w:val="20"/>
                <w:color w:val="auto"/>
              </w:rPr>
            </w:pPr>
            <w:r>
              <w:rPr>
                <w:rFonts w:ascii="Arial" w:cs="Arial" w:eastAsia="Arial" w:hAnsi="Arial"/>
                <w:sz w:val="14"/>
                <w:szCs w:val="14"/>
                <w:color w:val="auto"/>
              </w:rPr>
              <w:t>June 2014</w:t>
            </w:r>
          </w:p>
        </w:tc>
      </w:tr>
      <w:tr>
        <w:trPr>
          <w:trHeight w:val="149"/>
        </w:trPr>
        <w:tc>
          <w:tcPr>
            <w:tcW w:w="222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1400" w:type="dxa"/>
            <w:vAlign w:val="bottom"/>
            <w:shd w:val="clear" w:color="auto" w:fill="E5FFFF"/>
          </w:tcPr>
          <w:p>
            <w:pPr>
              <w:spacing w:after="0"/>
              <w:rPr>
                <w:sz w:val="12"/>
                <w:szCs w:val="12"/>
                <w:color w:val="auto"/>
              </w:rPr>
            </w:pPr>
          </w:p>
        </w:tc>
        <w:tc>
          <w:tcPr>
            <w:tcW w:w="1340" w:type="dxa"/>
            <w:vAlign w:val="bottom"/>
            <w:shd w:val="clear" w:color="auto" w:fill="E5FFFF"/>
          </w:tcPr>
          <w:p>
            <w:pPr>
              <w:spacing w:after="0"/>
              <w:rPr>
                <w:sz w:val="12"/>
                <w:szCs w:val="12"/>
                <w:color w:val="auto"/>
              </w:rPr>
            </w:pPr>
          </w:p>
        </w:tc>
        <w:tc>
          <w:tcPr>
            <w:tcW w:w="204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940" w:type="dxa"/>
            <w:vAlign w:val="bottom"/>
            <w:shd w:val="clear" w:color="auto" w:fill="E5FFFF"/>
          </w:tcPr>
          <w:p>
            <w:pPr>
              <w:spacing w:after="0"/>
              <w:rPr>
                <w:sz w:val="12"/>
                <w:szCs w:val="12"/>
                <w:color w:val="auto"/>
              </w:rPr>
            </w:pPr>
          </w:p>
        </w:tc>
        <w:tc>
          <w:tcPr>
            <w:tcW w:w="1360" w:type="dxa"/>
            <w:vAlign w:val="bottom"/>
            <w:shd w:val="clear" w:color="auto" w:fill="E5FFFF"/>
          </w:tcPr>
          <w:p>
            <w:pPr>
              <w:spacing w:after="0"/>
              <w:rPr>
                <w:sz w:val="12"/>
                <w:szCs w:val="12"/>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Egypt LNG Shipping Ltd.</w:t>
            </w:r>
          </w:p>
        </w:tc>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Bermuda</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May 2010</w:t>
            </w:r>
          </w:p>
        </w:tc>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145,000</w:t>
            </w:r>
          </w:p>
        </w:tc>
        <w:tc>
          <w:tcPr>
            <w:tcW w:w="194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Methane Nile Eagle</w:t>
            </w:r>
          </w:p>
        </w:tc>
        <w:tc>
          <w:tcPr>
            <w:tcW w:w="1360" w:type="dxa"/>
            <w:vAlign w:val="bottom"/>
          </w:tcPr>
          <w:p>
            <w:pPr>
              <w:ind w:left="180"/>
              <w:spacing w:after="0" w:line="149" w:lineRule="exact"/>
              <w:rPr>
                <w:sz w:val="20"/>
                <w:szCs w:val="20"/>
                <w:color w:val="auto"/>
              </w:rPr>
            </w:pPr>
            <w:r>
              <w:rPr>
                <w:rFonts w:ascii="Arial" w:cs="Arial" w:eastAsia="Arial" w:hAnsi="Arial"/>
                <w:sz w:val="14"/>
                <w:szCs w:val="14"/>
                <w:color w:val="auto"/>
              </w:rPr>
              <w:t>December 2007</w:t>
            </w:r>
          </w:p>
        </w:tc>
      </w:tr>
      <w:tr>
        <w:trPr>
          <w:trHeight w:val="149"/>
        </w:trPr>
        <w:tc>
          <w:tcPr>
            <w:tcW w:w="222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20% interest associate:</w:t>
            </w:r>
          </w:p>
        </w:tc>
        <w:tc>
          <w:tcPr>
            <w:tcW w:w="1400" w:type="dxa"/>
            <w:vAlign w:val="bottom"/>
            <w:shd w:val="clear" w:color="auto" w:fill="E5FFFF"/>
          </w:tcPr>
          <w:p>
            <w:pPr>
              <w:spacing w:after="0"/>
              <w:rPr>
                <w:sz w:val="12"/>
                <w:szCs w:val="12"/>
                <w:color w:val="auto"/>
              </w:rPr>
            </w:pPr>
          </w:p>
        </w:tc>
        <w:tc>
          <w:tcPr>
            <w:tcW w:w="1340" w:type="dxa"/>
            <w:vAlign w:val="bottom"/>
            <w:shd w:val="clear" w:color="auto" w:fill="E5FFFF"/>
          </w:tcPr>
          <w:p>
            <w:pPr>
              <w:spacing w:after="0"/>
              <w:rPr>
                <w:sz w:val="12"/>
                <w:szCs w:val="12"/>
                <w:color w:val="auto"/>
              </w:rPr>
            </w:pPr>
          </w:p>
        </w:tc>
        <w:tc>
          <w:tcPr>
            <w:tcW w:w="204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940" w:type="dxa"/>
            <w:vAlign w:val="bottom"/>
            <w:shd w:val="clear" w:color="auto" w:fill="E5FFFF"/>
          </w:tcPr>
          <w:p>
            <w:pPr>
              <w:spacing w:after="0"/>
              <w:rPr>
                <w:sz w:val="12"/>
                <w:szCs w:val="12"/>
                <w:color w:val="auto"/>
              </w:rPr>
            </w:pPr>
          </w:p>
        </w:tc>
        <w:tc>
          <w:tcPr>
            <w:tcW w:w="1360" w:type="dxa"/>
            <w:vAlign w:val="bottom"/>
            <w:shd w:val="clear" w:color="auto" w:fill="E5FFFF"/>
          </w:tcPr>
          <w:p>
            <w:pPr>
              <w:spacing w:after="0"/>
              <w:rPr>
                <w:sz w:val="12"/>
                <w:szCs w:val="12"/>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Gastrade S.A. (“Gastrade”)</w:t>
            </w:r>
          </w:p>
        </w:tc>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Greece</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June 2010</w:t>
            </w:r>
          </w:p>
        </w:tc>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Service company</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22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50% joint venture:</w:t>
            </w:r>
          </w:p>
        </w:tc>
        <w:tc>
          <w:tcPr>
            <w:tcW w:w="1400" w:type="dxa"/>
            <w:vAlign w:val="bottom"/>
            <w:shd w:val="clear" w:color="auto" w:fill="E5FFFF"/>
          </w:tcPr>
          <w:p>
            <w:pPr>
              <w:spacing w:after="0"/>
              <w:rPr>
                <w:sz w:val="12"/>
                <w:szCs w:val="12"/>
                <w:color w:val="auto"/>
              </w:rPr>
            </w:pPr>
          </w:p>
        </w:tc>
        <w:tc>
          <w:tcPr>
            <w:tcW w:w="1340" w:type="dxa"/>
            <w:vAlign w:val="bottom"/>
            <w:shd w:val="clear" w:color="auto" w:fill="E5FFFF"/>
          </w:tcPr>
          <w:p>
            <w:pPr>
              <w:spacing w:after="0"/>
              <w:rPr>
                <w:sz w:val="12"/>
                <w:szCs w:val="12"/>
                <w:color w:val="auto"/>
              </w:rPr>
            </w:pPr>
          </w:p>
        </w:tc>
        <w:tc>
          <w:tcPr>
            <w:tcW w:w="204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940" w:type="dxa"/>
            <w:vAlign w:val="bottom"/>
            <w:shd w:val="clear" w:color="auto" w:fill="E5FFFF"/>
          </w:tcPr>
          <w:p>
            <w:pPr>
              <w:spacing w:after="0"/>
              <w:rPr>
                <w:sz w:val="12"/>
                <w:szCs w:val="12"/>
                <w:color w:val="auto"/>
              </w:rPr>
            </w:pPr>
          </w:p>
        </w:tc>
        <w:tc>
          <w:tcPr>
            <w:tcW w:w="1360" w:type="dxa"/>
            <w:vAlign w:val="bottom"/>
            <w:shd w:val="clear" w:color="auto" w:fill="E5FFFF"/>
          </w:tcPr>
          <w:p>
            <w:pPr>
              <w:spacing w:after="0"/>
              <w:rPr>
                <w:sz w:val="12"/>
                <w:szCs w:val="12"/>
                <w:color w:val="auto"/>
              </w:rPr>
            </w:pPr>
          </w:p>
        </w:tc>
      </w:tr>
      <w:tr>
        <w:trPr>
          <w:trHeight w:val="128"/>
        </w:trPr>
        <w:tc>
          <w:tcPr>
            <w:tcW w:w="2220" w:type="dxa"/>
            <w:vAlign w:val="bottom"/>
          </w:tcPr>
          <w:p>
            <w:pPr>
              <w:spacing w:after="0" w:line="128" w:lineRule="exact"/>
              <w:rPr>
                <w:sz w:val="20"/>
                <w:szCs w:val="20"/>
                <w:color w:val="auto"/>
              </w:rPr>
            </w:pPr>
            <w:r>
              <w:rPr>
                <w:rFonts w:ascii="Arial" w:cs="Arial" w:eastAsia="Arial" w:hAnsi="Arial"/>
                <w:sz w:val="14"/>
                <w:szCs w:val="14"/>
                <w:color w:val="auto"/>
              </w:rPr>
              <w:t>The Cool Pool Limited (the “Cool</w:t>
            </w:r>
          </w:p>
        </w:tc>
        <w:tc>
          <w:tcPr>
            <w:tcW w:w="1400" w:type="dxa"/>
            <w:vAlign w:val="bottom"/>
          </w:tcPr>
          <w:p>
            <w:pPr>
              <w:ind w:left="260"/>
              <w:spacing w:after="0" w:line="128" w:lineRule="exact"/>
              <w:rPr>
                <w:sz w:val="20"/>
                <w:szCs w:val="20"/>
                <w:color w:val="auto"/>
              </w:rPr>
            </w:pPr>
            <w:r>
              <w:rPr>
                <w:rFonts w:ascii="Arial" w:cs="Arial" w:eastAsia="Arial" w:hAnsi="Arial"/>
                <w:sz w:val="14"/>
                <w:szCs w:val="14"/>
                <w:color w:val="auto"/>
              </w:rPr>
              <w:t>Marshall Islands</w:t>
            </w:r>
          </w:p>
        </w:tc>
        <w:tc>
          <w:tcPr>
            <w:tcW w:w="1340" w:type="dxa"/>
            <w:vAlign w:val="bottom"/>
          </w:tcPr>
          <w:p>
            <w:pPr>
              <w:ind w:left="180"/>
              <w:spacing w:after="0" w:line="128" w:lineRule="exact"/>
              <w:rPr>
                <w:sz w:val="20"/>
                <w:szCs w:val="20"/>
                <w:color w:val="auto"/>
              </w:rPr>
            </w:pPr>
            <w:r>
              <w:rPr>
                <w:rFonts w:ascii="Arial" w:cs="Arial" w:eastAsia="Arial" w:hAnsi="Arial"/>
                <w:sz w:val="14"/>
                <w:szCs w:val="14"/>
                <w:color w:val="auto"/>
              </w:rPr>
              <w:t>September 2015</w:t>
            </w:r>
          </w:p>
        </w:tc>
        <w:tc>
          <w:tcPr>
            <w:tcW w:w="2040" w:type="dxa"/>
            <w:vAlign w:val="bottom"/>
          </w:tcPr>
          <w:p>
            <w:pPr>
              <w:ind w:left="220"/>
              <w:spacing w:after="0" w:line="128" w:lineRule="exact"/>
              <w:rPr>
                <w:sz w:val="20"/>
                <w:szCs w:val="20"/>
                <w:color w:val="auto"/>
              </w:rPr>
            </w:pPr>
            <w:r>
              <w:rPr>
                <w:rFonts w:ascii="Arial" w:cs="Arial" w:eastAsia="Arial" w:hAnsi="Arial"/>
                <w:sz w:val="14"/>
                <w:szCs w:val="14"/>
                <w:color w:val="auto"/>
              </w:rPr>
              <w:t>Service company</w:t>
            </w:r>
          </w:p>
        </w:tc>
        <w:tc>
          <w:tcPr>
            <w:tcW w:w="1120" w:type="dxa"/>
            <w:vAlign w:val="bottom"/>
          </w:tcPr>
          <w:p>
            <w:pPr>
              <w:ind w:left="400"/>
              <w:spacing w:after="0" w:line="128" w:lineRule="exact"/>
              <w:rPr>
                <w:sz w:val="20"/>
                <w:szCs w:val="20"/>
                <w:color w:val="auto"/>
              </w:rPr>
            </w:pPr>
            <w:r>
              <w:rPr>
                <w:rFonts w:ascii="Arial" w:cs="Arial" w:eastAsia="Arial" w:hAnsi="Arial"/>
                <w:sz w:val="14"/>
                <w:szCs w:val="14"/>
                <w:color w:val="auto"/>
              </w:rPr>
              <w:t>—</w:t>
            </w:r>
          </w:p>
        </w:tc>
        <w:tc>
          <w:tcPr>
            <w:tcW w:w="1940" w:type="dxa"/>
            <w:vAlign w:val="bottom"/>
          </w:tcPr>
          <w:p>
            <w:pPr>
              <w:ind w:left="240"/>
              <w:spacing w:after="0" w:line="128" w:lineRule="exact"/>
              <w:rPr>
                <w:sz w:val="20"/>
                <w:szCs w:val="20"/>
                <w:color w:val="auto"/>
              </w:rPr>
            </w:pPr>
            <w:r>
              <w:rPr>
                <w:rFonts w:ascii="Arial" w:cs="Arial" w:eastAsia="Arial" w:hAnsi="Arial"/>
                <w:sz w:val="14"/>
                <w:szCs w:val="14"/>
                <w:color w:val="auto"/>
              </w:rPr>
              <w:t>—</w:t>
            </w:r>
          </w:p>
        </w:tc>
        <w:tc>
          <w:tcPr>
            <w:tcW w:w="1360" w:type="dxa"/>
            <w:vAlign w:val="bottom"/>
          </w:tcPr>
          <w:p>
            <w:pPr>
              <w:ind w:left="180"/>
              <w:spacing w:after="0" w:line="128" w:lineRule="exact"/>
              <w:rPr>
                <w:sz w:val="20"/>
                <w:szCs w:val="20"/>
                <w:color w:val="auto"/>
              </w:rPr>
            </w:pPr>
            <w:r>
              <w:rPr>
                <w:rFonts w:ascii="Arial" w:cs="Arial" w:eastAsia="Arial" w:hAnsi="Arial"/>
                <w:sz w:val="14"/>
                <w:szCs w:val="14"/>
                <w:color w:val="auto"/>
              </w:rPr>
              <w:t>—</w:t>
            </w:r>
          </w:p>
        </w:tc>
      </w:tr>
      <w:tr>
        <w:trPr>
          <w:trHeight w:val="234"/>
        </w:trPr>
        <w:tc>
          <w:tcPr>
            <w:tcW w:w="2220" w:type="dxa"/>
            <w:vAlign w:val="bottom"/>
          </w:tcPr>
          <w:p>
            <w:pPr>
              <w:ind w:left="180"/>
              <w:spacing w:after="0"/>
              <w:rPr>
                <w:sz w:val="20"/>
                <w:szCs w:val="20"/>
                <w:color w:val="auto"/>
              </w:rPr>
            </w:pPr>
            <w:r>
              <w:rPr>
                <w:rFonts w:ascii="Arial" w:cs="Arial" w:eastAsia="Arial" w:hAnsi="Arial"/>
                <w:sz w:val="14"/>
                <w:szCs w:val="14"/>
                <w:color w:val="auto"/>
              </w:rPr>
              <w:t xml:space="preserve">Pool”) </w:t>
            </w:r>
            <w:r>
              <w:rPr>
                <w:rFonts w:ascii="Arial" w:cs="Arial" w:eastAsia="Arial" w:hAnsi="Arial"/>
                <w:sz w:val="17"/>
                <w:szCs w:val="17"/>
                <w:color w:val="auto"/>
                <w:vertAlign w:val="superscript"/>
              </w:rPr>
              <w:t>(3)</w:t>
            </w: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2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1"/>
          <w:szCs w:val="11"/>
          <w:color w:val="auto"/>
        </w:rPr>
      </w:pPr>
      <w:r>
        <w:rPr>
          <w:rFonts w:ascii="Arial" w:cs="Arial" w:eastAsia="Arial" w:hAnsi="Arial"/>
          <w:sz w:val="14"/>
          <w:szCs w:val="14"/>
          <w:color w:val="auto"/>
        </w:rPr>
        <w:t>For newbuildings, expected delivery quarters as of September 30, 2018 are presented.</w:t>
      </w:r>
    </w:p>
    <w:p>
      <w:pPr>
        <w:spacing w:after="0" w:line="68" w:lineRule="exact"/>
        <w:rPr>
          <w:rFonts w:ascii="Arial" w:cs="Arial" w:eastAsia="Arial" w:hAnsi="Arial"/>
          <w:sz w:val="11"/>
          <w:szCs w:val="11"/>
          <w:color w:val="auto"/>
        </w:rPr>
      </w:pPr>
    </w:p>
    <w:p>
      <w:pPr>
        <w:ind w:left="320" w:hanging="312"/>
        <w:spacing w:after="0"/>
        <w:tabs>
          <w:tab w:leader="none" w:pos="320" w:val="left"/>
        </w:tabs>
        <w:numPr>
          <w:ilvl w:val="0"/>
          <w:numId w:val="14"/>
        </w:numPr>
        <w:rPr>
          <w:rFonts w:ascii="Arial" w:cs="Arial" w:eastAsia="Arial" w:hAnsi="Arial"/>
          <w:sz w:val="11"/>
          <w:szCs w:val="11"/>
          <w:color w:val="auto"/>
        </w:rPr>
      </w:pPr>
      <w:r>
        <w:rPr>
          <w:rFonts w:ascii="Arial" w:cs="Arial" w:eastAsia="Arial" w:hAnsi="Arial"/>
          <w:sz w:val="14"/>
          <w:szCs w:val="14"/>
          <w:color w:val="auto"/>
        </w:rPr>
        <w:t xml:space="preserve">On February 24, 2016,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a subsidiary of Mitsui Co. Ltd. (“Mitsui”). Refer to Note 6.</w:t>
      </w:r>
    </w:p>
    <w:p>
      <w:pPr>
        <w:spacing w:after="0" w:line="68" w:lineRule="exact"/>
        <w:rPr>
          <w:rFonts w:ascii="Arial" w:cs="Arial" w:eastAsia="Arial" w:hAnsi="Arial"/>
          <w:sz w:val="11"/>
          <w:szCs w:val="11"/>
          <w:color w:val="auto"/>
        </w:rPr>
      </w:pPr>
    </w:p>
    <w:p>
      <w:pPr>
        <w:ind w:left="320" w:right="320" w:hanging="312"/>
        <w:spacing w:after="0" w:line="253" w:lineRule="auto"/>
        <w:tabs>
          <w:tab w:leader="none" w:pos="320" w:val="left"/>
        </w:tabs>
        <w:numPr>
          <w:ilvl w:val="0"/>
          <w:numId w:val="14"/>
        </w:numPr>
        <w:rPr>
          <w:rFonts w:ascii="Arial" w:cs="Arial" w:eastAsia="Arial" w:hAnsi="Arial"/>
          <w:sz w:val="11"/>
          <w:szCs w:val="11"/>
          <w:color w:val="auto"/>
        </w:rPr>
      </w:pPr>
      <w:r>
        <w:rPr>
          <w:rFonts w:ascii="Arial" w:cs="Arial" w:eastAsia="Arial" w:hAnsi="Arial"/>
          <w:sz w:val="14"/>
          <w:szCs w:val="14"/>
          <w:color w:val="auto"/>
        </w:rPr>
        <w:t>On October 1, 2015, GasLog Carriers, Dynagas Ltd. (“Dynagas”) and Golar LNG Limited (“Golar”) (“Pool Owners”) and The Cool Pool Limited signed a LNG carrier pooling agreement (the “LNG Carrier Pool” or “Pool Agreement”) to market their vessels, which are currently operating in the LNG shipping spot market.</w:t>
      </w:r>
    </w:p>
    <w:p>
      <w:pPr>
        <w:spacing w:after="0" w:line="106" w:lineRule="exact"/>
        <w:rPr>
          <w:rFonts w:ascii="Arial" w:cs="Arial" w:eastAsia="Arial" w:hAnsi="Arial"/>
          <w:sz w:val="11"/>
          <w:szCs w:val="11"/>
          <w:color w:val="auto"/>
        </w:rPr>
      </w:pPr>
    </w:p>
    <w:p>
      <w:pPr>
        <w:ind w:left="320" w:right="180"/>
        <w:spacing w:after="0" w:line="242" w:lineRule="auto"/>
        <w:rPr>
          <w:rFonts w:ascii="Arial" w:cs="Arial" w:eastAsia="Arial" w:hAnsi="Arial"/>
          <w:sz w:val="11"/>
          <w:szCs w:val="11"/>
          <w:color w:val="auto"/>
        </w:rPr>
      </w:pPr>
      <w:r>
        <w:rPr>
          <w:rFonts w:ascii="Arial" w:cs="Arial" w:eastAsia="Arial" w:hAnsi="Arial"/>
          <w:sz w:val="13"/>
          <w:szCs w:val="13"/>
          <w:color w:val="auto"/>
        </w:rPr>
        <w:t xml:space="preserve">As of September 30, 2018, the LNG Carrier Pool – named the “Cool Pool” – consists of 16 modern, high quality and essentially equivalent vessels powered by fuel efficient tri-fuel diesel electric (“TFDE”) propulsion technology. The participation of the Pool Owners’ vessels in the Cool Pool is as follows: GasLog: six vessels; and Golar: ten vessels. Each vessel owner continues to be fully responsible for the staffing and technical management of their respective vessels. For the operation of the Cool Pool, a Marshall Islands service company named “The Cool Pool Limited” or the “Pool Manager”, was incorporated in September 2015 acting as an agent. In June and July 2018, Dynagas removed its three vessels from the Cool Pool and ceased to be a shareholder. In addition, as of September 30, 2018,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was substituted for the </w:t>
      </w:r>
      <w:r>
        <w:rPr>
          <w:rFonts w:ascii="Arial" w:cs="Arial" w:eastAsia="Arial" w:hAnsi="Arial"/>
          <w:sz w:val="13"/>
          <w:szCs w:val="13"/>
          <w:i w:val="1"/>
          <w:iCs w:val="1"/>
          <w:color w:val="auto"/>
        </w:rPr>
        <w:t>GasLog Saratoga</w:t>
      </w:r>
      <w:r>
        <w:rPr>
          <w:rFonts w:ascii="Arial" w:cs="Arial" w:eastAsia="Arial" w:hAnsi="Arial"/>
          <w:sz w:val="13"/>
          <w:szCs w:val="13"/>
          <w:color w:val="auto"/>
        </w:rPr>
        <w:t xml:space="preserve"> in the Cool Pool.</w:t>
      </w:r>
    </w:p>
    <w:p>
      <w:pPr>
        <w:spacing w:after="0" w:line="1" w:lineRule="exact"/>
        <w:rPr>
          <w:rFonts w:ascii="Arial" w:cs="Arial" w:eastAsia="Arial" w:hAnsi="Arial"/>
          <w:sz w:val="11"/>
          <w:szCs w:val="11"/>
          <w:color w:val="auto"/>
        </w:rPr>
      </w:pPr>
    </w:p>
    <w:p>
      <w:pPr>
        <w:ind w:left="320" w:right="220" w:hanging="312"/>
        <w:spacing w:after="0" w:line="255" w:lineRule="auto"/>
        <w:tabs>
          <w:tab w:leader="none" w:pos="320" w:val="left"/>
        </w:tabs>
        <w:numPr>
          <w:ilvl w:val="0"/>
          <w:numId w:val="14"/>
        </w:numPr>
        <w:rPr>
          <w:rFonts w:ascii="Arial" w:cs="Arial" w:eastAsia="Arial" w:hAnsi="Arial"/>
          <w:sz w:val="10"/>
          <w:szCs w:val="10"/>
          <w:color w:val="auto"/>
        </w:rPr>
      </w:pPr>
      <w:r>
        <w:rPr>
          <w:rFonts w:ascii="Arial" w:cs="Arial" w:eastAsia="Arial" w:hAnsi="Arial"/>
          <w:sz w:val="13"/>
          <w:szCs w:val="13"/>
          <w:color w:val="auto"/>
        </w:rPr>
        <w:t>On January 12, 2018, GasLog entered into a shipbuilding contract with Samsung Heavy Industries Co. Ltd. (“Samsung”) for the construction of a 180,000 cbm GTT Mark III Flex LNG Carrier with LP-2S propulsion (Hull No. 2213) that is scheduled to be delivered in the second quarter of 2020. This vessel will be chartered to Centrica for an initial period of approximately seven years. The 180,000 cbm GTT Mark III Flex Plus LNG Carrier with LP-2S propulsion (Hull No. 2212) to be delivered in the third quarter of 2019 is currently without charter.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80" w:firstLine="436"/>
        <w:spacing w:after="0" w:line="293"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 issued by the International Accounting Standards Board (“IASB”). Certain information and footnote disclosures required by International Financial Reporting</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2017 filed with the SEC on February 28, 2018. On October 31, 2018 GasLog’s board of directors authorized the unaudited condensed consolidated financial statements for issuance.</w:t>
      </w:r>
    </w:p>
    <w:p>
      <w:pPr>
        <w:spacing w:after="0" w:line="176" w:lineRule="exact"/>
        <w:rPr>
          <w:sz w:val="20"/>
          <w:szCs w:val="20"/>
          <w:color w:val="auto"/>
        </w:rPr>
      </w:pPr>
    </w:p>
    <w:p>
      <w:pPr>
        <w:ind w:right="400" w:firstLine="43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2017 and remain unchanged.</w:t>
      </w:r>
    </w:p>
    <w:p>
      <w:pPr>
        <w:spacing w:after="0" w:line="172" w:lineRule="exact"/>
        <w:rPr>
          <w:sz w:val="20"/>
          <w:szCs w:val="20"/>
          <w:color w:val="auto"/>
        </w:rPr>
      </w:pPr>
    </w:p>
    <w:p>
      <w:pPr>
        <w:ind w:right="20" w:firstLine="43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ind w:right="220" w:firstLine="396"/>
        <w:spacing w:after="0" w:line="273" w:lineRule="auto"/>
        <w:rPr>
          <w:sz w:val="20"/>
          <w:szCs w:val="20"/>
          <w:color w:val="auto"/>
        </w:rPr>
      </w:pPr>
      <w:r>
        <w:rPr>
          <w:rFonts w:ascii="Arial" w:cs="Arial" w:eastAsia="Arial" w:hAnsi="Arial"/>
          <w:sz w:val="16"/>
          <w:szCs w:val="16"/>
          <w:color w:val="auto"/>
        </w:rPr>
        <w:t xml:space="preserve">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2017, except for the changes resulting from the adoption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and IFRS 15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 discussed below).</w:t>
      </w:r>
    </w:p>
    <w:p>
      <w:pPr>
        <w:spacing w:after="0" w:line="189" w:lineRule="exact"/>
        <w:rPr>
          <w:sz w:val="20"/>
          <w:szCs w:val="20"/>
          <w:color w:val="auto"/>
        </w:rPr>
      </w:pPr>
    </w:p>
    <w:p>
      <w:pPr>
        <w:ind w:right="80" w:firstLine="396"/>
        <w:spacing w:after="0" w:line="273" w:lineRule="auto"/>
        <w:rPr>
          <w:sz w:val="20"/>
          <w:szCs w:val="20"/>
          <w:color w:val="auto"/>
        </w:rPr>
      </w:pPr>
      <w:r>
        <w:rPr>
          <w:rFonts w:ascii="Arial" w:cs="Arial" w:eastAsia="Arial" w:hAnsi="Arial"/>
          <w:sz w:val="16"/>
          <w:szCs w:val="16"/>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comply with its financial covenants for at least twelve months from the end of the reporting period and therefore it is appropriate to prepare the financial statements on a going concern 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160" w:firstLine="383"/>
        <w:spacing w:after="0" w:line="269" w:lineRule="auto"/>
        <w:rPr>
          <w:sz w:val="20"/>
          <w:szCs w:val="20"/>
          <w:color w:val="auto"/>
        </w:rPr>
      </w:pPr>
      <w:r>
        <w:rPr>
          <w:rFonts w:ascii="Arial" w:cs="Arial" w:eastAsia="Arial" w:hAnsi="Arial"/>
          <w:sz w:val="16"/>
          <w:szCs w:val="16"/>
          <w:color w:val="auto"/>
        </w:rPr>
        <w:t xml:space="preserve">In May 2014, the IASB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IAS 11 </w:t>
      </w:r>
      <w:r>
        <w:rPr>
          <w:rFonts w:ascii="Arial" w:cs="Arial" w:eastAsia="Arial" w:hAnsi="Arial"/>
          <w:sz w:val="16"/>
          <w:szCs w:val="16"/>
          <w:i w:val="1"/>
          <w:iCs w:val="1"/>
          <w:color w:val="auto"/>
        </w:rPr>
        <w:t>Construction Contracts</w:t>
      </w:r>
      <w:r>
        <w:rPr>
          <w:rFonts w:ascii="Arial" w:cs="Arial" w:eastAsia="Arial" w:hAnsi="Arial"/>
          <w:sz w:val="16"/>
          <w:szCs w:val="16"/>
          <w:color w:val="auto"/>
        </w:rPr>
        <w:t xml:space="preserve"> and a number of revenue-related interpretations. The standard was effective for annual periods beginning on or after January 1, 2018 and was applied by the Group using the modified retrospective approach. The adoption of the standard as of January 1, 2018 resulted in an increase of $246 on the Group’s Accumulated deficit and an increase of the same amount on the Group’s Other payables and accruals under the modified retrospective approach, as a result of the reassessment of the timing of the performance obligations in relation to positioning and repositioning fees and associated expenses.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ind w:right="60" w:firstLine="396"/>
        <w:spacing w:after="0" w:line="318" w:lineRule="auto"/>
        <w:rPr>
          <w:sz w:val="20"/>
          <w:szCs w:val="20"/>
          <w:color w:val="auto"/>
        </w:rPr>
      </w:pPr>
      <w:r>
        <w:rPr>
          <w:rFonts w:ascii="Arial" w:cs="Arial" w:eastAsia="Arial" w:hAnsi="Arial"/>
          <w:sz w:val="14"/>
          <w:szCs w:val="14"/>
          <w:color w:val="auto"/>
        </w:rPr>
        <w:t xml:space="preserve">The Group assessed that under a time charter arrangement, the hire rate per the charter agreement has two components: the lease component and the service component relating to the vessel operating costs. The revenue in relation to the lease component of the agreements is accounted for under the leases standard.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will be accounted for in accordance with the requirements of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w:t>
      </w:r>
    </w:p>
    <w:p>
      <w:pPr>
        <w:spacing w:after="0" w:line="162" w:lineRule="exact"/>
        <w:rPr>
          <w:sz w:val="20"/>
          <w:szCs w:val="20"/>
          <w:color w:val="auto"/>
        </w:rPr>
      </w:pPr>
    </w:p>
    <w:p>
      <w:pPr>
        <w:ind w:right="140" w:firstLine="396"/>
        <w:spacing w:after="0" w:line="273" w:lineRule="auto"/>
        <w:rPr>
          <w:sz w:val="20"/>
          <w:szCs w:val="20"/>
          <w:color w:val="auto"/>
        </w:rPr>
      </w:pPr>
      <w:r>
        <w:rPr>
          <w:rFonts w:ascii="Arial" w:cs="Arial" w:eastAsia="Arial" w:hAnsi="Arial"/>
          <w:sz w:val="16"/>
          <w:szCs w:val="16"/>
          <w:color w:val="auto"/>
        </w:rPr>
        <w:t>In relation to short-term charters under the Cool Pool, management believes mobilization of a vessel from a previous port of discharge to a subsequent port of loading does not result in a separate benefit for charterers and that the activity is thus incapable of being distinct. This activity is considered to be a required set-up activity to fulfil the contract. On that basis, it was concluded that positioning and repositioning fees and associated expenses should be recognized over the period of the contract, and not at a certain point in time.</w:t>
      </w:r>
    </w:p>
    <w:p>
      <w:pPr>
        <w:spacing w:after="0" w:line="189" w:lineRule="exact"/>
        <w:rPr>
          <w:sz w:val="20"/>
          <w:szCs w:val="20"/>
          <w:color w:val="auto"/>
        </w:rPr>
      </w:pPr>
    </w:p>
    <w:p>
      <w:pPr>
        <w:ind w:right="160" w:firstLine="383"/>
        <w:spacing w:after="0" w:line="293" w:lineRule="auto"/>
        <w:rPr>
          <w:sz w:val="20"/>
          <w:szCs w:val="20"/>
          <w:color w:val="auto"/>
        </w:rPr>
      </w:pPr>
      <w:r>
        <w:rPr>
          <w:rFonts w:ascii="Arial" w:cs="Arial" w:eastAsia="Arial" w:hAnsi="Arial"/>
          <w:sz w:val="15"/>
          <w:szCs w:val="15"/>
          <w:color w:val="auto"/>
        </w:rPr>
        <w:t xml:space="preserve">In July 2014, the IASB issued the complete version of IFRS 9 </w:t>
      </w:r>
      <w:r>
        <w:rPr>
          <w:rFonts w:ascii="Arial" w:cs="Arial" w:eastAsia="Arial" w:hAnsi="Arial"/>
          <w:sz w:val="15"/>
          <w:szCs w:val="15"/>
          <w:i w:val="1"/>
          <w:iCs w:val="1"/>
          <w:color w:val="auto"/>
        </w:rPr>
        <w:t>Financial Instruments</w:t>
      </w:r>
      <w:r>
        <w:rPr>
          <w:rFonts w:ascii="Arial" w:cs="Arial" w:eastAsia="Arial" w:hAnsi="Arial"/>
          <w:sz w:val="15"/>
          <w:szCs w:val="15"/>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w:t>
      </w:r>
    </w:p>
    <w:p>
      <w:pPr>
        <w:spacing w:after="0" w:line="176" w:lineRule="exact"/>
        <w:rPr>
          <w:sz w:val="20"/>
          <w:szCs w:val="20"/>
          <w:color w:val="auto"/>
        </w:rPr>
      </w:pPr>
    </w:p>
    <w:p>
      <w:pPr>
        <w:ind w:right="200" w:firstLine="396"/>
        <w:spacing w:after="0" w:line="278" w:lineRule="auto"/>
        <w:rPr>
          <w:sz w:val="20"/>
          <w:szCs w:val="20"/>
          <w:color w:val="auto"/>
        </w:rPr>
      </w:pPr>
      <w:r>
        <w:rPr>
          <w:rFonts w:ascii="Arial" w:cs="Arial" w:eastAsia="Arial" w:hAnsi="Arial"/>
          <w:sz w:val="16"/>
          <w:szCs w:val="16"/>
          <w:color w:val="auto"/>
        </w:rPr>
        <w:t xml:space="preserve">When an entity first applies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it may choose as its accounting policy to continue to apply the hedge accounting requirements of IAS 39 </w:t>
      </w:r>
      <w:r>
        <w:rPr>
          <w:rFonts w:ascii="Arial" w:cs="Arial" w:eastAsia="Arial" w:hAnsi="Arial"/>
          <w:sz w:val="16"/>
          <w:szCs w:val="16"/>
          <w:i w:val="1"/>
          <w:iCs w:val="1"/>
          <w:color w:val="auto"/>
        </w:rPr>
        <w:t>Financial Instruments, Recognition and Measurement</w:t>
      </w:r>
      <w:r>
        <w:rPr>
          <w:rFonts w:ascii="Arial" w:cs="Arial" w:eastAsia="Arial" w:hAnsi="Arial"/>
          <w:sz w:val="16"/>
          <w:szCs w:val="16"/>
          <w:color w:val="auto"/>
        </w:rPr>
        <w:t>, instead of the requirements in Chapter 6 of IFRS 9</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 An entity shall apply that policy to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hedging relationships. The Group has selected to apply hedge accounting under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w:t>
      </w:r>
    </w:p>
    <w:p>
      <w:pPr>
        <w:spacing w:after="0" w:line="184" w:lineRule="exact"/>
        <w:rPr>
          <w:sz w:val="20"/>
          <w:szCs w:val="20"/>
          <w:color w:val="auto"/>
        </w:rPr>
      </w:pPr>
    </w:p>
    <w:p>
      <w:pPr>
        <w:ind w:right="300" w:firstLine="396"/>
        <w:spacing w:after="0" w:line="273" w:lineRule="auto"/>
        <w:rPr>
          <w:sz w:val="20"/>
          <w:szCs w:val="20"/>
          <w:color w:val="auto"/>
        </w:rPr>
      </w:pPr>
      <w:r>
        <w:rPr>
          <w:rFonts w:ascii="Arial" w:cs="Arial" w:eastAsia="Arial" w:hAnsi="Arial"/>
          <w:sz w:val="16"/>
          <w:szCs w:val="16"/>
          <w:color w:val="auto"/>
        </w:rPr>
        <w:t xml:space="preserve">The Group has elected to take the transition relief as provided by IFRS 9.7.2.15 which permits an entity not to restate prior periods on initial application of IFRS 9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and any adjustments to be made in the current year. The adoption of this standard as of January 1, 2018 resulted in a decrease of $436 on the Group’s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deficit and an equal decrease on the Group’s Reserves, as a result of the change in the accounting for the currency basis element of the cross-currency swaps (“CCS”) to flow directly to the statement of profit or loss.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60" w:firstLine="419"/>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 Group were in issue but not yet effective:</w:t>
      </w:r>
    </w:p>
    <w:p>
      <w:pPr>
        <w:spacing w:after="0" w:line="172" w:lineRule="exact"/>
        <w:rPr>
          <w:sz w:val="20"/>
          <w:szCs w:val="20"/>
          <w:color w:val="auto"/>
        </w:rPr>
      </w:pPr>
    </w:p>
    <w:p>
      <w:pPr>
        <w:ind w:right="120" w:firstLine="324"/>
        <w:spacing w:after="0" w:line="311" w:lineRule="auto"/>
        <w:rPr>
          <w:sz w:val="20"/>
          <w:szCs w:val="20"/>
          <w:color w:val="auto"/>
        </w:rPr>
      </w:pPr>
      <w:r>
        <w:rPr>
          <w:rFonts w:ascii="Arial" w:cs="Arial" w:eastAsia="Arial" w:hAnsi="Arial"/>
          <w:sz w:val="14"/>
          <w:szCs w:val="14"/>
          <w:color w:val="auto"/>
        </w:rPr>
        <w:t xml:space="preserve">In January 2016, the IASB issued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and related Interpretations. The standard is effective from January 1, 2019, with early adoption permitted only with concurrent adoption of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Management has elected not to adopt early, and it anticipates that the implementation of this standard will not have a material impact</w:t>
      </w:r>
      <w:r>
        <w:rPr>
          <w:rFonts w:ascii="Arial" w:cs="Arial" w:eastAsia="Arial" w:hAnsi="Arial"/>
          <w:sz w:val="14"/>
          <w:szCs w:val="14"/>
          <w:i w:val="1"/>
          <w:iCs w:val="1"/>
          <w:color w:val="auto"/>
        </w:rPr>
        <w:t xml:space="preserve"> </w:t>
      </w:r>
      <w:r>
        <w:rPr>
          <w:rFonts w:ascii="Arial" w:cs="Arial" w:eastAsia="Arial" w:hAnsi="Arial"/>
          <w:sz w:val="14"/>
          <w:szCs w:val="14"/>
          <w:color w:val="auto"/>
        </w:rPr>
        <w:t>on the Group’s consolidated financial statements, since the changes for lessors are fairly minor and the Group’s lessee obligations are not significant.</w:t>
      </w:r>
    </w:p>
    <w:p>
      <w:pPr>
        <w:spacing w:after="0" w:line="168" w:lineRule="exact"/>
        <w:rPr>
          <w:sz w:val="20"/>
          <w:szCs w:val="20"/>
          <w:color w:val="auto"/>
        </w:rPr>
      </w:pPr>
    </w:p>
    <w:p>
      <w:pPr>
        <w:ind w:right="560" w:firstLine="324"/>
        <w:spacing w:after="0" w:line="293" w:lineRule="auto"/>
        <w:rPr>
          <w:sz w:val="20"/>
          <w:szCs w:val="20"/>
          <w:color w:val="auto"/>
        </w:rPr>
      </w:pPr>
      <w:r>
        <w:rPr>
          <w:rFonts w:ascii="Arial" w:cs="Arial" w:eastAsia="Arial" w:hAnsi="Arial"/>
          <w:sz w:val="16"/>
          <w:szCs w:val="16"/>
          <w:color w:val="auto"/>
        </w:rPr>
        <w:t>The impact of all other IFRS standards and amendments issued but not yet adopted is not expected to be material to the Group’s unaudited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Non-controlling Interest in GasLog Partners</w:t>
      </w:r>
    </w:p>
    <w:p>
      <w:pPr>
        <w:spacing w:after="0" w:line="239" w:lineRule="exact"/>
        <w:rPr>
          <w:sz w:val="20"/>
          <w:szCs w:val="20"/>
          <w:color w:val="auto"/>
        </w:rPr>
      </w:pPr>
    </w:p>
    <w:p>
      <w:pPr>
        <w:ind w:right="240" w:firstLine="256"/>
        <w:spacing w:after="0" w:line="271" w:lineRule="auto"/>
        <w:rPr>
          <w:sz w:val="20"/>
          <w:szCs w:val="20"/>
          <w:color w:val="auto"/>
        </w:rPr>
      </w:pPr>
      <w:r>
        <w:rPr>
          <w:rFonts w:ascii="Arial" w:cs="Arial" w:eastAsia="Arial" w:hAnsi="Arial"/>
          <w:sz w:val="16"/>
          <w:szCs w:val="16"/>
          <w:color w:val="auto"/>
        </w:rPr>
        <w:t>On January 17, 2018, GasLog Partners completed a public offering of 4,600,000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at a price to the public of $25.00 per preference unit. The net proceeds from the offering, after deducting underwriting discounts, commissions and other offering expenses, were $111,194. The Partnership’s Series B Preference Units are listed on the New York Stock Exchange under the symbol “GLOP PR B”.</w:t>
      </w:r>
    </w:p>
    <w:p>
      <w:pPr>
        <w:spacing w:after="0" w:line="190" w:lineRule="exact"/>
        <w:rPr>
          <w:sz w:val="20"/>
          <w:szCs w:val="20"/>
          <w:color w:val="auto"/>
        </w:rPr>
      </w:pPr>
    </w:p>
    <w:p>
      <w:pPr>
        <w:ind w:right="100" w:firstLine="256"/>
        <w:spacing w:after="0" w:line="278" w:lineRule="auto"/>
        <w:rPr>
          <w:sz w:val="20"/>
          <w:szCs w:val="20"/>
          <w:color w:val="auto"/>
        </w:rPr>
      </w:pPr>
      <w:r>
        <w:rPr>
          <w:rFonts w:ascii="Arial" w:cs="Arial" w:eastAsia="Arial" w:hAnsi="Arial"/>
          <w:sz w:val="16"/>
          <w:szCs w:val="16"/>
          <w:color w:val="auto"/>
        </w:rPr>
        <w:t>In addition, under the Partnership’s At-the-Market Common Units Equity Offering Programme (the “ATM Programme”), GasLog Partners has issued and received payment for a total of 2,294,795 additional common units during the second and third quarters of 2018, with cumulative gross proceeds of $54,338 at a weighted average price of $23.68 per common unit for total net proceeds of $53,957 after broker commissions of $185 and other expenses of $196.</w:t>
      </w:r>
    </w:p>
    <w:p>
      <w:pPr>
        <w:spacing w:after="0" w:line="184" w:lineRule="exact"/>
        <w:rPr>
          <w:sz w:val="20"/>
          <w:szCs w:val="20"/>
          <w:color w:val="auto"/>
        </w:rPr>
      </w:pPr>
    </w:p>
    <w:p>
      <w:pPr>
        <w:ind w:right="420" w:firstLine="256"/>
        <w:spacing w:after="0" w:line="293" w:lineRule="auto"/>
        <w:rPr>
          <w:sz w:val="20"/>
          <w:szCs w:val="20"/>
          <w:color w:val="auto"/>
        </w:rPr>
      </w:pPr>
      <w:r>
        <w:rPr>
          <w:rFonts w:ascii="Arial" w:cs="Arial" w:eastAsia="Arial" w:hAnsi="Arial"/>
          <w:sz w:val="16"/>
          <w:szCs w:val="16"/>
          <w:color w:val="auto"/>
        </w:rPr>
        <w:t>The profit allocation to non-controlling interests is based on the distribution policy for available cash stated in the Partnership Agreement and is illustrated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6"/>
          </w:tcPr>
          <w:p>
            <w:pPr>
              <w:ind w:left="320"/>
              <w:spacing w:after="0"/>
              <w:rPr>
                <w:sz w:val="20"/>
                <w:szCs w:val="20"/>
                <w:color w:val="auto"/>
              </w:rPr>
            </w:pPr>
            <w:r>
              <w:rPr>
                <w:rFonts w:ascii="Arial" w:cs="Arial" w:eastAsia="Arial" w:hAnsi="Arial"/>
                <w:sz w:val="16"/>
                <w:szCs w:val="16"/>
                <w:b w:val="1"/>
                <w:bCs w:val="1"/>
                <w:color w:val="auto"/>
              </w:rPr>
              <w:t>Marginal Percentage Interest in Distributions</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5"/>
        </w:trPr>
        <w:tc>
          <w:tcPr>
            <w:tcW w:w="3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0" w:type="dxa"/>
            <w:vAlign w:val="bottom"/>
          </w:tcPr>
          <w:p>
            <w:pPr>
              <w:jc w:val="center"/>
              <w:ind w:left="399"/>
              <w:spacing w:after="0"/>
              <w:rPr>
                <w:sz w:val="20"/>
                <w:szCs w:val="20"/>
                <w:color w:val="auto"/>
              </w:rPr>
            </w:pPr>
            <w:r>
              <w:rPr>
                <w:rFonts w:ascii="Arial" w:cs="Arial" w:eastAsia="Arial" w:hAnsi="Arial"/>
                <w:sz w:val="16"/>
                <w:szCs w:val="16"/>
                <w:b w:val="1"/>
                <w:bCs w:val="1"/>
                <w:color w:val="auto"/>
                <w:w w:val="94"/>
              </w:rPr>
              <w:t>Total Quarterly</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Distribution</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General</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Holders of</w:t>
            </w:r>
          </w:p>
        </w:tc>
        <w:tc>
          <w:tcPr>
            <w:tcW w:w="180" w:type="dxa"/>
            <w:vAlign w:val="bottom"/>
          </w:tcPr>
          <w:p>
            <w:pPr>
              <w:spacing w:after="0"/>
              <w:rPr>
                <w:sz w:val="17"/>
                <w:szCs w:val="17"/>
                <w:color w:val="auto"/>
              </w:rPr>
            </w:pPr>
          </w:p>
        </w:tc>
      </w:tr>
      <w:tr>
        <w:trPr>
          <w:trHeight w:val="213"/>
        </w:trPr>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0" w:type="dxa"/>
            <w:vAlign w:val="bottom"/>
          </w:tcPr>
          <w:p>
            <w:pPr>
              <w:jc w:val="center"/>
              <w:ind w:left="379"/>
              <w:spacing w:after="0"/>
              <w:rPr>
                <w:sz w:val="20"/>
                <w:szCs w:val="20"/>
                <w:color w:val="auto"/>
              </w:rPr>
            </w:pPr>
            <w:r>
              <w:rPr>
                <w:rFonts w:ascii="Arial" w:cs="Arial" w:eastAsia="Arial" w:hAnsi="Arial"/>
                <w:sz w:val="16"/>
                <w:szCs w:val="16"/>
                <w:b w:val="1"/>
                <w:bCs w:val="1"/>
                <w:color w:val="auto"/>
                <w:w w:val="93"/>
              </w:rPr>
              <w:t>Target Amount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Unitholders</w:t>
            </w:r>
          </w:p>
        </w:tc>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Partner</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IDRs</w:t>
            </w:r>
          </w:p>
        </w:tc>
        <w:tc>
          <w:tcPr>
            <w:tcW w:w="180" w:type="dxa"/>
            <w:vAlign w:val="bottom"/>
          </w:tcPr>
          <w:p>
            <w:pPr>
              <w:spacing w:after="0"/>
              <w:rPr>
                <w:sz w:val="18"/>
                <w:szCs w:val="18"/>
                <w:color w:val="auto"/>
              </w:rPr>
            </w:pPr>
          </w:p>
        </w:tc>
      </w:tr>
      <w:tr>
        <w:trPr>
          <w:trHeight w:val="199"/>
        </w:trPr>
        <w:tc>
          <w:tcPr>
            <w:tcW w:w="340" w:type="dxa"/>
            <w:vAlign w:val="bottom"/>
          </w:tcPr>
          <w:p>
            <w:pPr>
              <w:spacing w:after="0"/>
              <w:rPr>
                <w:sz w:val="17"/>
                <w:szCs w:val="17"/>
                <w:color w:val="auto"/>
              </w:rPr>
            </w:pPr>
          </w:p>
        </w:tc>
        <w:tc>
          <w:tcPr>
            <w:tcW w:w="3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Minimum Quarterly Distribution</w:t>
            </w:r>
          </w:p>
        </w:tc>
        <w:tc>
          <w:tcPr>
            <w:tcW w:w="1600" w:type="dxa"/>
            <w:vAlign w:val="bottom"/>
            <w:tcBorders>
              <w:top w:val="single" w:sz="8" w:color="auto"/>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89"/>
              </w:rPr>
              <w:t>$0.375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ind w:right="379"/>
              <w:spacing w:after="0"/>
              <w:rPr>
                <w:sz w:val="20"/>
                <w:szCs w:val="20"/>
                <w:color w:val="auto"/>
              </w:rPr>
            </w:pPr>
            <w:r>
              <w:rPr>
                <w:rFonts w:ascii="Arial" w:cs="Arial" w:eastAsia="Arial" w:hAnsi="Arial"/>
                <w:sz w:val="16"/>
                <w:szCs w:val="16"/>
                <w:color w:val="auto"/>
              </w:rPr>
              <w:t>98.0%</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ind w:right="119"/>
              <w:spacing w:after="0"/>
              <w:rPr>
                <w:sz w:val="20"/>
                <w:szCs w:val="20"/>
                <w:color w:val="auto"/>
              </w:rPr>
            </w:pPr>
            <w:r>
              <w:rPr>
                <w:rFonts w:ascii="Arial" w:cs="Arial" w:eastAsia="Arial" w:hAnsi="Arial"/>
                <w:sz w:val="16"/>
                <w:szCs w:val="16"/>
                <w:color w:val="auto"/>
              </w:rPr>
              <w:t>2.0%</w:t>
            </w:r>
          </w:p>
        </w:tc>
        <w:tc>
          <w:tcPr>
            <w:tcW w:w="2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ind w:right="119"/>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E5FFFF"/>
            </w:tcBorders>
            <w:shd w:val="clear" w:color="auto" w:fill="E5FFFF"/>
          </w:tcPr>
          <w:p>
            <w:pPr>
              <w:spacing w:after="0"/>
              <w:rPr>
                <w:sz w:val="17"/>
                <w:szCs w:val="17"/>
                <w:color w:val="auto"/>
              </w:rPr>
            </w:pPr>
          </w:p>
        </w:tc>
        <w:tc>
          <w:tcPr>
            <w:tcW w:w="180" w:type="dxa"/>
            <w:vAlign w:val="bottom"/>
          </w:tcPr>
          <w:p>
            <w:pPr>
              <w:spacing w:after="0"/>
              <w:rPr>
                <w:sz w:val="17"/>
                <w:szCs w:val="17"/>
                <w:color w:val="auto"/>
              </w:rPr>
            </w:pPr>
          </w:p>
        </w:tc>
      </w:tr>
      <w:tr>
        <w:trPr>
          <w:trHeight w:val="413"/>
        </w:trPr>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40" w:type="dxa"/>
            <w:vAlign w:val="bottom"/>
            <w:gridSpan w:val="3"/>
          </w:tcPr>
          <w:p>
            <w:pPr>
              <w:ind w:left="1400"/>
              <w:spacing w:after="0"/>
              <w:rPr>
                <w:sz w:val="20"/>
                <w:szCs w:val="20"/>
                <w:color w:val="auto"/>
              </w:rPr>
            </w:pPr>
            <w:r>
              <w:rPr>
                <w:rFonts w:ascii="Arial" w:cs="Arial" w:eastAsia="Arial" w:hAnsi="Arial"/>
                <w:sz w:val="16"/>
                <w:szCs w:val="16"/>
                <w:color w:val="auto"/>
              </w:rPr>
              <w:t>F-9</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8"/>
        </w:trPr>
        <w:tc>
          <w:tcPr>
            <w:tcW w:w="34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34" w:name="page35"/>
    <w:bookmarkEnd w:id="34"/>
    <w:tbl>
      <w:tblPr>
        <w:tblLayout w:type="fixed"/>
        <w:tblInd w:w="340" w:type="dxa"/>
        <w:tblCellMar>
          <w:top w:w="0" w:type="dxa"/>
          <w:left w:w="0" w:type="dxa"/>
          <w:bottom w:w="0" w:type="dxa"/>
          <w:right w:w="0" w:type="dxa"/>
        </w:tblCellMar>
      </w:tblPr>
      <w:tr>
        <w:trPr>
          <w:trHeight w:val="209"/>
        </w:trPr>
        <w:tc>
          <w:tcPr>
            <w:tcW w:w="3020" w:type="dxa"/>
            <w:vAlign w:val="bottom"/>
          </w:tcPr>
          <w:p>
            <w:pPr>
              <w:spacing w:after="0"/>
              <w:rPr>
                <w:sz w:val="20"/>
                <w:szCs w:val="20"/>
                <w:color w:val="auto"/>
              </w:rPr>
            </w:pPr>
            <w:r>
              <w:rPr>
                <w:rFonts w:ascii="Arial" w:cs="Arial" w:eastAsia="Arial" w:hAnsi="Arial"/>
                <w:sz w:val="16"/>
                <w:szCs w:val="16"/>
                <w:color w:val="auto"/>
              </w:rPr>
              <w:t>First Target Distribution</w:t>
            </w:r>
          </w:p>
        </w:tc>
        <w:tc>
          <w:tcPr>
            <w:tcW w:w="3280" w:type="dxa"/>
            <w:vAlign w:val="bottom"/>
          </w:tcPr>
          <w:p>
            <w:pPr>
              <w:jc w:val="right"/>
              <w:ind w:right="299"/>
              <w:spacing w:after="0"/>
              <w:rPr>
                <w:sz w:val="20"/>
                <w:szCs w:val="20"/>
                <w:color w:val="auto"/>
              </w:rPr>
            </w:pPr>
            <w:r>
              <w:rPr>
                <w:rFonts w:ascii="Arial" w:cs="Arial" w:eastAsia="Arial" w:hAnsi="Arial"/>
                <w:sz w:val="16"/>
                <w:szCs w:val="16"/>
                <w:color w:val="auto"/>
              </w:rPr>
              <w:t>$0.375 up to $0.43125</w:t>
            </w:r>
          </w:p>
        </w:tc>
        <w:tc>
          <w:tcPr>
            <w:tcW w:w="1600" w:type="dxa"/>
            <w:vAlign w:val="bottom"/>
          </w:tcPr>
          <w:p>
            <w:pPr>
              <w:jc w:val="right"/>
              <w:ind w:right="719"/>
              <w:spacing w:after="0"/>
              <w:rPr>
                <w:sz w:val="20"/>
                <w:szCs w:val="20"/>
                <w:color w:val="auto"/>
              </w:rPr>
            </w:pPr>
            <w:r>
              <w:rPr>
                <w:rFonts w:ascii="Arial" w:cs="Arial" w:eastAsia="Arial" w:hAnsi="Arial"/>
                <w:sz w:val="16"/>
                <w:szCs w:val="16"/>
                <w:color w:val="auto"/>
              </w:rPr>
              <w:t>98.0%</w:t>
            </w:r>
          </w:p>
        </w:tc>
        <w:tc>
          <w:tcPr>
            <w:tcW w:w="1720" w:type="dxa"/>
            <w:vAlign w:val="bottom"/>
          </w:tcPr>
          <w:p>
            <w:pPr>
              <w:jc w:val="right"/>
              <w:ind w:right="519"/>
              <w:spacing w:after="0"/>
              <w:rPr>
                <w:sz w:val="20"/>
                <w:szCs w:val="20"/>
                <w:color w:val="auto"/>
              </w:rPr>
            </w:pPr>
            <w:r>
              <w:rPr>
                <w:rFonts w:ascii="Arial" w:cs="Arial" w:eastAsia="Arial" w:hAnsi="Arial"/>
                <w:sz w:val="16"/>
                <w:szCs w:val="16"/>
                <w:color w:val="auto"/>
              </w:rPr>
              <w:t>2.0%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0%</w:t>
            </w:r>
          </w:p>
        </w:tc>
      </w:tr>
      <w:tr>
        <w:trPr>
          <w:trHeight w:val="206"/>
        </w:trPr>
        <w:tc>
          <w:tcPr>
            <w:tcW w:w="3020" w:type="dxa"/>
            <w:vAlign w:val="bottom"/>
            <w:shd w:val="clear" w:color="auto" w:fill="E5FFFF"/>
          </w:tcPr>
          <w:p>
            <w:pPr>
              <w:spacing w:after="0"/>
              <w:rPr>
                <w:sz w:val="20"/>
                <w:szCs w:val="20"/>
                <w:color w:val="auto"/>
              </w:rPr>
            </w:pPr>
            <w:r>
              <w:rPr>
                <w:rFonts w:ascii="Arial" w:cs="Arial" w:eastAsia="Arial" w:hAnsi="Arial"/>
                <w:sz w:val="16"/>
                <w:szCs w:val="16"/>
                <w:color w:val="auto"/>
              </w:rPr>
              <w:t>Second Target Distribution</w:t>
            </w:r>
          </w:p>
        </w:tc>
        <w:tc>
          <w:tcPr>
            <w:tcW w:w="3280" w:type="dxa"/>
            <w:vAlign w:val="bottom"/>
            <w:shd w:val="clear" w:color="auto" w:fill="E5FFFF"/>
          </w:tcPr>
          <w:p>
            <w:pPr>
              <w:jc w:val="right"/>
              <w:ind w:right="299"/>
              <w:spacing w:after="0"/>
              <w:rPr>
                <w:sz w:val="20"/>
                <w:szCs w:val="20"/>
                <w:color w:val="auto"/>
              </w:rPr>
            </w:pPr>
            <w:r>
              <w:rPr>
                <w:rFonts w:ascii="Arial" w:cs="Arial" w:eastAsia="Arial" w:hAnsi="Arial"/>
                <w:sz w:val="16"/>
                <w:szCs w:val="16"/>
                <w:color w:val="auto"/>
              </w:rPr>
              <w:t>$0.43125 up to $0.46875</w:t>
            </w:r>
          </w:p>
        </w:tc>
        <w:tc>
          <w:tcPr>
            <w:tcW w:w="1600" w:type="dxa"/>
            <w:vAlign w:val="bottom"/>
            <w:shd w:val="clear" w:color="auto" w:fill="E5FFFF"/>
          </w:tcPr>
          <w:p>
            <w:pPr>
              <w:jc w:val="right"/>
              <w:ind w:right="719"/>
              <w:spacing w:after="0"/>
              <w:rPr>
                <w:sz w:val="20"/>
                <w:szCs w:val="20"/>
                <w:color w:val="auto"/>
              </w:rPr>
            </w:pPr>
            <w:r>
              <w:rPr>
                <w:rFonts w:ascii="Arial" w:cs="Arial" w:eastAsia="Arial" w:hAnsi="Arial"/>
                <w:sz w:val="16"/>
                <w:szCs w:val="16"/>
                <w:color w:val="auto"/>
              </w:rPr>
              <w:t>85.0%</w:t>
            </w:r>
          </w:p>
        </w:tc>
        <w:tc>
          <w:tcPr>
            <w:tcW w:w="1720" w:type="dxa"/>
            <w:vAlign w:val="bottom"/>
            <w:shd w:val="clear" w:color="auto" w:fill="E5FFFF"/>
          </w:tcPr>
          <w:p>
            <w:pPr>
              <w:jc w:val="right"/>
              <w:ind w:right="519"/>
              <w:spacing w:after="0"/>
              <w:rPr>
                <w:sz w:val="20"/>
                <w:szCs w:val="20"/>
                <w:color w:val="auto"/>
              </w:rPr>
            </w:pPr>
            <w:r>
              <w:rPr>
                <w:rFonts w:ascii="Arial" w:cs="Arial" w:eastAsia="Arial" w:hAnsi="Arial"/>
                <w:sz w:val="16"/>
                <w:szCs w:val="16"/>
                <w:color w:val="auto"/>
              </w:rPr>
              <w:t>2.0%</w:t>
            </w:r>
          </w:p>
        </w:tc>
        <w:tc>
          <w:tcPr>
            <w:tcW w:w="13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13.0%</w:t>
            </w: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Third Target Distribution</w:t>
            </w:r>
          </w:p>
        </w:tc>
        <w:tc>
          <w:tcPr>
            <w:tcW w:w="3280" w:type="dxa"/>
            <w:vAlign w:val="bottom"/>
          </w:tcPr>
          <w:p>
            <w:pPr>
              <w:jc w:val="right"/>
              <w:ind w:right="299"/>
              <w:spacing w:after="0"/>
              <w:rPr>
                <w:sz w:val="20"/>
                <w:szCs w:val="20"/>
                <w:color w:val="auto"/>
              </w:rPr>
            </w:pPr>
            <w:r>
              <w:rPr>
                <w:rFonts w:ascii="Arial" w:cs="Arial" w:eastAsia="Arial" w:hAnsi="Arial"/>
                <w:sz w:val="16"/>
                <w:szCs w:val="16"/>
                <w:color w:val="auto"/>
              </w:rPr>
              <w:t>$0.46875 up to $0.5625</w:t>
            </w:r>
          </w:p>
        </w:tc>
        <w:tc>
          <w:tcPr>
            <w:tcW w:w="1600" w:type="dxa"/>
            <w:vAlign w:val="bottom"/>
          </w:tcPr>
          <w:p>
            <w:pPr>
              <w:jc w:val="right"/>
              <w:ind w:right="719"/>
              <w:spacing w:after="0"/>
              <w:rPr>
                <w:sz w:val="20"/>
                <w:szCs w:val="20"/>
                <w:color w:val="auto"/>
              </w:rPr>
            </w:pPr>
            <w:r>
              <w:rPr>
                <w:rFonts w:ascii="Arial" w:cs="Arial" w:eastAsia="Arial" w:hAnsi="Arial"/>
                <w:sz w:val="16"/>
                <w:szCs w:val="16"/>
                <w:color w:val="auto"/>
              </w:rPr>
              <w:t>75.0%</w:t>
            </w:r>
          </w:p>
        </w:tc>
        <w:tc>
          <w:tcPr>
            <w:tcW w:w="1720" w:type="dxa"/>
            <w:vAlign w:val="bottom"/>
          </w:tcPr>
          <w:p>
            <w:pPr>
              <w:jc w:val="right"/>
              <w:ind w:right="519"/>
              <w:spacing w:after="0"/>
              <w:rPr>
                <w:sz w:val="20"/>
                <w:szCs w:val="20"/>
                <w:color w:val="auto"/>
              </w:rPr>
            </w:pPr>
            <w:r>
              <w:rPr>
                <w:rFonts w:ascii="Arial" w:cs="Arial" w:eastAsia="Arial" w:hAnsi="Arial"/>
                <w:sz w:val="16"/>
                <w:szCs w:val="16"/>
                <w:color w:val="auto"/>
              </w:rPr>
              <w:t>2.0%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23.0%</w:t>
            </w:r>
          </w:p>
        </w:tc>
      </w:tr>
      <w:tr>
        <w:trPr>
          <w:trHeight w:val="203"/>
        </w:trPr>
        <w:tc>
          <w:tcPr>
            <w:tcW w:w="3020" w:type="dxa"/>
            <w:vAlign w:val="bottom"/>
            <w:shd w:val="clear" w:color="auto" w:fill="E5FFFF"/>
          </w:tcPr>
          <w:p>
            <w:pPr>
              <w:spacing w:after="0"/>
              <w:rPr>
                <w:sz w:val="20"/>
                <w:szCs w:val="20"/>
                <w:color w:val="auto"/>
              </w:rPr>
            </w:pPr>
            <w:r>
              <w:rPr>
                <w:rFonts w:ascii="Arial" w:cs="Arial" w:eastAsia="Arial" w:hAnsi="Arial"/>
                <w:sz w:val="16"/>
                <w:szCs w:val="16"/>
                <w:color w:val="auto"/>
              </w:rPr>
              <w:t>Thereafter</w:t>
            </w:r>
          </w:p>
        </w:tc>
        <w:tc>
          <w:tcPr>
            <w:tcW w:w="3280" w:type="dxa"/>
            <w:vAlign w:val="bottom"/>
            <w:shd w:val="clear" w:color="auto" w:fill="E5FFFF"/>
          </w:tcPr>
          <w:p>
            <w:pPr>
              <w:jc w:val="right"/>
              <w:ind w:right="299"/>
              <w:spacing w:after="0"/>
              <w:rPr>
                <w:sz w:val="20"/>
                <w:szCs w:val="20"/>
                <w:color w:val="auto"/>
              </w:rPr>
            </w:pPr>
            <w:r>
              <w:rPr>
                <w:rFonts w:ascii="Arial" w:cs="Arial" w:eastAsia="Arial" w:hAnsi="Arial"/>
                <w:sz w:val="16"/>
                <w:szCs w:val="16"/>
                <w:color w:val="auto"/>
              </w:rPr>
              <w:t>Above $0.5625</w:t>
            </w:r>
          </w:p>
        </w:tc>
        <w:tc>
          <w:tcPr>
            <w:tcW w:w="1600" w:type="dxa"/>
            <w:vAlign w:val="bottom"/>
            <w:shd w:val="clear" w:color="auto" w:fill="E5FFFF"/>
          </w:tcPr>
          <w:p>
            <w:pPr>
              <w:jc w:val="right"/>
              <w:ind w:right="719"/>
              <w:spacing w:after="0"/>
              <w:rPr>
                <w:sz w:val="20"/>
                <w:szCs w:val="20"/>
                <w:color w:val="auto"/>
              </w:rPr>
            </w:pPr>
            <w:r>
              <w:rPr>
                <w:rFonts w:ascii="Arial" w:cs="Arial" w:eastAsia="Arial" w:hAnsi="Arial"/>
                <w:sz w:val="16"/>
                <w:szCs w:val="16"/>
                <w:color w:val="auto"/>
              </w:rPr>
              <w:t>50.0%</w:t>
            </w:r>
          </w:p>
        </w:tc>
        <w:tc>
          <w:tcPr>
            <w:tcW w:w="1720" w:type="dxa"/>
            <w:vAlign w:val="bottom"/>
            <w:shd w:val="clear" w:color="auto" w:fill="E5FFFF"/>
          </w:tcPr>
          <w:p>
            <w:pPr>
              <w:jc w:val="right"/>
              <w:ind w:right="519"/>
              <w:spacing w:after="0"/>
              <w:rPr>
                <w:sz w:val="20"/>
                <w:szCs w:val="20"/>
                <w:color w:val="auto"/>
              </w:rPr>
            </w:pPr>
            <w:r>
              <w:rPr>
                <w:rFonts w:ascii="Arial" w:cs="Arial" w:eastAsia="Arial" w:hAnsi="Arial"/>
                <w:sz w:val="16"/>
                <w:szCs w:val="16"/>
                <w:color w:val="auto"/>
              </w:rPr>
              <w:t>2.0%</w:t>
            </w:r>
          </w:p>
        </w:tc>
        <w:tc>
          <w:tcPr>
            <w:tcW w:w="13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48.0%</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46"/>
        </w:trPr>
        <w:tc>
          <w:tcPr>
            <w:tcW w:w="25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8"/>
              </w:rPr>
              <w:t>Allocation of GasLog Partners’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i w:val="1"/>
                <w:iCs w:val="1"/>
                <w:color w:val="auto"/>
              </w:rPr>
              <w:t>(*)</w:t>
            </w:r>
          </w:p>
        </w:tc>
        <w:tc>
          <w:tcPr>
            <w:tcW w:w="1940" w:type="dxa"/>
            <w:vAlign w:val="bottom"/>
            <w:vMerge w:val="restart"/>
          </w:tcPr>
          <w:p>
            <w:pPr>
              <w:spacing w:after="0"/>
              <w:rPr>
                <w:sz w:val="12"/>
                <w:szCs w:val="12"/>
                <w:color w:val="auto"/>
              </w:rPr>
            </w:pPr>
          </w:p>
        </w:tc>
        <w:tc>
          <w:tcPr>
            <w:tcW w:w="3240" w:type="dxa"/>
            <w:vAlign w:val="bottom"/>
            <w:gridSpan w:val="4"/>
            <w:vMerge w:val="restart"/>
          </w:tcPr>
          <w:p>
            <w:pPr>
              <w:ind w:left="520"/>
              <w:spacing w:after="0"/>
              <w:rPr>
                <w:sz w:val="20"/>
                <w:szCs w:val="20"/>
                <w:color w:val="auto"/>
              </w:rPr>
            </w:pPr>
            <w:r>
              <w:rPr>
                <w:rFonts w:ascii="Arial" w:cs="Arial" w:eastAsia="Arial" w:hAnsi="Arial"/>
                <w:sz w:val="16"/>
                <w:szCs w:val="16"/>
                <w:b w:val="1"/>
                <w:bCs w:val="1"/>
                <w:color w:val="auto"/>
              </w:rPr>
              <w:t>For the three months ended</w:t>
            </w:r>
          </w:p>
        </w:tc>
        <w:tc>
          <w:tcPr>
            <w:tcW w:w="3120" w:type="dxa"/>
            <w:vAlign w:val="bottom"/>
            <w:gridSpan w:val="5"/>
            <w:vMerge w:val="restart"/>
          </w:tcPr>
          <w:p>
            <w:pPr>
              <w:ind w:left="5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39"/>
        </w:trPr>
        <w:tc>
          <w:tcPr>
            <w:tcW w:w="250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3240" w:type="dxa"/>
            <w:vAlign w:val="bottom"/>
            <w:gridSpan w:val="4"/>
            <w:vMerge w:val="continue"/>
          </w:tcPr>
          <w:p>
            <w:pPr>
              <w:spacing w:after="0"/>
              <w:rPr>
                <w:sz w:val="2"/>
                <w:szCs w:val="2"/>
                <w:color w:val="auto"/>
              </w:rPr>
            </w:pPr>
          </w:p>
        </w:tc>
        <w:tc>
          <w:tcPr>
            <w:tcW w:w="31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3"/>
          </w:tcPr>
          <w:p>
            <w:pPr>
              <w:ind w:left="1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194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Partnership’s profit attributable to:</w:t>
            </w:r>
          </w:p>
        </w:tc>
        <w:tc>
          <w:tcPr>
            <w:tcW w:w="13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3"/>
          </w:tcPr>
          <w:p>
            <w:pPr>
              <w:spacing w:after="0"/>
              <w:rPr>
                <w:sz w:val="20"/>
                <w:szCs w:val="20"/>
                <w:color w:val="auto"/>
              </w:rPr>
            </w:pPr>
            <w:r>
              <w:rPr>
                <w:rFonts w:ascii="Arial" w:cs="Arial" w:eastAsia="Arial" w:hAnsi="Arial"/>
                <w:sz w:val="16"/>
                <w:szCs w:val="16"/>
                <w:color w:val="auto"/>
              </w:rPr>
              <w:t>Common unitholders</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20,941</w:t>
            </w:r>
          </w:p>
        </w:tc>
        <w:tc>
          <w:tcPr>
            <w:tcW w:w="1360" w:type="dxa"/>
            <w:vAlign w:val="bottom"/>
          </w:tcPr>
          <w:p>
            <w:pPr>
              <w:jc w:val="right"/>
              <w:spacing w:after="0"/>
              <w:rPr>
                <w:sz w:val="20"/>
                <w:szCs w:val="20"/>
                <w:color w:val="auto"/>
              </w:rPr>
            </w:pPr>
            <w:r>
              <w:rPr>
                <w:rFonts w:ascii="Arial" w:cs="Arial" w:eastAsia="Arial" w:hAnsi="Arial"/>
                <w:sz w:val="16"/>
                <w:szCs w:val="16"/>
                <w:color w:val="auto"/>
              </w:rPr>
              <w:t>21,127</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53,014</w:t>
            </w:r>
          </w:p>
        </w:tc>
        <w:tc>
          <w:tcPr>
            <w:tcW w:w="28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62,279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Subordinated unitholders</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N/A</w:t>
            </w:r>
          </w:p>
        </w:tc>
        <w:tc>
          <w:tcPr>
            <w:tcW w:w="162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5,085</w:t>
            </w:r>
          </w:p>
        </w:tc>
        <w:tc>
          <w:tcPr>
            <w:tcW w:w="28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ind w:left="10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4580" w:type="dxa"/>
            <w:vAlign w:val="bottom"/>
            <w:gridSpan w:val="3"/>
          </w:tcPr>
          <w:p>
            <w:pPr>
              <w:spacing w:after="0"/>
              <w:rPr>
                <w:sz w:val="20"/>
                <w:szCs w:val="20"/>
                <w:color w:val="auto"/>
              </w:rPr>
            </w:pPr>
            <w:r>
              <w:rPr>
                <w:rFonts w:ascii="Arial" w:cs="Arial" w:eastAsia="Arial" w:hAnsi="Arial"/>
                <w:sz w:val="16"/>
                <w:szCs w:val="16"/>
                <w:color w:val="auto"/>
              </w:rPr>
              <w:t>General partner</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443</w:t>
            </w:r>
          </w:p>
        </w:tc>
        <w:tc>
          <w:tcPr>
            <w:tcW w:w="1360" w:type="dxa"/>
            <w:vAlign w:val="bottom"/>
          </w:tcPr>
          <w:p>
            <w:pPr>
              <w:jc w:val="right"/>
              <w:spacing w:after="0"/>
              <w:rPr>
                <w:sz w:val="20"/>
                <w:szCs w:val="20"/>
                <w:color w:val="auto"/>
              </w:rPr>
            </w:pPr>
            <w:r>
              <w:rPr>
                <w:rFonts w:ascii="Arial" w:cs="Arial" w:eastAsia="Arial" w:hAnsi="Arial"/>
                <w:sz w:val="16"/>
                <w:szCs w:val="16"/>
                <w:color w:val="auto"/>
              </w:rPr>
              <w:t>436</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1,220</w:t>
            </w:r>
          </w:p>
        </w:tc>
        <w:tc>
          <w:tcPr>
            <w:tcW w:w="28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Incentive distribution rights (“IDRs”)</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815</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w:t>
            </w:r>
          </w:p>
        </w:tc>
        <w:tc>
          <w:tcPr>
            <w:tcW w:w="26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1,711</w:t>
            </w: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2,618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3"/>
          </w:tcPr>
          <w:p>
            <w:pPr>
              <w:spacing w:after="0"/>
              <w:rPr>
                <w:sz w:val="20"/>
                <w:szCs w:val="20"/>
                <w:color w:val="auto"/>
              </w:rPr>
            </w:pPr>
            <w:r>
              <w:rPr>
                <w:rFonts w:ascii="Arial" w:cs="Arial" w:eastAsia="Arial" w:hAnsi="Arial"/>
                <w:sz w:val="16"/>
                <w:szCs w:val="16"/>
                <w:color w:val="auto"/>
              </w:rPr>
              <w:t>Paid and accrued preference equity distributions</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3,100</w:t>
            </w:r>
          </w:p>
        </w:tc>
        <w:tc>
          <w:tcPr>
            <w:tcW w:w="1360" w:type="dxa"/>
            <w:vAlign w:val="bottom"/>
          </w:tcPr>
          <w:p>
            <w:pPr>
              <w:jc w:val="right"/>
              <w:spacing w:after="0"/>
              <w:rPr>
                <w:sz w:val="20"/>
                <w:szCs w:val="20"/>
                <w:color w:val="auto"/>
              </w:rPr>
            </w:pPr>
            <w:r>
              <w:rPr>
                <w:rFonts w:ascii="Arial" w:cs="Arial" w:eastAsia="Arial" w:hAnsi="Arial"/>
                <w:sz w:val="16"/>
                <w:szCs w:val="16"/>
                <w:color w:val="auto"/>
              </w:rPr>
              <w:t>5,457</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4,649</w:t>
            </w:r>
          </w:p>
        </w:tc>
        <w:tc>
          <w:tcPr>
            <w:tcW w:w="28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15,952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27,270</w:t>
            </w: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65,679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82,173</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6"/>
                <w:szCs w:val="16"/>
                <w:color w:val="auto"/>
              </w:rPr>
              <w:t>Partnership’s profit allocated to GasLog</w:t>
            </w:r>
          </w:p>
        </w:tc>
        <w:tc>
          <w:tcPr>
            <w:tcW w:w="16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gridSpan w:val="3"/>
            <w:vMerge w:val="continue"/>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6,406</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6,223</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17,727</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Partnership’s profit allocated to non-controlling interests</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18,893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21,047</w:t>
            </w:r>
          </w:p>
        </w:tc>
        <w:tc>
          <w:tcPr>
            <w:tcW w:w="26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47,952</w:t>
            </w:r>
          </w:p>
        </w:tc>
        <w:tc>
          <w:tcPr>
            <w:tcW w:w="280" w:type="dxa"/>
            <w:vAlign w:val="bottom"/>
            <w:shd w:val="clear" w:color="auto" w:fill="E5FFFF"/>
          </w:tcPr>
          <w:p>
            <w:pPr>
              <w:spacing w:after="0"/>
              <w:rPr>
                <w:sz w:val="17"/>
                <w:szCs w:val="17"/>
                <w:color w:val="auto"/>
              </w:rPr>
            </w:pP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62,116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25,299</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65,679</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82,173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00" w:right="140" w:hanging="192"/>
        <w:spacing w:after="0" w:line="253" w:lineRule="auto"/>
        <w:tabs>
          <w:tab w:leader="none" w:pos="1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profits of GAS-eleven Ltd., GAS-thirteen Ltd., GAS-eight Ltd. and GAS-fourteen Ltd. for the period prior to their transfers to the Partnership on May 3, 2017, July 3, 2017, October 20, 2017 and April 26, 2018, respectively.</w:t>
      </w:r>
    </w:p>
    <w:p>
      <w:pPr>
        <w:spacing w:after="0" w:line="183" w:lineRule="exact"/>
        <w:rPr>
          <w:sz w:val="20"/>
          <w:szCs w:val="20"/>
          <w:color w:val="auto"/>
        </w:rPr>
      </w:pPr>
    </w:p>
    <w:p>
      <w:pPr>
        <w:ind w:right="100" w:firstLine="194"/>
        <w:spacing w:after="0" w:line="293" w:lineRule="auto"/>
        <w:rPr>
          <w:sz w:val="20"/>
          <w:szCs w:val="20"/>
          <w:color w:val="auto"/>
        </w:rPr>
      </w:pPr>
      <w:r>
        <w:rPr>
          <w:rFonts w:ascii="Arial" w:cs="Arial" w:eastAsia="Arial" w:hAnsi="Arial"/>
          <w:sz w:val="16"/>
          <w:szCs w:val="16"/>
          <w:color w:val="auto"/>
        </w:rPr>
        <w:t>Dividends declared attributable to non-controlling interests included in the unaudited condensed consolidated statements of changes in equity represent cash distributions to holders of common and preference units.</w:t>
      </w:r>
    </w:p>
    <w:p>
      <w:pPr>
        <w:spacing w:after="0" w:line="172" w:lineRule="exact"/>
        <w:rPr>
          <w:sz w:val="20"/>
          <w:szCs w:val="20"/>
          <w:color w:val="auto"/>
        </w:rPr>
      </w:pPr>
    </w:p>
    <w:p>
      <w:pPr>
        <w:ind w:right="200" w:firstLine="194"/>
        <w:spacing w:after="0" w:line="293" w:lineRule="auto"/>
        <w:rPr>
          <w:sz w:val="20"/>
          <w:szCs w:val="20"/>
          <w:color w:val="auto"/>
        </w:rPr>
      </w:pPr>
      <w:r>
        <w:rPr>
          <w:rFonts w:ascii="Arial" w:cs="Arial" w:eastAsia="Arial" w:hAnsi="Arial"/>
          <w:sz w:val="16"/>
          <w:szCs w:val="16"/>
          <w:color w:val="auto"/>
        </w:rPr>
        <w:t>In the nine months ended September 30, 2018, the board of directors of the Partnership approved and declared cash distributions of $49,153 and $15,533 per common unit and preference unit, respectively held by non-controlling interests.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gridSpan w:val="2"/>
          </w:tcPr>
          <w:p>
            <w:pPr>
              <w:spacing w:after="0"/>
              <w:rPr>
                <w:sz w:val="20"/>
                <w:szCs w:val="20"/>
                <w:color w:val="auto"/>
              </w:rPr>
            </w:pPr>
            <w:r>
              <w:rPr>
                <w:rFonts w:ascii="Arial" w:cs="Arial" w:eastAsia="Arial" w:hAnsi="Arial"/>
                <w:sz w:val="16"/>
                <w:szCs w:val="16"/>
                <w:b w:val="1"/>
                <w:bCs w:val="1"/>
                <w:color w:val="auto"/>
              </w:rPr>
              <w:t>4. Investment in Associates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9140" w:type="dxa"/>
            <w:vAlign w:val="bottom"/>
          </w:tcPr>
          <w:p>
            <w:pPr>
              <w:spacing w:after="0"/>
              <w:rPr>
                <w:sz w:val="20"/>
                <w:szCs w:val="20"/>
                <w:color w:val="auto"/>
              </w:rPr>
            </w:pPr>
            <w:r>
              <w:rPr>
                <w:rFonts w:ascii="Arial" w:cs="Arial" w:eastAsia="Arial" w:hAnsi="Arial"/>
                <w:sz w:val="16"/>
                <w:szCs w:val="16"/>
                <w:color w:val="auto"/>
              </w:rPr>
              <w:t>The movements in investment in associates are reported in the following table: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914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As of January 1, 2018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20,800</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40" w:type="dxa"/>
            <w:vAlign w:val="bottom"/>
          </w:tcPr>
          <w:p>
            <w:pPr>
              <w:spacing w:after="0"/>
              <w:rPr>
                <w:sz w:val="22"/>
                <w:szCs w:val="22"/>
                <w:color w:val="auto"/>
              </w:rPr>
            </w:pPr>
          </w:p>
        </w:tc>
        <w:tc>
          <w:tcPr>
            <w:tcW w:w="9140" w:type="dxa"/>
            <w:vAlign w:val="bottom"/>
          </w:tcPr>
          <w:p>
            <w:pPr>
              <w:spacing w:after="0"/>
              <w:rPr>
                <w:sz w:val="20"/>
                <w:szCs w:val="20"/>
                <w:color w:val="auto"/>
              </w:rPr>
            </w:pPr>
            <w:r>
              <w:rPr>
                <w:rFonts w:ascii="Arial" w:cs="Arial" w:eastAsia="Arial" w:hAnsi="Arial"/>
                <w:sz w:val="16"/>
                <w:szCs w:val="16"/>
                <w:color w:val="auto"/>
              </w:rPr>
              <w:t>Additions</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0"/>
        </w:trPr>
        <w:tc>
          <w:tcPr>
            <w:tcW w:w="340" w:type="dxa"/>
            <w:vAlign w:val="bottom"/>
          </w:tcPr>
          <w:p>
            <w:pPr>
              <w:spacing w:after="0"/>
              <w:rPr>
                <w:sz w:val="22"/>
                <w:szCs w:val="22"/>
                <w:color w:val="auto"/>
              </w:rPr>
            </w:pPr>
          </w:p>
        </w:tc>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4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54"/>
        </w:trPr>
        <w:tc>
          <w:tcPr>
            <w:tcW w:w="340" w:type="dxa"/>
            <w:vAlign w:val="bottom"/>
          </w:tcPr>
          <w:p>
            <w:pPr>
              <w:spacing w:after="0"/>
              <w:rPr>
                <w:sz w:val="22"/>
                <w:szCs w:val="22"/>
                <w:color w:val="auto"/>
              </w:rPr>
            </w:pPr>
          </w:p>
        </w:tc>
        <w:tc>
          <w:tcPr>
            <w:tcW w:w="9140" w:type="dxa"/>
            <w:vAlign w:val="bottom"/>
          </w:tcPr>
          <w:p>
            <w:pPr>
              <w:spacing w:after="0"/>
              <w:rPr>
                <w:sz w:val="20"/>
                <w:szCs w:val="20"/>
                <w:color w:val="auto"/>
              </w:rPr>
            </w:pPr>
            <w:r>
              <w:rPr>
                <w:rFonts w:ascii="Arial" w:cs="Arial" w:eastAsia="Arial" w:hAnsi="Arial"/>
                <w:sz w:val="16"/>
                <w:szCs w:val="16"/>
                <w:color w:val="auto"/>
              </w:rPr>
              <w:t>Dividend declared</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14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As of September 30, 2018</w:t>
            </w: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140" w:type="dxa"/>
            <w:vAlign w:val="bottom"/>
            <w:vMerge w:val="continue"/>
            <w:shd w:val="clear" w:color="auto" w:fill="E5FFFF"/>
          </w:tcPr>
          <w:p>
            <w:pPr>
              <w:spacing w:after="0"/>
              <w:rPr>
                <w:sz w:val="21"/>
                <w:szCs w:val="21"/>
                <w:color w:val="auto"/>
              </w:rPr>
            </w:pPr>
          </w:p>
        </w:tc>
        <w:tc>
          <w:tcPr>
            <w:tcW w:w="14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21,123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14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00" w:firstLine="256"/>
        <w:spacing w:after="0" w:line="305" w:lineRule="auto"/>
        <w:rPr>
          <w:sz w:val="20"/>
          <w:szCs w:val="20"/>
          <w:color w:val="auto"/>
        </w:rPr>
      </w:pPr>
      <w:r>
        <w:rPr>
          <w:rFonts w:ascii="Arial" w:cs="Arial" w:eastAsia="Arial" w:hAnsi="Arial"/>
          <w:sz w:val="15"/>
          <w:szCs w:val="15"/>
          <w:color w:val="auto"/>
        </w:rPr>
        <w:t>On February 9, 2017, GasLog acquired a 20% shareholding in Gastrade, a private limited company licensed to develop an independent natural gas system offshore Alexandroupolis in Northern Greece utilizing a floating storage and regasification unit (“FSRU”) along with other fixed infrastructure. GasLog, as well as being a shareholder, will provide operations and maintenance (“O&amp;M”) services for the FSRU through an O&amp;M agreement which was signed on February 23, 2018.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Tangible Fixed Assets, Vessels Under Construction and Vessel Held Under Finance Lease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movements in tangible fixed assets, vessels under construction and vessel held under finance lease are reported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Office</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property</w:t>
            </w: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Vessel held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and other</w:t>
            </w: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tangible fixed</w:t>
            </w:r>
          </w:p>
        </w:tc>
        <w:tc>
          <w:tcPr>
            <w:tcW w:w="14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Vessels under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under finance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Vessels</w:t>
            </w:r>
          </w:p>
        </w:tc>
        <w:tc>
          <w:tcPr>
            <w:tcW w:w="20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tangible assets</w:t>
            </w: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6"/>
              </w:rPr>
              <w:t>assets</w:t>
            </w:r>
          </w:p>
        </w:tc>
        <w:tc>
          <w:tcPr>
            <w:tcW w:w="14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construction</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lease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Borders>
              <w:top w:val="single" w:sz="8" w:color="E5FFFF"/>
            </w:tcBorders>
            <w:gridSpan w:val="3"/>
            <w:shd w:val="clear" w:color="auto" w:fill="E5FFFF"/>
          </w:tcPr>
          <w:p>
            <w:pPr>
              <w:spacing w:after="0" w:line="148" w:lineRule="exact"/>
              <w:rPr>
                <w:sz w:val="20"/>
                <w:szCs w:val="20"/>
                <w:color w:val="auto"/>
              </w:rPr>
            </w:pPr>
            <w:r>
              <w:rPr>
                <w:rFonts w:ascii="Arial" w:cs="Arial" w:eastAsia="Arial" w:hAnsi="Arial"/>
                <w:sz w:val="16"/>
                <w:szCs w:val="16"/>
                <w:b w:val="1"/>
                <w:bCs w:val="1"/>
                <w:color w:val="auto"/>
              </w:rPr>
              <w:t>Cost</w:t>
            </w:r>
          </w:p>
        </w:tc>
        <w:tc>
          <w:tcPr>
            <w:tcW w:w="116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200" w:type="dxa"/>
            <w:vAlign w:val="bottom"/>
            <w:tcBorders>
              <w:top w:val="single" w:sz="8" w:color="E5FFFF"/>
            </w:tcBorders>
            <w:shd w:val="clear" w:color="auto" w:fill="E5FFFF"/>
          </w:tcPr>
          <w:p>
            <w:pPr>
              <w:spacing w:after="0"/>
              <w:rPr>
                <w:sz w:val="12"/>
                <w:szCs w:val="12"/>
                <w:color w:val="auto"/>
              </w:rPr>
            </w:pPr>
          </w:p>
        </w:tc>
        <w:tc>
          <w:tcPr>
            <w:tcW w:w="136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1500" w:type="dxa"/>
            <w:vAlign w:val="bottom"/>
            <w:tcBorders>
              <w:top w:val="single" w:sz="8" w:color="E5FFFF"/>
            </w:tcBorders>
            <w:shd w:val="clear" w:color="auto" w:fill="E5FFFF"/>
          </w:tcPr>
          <w:p>
            <w:pPr>
              <w:spacing w:after="0" w:line="20" w:lineRule="exact"/>
              <w:rPr>
                <w:sz w:val="1"/>
                <w:szCs w:val="1"/>
                <w:color w:val="auto"/>
              </w:rPr>
            </w:pPr>
          </w:p>
        </w:tc>
        <w:tc>
          <w:tcPr>
            <w:tcW w:w="2420" w:type="dxa"/>
            <w:vAlign w:val="bottom"/>
            <w:tcBorders>
              <w:top w:val="single" w:sz="8" w:color="E5FFFF"/>
            </w:tcBorders>
            <w:shd w:val="clear" w:color="auto" w:fill="E5FFFF"/>
          </w:tcPr>
          <w:p>
            <w:pPr>
              <w:spacing w:after="0" w:line="20" w:lineRule="exact"/>
              <w:rPr>
                <w:sz w:val="1"/>
                <w:szCs w:val="1"/>
                <w:color w:val="auto"/>
              </w:rPr>
            </w:pPr>
          </w:p>
        </w:tc>
        <w:tc>
          <w:tcPr>
            <w:tcW w:w="116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3"/>
          </w:tcPr>
          <w:p>
            <w:pPr>
              <w:spacing w:after="0"/>
              <w:rPr>
                <w:sz w:val="20"/>
                <w:szCs w:val="20"/>
                <w:color w:val="auto"/>
              </w:rPr>
            </w:pPr>
            <w:r>
              <w:rPr>
                <w:rFonts w:ascii="Arial" w:cs="Arial" w:eastAsia="Arial" w:hAnsi="Arial"/>
                <w:sz w:val="16"/>
                <w:szCs w:val="16"/>
                <w:color w:val="auto"/>
              </w:rPr>
              <w:t>As of January 1, 2018</w:t>
            </w:r>
          </w:p>
        </w:tc>
        <w:tc>
          <w:tcPr>
            <w:tcW w:w="1160" w:type="dxa"/>
            <w:vAlign w:val="bottom"/>
          </w:tcPr>
          <w:p>
            <w:pPr>
              <w:jc w:val="right"/>
              <w:spacing w:after="0"/>
              <w:rPr>
                <w:sz w:val="20"/>
                <w:szCs w:val="20"/>
                <w:color w:val="auto"/>
              </w:rPr>
            </w:pPr>
            <w:r>
              <w:rPr>
                <w:rFonts w:ascii="Arial" w:cs="Arial" w:eastAsia="Arial" w:hAnsi="Arial"/>
                <w:sz w:val="16"/>
                <w:szCs w:val="16"/>
                <w:color w:val="auto"/>
              </w:rPr>
              <w:t>4,217,866</w:t>
            </w:r>
          </w:p>
        </w:tc>
        <w:tc>
          <w:tcPr>
            <w:tcW w:w="100" w:type="dxa"/>
            <w:vAlign w:val="bottom"/>
          </w:tcPr>
          <w:p>
            <w:pPr>
              <w:spacing w:after="0"/>
              <w:rPr>
                <w:sz w:val="17"/>
                <w:szCs w:val="17"/>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6"/>
                <w:szCs w:val="16"/>
                <w:color w:val="auto"/>
              </w:rPr>
              <w:t>19,224</w:t>
            </w:r>
          </w:p>
        </w:tc>
        <w:tc>
          <w:tcPr>
            <w:tcW w:w="1140" w:type="dxa"/>
            <w:vAlign w:val="bottom"/>
          </w:tcPr>
          <w:p>
            <w:pPr>
              <w:jc w:val="right"/>
              <w:spacing w:after="0"/>
              <w:rPr>
                <w:sz w:val="20"/>
                <w:szCs w:val="20"/>
                <w:color w:val="auto"/>
              </w:rPr>
            </w:pPr>
            <w:r>
              <w:rPr>
                <w:rFonts w:ascii="Arial" w:cs="Arial" w:eastAsia="Arial" w:hAnsi="Arial"/>
                <w:sz w:val="16"/>
                <w:szCs w:val="16"/>
                <w:color w:val="auto"/>
              </w:rPr>
              <w:t>4,237,090</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166,655</w:t>
            </w:r>
          </w:p>
        </w:tc>
        <w:tc>
          <w:tcPr>
            <w:tcW w:w="2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228,523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Additions</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45,308</w:t>
            </w:r>
          </w:p>
        </w:tc>
        <w:tc>
          <w:tcPr>
            <w:tcW w:w="100" w:type="dxa"/>
            <w:vAlign w:val="bottom"/>
            <w:shd w:val="clear" w:color="auto" w:fill="E5FFFF"/>
          </w:tcPr>
          <w:p>
            <w:pPr>
              <w:spacing w:after="0"/>
              <w:rPr>
                <w:sz w:val="17"/>
                <w:szCs w:val="17"/>
                <w:color w:val="auto"/>
              </w:rPr>
            </w:pPr>
          </w:p>
        </w:tc>
        <w:tc>
          <w:tcPr>
            <w:tcW w:w="184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3,882</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49,190</w:t>
            </w: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586,206</w:t>
            </w: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Arial" w:cs="Arial" w:eastAsia="Arial" w:hAnsi="Arial"/>
                <w:sz w:val="16"/>
                <w:szCs w:val="16"/>
                <w:color w:val="auto"/>
              </w:rPr>
              <w:t>Transfer from vessels under construction</w:t>
            </w:r>
          </w:p>
        </w:tc>
        <w:tc>
          <w:tcPr>
            <w:tcW w:w="1160" w:type="dxa"/>
            <w:vAlign w:val="bottom"/>
          </w:tcPr>
          <w:p>
            <w:pPr>
              <w:jc w:val="right"/>
              <w:spacing w:after="0"/>
              <w:rPr>
                <w:sz w:val="20"/>
                <w:szCs w:val="20"/>
                <w:color w:val="auto"/>
              </w:rPr>
            </w:pPr>
            <w:r>
              <w:rPr>
                <w:rFonts w:ascii="Arial" w:cs="Arial" w:eastAsia="Arial" w:hAnsi="Arial"/>
                <w:sz w:val="16"/>
                <w:szCs w:val="16"/>
                <w:color w:val="auto"/>
              </w:rPr>
              <w:t>639,677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639,677</w:t>
            </w:r>
          </w:p>
        </w:tc>
        <w:tc>
          <w:tcPr>
            <w:tcW w:w="28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(639,677)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Transfer under “Other non-current assets”</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(1,650)</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Arial" w:cs="Arial" w:eastAsia="Arial" w:hAnsi="Arial"/>
                <w:sz w:val="16"/>
                <w:szCs w:val="16"/>
                <w:color w:val="auto"/>
              </w:rPr>
              <w:t>Fully amortized fixed assets</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(7,500)</w:t>
            </w:r>
          </w:p>
        </w:tc>
        <w:tc>
          <w:tcPr>
            <w:tcW w:w="1840" w:type="dxa"/>
            <w:vAlign w:val="bottom"/>
            <w:gridSpan w:val="3"/>
          </w:tcPr>
          <w:p>
            <w:pPr>
              <w:jc w:val="right"/>
              <w:ind w:right="220"/>
              <w:spacing w:after="0"/>
              <w:rPr>
                <w:sz w:val="20"/>
                <w:szCs w:val="20"/>
                <w:color w:val="auto"/>
              </w:rPr>
            </w:pPr>
            <w:r>
              <w:rPr>
                <w:rFonts w:ascii="Arial" w:cs="Arial" w:eastAsia="Arial" w:hAnsi="Arial"/>
                <w:sz w:val="16"/>
                <w:szCs w:val="16"/>
                <w:color w:val="auto"/>
              </w:rPr>
              <w:t>(117)</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(7,617)</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As of September 30, 2018</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4,895,351</w:t>
            </w:r>
          </w:p>
        </w:tc>
        <w:tc>
          <w:tcPr>
            <w:tcW w:w="1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22,989</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4,918,340</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111,534</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228,666</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220" w:type="dxa"/>
            <w:vAlign w:val="bottom"/>
            <w:gridSpan w:val="3"/>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1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14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14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1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As of January 1, 2018</w:t>
            </w:r>
          </w:p>
        </w:tc>
        <w:tc>
          <w:tcPr>
            <w:tcW w:w="2420" w:type="dxa"/>
            <w:vAlign w:val="bottom"/>
            <w:tcBorders>
              <w:top w:val="single" w:sz="8" w:color="E5FFFF"/>
            </w:tcBorders>
          </w:tcPr>
          <w:p>
            <w:pPr>
              <w:spacing w:after="0"/>
              <w:rPr>
                <w:sz w:val="17"/>
                <w:szCs w:val="17"/>
                <w:color w:val="auto"/>
              </w:rPr>
            </w:pPr>
          </w:p>
        </w:tc>
        <w:tc>
          <w:tcPr>
            <w:tcW w:w="116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460,815</w:t>
            </w:r>
          </w:p>
        </w:tc>
        <w:tc>
          <w:tcPr>
            <w:tcW w:w="100" w:type="dxa"/>
            <w:vAlign w:val="bottom"/>
            <w:tcBorders>
              <w:top w:val="single" w:sz="8" w:color="E5FFFF"/>
            </w:tcBorders>
          </w:tcPr>
          <w:p>
            <w:pPr>
              <w:spacing w:after="0"/>
              <w:rPr>
                <w:sz w:val="17"/>
                <w:szCs w:val="17"/>
                <w:color w:val="auto"/>
              </w:rPr>
            </w:pPr>
          </w:p>
        </w:tc>
        <w:tc>
          <w:tcPr>
            <w:tcW w:w="1840" w:type="dxa"/>
            <w:vAlign w:val="bottom"/>
            <w:tcBorders>
              <w:top w:val="single" w:sz="8" w:color="E5FFFF"/>
            </w:tcBorders>
            <w:gridSpan w:val="3"/>
          </w:tcPr>
          <w:p>
            <w:pPr>
              <w:jc w:val="right"/>
              <w:ind w:right="280"/>
              <w:spacing w:after="0"/>
              <w:rPr>
                <w:sz w:val="20"/>
                <w:szCs w:val="20"/>
                <w:color w:val="auto"/>
              </w:rPr>
            </w:pPr>
            <w:r>
              <w:rPr>
                <w:rFonts w:ascii="Arial" w:cs="Arial" w:eastAsia="Arial" w:hAnsi="Arial"/>
                <w:sz w:val="16"/>
                <w:szCs w:val="16"/>
                <w:color w:val="auto"/>
              </w:rPr>
              <w:t>3,709</w:t>
            </w:r>
          </w:p>
        </w:tc>
        <w:tc>
          <w:tcPr>
            <w:tcW w:w="114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464,524</w:t>
            </w:r>
          </w:p>
        </w:tc>
        <w:tc>
          <w:tcPr>
            <w:tcW w:w="280" w:type="dxa"/>
            <w:vAlign w:val="bottom"/>
            <w:tcBorders>
              <w:top w:val="single" w:sz="8" w:color="E5FFFF"/>
            </w:tcBorders>
          </w:tcPr>
          <w:p>
            <w:pPr>
              <w:spacing w:after="0"/>
              <w:rPr>
                <w:sz w:val="17"/>
                <w:szCs w:val="17"/>
                <w:color w:val="auto"/>
              </w:rPr>
            </w:pPr>
          </w:p>
        </w:tc>
        <w:tc>
          <w:tcPr>
            <w:tcW w:w="1420" w:type="dxa"/>
            <w:vAlign w:val="bottom"/>
            <w:tcBorders>
              <w:top w:val="single" w:sz="8" w:color="E5FFFF"/>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E5FFFF"/>
            </w:tcBorders>
            <w:gridSpan w:val="2"/>
          </w:tcPr>
          <w:p>
            <w:pPr>
              <w:jc w:val="right"/>
              <w:ind w:right="100"/>
              <w:spacing w:after="0"/>
              <w:rPr>
                <w:sz w:val="20"/>
                <w:szCs w:val="20"/>
                <w:color w:val="auto"/>
              </w:rPr>
            </w:pPr>
            <w:r>
              <w:rPr>
                <w:rFonts w:ascii="Arial" w:cs="Arial" w:eastAsia="Arial" w:hAnsi="Arial"/>
                <w:sz w:val="16"/>
                <w:szCs w:val="16"/>
                <w:color w:val="auto"/>
              </w:rPr>
              <w:t>14,194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3"/>
          </w:tcPr>
          <w:p>
            <w:pPr>
              <w:jc w:val="right"/>
              <w:ind w:right="1480"/>
              <w:spacing w:after="0"/>
              <w:rPr>
                <w:sz w:val="20"/>
                <w:szCs w:val="20"/>
                <w:color w:val="auto"/>
              </w:rPr>
            </w:pPr>
            <w:r>
              <w:rPr>
                <w:rFonts w:ascii="Arial" w:cs="Arial" w:eastAsia="Arial" w:hAnsi="Arial"/>
                <w:sz w:val="16"/>
                <w:szCs w:val="16"/>
                <w:color w:val="auto"/>
              </w:rPr>
              <w:t>F-10</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107,293</w:t>
            </w:r>
          </w:p>
        </w:tc>
        <w:tc>
          <w:tcPr>
            <w:tcW w:w="3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617</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107,910</w:t>
            </w:r>
          </w:p>
        </w:tc>
        <w:tc>
          <w:tcPr>
            <w:tcW w:w="2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Fully amortized fixed assets</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(117)</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(7,617)</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 of September 30, 2018</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560,608</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4,209</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564,817</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19,967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20" w:type="dxa"/>
            <w:vAlign w:val="bottom"/>
            <w:gridSpan w:val="2"/>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16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3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E5FFFF"/>
          </w:tcPr>
          <w:p>
            <w:pPr>
              <w:spacing w:after="0" w:line="20" w:lineRule="exact"/>
              <w:rPr>
                <w:sz w:val="1"/>
                <w:szCs w:val="1"/>
                <w:color w:val="auto"/>
              </w:rPr>
            </w:pPr>
          </w:p>
        </w:tc>
        <w:tc>
          <w:tcPr>
            <w:tcW w:w="3200" w:type="dxa"/>
            <w:vAlign w:val="bottom"/>
            <w:tcBorders>
              <w:top w:val="single" w:sz="8" w:color="E5FFFF"/>
            </w:tcBorders>
            <w:shd w:val="clear" w:color="auto" w:fill="E5FFFF"/>
          </w:tcPr>
          <w:p>
            <w:pPr>
              <w:spacing w:after="0" w:line="20" w:lineRule="exact"/>
              <w:rPr>
                <w:sz w:val="1"/>
                <w:szCs w:val="1"/>
                <w:color w:val="auto"/>
              </w:rPr>
            </w:pPr>
          </w:p>
        </w:tc>
        <w:tc>
          <w:tcPr>
            <w:tcW w:w="116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2017</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3,757,051</w:t>
            </w:r>
          </w:p>
        </w:tc>
        <w:tc>
          <w:tcPr>
            <w:tcW w:w="3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15,515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3,772,566</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166,655</w:t>
            </w:r>
          </w:p>
        </w:tc>
        <w:tc>
          <w:tcPr>
            <w:tcW w:w="2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214,329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 of September 30, 2018</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4,334,743</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18,780</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4,353,523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111,534</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208,699</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436"/>
        <w:spacing w:after="0" w:line="293" w:lineRule="auto"/>
        <w:rPr>
          <w:sz w:val="20"/>
          <w:szCs w:val="20"/>
          <w:color w:val="auto"/>
        </w:rPr>
      </w:pPr>
      <w:r>
        <w:rPr>
          <w:rFonts w:ascii="Arial" w:cs="Arial" w:eastAsia="Arial" w:hAnsi="Arial"/>
          <w:sz w:val="16"/>
          <w:szCs w:val="16"/>
          <w:color w:val="auto"/>
        </w:rPr>
        <w:t>Vessels with an aggregate carrying amount of $4,334,743 as of September 30, 2018 (December 31, 2017: $3,757,051) have been pledged as collateral under the terms of the Group’s loan agreements.</w:t>
      </w:r>
    </w:p>
    <w:p>
      <w:pPr>
        <w:spacing w:after="0" w:line="172" w:lineRule="exact"/>
        <w:rPr>
          <w:sz w:val="20"/>
          <w:szCs w:val="20"/>
          <w:color w:val="auto"/>
        </w:rPr>
      </w:pPr>
    </w:p>
    <w:p>
      <w:pPr>
        <w:ind w:right="560" w:firstLine="436"/>
        <w:spacing w:after="0" w:line="293" w:lineRule="auto"/>
        <w:rPr>
          <w:sz w:val="20"/>
          <w:szCs w:val="20"/>
          <w:color w:val="auto"/>
        </w:rPr>
      </w:pPr>
      <w:r>
        <w:rPr>
          <w:rFonts w:ascii="Arial" w:cs="Arial" w:eastAsia="Arial" w:hAnsi="Arial"/>
          <w:sz w:val="16"/>
          <w:szCs w:val="16"/>
          <w:color w:val="auto"/>
        </w:rPr>
        <w:t>In May 2014, GAS-twenty two Ltd. entered into a shipbuilding contract with Samsung for the construction of an LNG carrier (174,000 cubic meters). The vessel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was delivered on March 29, 2018.</w:t>
      </w:r>
    </w:p>
    <w:p>
      <w:pPr>
        <w:spacing w:after="0" w:line="172" w:lineRule="exact"/>
        <w:rPr>
          <w:sz w:val="20"/>
          <w:szCs w:val="20"/>
          <w:color w:val="auto"/>
        </w:rPr>
      </w:pPr>
    </w:p>
    <w:p>
      <w:pPr>
        <w:jc w:val="both"/>
        <w:ind w:right="40" w:firstLine="436"/>
        <w:spacing w:after="0" w:line="278" w:lineRule="auto"/>
        <w:rPr>
          <w:sz w:val="20"/>
          <w:szCs w:val="20"/>
          <w:color w:val="auto"/>
        </w:rPr>
      </w:pPr>
      <w:r>
        <w:rPr>
          <w:rFonts w:ascii="Arial" w:cs="Arial" w:eastAsia="Arial" w:hAnsi="Arial"/>
          <w:sz w:val="16"/>
          <w:szCs w:val="16"/>
          <w:color w:val="auto"/>
        </w:rPr>
        <w:t xml:space="preserve">In June 2014, GAS-twenty four Ltd. and GAS-twenty five Ltd. entered into shipbuilding contracts with Hyundai Heavy Industries Co., Ltd. (“Hyundai”) for the construction of two LNG carriers (174,000 cubic meters each). The first vessel,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was delivered on January 8, 2018, while the second vessel,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Hong Kong</w:t>
      </w:r>
      <w:r>
        <w:rPr>
          <w:rFonts w:ascii="Arial" w:cs="Arial" w:eastAsia="Arial" w:hAnsi="Arial"/>
          <w:sz w:val="16"/>
          <w:szCs w:val="16"/>
          <w:color w:val="auto"/>
        </w:rPr>
        <w:t>, was delivered on March 20, 2018.</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In May 2014, GAS-twenty three Ltd. entered into a shipbuilding contract with Samsung for the construction of an LNG carrier (174,000 cubic meters). The vessel is expected to be delivered in the first quarter of 2019.</w:t>
      </w:r>
    </w:p>
    <w:p>
      <w:pPr>
        <w:spacing w:after="0" w:line="172"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In September 2016, GAS-twenty nine Ltd. entered into a shipbuilding contract with Samsung for the construction of one LNG carrier (180,000 cubic meters). The vessel is expected to be delivered in the third quarter of 2019.</w:t>
      </w:r>
    </w:p>
    <w:p>
      <w:pPr>
        <w:spacing w:after="0" w:line="172" w:lineRule="exact"/>
        <w:rPr>
          <w:sz w:val="20"/>
          <w:szCs w:val="20"/>
          <w:color w:val="auto"/>
        </w:rPr>
      </w:pPr>
    </w:p>
    <w:p>
      <w:pPr>
        <w:ind w:right="140" w:firstLine="436"/>
        <w:spacing w:after="0" w:line="293" w:lineRule="auto"/>
        <w:rPr>
          <w:sz w:val="20"/>
          <w:szCs w:val="20"/>
          <w:color w:val="auto"/>
        </w:rPr>
      </w:pPr>
      <w:r>
        <w:rPr>
          <w:rFonts w:ascii="Arial" w:cs="Arial" w:eastAsia="Arial" w:hAnsi="Arial"/>
          <w:sz w:val="16"/>
          <w:szCs w:val="16"/>
          <w:color w:val="auto"/>
        </w:rPr>
        <w:t>On March 21, 2017, GasLog entered into a Heads of Agreement (“HOA”) with Samsung for the engineering in relation to the potential FSRU conversion of an existing vessel of the Group. As of September 30, 2018, $3,400 of the cost was paid, in accordance with the payment terms.</w:t>
      </w:r>
    </w:p>
    <w:p>
      <w:pPr>
        <w:spacing w:after="0" w:line="172" w:lineRule="exact"/>
        <w:rPr>
          <w:sz w:val="20"/>
          <w:szCs w:val="20"/>
          <w:color w:val="auto"/>
        </w:rPr>
      </w:pPr>
    </w:p>
    <w:p>
      <w:pPr>
        <w:ind w:right="280" w:firstLine="436"/>
        <w:spacing w:after="0" w:line="293" w:lineRule="auto"/>
        <w:rPr>
          <w:sz w:val="20"/>
          <w:szCs w:val="20"/>
          <w:color w:val="auto"/>
        </w:rPr>
      </w:pPr>
      <w:r>
        <w:rPr>
          <w:rFonts w:ascii="Arial" w:cs="Arial" w:eastAsia="Arial" w:hAnsi="Arial"/>
          <w:sz w:val="16"/>
          <w:szCs w:val="16"/>
          <w:color w:val="auto"/>
        </w:rPr>
        <w:t>On July 10, 2017, GasLog entered into an agreement with Keppel Shipyard Limited (“Keppel”) for the detailed engineering in relation to an FSRU conversion of one vessel. As of September 30, 2018, $6,181 of the cost was paid, in accordance with the payment terms.</w:t>
      </w:r>
    </w:p>
    <w:p>
      <w:pPr>
        <w:spacing w:after="0" w:line="172" w:lineRule="exact"/>
        <w:rPr>
          <w:sz w:val="20"/>
          <w:szCs w:val="20"/>
          <w:color w:val="auto"/>
        </w:rPr>
      </w:pPr>
    </w:p>
    <w:p>
      <w:pPr>
        <w:jc w:val="both"/>
        <w:ind w:right="40" w:firstLine="436"/>
        <w:spacing w:after="0" w:line="293" w:lineRule="auto"/>
        <w:rPr>
          <w:sz w:val="20"/>
          <w:szCs w:val="20"/>
          <w:color w:val="auto"/>
        </w:rPr>
      </w:pPr>
      <w:r>
        <w:rPr>
          <w:rFonts w:ascii="Arial" w:cs="Arial" w:eastAsia="Arial" w:hAnsi="Arial"/>
          <w:sz w:val="16"/>
          <w:szCs w:val="16"/>
          <w:color w:val="auto"/>
        </w:rPr>
        <w:t>In January 2018, GAS-twenty eight Ltd. entered into a shipbuilding contract with Samsung for the construction of one LNG carrier (180,000 cubic meters). The vessel is expected to be delivered in the second quarter of 2020.</w:t>
      </w:r>
    </w:p>
    <w:p>
      <w:pPr>
        <w:spacing w:after="0" w:line="172"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In March 2018, GAS-thirty one Ltd. entered into a shipbuilding contract with Samsung for the construction of one LNG carrier (180,000 cubic meters). The vessel is expected to be delivered in the second quarter of 2020.</w:t>
      </w:r>
    </w:p>
    <w:p>
      <w:pPr>
        <w:spacing w:after="0" w:line="172"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In May 2018, GAS-thirty Ltd. entered into a shipbuilding contract with Samsung for the construction of one LNG carrier (180,000 cubic meters). The vessel is expected to be delivered in the third quarter of 2020.</w:t>
      </w:r>
    </w:p>
    <w:p>
      <w:pPr>
        <w:spacing w:after="0" w:line="172"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In August 2018, GAS-thirty two Ltd. entered into a shipbuilding contract with Samsung for the construction of one LNG carrier (174,000 cubic meters). The vessel is expected to be delivered in the fourth quarter of 2020.</w:t>
      </w:r>
    </w:p>
    <w:p>
      <w:pPr>
        <w:spacing w:after="0" w:line="172"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In August 2018, GAS-thirty three Ltd. entered into a shipbuilding contract with Samsung for the construction of one LNG carrier (174,000 cubic meters). The vessel is expected to be delivered in the fourth quarter of 2020.</w:t>
      </w:r>
    </w:p>
    <w:p>
      <w:pPr>
        <w:spacing w:after="0" w:line="172" w:lineRule="exact"/>
        <w:rPr>
          <w:sz w:val="20"/>
          <w:szCs w:val="20"/>
          <w:color w:val="auto"/>
        </w:rPr>
      </w:pPr>
    </w:p>
    <w:p>
      <w:pPr>
        <w:jc w:val="both"/>
        <w:ind w:right="40" w:firstLine="436"/>
        <w:spacing w:after="0" w:line="278" w:lineRule="auto"/>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 As of September 30, 2018, the Group has paid to the shipyard $105,516 for the vessels that are under construction and expects to pay the remaining installments as they come due upon each vessel’s keel laying, launching and delivery (Note 13).</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vessels under construction costs as of December 31, 2017 and September 30, 2018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Progress shipyard installments</w:t>
            </w:r>
          </w:p>
        </w:tc>
        <w:tc>
          <w:tcPr>
            <w:tcW w:w="27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153,116</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105,804</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Onsite supervision costs</w:t>
            </w:r>
          </w:p>
        </w:tc>
        <w:tc>
          <w:tcPr>
            <w:tcW w:w="4400" w:type="dxa"/>
            <w:vAlign w:val="bottom"/>
            <w:gridSpan w:val="2"/>
          </w:tcPr>
          <w:p>
            <w:pPr>
              <w:jc w:val="right"/>
              <w:spacing w:after="0"/>
              <w:rPr>
                <w:sz w:val="20"/>
                <w:szCs w:val="20"/>
                <w:color w:val="auto"/>
              </w:rPr>
            </w:pPr>
            <w:r>
              <w:rPr>
                <w:rFonts w:ascii="Arial" w:cs="Arial" w:eastAsia="Arial" w:hAnsi="Arial"/>
                <w:sz w:val="16"/>
                <w:szCs w:val="16"/>
                <w:color w:val="auto"/>
              </w:rPr>
              <w:t>10,570</w:t>
            </w:r>
          </w:p>
        </w:tc>
        <w:tc>
          <w:tcPr>
            <w:tcW w:w="3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4,940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5FFFF"/>
          </w:tcPr>
          <w:p>
            <w:pPr>
              <w:spacing w:after="0"/>
              <w:rPr>
                <w:sz w:val="20"/>
                <w:szCs w:val="20"/>
                <w:color w:val="auto"/>
              </w:rPr>
            </w:pPr>
            <w:r>
              <w:rPr>
                <w:rFonts w:ascii="Arial" w:cs="Arial" w:eastAsia="Arial" w:hAnsi="Arial"/>
                <w:sz w:val="16"/>
                <w:szCs w:val="16"/>
                <w:color w:val="auto"/>
              </w:rPr>
              <w:t>Critical spare parts, equipment and other vessel delivery expenses</w:t>
            </w:r>
          </w:p>
        </w:tc>
        <w:tc>
          <w:tcPr>
            <w:tcW w:w="44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2,969</w:t>
            </w:r>
          </w:p>
        </w:tc>
        <w:tc>
          <w:tcPr>
            <w:tcW w:w="300" w:type="dxa"/>
            <w:vAlign w:val="bottom"/>
            <w:shd w:val="clear" w:color="auto" w:fill="E5FFFF"/>
          </w:tcPr>
          <w:p>
            <w:pPr>
              <w:spacing w:after="0"/>
              <w:rPr>
                <w:sz w:val="17"/>
                <w:szCs w:val="17"/>
                <w:color w:val="auto"/>
              </w:rPr>
            </w:pP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7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166,655</w:t>
            </w:r>
          </w:p>
        </w:tc>
        <w:tc>
          <w:tcPr>
            <w:tcW w:w="3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111,534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auto"/>
              </w:rPr>
              <w:t>6. Sale and Leaseback</w:t>
            </w:r>
          </w:p>
        </w:tc>
        <w:tc>
          <w:tcPr>
            <w:tcW w:w="27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92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20" w:type="dxa"/>
            <w:vAlign w:val="bottom"/>
          </w:tcPr>
          <w:p>
            <w:pPr>
              <w:ind w:left="400"/>
              <w:spacing w:after="0"/>
              <w:rPr>
                <w:sz w:val="20"/>
                <w:szCs w:val="20"/>
                <w:color w:val="auto"/>
              </w:rPr>
            </w:pPr>
            <w:r>
              <w:rPr>
                <w:rFonts w:ascii="Arial" w:cs="Arial" w:eastAsia="Arial" w:hAnsi="Arial"/>
                <w:sz w:val="16"/>
                <w:szCs w:val="16"/>
                <w:color w:val="auto"/>
              </w:rPr>
              <w:t>An analysis of the finance lease liabilities is as follows:</w:t>
            </w:r>
          </w:p>
        </w:tc>
        <w:tc>
          <w:tcPr>
            <w:tcW w:w="2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Finance lease liability, current portion</w:t>
            </w:r>
          </w:p>
        </w:tc>
        <w:tc>
          <w:tcPr>
            <w:tcW w:w="27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6,302</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6,579</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Finance lease liability, non-current portion</w:t>
            </w:r>
          </w:p>
        </w:tc>
        <w:tc>
          <w:tcPr>
            <w:tcW w:w="4400" w:type="dxa"/>
            <w:vAlign w:val="bottom"/>
            <w:gridSpan w:val="2"/>
          </w:tcPr>
          <w:p>
            <w:pPr>
              <w:jc w:val="right"/>
              <w:spacing w:after="0"/>
              <w:rPr>
                <w:sz w:val="20"/>
                <w:szCs w:val="20"/>
                <w:color w:val="auto"/>
              </w:rPr>
            </w:pPr>
            <w:r>
              <w:rPr>
                <w:rFonts w:ascii="Arial" w:cs="Arial" w:eastAsia="Arial" w:hAnsi="Arial"/>
                <w:sz w:val="16"/>
                <w:szCs w:val="16"/>
                <w:color w:val="auto"/>
              </w:rPr>
              <w:t>207,126</w:t>
            </w:r>
          </w:p>
        </w:tc>
        <w:tc>
          <w:tcPr>
            <w:tcW w:w="3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201,402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70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213,428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207,981</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920" w:type="dxa"/>
            <w:vAlign w:val="bottom"/>
          </w:tcPr>
          <w:p>
            <w:pPr>
              <w:spacing w:after="0"/>
              <w:rPr>
                <w:sz w:val="24"/>
                <w:szCs w:val="24"/>
                <w:color w:val="auto"/>
              </w:rPr>
            </w:pPr>
          </w:p>
        </w:tc>
        <w:tc>
          <w:tcPr>
            <w:tcW w:w="4700" w:type="dxa"/>
            <w:vAlign w:val="bottom"/>
            <w:gridSpan w:val="3"/>
          </w:tcPr>
          <w:p>
            <w:pPr>
              <w:ind w:left="640"/>
              <w:spacing w:after="0"/>
              <w:rPr>
                <w:sz w:val="20"/>
                <w:szCs w:val="20"/>
                <w:color w:val="auto"/>
              </w:rPr>
            </w:pPr>
            <w:r>
              <w:rPr>
                <w:rFonts w:ascii="Arial" w:cs="Arial" w:eastAsia="Arial" w:hAnsi="Arial"/>
                <w:sz w:val="16"/>
                <w:szCs w:val="16"/>
                <w:color w:val="auto"/>
              </w:rPr>
              <w:t>F-11</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92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20"/>
                <w:szCs w:val="20"/>
                <w:color w:val="auto"/>
              </w:rPr>
            </w:pPr>
            <w:r>
              <w:rPr>
                <w:rFonts w:ascii="Arial" w:cs="Arial" w:eastAsia="Arial" w:hAnsi="Arial"/>
                <w:sz w:val="16"/>
                <w:szCs w:val="16"/>
                <w:b w:val="1"/>
                <w:bCs w:val="1"/>
                <w:color w:val="auto"/>
              </w:rPr>
              <w:t>7. Borrowings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7380" w:type="dxa"/>
            <w:vAlign w:val="bottom"/>
          </w:tcPr>
          <w:p>
            <w:pPr>
              <w:ind w:left="400"/>
              <w:spacing w:after="0"/>
              <w:rPr>
                <w:sz w:val="20"/>
                <w:szCs w:val="20"/>
                <w:color w:val="auto"/>
              </w:rPr>
            </w:pPr>
            <w:r>
              <w:rPr>
                <w:rFonts w:ascii="Arial" w:cs="Arial" w:eastAsia="Arial" w:hAnsi="Arial"/>
                <w:sz w:val="16"/>
                <w:szCs w:val="16"/>
                <w:color w:val="auto"/>
              </w:rPr>
              <w:t>An analysis of the borrowings is as follows: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7380" w:type="dxa"/>
            <w:vAlign w:val="bottom"/>
          </w:tcPr>
          <w:p>
            <w:pPr>
              <w:spacing w:after="0"/>
              <w:rPr>
                <w:sz w:val="24"/>
                <w:szCs w:val="24"/>
                <w:color w:val="auto"/>
              </w:rPr>
            </w:pPr>
          </w:p>
        </w:tc>
        <w:tc>
          <w:tcPr>
            <w:tcW w:w="2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 2017</w:t>
            </w:r>
          </w:p>
        </w:tc>
        <w:tc>
          <w:tcPr>
            <w:tcW w:w="188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 2018</w:t>
            </w:r>
          </w:p>
        </w:tc>
      </w:tr>
      <w:tr>
        <w:trPr>
          <w:trHeight w:val="202"/>
        </w:trPr>
        <w:tc>
          <w:tcPr>
            <w:tcW w:w="7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188,167</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193,709</w:t>
            </w:r>
          </w:p>
        </w:tc>
        <w:tc>
          <w:tcPr>
            <w:tcW w:w="40" w:type="dxa"/>
            <w:vAlign w:val="bottom"/>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2100" w:type="dxa"/>
            <w:vAlign w:val="bottom"/>
            <w:gridSpan w:val="2"/>
          </w:tcPr>
          <w:p>
            <w:pPr>
              <w:jc w:val="right"/>
              <w:ind w:right="220"/>
              <w:spacing w:after="0"/>
              <w:rPr>
                <w:sz w:val="20"/>
                <w:szCs w:val="20"/>
                <w:color w:val="auto"/>
              </w:rPr>
            </w:pPr>
            <w:r>
              <w:rPr>
                <w:rFonts w:ascii="Arial" w:cs="Arial" w:eastAsia="Arial" w:hAnsi="Arial"/>
                <w:sz w:val="16"/>
                <w:szCs w:val="16"/>
                <w:color w:val="auto"/>
              </w:rPr>
              <w:t>(8,800)</w:t>
            </w:r>
          </w:p>
        </w:tc>
        <w:tc>
          <w:tcPr>
            <w:tcW w:w="1840" w:type="dxa"/>
            <w:vAlign w:val="bottom"/>
          </w:tcPr>
          <w:p>
            <w:pPr>
              <w:jc w:val="right"/>
              <w:spacing w:after="0"/>
              <w:rPr>
                <w:sz w:val="20"/>
                <w:szCs w:val="20"/>
                <w:color w:val="auto"/>
              </w:rPr>
            </w:pPr>
            <w:r>
              <w:rPr>
                <w:rFonts w:ascii="Arial" w:cs="Arial" w:eastAsia="Arial" w:hAnsi="Arial"/>
                <w:sz w:val="16"/>
                <w:szCs w:val="16"/>
                <w:color w:val="auto"/>
              </w:rPr>
              <w:t>(11,000)</w:t>
            </w:r>
          </w:p>
        </w:tc>
        <w:tc>
          <w:tcPr>
            <w:tcW w:w="40" w:type="dxa"/>
            <w:vAlign w:val="bottom"/>
          </w:tcPr>
          <w:p>
            <w:pPr>
              <w:spacing w:after="0"/>
              <w:rPr>
                <w:sz w:val="17"/>
                <w:szCs w:val="17"/>
                <w:color w:val="auto"/>
              </w:rPr>
            </w:pPr>
          </w:p>
        </w:tc>
      </w:tr>
      <w:tr>
        <w:trPr>
          <w:trHeight w:val="196"/>
        </w:trPr>
        <w:tc>
          <w:tcPr>
            <w:tcW w:w="7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current portion</w:t>
            </w: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179,367</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182,709</w:t>
            </w:r>
          </w:p>
        </w:tc>
        <w:tc>
          <w:tcPr>
            <w:tcW w:w="40" w:type="dxa"/>
            <w:vAlign w:val="bottom"/>
          </w:tcPr>
          <w:p>
            <w:pPr>
              <w:spacing w:after="0"/>
              <w:rPr>
                <w:sz w:val="17"/>
                <w:szCs w:val="17"/>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820" w:type="dxa"/>
            <w:vAlign w:val="bottom"/>
          </w:tcPr>
          <w:p>
            <w:pPr>
              <w:jc w:val="right"/>
              <w:spacing w:after="0"/>
              <w:rPr>
                <w:sz w:val="20"/>
                <w:szCs w:val="20"/>
                <w:color w:val="auto"/>
              </w:rPr>
            </w:pPr>
            <w:r>
              <w:rPr>
                <w:rFonts w:ascii="Arial" w:cs="Arial" w:eastAsia="Arial" w:hAnsi="Arial"/>
                <w:sz w:val="16"/>
                <w:szCs w:val="16"/>
                <w:color w:val="auto"/>
              </w:rPr>
              <w:t>2,399,849</w:t>
            </w:r>
          </w:p>
        </w:tc>
        <w:tc>
          <w:tcPr>
            <w:tcW w:w="2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2,712,747</w:t>
            </w:r>
          </w:p>
        </w:tc>
        <w:tc>
          <w:tcPr>
            <w:tcW w:w="40" w:type="dxa"/>
            <w:vAlign w:val="bottom"/>
          </w:tcPr>
          <w:p>
            <w:pPr>
              <w:spacing w:after="0"/>
              <w:rPr>
                <w:sz w:val="17"/>
                <w:szCs w:val="17"/>
                <w:color w:val="auto"/>
              </w:rPr>
            </w:pPr>
          </w:p>
        </w:tc>
      </w:tr>
      <w:tr>
        <w:trPr>
          <w:trHeight w:val="203"/>
        </w:trPr>
        <w:tc>
          <w:tcPr>
            <w:tcW w:w="738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loan/bond issuance costs</w:t>
            </w:r>
          </w:p>
        </w:tc>
        <w:tc>
          <w:tcPr>
            <w:tcW w:w="21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(31,660)</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(39,333)</w:t>
            </w:r>
          </w:p>
        </w:tc>
        <w:tc>
          <w:tcPr>
            <w:tcW w:w="40" w:type="dxa"/>
            <w:vAlign w:val="bottom"/>
          </w:tcPr>
          <w:p>
            <w:pPr>
              <w:spacing w:after="0"/>
              <w:rPr>
                <w:sz w:val="17"/>
                <w:szCs w:val="17"/>
                <w:color w:val="auto"/>
              </w:rPr>
            </w:pPr>
          </w:p>
        </w:tc>
      </w:tr>
      <w:tr>
        <w:trPr>
          <w:trHeight w:val="196"/>
        </w:trPr>
        <w:tc>
          <w:tcPr>
            <w:tcW w:w="73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non-current portion</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2,368,189</w:t>
            </w:r>
          </w:p>
        </w:tc>
        <w:tc>
          <w:tcPr>
            <w:tcW w:w="280" w:type="dxa"/>
            <w:vAlign w:val="bottom"/>
            <w:tcBorders>
              <w:bottom w:val="single" w:sz="8" w:color="E5FFFF"/>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2,673,414</w:t>
            </w:r>
          </w:p>
        </w:tc>
        <w:tc>
          <w:tcPr>
            <w:tcW w:w="40" w:type="dxa"/>
            <w:vAlign w:val="bottom"/>
          </w:tcPr>
          <w:p>
            <w:pPr>
              <w:spacing w:after="0"/>
              <w:rPr>
                <w:sz w:val="17"/>
                <w:szCs w:val="17"/>
                <w:color w:val="auto"/>
              </w:rPr>
            </w:pPr>
          </w:p>
        </w:tc>
      </w:tr>
      <w:tr>
        <w:trPr>
          <w:trHeight w:val="196"/>
        </w:trPr>
        <w:tc>
          <w:tcPr>
            <w:tcW w:w="7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2,547,556</w:t>
            </w:r>
          </w:p>
        </w:tc>
        <w:tc>
          <w:tcPr>
            <w:tcW w:w="280" w:type="dxa"/>
            <w:vAlign w:val="bottom"/>
            <w:tcBorders>
              <w:bottom w:val="single" w:sz="8" w:color="E5FFFF"/>
            </w:tcBorders>
            <w:shd w:val="clear" w:color="auto" w:fill="E5FFFF"/>
          </w:tcPr>
          <w:p>
            <w:pPr>
              <w:spacing w:after="0"/>
              <w:rPr>
                <w:sz w:val="17"/>
                <w:szCs w:val="17"/>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2,856,123</w:t>
            </w:r>
          </w:p>
        </w:tc>
        <w:tc>
          <w:tcPr>
            <w:tcW w:w="4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Loans</w:t>
      </w:r>
    </w:p>
    <w:p>
      <w:pPr>
        <w:spacing w:after="0" w:line="235" w:lineRule="exact"/>
        <w:rPr>
          <w:sz w:val="20"/>
          <w:szCs w:val="20"/>
          <w:color w:val="auto"/>
        </w:rPr>
      </w:pPr>
    </w:p>
    <w:p>
      <w:pPr>
        <w:ind w:right="260" w:firstLine="383"/>
        <w:spacing w:after="0" w:line="271" w:lineRule="auto"/>
        <w:rPr>
          <w:sz w:val="20"/>
          <w:szCs w:val="20"/>
          <w:color w:val="auto"/>
        </w:rPr>
      </w:pPr>
      <w:r>
        <w:rPr>
          <w:rFonts w:ascii="Arial" w:cs="Arial" w:eastAsia="Arial" w:hAnsi="Arial"/>
          <w:sz w:val="16"/>
          <w:szCs w:val="16"/>
          <w:color w:val="auto"/>
        </w:rPr>
        <w:t xml:space="preserve">The main terms of the Group’s loan facilities in existence as of December 31, 2017 have been disclosed in Note 13 “Borrowings” of the annual audited consolidated financial statements for the year ended December 31, 2017. During the nine months ended September 30, 2018, the Group drew down $498,225 to partially finance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repaid $151,042 in accordance with the repayment terms under its loan facilities. In addition, the Group, through GasLog Partners, prepaid in full the $29,750 of the outstanding debt of GAS-nineteen Ltd., GAS-twenty Ltd. and GAS-twenty one Ltd., which would have been originally due in April 2018.</w:t>
      </w:r>
    </w:p>
    <w:p>
      <w:pPr>
        <w:spacing w:after="0" w:line="190"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The carrying amount of the Group’s bank debt recognized in the unaudited condensed consolidated financial statements approximates its fair value after adjusting for the unamortized loan/bond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235" w:lineRule="exact"/>
        <w:rPr>
          <w:sz w:val="20"/>
          <w:szCs w:val="20"/>
          <w:color w:val="auto"/>
        </w:rPr>
      </w:pPr>
    </w:p>
    <w:p>
      <w:pPr>
        <w:ind w:right="580" w:firstLine="436"/>
        <w:spacing w:after="0" w:line="293" w:lineRule="auto"/>
        <w:rPr>
          <w:sz w:val="20"/>
          <w:szCs w:val="20"/>
          <w:color w:val="auto"/>
        </w:rPr>
      </w:pPr>
      <w:r>
        <w:rPr>
          <w:rFonts w:ascii="Arial" w:cs="Arial" w:eastAsia="Arial" w:hAnsi="Arial"/>
          <w:sz w:val="16"/>
          <w:szCs w:val="16"/>
          <w:color w:val="auto"/>
        </w:rPr>
        <w:t>The main terms of the Group’s senior unsecured NOK bonds maturing in 2021 (the “NOK 2021 Bonds”) have been disclosed in the annual audited consolidated financial statements for the year ended December 31, 2017. Refer to Note 13 “Borrowings”.</w:t>
      </w:r>
    </w:p>
    <w:p>
      <w:pPr>
        <w:spacing w:after="0" w:line="172" w:lineRule="exact"/>
        <w:rPr>
          <w:sz w:val="20"/>
          <w:szCs w:val="20"/>
          <w:color w:val="auto"/>
        </w:rPr>
      </w:pPr>
    </w:p>
    <w:p>
      <w:pPr>
        <w:ind w:right="20" w:firstLine="436"/>
        <w:spacing w:after="0" w:line="278" w:lineRule="auto"/>
        <w:rPr>
          <w:sz w:val="20"/>
          <w:szCs w:val="20"/>
          <w:color w:val="auto"/>
        </w:rPr>
      </w:pPr>
      <w:r>
        <w:rPr>
          <w:rFonts w:ascii="Arial" w:cs="Arial" w:eastAsia="Arial" w:hAnsi="Arial"/>
          <w:sz w:val="16"/>
          <w:szCs w:val="16"/>
          <w:color w:val="auto"/>
        </w:rPr>
        <w:t>The carrying amount under the NOK 2021 Bonds, net of unamortized financing costs, as of September 30, 2018 is $90,979 (December 31, 2017: $89,723) while their aggregate fair value is $97,987 based on a USD/NOK exchange rate of 0.1227 as of September 30, 2018 (December 31, 2017: $97,416, based on a USD/NOK exchange rate of 0.1213).</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Group was in compliance with its financial covenants as of September 30, 2018.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Related Party Transactions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Group has the following balances with related parties which have been included in the 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80" w:type="dxa"/>
            <w:vAlign w:val="bottom"/>
          </w:tcPr>
          <w:p>
            <w:pPr>
              <w:spacing w:after="0"/>
              <w:rPr>
                <w:sz w:val="20"/>
                <w:szCs w:val="20"/>
                <w:color w:val="auto"/>
              </w:rPr>
            </w:pPr>
            <w:r>
              <w:rPr>
                <w:rFonts w:ascii="Arial" w:cs="Arial" w:eastAsia="Arial" w:hAnsi="Arial"/>
                <w:sz w:val="16"/>
                <w:szCs w:val="16"/>
                <w:b w:val="1"/>
                <w:bCs w:val="1"/>
                <w:i w:val="1"/>
                <w:iCs w:val="1"/>
                <w:color w:val="auto"/>
              </w:rPr>
              <w:t>Current Assets</w:t>
            </w: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380" w:type="dxa"/>
            <w:vAlign w:val="bottom"/>
          </w:tcPr>
          <w:p>
            <w:pPr>
              <w:spacing w:after="0"/>
              <w:rPr>
                <w:sz w:val="20"/>
                <w:szCs w:val="20"/>
                <w:color w:val="auto"/>
              </w:rPr>
            </w:pPr>
            <w:r>
              <w:rPr>
                <w:rFonts w:ascii="Arial" w:cs="Arial" w:eastAsia="Arial" w:hAnsi="Arial"/>
                <w:sz w:val="16"/>
                <w:szCs w:val="16"/>
                <w:b w:val="1"/>
                <w:bCs w:val="1"/>
                <w:i w:val="1"/>
                <w:iCs w:val="1"/>
                <w:color w:val="auto"/>
              </w:rPr>
              <w:t>Dividends receivable and other amounts due from related parties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80" w:type="dxa"/>
            <w:vAlign w:val="bottom"/>
          </w:tcPr>
          <w:p>
            <w:pPr>
              <w:spacing w:after="0"/>
              <w:rPr>
                <w:sz w:val="24"/>
                <w:szCs w:val="24"/>
                <w:color w:val="auto"/>
              </w:rPr>
            </w:pPr>
          </w:p>
        </w:tc>
        <w:tc>
          <w:tcPr>
            <w:tcW w:w="2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 2017</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7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Dividends receivable from associate</w:t>
            </w: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125</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Due from The Cool Pool Limited</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8,186</w:t>
            </w:r>
          </w:p>
        </w:tc>
        <w:tc>
          <w:tcPr>
            <w:tcW w:w="1840" w:type="dxa"/>
            <w:vAlign w:val="bottom"/>
          </w:tcPr>
          <w:p>
            <w:pPr>
              <w:jc w:val="right"/>
              <w:spacing w:after="0"/>
              <w:rPr>
                <w:sz w:val="20"/>
                <w:szCs w:val="20"/>
                <w:color w:val="auto"/>
              </w:rPr>
            </w:pPr>
            <w:r>
              <w:rPr>
                <w:rFonts w:ascii="Arial" w:cs="Arial" w:eastAsia="Arial" w:hAnsi="Arial"/>
                <w:sz w:val="16"/>
                <w:szCs w:val="16"/>
                <w:color w:val="auto"/>
              </w:rPr>
              <w:t>13,737</w:t>
            </w:r>
          </w:p>
        </w:tc>
        <w:tc>
          <w:tcPr>
            <w:tcW w:w="0" w:type="dxa"/>
            <w:vAlign w:val="bottom"/>
          </w:tcPr>
          <w:p>
            <w:pPr>
              <w:spacing w:after="0"/>
              <w:rPr>
                <w:sz w:val="1"/>
                <w:szCs w:val="1"/>
                <w:color w:val="auto"/>
              </w:rPr>
            </w:pPr>
          </w:p>
        </w:tc>
      </w:tr>
      <w:tr>
        <w:trPr>
          <w:trHeight w:val="203"/>
        </w:trPr>
        <w:tc>
          <w:tcPr>
            <w:tcW w:w="7380" w:type="dxa"/>
            <w:vAlign w:val="bottom"/>
            <w:shd w:val="clear" w:color="auto" w:fill="E5FFFF"/>
          </w:tcPr>
          <w:p>
            <w:pPr>
              <w:spacing w:after="0"/>
              <w:rPr>
                <w:sz w:val="20"/>
                <w:szCs w:val="20"/>
                <w:color w:val="auto"/>
              </w:rPr>
            </w:pPr>
            <w:r>
              <w:rPr>
                <w:rFonts w:ascii="Arial" w:cs="Arial" w:eastAsia="Arial" w:hAnsi="Arial"/>
                <w:sz w:val="16"/>
                <w:szCs w:val="16"/>
                <w:color w:val="auto"/>
              </w:rPr>
              <w:t>Other receivables</w:t>
            </w:r>
          </w:p>
        </w:tc>
        <w:tc>
          <w:tcPr>
            <w:tcW w:w="21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355</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8,666</w:t>
            </w:r>
          </w:p>
        </w:tc>
        <w:tc>
          <w:tcPr>
            <w:tcW w:w="28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14,191</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8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80" w:type="dxa"/>
            <w:vAlign w:val="bottom"/>
          </w:tcPr>
          <w:p>
            <w:pPr>
              <w:spacing w:after="0"/>
              <w:rPr>
                <w:sz w:val="24"/>
                <w:szCs w:val="24"/>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December 31, 2017</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7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993</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6"/>
        </w:trPr>
        <w:tc>
          <w:tcPr>
            <w:tcW w:w="738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8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Ship management creditors’ liability is comprised of cash collected from Egypt LNG Shipping Ltd. to cover the obligations of its vessel under the Group’s management.</w:t>
      </w:r>
    </w:p>
    <w:p>
      <w:pPr>
        <w:spacing w:after="0" w:line="258" w:lineRule="exact"/>
        <w:rPr>
          <w:sz w:val="20"/>
          <w:szCs w:val="20"/>
          <w:color w:val="auto"/>
        </w:rPr>
      </w:pPr>
    </w:p>
    <w:p>
      <w:pPr>
        <w:ind w:right="160" w:firstLine="436"/>
        <w:spacing w:after="0" w:line="293" w:lineRule="auto"/>
        <w:rPr>
          <w:sz w:val="20"/>
          <w:szCs w:val="20"/>
          <w:color w:val="auto"/>
        </w:rPr>
      </w:pPr>
      <w:r>
        <w:rPr>
          <w:rFonts w:ascii="Arial" w:cs="Arial" w:eastAsia="Arial" w:hAnsi="Arial"/>
          <w:sz w:val="16"/>
          <w:szCs w:val="16"/>
          <w:color w:val="auto"/>
        </w:rPr>
        <w:t>Amounts due to related parties of $69 as of September 30, 2018 (December 31, 2017: $35) are expenses paid by a related party on behalf of the Group and payables to other related parties for the office lease and other operating expenses.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9. Revenues from Contracts with Customers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19"/>
        </w:trPr>
        <w:tc>
          <w:tcPr>
            <w:tcW w:w="5100" w:type="dxa"/>
            <w:vAlign w:val="bottom"/>
            <w:gridSpan w:val="2"/>
          </w:tcPr>
          <w:p>
            <w:pPr>
              <w:ind w:left="440"/>
              <w:spacing w:after="0"/>
              <w:rPr>
                <w:sz w:val="20"/>
                <w:szCs w:val="20"/>
                <w:color w:val="auto"/>
              </w:rPr>
            </w:pPr>
            <w:r>
              <w:rPr>
                <w:rFonts w:ascii="Arial" w:cs="Arial" w:eastAsia="Arial" w:hAnsi="Arial"/>
                <w:sz w:val="16"/>
                <w:szCs w:val="16"/>
                <w:color w:val="auto"/>
                <w:w w:val="93"/>
              </w:rPr>
              <w:t>The Group has recognized the following amounts relating to revenues: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1"/>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30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00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02"/>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122,703</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132,280</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364,986</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384,747</w:t>
            </w: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Revenues from The Cool Pool Limited (GasLog vessels)</w:t>
            </w:r>
          </w:p>
        </w:tc>
        <w:tc>
          <w:tcPr>
            <w:tcW w:w="1260" w:type="dxa"/>
            <w:vAlign w:val="bottom"/>
          </w:tcPr>
          <w:p>
            <w:pPr>
              <w:jc w:val="right"/>
              <w:spacing w:after="0"/>
              <w:rPr>
                <w:sz w:val="20"/>
                <w:szCs w:val="20"/>
                <w:color w:val="auto"/>
              </w:rPr>
            </w:pPr>
            <w:r>
              <w:rPr>
                <w:rFonts w:ascii="Arial" w:cs="Arial" w:eastAsia="Arial" w:hAnsi="Arial"/>
                <w:sz w:val="16"/>
                <w:szCs w:val="16"/>
                <w:color w:val="auto"/>
              </w:rPr>
              <w:t>8,146</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25,947</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23,524</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44,399</w:t>
            </w: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 from vessel management services</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171</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947</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554</w:t>
            </w:r>
          </w:p>
        </w:tc>
      </w:tr>
      <w:tr>
        <w:trPr>
          <w:trHeight w:val="196"/>
        </w:trPr>
        <w:tc>
          <w:tcPr>
            <w:tcW w:w="5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131,242</w:t>
            </w:r>
          </w:p>
        </w:tc>
        <w:tc>
          <w:tcPr>
            <w:tcW w:w="3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158,398</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389,457</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429,700</w:t>
            </w: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60" w:firstLine="383"/>
        <w:spacing w:after="0" w:line="278" w:lineRule="auto"/>
        <w:rPr>
          <w:sz w:val="20"/>
          <w:szCs w:val="20"/>
          <w:color w:val="auto"/>
        </w:rPr>
      </w:pPr>
      <w:r>
        <w:rPr>
          <w:rFonts w:ascii="Arial" w:cs="Arial" w:eastAsia="Arial" w:hAnsi="Arial"/>
          <w:sz w:val="16"/>
          <w:szCs w:val="16"/>
          <w:color w:val="auto"/>
        </w:rPr>
        <w:t>Revenues from The Cool Pool Limited relate to revenues received from GasLog’s vessels operating in the Cool Pool and do not include the net pool allocation to GasLog of $3,882 and $19,493 for the three and nine months ended September 30, 2018, respectively ($2,041 and $3,361 for the three and nine months ended September 30, 2017,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000" w:type="dxa"/>
            <w:vAlign w:val="bottom"/>
          </w:tcPr>
          <w:p>
            <w:pPr>
              <w:ind w:left="440"/>
              <w:spacing w:after="0"/>
              <w:rPr>
                <w:sz w:val="20"/>
                <w:szCs w:val="20"/>
                <w:color w:val="auto"/>
              </w:rPr>
            </w:pPr>
            <w:r>
              <w:rPr>
                <w:rFonts w:ascii="Arial" w:cs="Arial" w:eastAsia="Arial" w:hAnsi="Arial"/>
                <w:sz w:val="16"/>
                <w:szCs w:val="16"/>
                <w:color w:val="auto"/>
                <w:w w:val="98"/>
              </w:rPr>
              <w:t>An analysis of general and administrative expenses is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000" w:type="dxa"/>
            <w:vAlign w:val="bottom"/>
          </w:tcPr>
          <w:p>
            <w:pPr>
              <w:spacing w:after="0"/>
              <w:rPr>
                <w:sz w:val="24"/>
                <w:szCs w:val="24"/>
                <w:color w:val="auto"/>
              </w:rPr>
            </w:pPr>
          </w:p>
        </w:tc>
        <w:tc>
          <w:tcPr>
            <w:tcW w:w="3300" w:type="dxa"/>
            <w:vAlign w:val="bottom"/>
            <w:gridSpan w:val="5"/>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6"/>
          </w:tcPr>
          <w:p>
            <w:pPr>
              <w:ind w:left="5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3"/>
          </w:tcPr>
          <w:p>
            <w:pPr>
              <w:ind w:left="18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3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Employee costs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4,714</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4,893</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14,328</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Board of directors’ fees</w:t>
            </w:r>
          </w:p>
        </w:tc>
        <w:tc>
          <w:tcPr>
            <w:tcW w:w="1360" w:type="dxa"/>
            <w:vAlign w:val="bottom"/>
          </w:tcPr>
          <w:p>
            <w:pPr>
              <w:jc w:val="right"/>
              <w:spacing w:after="0"/>
              <w:rPr>
                <w:sz w:val="20"/>
                <w:szCs w:val="20"/>
                <w:color w:val="auto"/>
              </w:rPr>
            </w:pPr>
            <w:r>
              <w:rPr>
                <w:rFonts w:ascii="Arial" w:cs="Arial" w:eastAsia="Arial" w:hAnsi="Arial"/>
                <w:sz w:val="16"/>
                <w:szCs w:val="16"/>
                <w:color w:val="auto"/>
              </w:rPr>
              <w:t>562</w:t>
            </w:r>
          </w:p>
        </w:tc>
        <w:tc>
          <w:tcPr>
            <w:tcW w:w="3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622</w:t>
            </w:r>
          </w:p>
        </w:tc>
        <w:tc>
          <w:tcPr>
            <w:tcW w:w="2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1,665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1,966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1,257</w:t>
            </w:r>
          </w:p>
        </w:tc>
        <w:tc>
          <w:tcPr>
            <w:tcW w:w="30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1,350</w:t>
            </w:r>
          </w:p>
        </w:tc>
        <w:tc>
          <w:tcPr>
            <w:tcW w:w="28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3,492</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Rent and utilities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542</w:t>
            </w:r>
          </w:p>
        </w:tc>
        <w:tc>
          <w:tcPr>
            <w:tcW w:w="3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583</w:t>
            </w:r>
          </w:p>
        </w:tc>
        <w:tc>
          <w:tcPr>
            <w:tcW w:w="2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1,686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1,669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Travel and accommodation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374</w:t>
            </w:r>
          </w:p>
        </w:tc>
        <w:tc>
          <w:tcPr>
            <w:tcW w:w="30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1,424</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Legal and professional fees</w:t>
            </w:r>
          </w:p>
        </w:tc>
        <w:tc>
          <w:tcPr>
            <w:tcW w:w="1360" w:type="dxa"/>
            <w:vAlign w:val="bottom"/>
          </w:tcPr>
          <w:p>
            <w:pPr>
              <w:jc w:val="right"/>
              <w:spacing w:after="0"/>
              <w:rPr>
                <w:sz w:val="20"/>
                <w:szCs w:val="20"/>
                <w:color w:val="auto"/>
              </w:rPr>
            </w:pPr>
            <w:r>
              <w:rPr>
                <w:rFonts w:ascii="Arial" w:cs="Arial" w:eastAsia="Arial" w:hAnsi="Arial"/>
                <w:sz w:val="16"/>
                <w:szCs w:val="16"/>
                <w:color w:val="auto"/>
              </w:rPr>
              <w:t>1,849</w:t>
            </w:r>
          </w:p>
        </w:tc>
        <w:tc>
          <w:tcPr>
            <w:tcW w:w="3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1,223</w:t>
            </w:r>
          </w:p>
        </w:tc>
        <w:tc>
          <w:tcPr>
            <w:tcW w:w="2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5,804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4,549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differences, net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w:t>
            </w:r>
          </w:p>
        </w:tc>
        <w:tc>
          <w:tcPr>
            <w:tcW w:w="30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149</w:t>
            </w:r>
          </w:p>
        </w:tc>
        <w:tc>
          <w:tcPr>
            <w:tcW w:w="28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Other expenses</w:t>
            </w:r>
          </w:p>
        </w:tc>
        <w:tc>
          <w:tcPr>
            <w:tcW w:w="1360" w:type="dxa"/>
            <w:vAlign w:val="bottom"/>
          </w:tcPr>
          <w:p>
            <w:pPr>
              <w:jc w:val="right"/>
              <w:spacing w:after="0"/>
              <w:rPr>
                <w:sz w:val="20"/>
                <w:szCs w:val="20"/>
                <w:color w:val="auto"/>
              </w:rPr>
            </w:pPr>
            <w:r>
              <w:rPr>
                <w:rFonts w:ascii="Arial" w:cs="Arial" w:eastAsia="Arial" w:hAnsi="Arial"/>
                <w:sz w:val="16"/>
                <w:szCs w:val="16"/>
                <w:color w:val="auto"/>
              </w:rPr>
              <w:t>625</w:t>
            </w:r>
          </w:p>
        </w:tc>
        <w:tc>
          <w:tcPr>
            <w:tcW w:w="3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866</w:t>
            </w:r>
          </w:p>
        </w:tc>
        <w:tc>
          <w:tcPr>
            <w:tcW w:w="2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1,788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2,540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9,988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9,917</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30,213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32,282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b w:val="1"/>
                <w:bCs w:val="1"/>
                <w:color w:val="auto"/>
              </w:rPr>
              <w:t>11. Other Payables and Accruals</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0" w:type="dxa"/>
            <w:vAlign w:val="bottom"/>
          </w:tcPr>
          <w:p>
            <w:pPr>
              <w:ind w:left="440"/>
              <w:spacing w:after="0"/>
              <w:rPr>
                <w:sz w:val="20"/>
                <w:szCs w:val="20"/>
                <w:color w:val="auto"/>
              </w:rPr>
            </w:pPr>
            <w:r>
              <w:rPr>
                <w:rFonts w:ascii="Arial" w:cs="Arial" w:eastAsia="Arial" w:hAnsi="Arial"/>
                <w:sz w:val="16"/>
                <w:szCs w:val="16"/>
                <w:color w:val="auto"/>
              </w:rPr>
              <w:t>An analysis of other payables and accruals is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December 31, 2017</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Social contributions</w:t>
            </w:r>
          </w:p>
        </w:tc>
        <w:tc>
          <w:tcPr>
            <w:tcW w:w="13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720" w:type="dxa"/>
            <w:vAlign w:val="bottom"/>
            <w:tcBorders>
              <w:top w:val="single" w:sz="8" w:color="E5FFFF"/>
            </w:tcBorders>
            <w:shd w:val="clear" w:color="auto" w:fill="E5FFFF"/>
          </w:tcPr>
          <w:p>
            <w:pPr>
              <w:spacing w:after="0"/>
              <w:rPr>
                <w:sz w:val="17"/>
                <w:szCs w:val="17"/>
                <w:color w:val="auto"/>
              </w:rPr>
            </w:pPr>
          </w:p>
        </w:tc>
        <w:tc>
          <w:tcPr>
            <w:tcW w:w="64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1,244</w:t>
            </w:r>
          </w:p>
        </w:tc>
        <w:tc>
          <w:tcPr>
            <w:tcW w:w="28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6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770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Unearned revenue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34,926</w:t>
            </w:r>
          </w:p>
        </w:tc>
        <w:tc>
          <w:tcPr>
            <w:tcW w:w="1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26,571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Accrued legal and professional fees</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1,567</w:t>
            </w:r>
          </w:p>
        </w:tc>
        <w:tc>
          <w:tcPr>
            <w:tcW w:w="1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Accrued board of directors’ fees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577</w:t>
            </w:r>
          </w:p>
        </w:tc>
        <w:tc>
          <w:tcPr>
            <w:tcW w:w="1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Accrued employee costs</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5,494</w:t>
            </w:r>
          </w:p>
        </w:tc>
        <w:tc>
          <w:tcPr>
            <w:tcW w:w="1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5,231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Accrued off-hire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5,284</w:t>
            </w:r>
          </w:p>
        </w:tc>
        <w:tc>
          <w:tcPr>
            <w:tcW w:w="1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5,616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Accrued crew costs</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4,027</w:t>
            </w:r>
          </w:p>
        </w:tc>
        <w:tc>
          <w:tcPr>
            <w:tcW w:w="1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Accrued purchases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4,227</w:t>
            </w:r>
          </w:p>
        </w:tc>
        <w:tc>
          <w:tcPr>
            <w:tcW w:w="1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19,763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Accrued financing costs</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1,984</w:t>
            </w:r>
          </w:p>
        </w:tc>
        <w:tc>
          <w:tcPr>
            <w:tcW w:w="1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Accrued interest</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27,851</w:t>
            </w:r>
          </w:p>
        </w:tc>
        <w:tc>
          <w:tcPr>
            <w:tcW w:w="1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22,530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Accrued payable to charterers</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4,179</w:t>
            </w:r>
          </w:p>
        </w:tc>
        <w:tc>
          <w:tcPr>
            <w:tcW w:w="1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Other accruals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2,058</w:t>
            </w:r>
          </w:p>
        </w:tc>
        <w:tc>
          <w:tcPr>
            <w:tcW w:w="1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720" w:type="dxa"/>
            <w:vAlign w:val="bottom"/>
            <w:tcBorders>
              <w:top w:val="single" w:sz="8" w:color="E5FFFF"/>
              <w:bottom w:val="single" w:sz="8" w:color="E5FFFF"/>
            </w:tcBorders>
            <w:shd w:val="clear" w:color="auto" w:fill="E5FFFF"/>
          </w:tcPr>
          <w:p>
            <w:pPr>
              <w:spacing w:after="0"/>
              <w:rPr>
                <w:sz w:val="17"/>
                <w:szCs w:val="17"/>
                <w:color w:val="auto"/>
              </w:rPr>
            </w:pPr>
          </w:p>
        </w:tc>
        <w:tc>
          <w:tcPr>
            <w:tcW w:w="64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93,418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98,567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Share Capital and Preference Shares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113" w:lineRule="exact"/>
        <w:rPr>
          <w:sz w:val="20"/>
          <w:szCs w:val="20"/>
          <w:color w:val="auto"/>
        </w:rPr>
      </w:pPr>
    </w:p>
    <w:p>
      <w:pPr>
        <w:ind w:right="160" w:firstLine="396"/>
        <w:spacing w:after="0" w:line="278" w:lineRule="auto"/>
        <w:rPr>
          <w:sz w:val="20"/>
          <w:szCs w:val="20"/>
          <w:color w:val="auto"/>
        </w:rPr>
      </w:pPr>
      <w:r>
        <w:rPr>
          <w:rFonts w:ascii="Arial" w:cs="Arial" w:eastAsia="Arial" w:hAnsi="Arial"/>
          <w:sz w:val="16"/>
          <w:szCs w:val="16"/>
          <w:color w:val="auto"/>
        </w:rPr>
        <w:t>As of September 30, 2018, the share capital consisted of 80,815,956 issued and outstanding common shares, par value $0.01 per share, 177,170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4"/>
          </w:tcPr>
          <w:p>
            <w:pPr>
              <w:jc w:val="center"/>
              <w:ind w:right="1540"/>
              <w:spacing w:after="0"/>
              <w:rPr>
                <w:sz w:val="20"/>
                <w:szCs w:val="20"/>
                <w:color w:val="auto"/>
              </w:rPr>
            </w:pPr>
            <w:r>
              <w:rPr>
                <w:rFonts w:ascii="Arial" w:cs="Arial" w:eastAsia="Arial" w:hAnsi="Arial"/>
                <w:sz w:val="16"/>
                <w:szCs w:val="16"/>
                <w:b w:val="1"/>
                <w:bCs w:val="1"/>
                <w:color w:val="auto"/>
                <w:w w:val="91"/>
              </w:rPr>
              <w:t>Number of Shares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Amounts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12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2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4"/>
              </w:rPr>
              <w:t>Number of</w:t>
            </w:r>
          </w:p>
        </w:tc>
        <w:tc>
          <w:tcPr>
            <w:tcW w:w="16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Common</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Treasury</w:t>
            </w:r>
          </w:p>
        </w:tc>
        <w:tc>
          <w:tcPr>
            <w:tcW w:w="194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Preference</w:t>
            </w: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Contributed</w:t>
            </w:r>
          </w:p>
        </w:tc>
        <w:tc>
          <w:tcPr>
            <w:tcW w:w="118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4"/>
              </w:rPr>
              <w:t>Treasury</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Preference Shares</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Share capital</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Surplus</w:t>
            </w:r>
          </w:p>
        </w:tc>
        <w:tc>
          <w:tcPr>
            <w:tcW w:w="118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89"/>
              </w:rPr>
              <w:t>Shares</w:t>
            </w:r>
          </w:p>
        </w:tc>
        <w:tc>
          <w:tcPr>
            <w:tcW w:w="0" w:type="dxa"/>
            <w:vAlign w:val="bottom"/>
          </w:tcPr>
          <w:p>
            <w:pPr>
              <w:spacing w:after="0"/>
              <w:rPr>
                <w:sz w:val="1"/>
                <w:szCs w:val="1"/>
                <w:color w:val="auto"/>
              </w:rPr>
            </w:pPr>
          </w:p>
        </w:tc>
      </w:tr>
      <w:tr>
        <w:trPr>
          <w:trHeight w:val="175"/>
        </w:trPr>
        <w:tc>
          <w:tcPr>
            <w:tcW w:w="2240" w:type="dxa"/>
            <w:vAlign w:val="bottom"/>
            <w:tcBorders>
              <w:top w:val="single" w:sz="8" w:color="E5FFFF"/>
            </w:tcBorders>
            <w:shd w:val="clear" w:color="auto" w:fill="E5FFFF"/>
          </w:tcPr>
          <w:p>
            <w:pPr>
              <w:jc w:val="right"/>
              <w:ind w:right="139"/>
              <w:spacing w:after="0" w:line="175" w:lineRule="exact"/>
              <w:rPr>
                <w:sz w:val="20"/>
                <w:szCs w:val="20"/>
                <w:color w:val="auto"/>
              </w:rPr>
            </w:pPr>
            <w:r>
              <w:rPr>
                <w:rFonts w:ascii="Arial" w:cs="Arial" w:eastAsia="Arial" w:hAnsi="Arial"/>
                <w:sz w:val="16"/>
                <w:szCs w:val="16"/>
                <w:b w:val="1"/>
                <w:bCs w:val="1"/>
                <w:color w:val="auto"/>
                <w:w w:val="91"/>
              </w:rPr>
              <w:t>Outstanding as of January 1,</w:t>
            </w:r>
          </w:p>
        </w:tc>
        <w:tc>
          <w:tcPr>
            <w:tcW w:w="10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60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140" w:type="dxa"/>
            <w:vAlign w:val="bottom"/>
            <w:vMerge w:val="restart"/>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3"/>
        </w:trPr>
        <w:tc>
          <w:tcPr>
            <w:tcW w:w="2240" w:type="dxa"/>
            <w:vAlign w:val="bottom"/>
            <w:shd w:val="clear" w:color="auto" w:fill="E5FFFF"/>
          </w:tcPr>
          <w:p>
            <w:pPr>
              <w:jc w:val="right"/>
              <w:ind w:right="1639"/>
              <w:spacing w:after="0"/>
              <w:rPr>
                <w:sz w:val="20"/>
                <w:szCs w:val="20"/>
                <w:color w:val="auto"/>
              </w:rPr>
            </w:pPr>
            <w:r>
              <w:rPr>
                <w:rFonts w:ascii="Arial" w:cs="Arial" w:eastAsia="Arial" w:hAnsi="Arial"/>
                <w:sz w:val="16"/>
                <w:szCs w:val="16"/>
                <w:b w:val="1"/>
                <w:bCs w:val="1"/>
                <w:color w:val="auto"/>
              </w:rPr>
              <w:t>2018</w:t>
            </w: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80,717,885</w:t>
            </w:r>
          </w:p>
        </w:tc>
        <w:tc>
          <w:tcPr>
            <w:tcW w:w="18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275,241</w:t>
            </w:r>
          </w:p>
        </w:tc>
        <w:tc>
          <w:tcPr>
            <w:tcW w:w="180" w:type="dxa"/>
            <w:vAlign w:val="bottom"/>
            <w:shd w:val="clear" w:color="auto" w:fill="E5FFFF"/>
          </w:tcPr>
          <w:p>
            <w:pPr>
              <w:spacing w:after="0"/>
              <w:rPr>
                <w:sz w:val="18"/>
                <w:szCs w:val="18"/>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4,600,000</w:t>
            </w:r>
          </w:p>
        </w:tc>
        <w:tc>
          <w:tcPr>
            <w:tcW w:w="34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810</w:t>
            </w:r>
          </w:p>
        </w:tc>
        <w:tc>
          <w:tcPr>
            <w:tcW w:w="12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46</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911,766</w:t>
            </w: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(6,960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2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color w:val="auto"/>
              </w:rPr>
              <w:t>F-13</w:t>
            </w: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Treasury shares, net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(2,818)</w:t>
            </w:r>
          </w:p>
        </w:tc>
        <w:tc>
          <w:tcPr>
            <w:tcW w:w="1040" w:type="dxa"/>
            <w:vAlign w:val="bottom"/>
          </w:tcPr>
          <w:p>
            <w:pPr>
              <w:jc w:val="right"/>
              <w:spacing w:after="0"/>
              <w:rPr>
                <w:sz w:val="20"/>
                <w:szCs w:val="20"/>
                <w:color w:val="auto"/>
              </w:rPr>
            </w:pPr>
            <w:r>
              <w:rPr>
                <w:rFonts w:ascii="Arial" w:cs="Arial" w:eastAsia="Arial" w:hAnsi="Arial"/>
                <w:sz w:val="16"/>
                <w:szCs w:val="16"/>
                <w:color w:val="auto"/>
              </w:rPr>
              <w:t>2,818</w:t>
            </w:r>
          </w:p>
        </w:tc>
        <w:tc>
          <w:tcPr>
            <w:tcW w:w="18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9"/>
        </w:trPr>
        <w:tc>
          <w:tcPr>
            <w:tcW w:w="2240" w:type="dxa"/>
            <w:vAlign w:val="bottom"/>
            <w:shd w:val="clear" w:color="auto" w:fill="E5FFFF"/>
          </w:tcPr>
          <w:p>
            <w:pPr>
              <w:spacing w:after="0"/>
              <w:rPr>
                <w:sz w:val="20"/>
                <w:szCs w:val="20"/>
                <w:color w:val="auto"/>
              </w:rPr>
            </w:pPr>
            <w:r>
              <w:rPr>
                <w:rFonts w:ascii="Arial" w:cs="Arial" w:eastAsia="Arial" w:hAnsi="Arial"/>
                <w:sz w:val="16"/>
                <w:szCs w:val="16"/>
                <w:color w:val="auto"/>
              </w:rPr>
              <w:t>Treasury shares distributed for</w:t>
            </w:r>
          </w:p>
        </w:tc>
        <w:tc>
          <w:tcPr>
            <w:tcW w:w="10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awards vested or exercised</w:t>
            </w:r>
          </w:p>
        </w:tc>
        <w:tc>
          <w:tcPr>
            <w:tcW w:w="10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in the period</w:t>
            </w: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100,889</w:t>
            </w:r>
          </w:p>
        </w:tc>
        <w:tc>
          <w:tcPr>
            <w:tcW w:w="18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(100,889)</w:t>
            </w:r>
          </w:p>
        </w:tc>
        <w:tc>
          <w:tcPr>
            <w:tcW w:w="194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5FFFF"/>
          </w:tcPr>
          <w:p>
            <w:pPr>
              <w:ind w:left="8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Dividends declared deducted</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180"/>
              <w:spacing w:after="0"/>
              <w:rPr>
                <w:sz w:val="20"/>
                <w:szCs w:val="20"/>
                <w:color w:val="auto"/>
              </w:rPr>
            </w:pPr>
            <w:r>
              <w:rPr>
                <w:rFonts w:ascii="Arial" w:cs="Arial" w:eastAsia="Arial" w:hAnsi="Arial"/>
                <w:sz w:val="16"/>
                <w:szCs w:val="16"/>
                <w:color w:val="auto"/>
              </w:rPr>
              <w:t>from Contributed surplus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180"/>
              <w:spacing w:after="0"/>
              <w:rPr>
                <w:sz w:val="20"/>
                <w:szCs w:val="20"/>
                <w:color w:val="auto"/>
              </w:rPr>
            </w:pPr>
            <w:r>
              <w:rPr>
                <w:rFonts w:ascii="Arial" w:cs="Arial" w:eastAsia="Arial" w:hAnsi="Arial"/>
                <w:sz w:val="16"/>
                <w:szCs w:val="16"/>
                <w:color w:val="auto"/>
              </w:rPr>
              <w:t>due to accumulated deficit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(28,452)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Outstanding as of</w:t>
            </w: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75"/>
        </w:trPr>
        <w:tc>
          <w:tcPr>
            <w:tcW w:w="2240" w:type="dxa"/>
            <w:vAlign w:val="bottom"/>
            <w:vMerge w:val="continue"/>
            <w:shd w:val="clear" w:color="auto" w:fill="E5FFFF"/>
          </w:tcPr>
          <w:p>
            <w:pPr>
              <w:spacing w:after="0"/>
              <w:rPr>
                <w:sz w:val="15"/>
                <w:szCs w:val="15"/>
                <w:color w:val="auto"/>
              </w:rPr>
            </w:pPr>
          </w:p>
        </w:tc>
        <w:tc>
          <w:tcPr>
            <w:tcW w:w="10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80,815,956</w:t>
            </w:r>
          </w:p>
        </w:tc>
        <w:tc>
          <w:tcPr>
            <w:tcW w:w="180" w:type="dxa"/>
            <w:vAlign w:val="bottom"/>
            <w:shd w:val="clear" w:color="auto" w:fill="E5FFFF"/>
          </w:tcPr>
          <w:p>
            <w:pPr>
              <w:spacing w:after="0"/>
              <w:rPr>
                <w:sz w:val="15"/>
                <w:szCs w:val="15"/>
                <w:color w:val="auto"/>
              </w:rPr>
            </w:pPr>
          </w:p>
        </w:tc>
        <w:tc>
          <w:tcPr>
            <w:tcW w:w="10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177,170</w:t>
            </w:r>
          </w:p>
        </w:tc>
        <w:tc>
          <w:tcPr>
            <w:tcW w:w="180" w:type="dxa"/>
            <w:vAlign w:val="bottom"/>
            <w:shd w:val="clear" w:color="auto" w:fill="E5FFFF"/>
          </w:tcPr>
          <w:p>
            <w:pPr>
              <w:spacing w:after="0"/>
              <w:rPr>
                <w:sz w:val="15"/>
                <w:szCs w:val="15"/>
                <w:color w:val="auto"/>
              </w:rPr>
            </w:pPr>
          </w:p>
        </w:tc>
        <w:tc>
          <w:tcPr>
            <w:tcW w:w="16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4,600,000</w:t>
            </w:r>
          </w:p>
        </w:tc>
        <w:tc>
          <w:tcPr>
            <w:tcW w:w="340" w:type="dxa"/>
            <w:vAlign w:val="bottom"/>
            <w:shd w:val="clear" w:color="auto" w:fill="E5FFFF"/>
          </w:tcPr>
          <w:p>
            <w:pPr>
              <w:spacing w:after="0"/>
              <w:rPr>
                <w:sz w:val="15"/>
                <w:szCs w:val="15"/>
                <w:color w:val="auto"/>
              </w:rPr>
            </w:pPr>
          </w:p>
        </w:tc>
        <w:tc>
          <w:tcPr>
            <w:tcW w:w="12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810</w:t>
            </w:r>
          </w:p>
        </w:tc>
        <w:tc>
          <w:tcPr>
            <w:tcW w:w="1200" w:type="dxa"/>
            <w:vAlign w:val="bottom"/>
            <w:gridSpan w:val="2"/>
            <w:vMerge w:val="restart"/>
            <w:shd w:val="clear" w:color="auto" w:fill="E5FFFF"/>
          </w:tcPr>
          <w:p>
            <w:pPr>
              <w:ind w:left="880"/>
              <w:spacing w:after="0"/>
              <w:rPr>
                <w:sz w:val="20"/>
                <w:szCs w:val="20"/>
                <w:color w:val="auto"/>
              </w:rPr>
            </w:pPr>
            <w:r>
              <w:rPr>
                <w:rFonts w:ascii="Arial" w:cs="Arial" w:eastAsia="Arial" w:hAnsi="Arial"/>
                <w:sz w:val="16"/>
                <w:szCs w:val="16"/>
                <w:b w:val="1"/>
                <w:bCs w:val="1"/>
                <w:color w:val="auto"/>
              </w:rPr>
              <w:t>46</w:t>
            </w:r>
          </w:p>
        </w:tc>
        <w:tc>
          <w:tcPr>
            <w:tcW w:w="102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883,314</w:t>
            </w:r>
          </w:p>
        </w:tc>
        <w:tc>
          <w:tcPr>
            <w:tcW w:w="160" w:type="dxa"/>
            <w:vAlign w:val="bottom"/>
            <w:shd w:val="clear" w:color="auto" w:fill="E5FFFF"/>
          </w:tcPr>
          <w:p>
            <w:pPr>
              <w:spacing w:after="0"/>
              <w:rPr>
                <w:sz w:val="15"/>
                <w:szCs w:val="15"/>
                <w:color w:val="auto"/>
              </w:rPr>
            </w:pPr>
          </w:p>
        </w:tc>
        <w:tc>
          <w:tcPr>
            <w:tcW w:w="10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(4,424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September 30, 2018</w:t>
            </w:r>
          </w:p>
        </w:tc>
        <w:tc>
          <w:tcPr>
            <w:tcW w:w="1040" w:type="dxa"/>
            <w:vAlign w:val="bottom"/>
            <w:vMerge w:val="continue"/>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vMerge w:val="continue"/>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0" w:type="dxa"/>
            <w:vAlign w:val="bottom"/>
            <w:vMerge w:val="continue"/>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gridSpan w:val="2"/>
            <w:vMerge w:val="continue"/>
            <w:shd w:val="clear" w:color="auto" w:fill="E5FFFF"/>
          </w:tcPr>
          <w:p>
            <w:pPr>
              <w:spacing w:after="0"/>
              <w:rPr>
                <w:sz w:val="17"/>
                <w:szCs w:val="17"/>
                <w:color w:val="auto"/>
              </w:rPr>
            </w:pPr>
          </w:p>
        </w:tc>
        <w:tc>
          <w:tcPr>
            <w:tcW w:w="1200" w:type="dxa"/>
            <w:vAlign w:val="bottom"/>
            <w:gridSpan w:val="2"/>
            <w:vMerge w:val="continue"/>
            <w:shd w:val="clear" w:color="auto" w:fill="E5FFFF"/>
          </w:tcPr>
          <w:p>
            <w:pPr>
              <w:spacing w:after="0"/>
              <w:rPr>
                <w:sz w:val="17"/>
                <w:szCs w:val="17"/>
                <w:color w:val="auto"/>
              </w:rPr>
            </w:pPr>
          </w:p>
        </w:tc>
        <w:tc>
          <w:tcPr>
            <w:tcW w:w="1020" w:type="dxa"/>
            <w:vAlign w:val="bottom"/>
            <w:vMerge w:val="continue"/>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vMerge w:val="continue"/>
            <w:shd w:val="clear" w:color="auto" w:fill="E5FF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treasury shares were acquired by GasLog in 2014 and 2018 in relation to the share-based compensation (Note 17).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distributions</w:t>
      </w:r>
    </w:p>
    <w:p>
      <w:pPr>
        <w:spacing w:after="0" w:line="235" w:lineRule="exact"/>
        <w:rPr>
          <w:sz w:val="20"/>
          <w:szCs w:val="20"/>
          <w:color w:val="auto"/>
        </w:rPr>
      </w:pPr>
    </w:p>
    <w:p>
      <w:pPr>
        <w:jc w:val="both"/>
        <w:ind w:right="20" w:firstLine="383"/>
        <w:spacing w:after="0" w:line="293" w:lineRule="auto"/>
        <w:rPr>
          <w:sz w:val="20"/>
          <w:szCs w:val="20"/>
          <w:color w:val="auto"/>
        </w:rPr>
      </w:pPr>
      <w:r>
        <w:rPr>
          <w:rFonts w:ascii="Arial" w:cs="Arial" w:eastAsia="Arial" w:hAnsi="Arial"/>
          <w:sz w:val="16"/>
          <w:szCs w:val="16"/>
          <w:color w:val="auto"/>
        </w:rPr>
        <w:t>On February 15, 2018, the board of directors declared a quarterly cash dividend of $0.14 per common share, which was paid on March 15, 2018 to shareholders of record as of March 5, 2018 for a total amount of $11,300.</w:t>
      </w:r>
    </w:p>
    <w:p>
      <w:pPr>
        <w:spacing w:after="0" w:line="172" w:lineRule="exact"/>
        <w:rPr>
          <w:sz w:val="20"/>
          <w:szCs w:val="20"/>
          <w:color w:val="auto"/>
        </w:rPr>
      </w:pPr>
    </w:p>
    <w:p>
      <w:pPr>
        <w:ind w:right="60" w:firstLine="383"/>
        <w:spacing w:after="0" w:line="293" w:lineRule="auto"/>
        <w:rPr>
          <w:sz w:val="20"/>
          <w:szCs w:val="20"/>
          <w:color w:val="auto"/>
        </w:rPr>
      </w:pPr>
      <w:r>
        <w:rPr>
          <w:rFonts w:ascii="Arial" w:cs="Arial" w:eastAsia="Arial" w:hAnsi="Arial"/>
          <w:sz w:val="16"/>
          <w:szCs w:val="16"/>
          <w:color w:val="auto"/>
        </w:rPr>
        <w:t>On March 8, 2018, the board of directors declared a dividend on the Series A Preference Shares of $0.546875 per share, or $2,516 in aggregate, payable on April 2, 2018 to holders of record as of March 29, 2018. GasLog paid the declared dividend to the transfer agent on March 29, 2018.</w:t>
      </w:r>
    </w:p>
    <w:p>
      <w:pPr>
        <w:spacing w:after="0" w:line="172" w:lineRule="exact"/>
        <w:rPr>
          <w:sz w:val="20"/>
          <w:szCs w:val="20"/>
          <w:color w:val="auto"/>
        </w:rPr>
      </w:pPr>
    </w:p>
    <w:p>
      <w:pPr>
        <w:ind w:right="160" w:firstLine="383"/>
        <w:spacing w:after="0" w:line="293" w:lineRule="auto"/>
        <w:rPr>
          <w:sz w:val="20"/>
          <w:szCs w:val="20"/>
          <w:color w:val="auto"/>
        </w:rPr>
      </w:pPr>
      <w:r>
        <w:rPr>
          <w:rFonts w:ascii="Arial" w:cs="Arial" w:eastAsia="Arial" w:hAnsi="Arial"/>
          <w:sz w:val="16"/>
          <w:szCs w:val="16"/>
          <w:color w:val="auto"/>
        </w:rPr>
        <w:t>On May 3, 2018, the board of directors declared a quarterly cash dividend of $0.15 per common share, which was paid on May 24, 2018 to shareholders of record as of May 14, 2018 for a total amount of $12,120.</w:t>
      </w:r>
    </w:p>
    <w:p>
      <w:pPr>
        <w:spacing w:after="0" w:line="172" w:lineRule="exact"/>
        <w:rPr>
          <w:sz w:val="20"/>
          <w:szCs w:val="20"/>
          <w:color w:val="auto"/>
        </w:rPr>
      </w:pPr>
    </w:p>
    <w:p>
      <w:pPr>
        <w:ind w:right="20" w:firstLine="383"/>
        <w:spacing w:after="0" w:line="293" w:lineRule="auto"/>
        <w:rPr>
          <w:sz w:val="20"/>
          <w:szCs w:val="20"/>
          <w:color w:val="auto"/>
        </w:rPr>
      </w:pPr>
      <w:r>
        <w:rPr>
          <w:rFonts w:ascii="Arial" w:cs="Arial" w:eastAsia="Arial" w:hAnsi="Arial"/>
          <w:sz w:val="16"/>
          <w:szCs w:val="16"/>
          <w:color w:val="auto"/>
        </w:rPr>
        <w:t>On May 11, 2018, the board of directors declared a dividend on the Series A Preference Shares of $0.546875 per share, or $2,516 in aggregate, payable on July 2, 2018 to holders of record as of June 29, 2018. GasLog paid the declared dividend to the transfer agent on June 28, 2018.</w:t>
      </w:r>
    </w:p>
    <w:p>
      <w:pPr>
        <w:spacing w:after="0" w:line="172" w:lineRule="exact"/>
        <w:rPr>
          <w:sz w:val="20"/>
          <w:szCs w:val="20"/>
          <w:color w:val="auto"/>
        </w:rPr>
      </w:pPr>
    </w:p>
    <w:p>
      <w:pPr>
        <w:ind w:firstLine="383"/>
        <w:spacing w:after="0" w:line="293" w:lineRule="auto"/>
        <w:rPr>
          <w:sz w:val="20"/>
          <w:szCs w:val="20"/>
          <w:color w:val="auto"/>
        </w:rPr>
      </w:pPr>
      <w:r>
        <w:rPr>
          <w:rFonts w:ascii="Arial" w:cs="Arial" w:eastAsia="Arial" w:hAnsi="Arial"/>
          <w:sz w:val="16"/>
          <w:szCs w:val="16"/>
          <w:color w:val="auto"/>
        </w:rPr>
        <w:t>On August 1, 2018, the board of directors declared a quarterly cash dividend of $0.15 per common share, which was paid on August 23, 2018 to shareholders of record as of August 13, 2018 for a total amount of $12,122.</w:t>
      </w:r>
    </w:p>
    <w:p>
      <w:pPr>
        <w:spacing w:after="0" w:line="172" w:lineRule="exact"/>
        <w:rPr>
          <w:sz w:val="20"/>
          <w:szCs w:val="20"/>
          <w:color w:val="auto"/>
        </w:rPr>
      </w:pPr>
    </w:p>
    <w:p>
      <w:pPr>
        <w:ind w:right="620" w:firstLine="383"/>
        <w:spacing w:after="0" w:line="329" w:lineRule="auto"/>
        <w:rPr>
          <w:sz w:val="20"/>
          <w:szCs w:val="20"/>
          <w:color w:val="auto"/>
        </w:rPr>
      </w:pPr>
      <w:r>
        <w:rPr>
          <w:rFonts w:ascii="Arial" w:cs="Arial" w:eastAsia="Arial" w:hAnsi="Arial"/>
          <w:sz w:val="15"/>
          <w:szCs w:val="15"/>
          <w:color w:val="auto"/>
        </w:rPr>
        <w:t>On September 13, 2018, the board of directors declared a dividend on the Series A Preference Shares of $0.546875 per share, or $2,516 in aggregate, payable on October 1, 2018 to holders of record as of September 28, 2018. GasLog paid the declared dividend to the transfer agent on September 28, 2018.</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 As of September 30, 2018, the Group had the following commitments as lessee relating to buildings under operating leases: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926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00" w:type="dxa"/>
            <w:vAlign w:val="bottom"/>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03"/>
        </w:trPr>
        <w:tc>
          <w:tcPr>
            <w:tcW w:w="926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03"/>
        </w:trPr>
        <w:tc>
          <w:tcPr>
            <w:tcW w:w="92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196"/>
        </w:trPr>
        <w:tc>
          <w:tcPr>
            <w:tcW w:w="9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6,608</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6"/>
                <w:szCs w:val="16"/>
                <w:color w:val="auto"/>
                <w:w w:val="98"/>
              </w:rPr>
              <w:t>(b) Commitments relating to the vessels under construction (Note 5) as of September 30, 2018 payable to Samsung were as follows:</w:t>
            </w: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2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02"/>
        </w:trPr>
        <w:tc>
          <w:tcPr>
            <w:tcW w:w="926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448,615</w:t>
            </w:r>
          </w:p>
        </w:tc>
        <w:tc>
          <w:tcPr>
            <w:tcW w:w="0" w:type="dxa"/>
            <w:vAlign w:val="bottom"/>
          </w:tcPr>
          <w:p>
            <w:pPr>
              <w:spacing w:after="0"/>
              <w:rPr>
                <w:sz w:val="1"/>
                <w:szCs w:val="1"/>
                <w:color w:val="auto"/>
              </w:rPr>
            </w:pPr>
          </w:p>
        </w:tc>
      </w:tr>
      <w:tr>
        <w:trPr>
          <w:trHeight w:val="203"/>
        </w:trPr>
        <w:tc>
          <w:tcPr>
            <w:tcW w:w="92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773,240</w:t>
            </w:r>
          </w:p>
        </w:tc>
        <w:tc>
          <w:tcPr>
            <w:tcW w:w="0" w:type="dxa"/>
            <w:vAlign w:val="bottom"/>
          </w:tcPr>
          <w:p>
            <w:pPr>
              <w:spacing w:after="0"/>
              <w:rPr>
                <w:sz w:val="1"/>
                <w:szCs w:val="1"/>
                <w:color w:val="auto"/>
              </w:rPr>
            </w:pPr>
          </w:p>
        </w:tc>
      </w:tr>
      <w:tr>
        <w:trPr>
          <w:trHeight w:val="196"/>
        </w:trPr>
        <w:tc>
          <w:tcPr>
            <w:tcW w:w="9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1,221,855</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383"/>
        <w:spacing w:after="0" w:line="269" w:lineRule="auto"/>
        <w:rPr>
          <w:sz w:val="20"/>
          <w:szCs w:val="20"/>
          <w:color w:val="auto"/>
        </w:rPr>
      </w:pPr>
      <w:r>
        <w:rPr>
          <w:rFonts w:ascii="Arial" w:cs="Arial" w:eastAsia="Arial" w:hAnsi="Arial"/>
          <w:sz w:val="16"/>
          <w:szCs w:val="16"/>
          <w:color w:val="auto"/>
        </w:rPr>
        <w:t>Also, pursuant to a Heads of Agreement entered into by GAS-twenty two Ltd. and GAS-twenty three Ltd. with Methane Services Limited (“MSL”), a subsidiary of Shell, on March 8, 2016, the GasLog entities declared their options with Samsung to install Air Liquide Advanced Technologies (“ALAT”) reliquefaction plants onboard the vessels. MSL agreed to reimburse 50% of such cost per vessel, resulting in an aggregate commitment to pay $3,200 per vessel to GasLog after the installation has been completed. In the event the ALAT reliquefaction plants do not meet certain specified performance criteria during operation, GasLog will have an obligation to pay to MSL a daily compensation amount per vessel, which obligation will in whole or in part be satisfied by certain obligations of the manufacturers incurred for failure to meet the specified performance criteria. The amount of $3,200 relating to GAS-twenty two Ltd. was included in Trade and other receivables since the ALAT reliquefaction plant installation has been completed.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9" w:name="page40"/>
    <w:bookmarkEnd w:id="39"/>
    <w:p>
      <w:pPr>
        <w:jc w:val="both"/>
        <w:ind w:left="260" w:right="240" w:hanging="252"/>
        <w:spacing w:after="0" w:line="262"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6"/>
          <w:szCs w:val="16"/>
          <w:color w:val="auto"/>
        </w:rPr>
        <w:t>Future gross minimum lease payments receivable in relation to non-cancellable time charter agreements for vessels in operation, including a vessel under a finance lease (Note 6), as of September 30, 2018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September 30, 2018</w:t>
            </w:r>
          </w:p>
        </w:tc>
      </w:tr>
      <w:tr>
        <w:trPr>
          <w:trHeight w:val="202"/>
        </w:trPr>
        <w:tc>
          <w:tcPr>
            <w:tcW w:w="926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415,881</w:t>
            </w:r>
          </w:p>
        </w:tc>
      </w:tr>
      <w:tr>
        <w:trPr>
          <w:trHeight w:val="203"/>
        </w:trPr>
        <w:tc>
          <w:tcPr>
            <w:tcW w:w="9260" w:type="dxa"/>
            <w:vAlign w:val="bottom"/>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00" w:type="dxa"/>
            <w:vAlign w:val="bottom"/>
          </w:tcPr>
          <w:p>
            <w:pPr>
              <w:jc w:val="right"/>
              <w:spacing w:after="0"/>
              <w:rPr>
                <w:sz w:val="20"/>
                <w:szCs w:val="20"/>
                <w:color w:val="auto"/>
              </w:rPr>
            </w:pPr>
            <w:r>
              <w:rPr>
                <w:rFonts w:ascii="Arial" w:cs="Arial" w:eastAsia="Arial" w:hAnsi="Arial"/>
                <w:sz w:val="16"/>
                <w:szCs w:val="16"/>
                <w:color w:val="auto"/>
              </w:rPr>
              <w:t>601,103</w:t>
            </w:r>
          </w:p>
        </w:tc>
      </w:tr>
      <w:tr>
        <w:trPr>
          <w:trHeight w:val="203"/>
        </w:trPr>
        <w:tc>
          <w:tcPr>
            <w:tcW w:w="926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427,668</w:t>
            </w:r>
          </w:p>
        </w:tc>
      </w:tr>
      <w:tr>
        <w:trPr>
          <w:trHeight w:val="203"/>
        </w:trPr>
        <w:tc>
          <w:tcPr>
            <w:tcW w:w="92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448,938</w:t>
            </w:r>
          </w:p>
        </w:tc>
      </w:tr>
      <w:tr>
        <w:trPr>
          <w:trHeight w:val="196"/>
        </w:trPr>
        <w:tc>
          <w:tcPr>
            <w:tcW w:w="9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1,893,590</w:t>
            </w:r>
          </w:p>
        </w:tc>
      </w:tr>
      <w:tr>
        <w:trPr>
          <w:trHeight w:val="20"/>
        </w:trPr>
        <w:tc>
          <w:tcPr>
            <w:tcW w:w="9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w:t>
      </w:r>
    </w:p>
    <w:p>
      <w:pPr>
        <w:spacing w:after="0" w:line="329" w:lineRule="exact"/>
        <w:rPr>
          <w:sz w:val="20"/>
          <w:szCs w:val="20"/>
          <w:color w:val="auto"/>
        </w:rPr>
      </w:pPr>
    </w:p>
    <w:p>
      <w:pPr>
        <w:ind w:left="260" w:right="180" w:hanging="252"/>
        <w:spacing w:after="0" w:line="278" w:lineRule="auto"/>
        <w:tabs>
          <w:tab w:leader="none" w:pos="2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April and May 2017, GasLog LNG Services Ltd. entered into agreements in relation to some of the Group’s vessels with the aim of enhancing their operational performance. Commitments relating to these agreements, without including additional estimated costs for which no agreement had been signed as of September 30, 2018, are as follows:</w:t>
      </w:r>
    </w:p>
    <w:p>
      <w:pPr>
        <w:sectPr>
          <w:pgSz w:w="11900" w:h="16838" w:orient="portrait"/>
          <w:cols w:equalWidth="0" w:num="1">
            <w:col w:w="11460"/>
          </w:cols>
          <w:pgMar w:left="240" w:top="359" w:right="19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20320</wp:posOffset>
            </wp:positionV>
            <wp:extent cx="702373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3735" cy="137160"/>
                    </a:xfrm>
                    <a:prstGeom prst="rect">
                      <a:avLst/>
                    </a:prstGeom>
                    <a:noFill/>
                  </pic:spPr>
                </pic:pic>
              </a:graphicData>
            </a:graphic>
          </wp:anchor>
        </w:drawing>
      </w:r>
    </w:p>
    <w:p>
      <w:pPr>
        <w:spacing w:after="0" w:line="1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2,324</w:t>
      </w:r>
    </w:p>
    <w:p>
      <w:pPr>
        <w:spacing w:after="0" w:line="28"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2,324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20320</wp:posOffset>
            </wp:positionV>
            <wp:extent cx="1149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37465</wp:posOffset>
            </wp:positionV>
            <wp:extent cx="1149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-116205</wp:posOffset>
            </wp:positionV>
            <wp:extent cx="1149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980"/>
          </w:cols>
          <w:pgMar w:left="240" w:top="359" w:right="199" w:bottom="1440" w:gutter="0" w:footer="0" w:header="0"/>
          <w:type w:val="continuous"/>
        </w:sectPr>
      </w:pPr>
    </w:p>
    <w:p>
      <w:pPr>
        <w:spacing w:after="0" w:line="93" w:lineRule="exact"/>
        <w:rPr>
          <w:sz w:val="20"/>
          <w:szCs w:val="20"/>
          <w:color w:val="auto"/>
        </w:rPr>
      </w:pPr>
    </w:p>
    <w:p>
      <w:pPr>
        <w:ind w:left="260" w:right="100" w:hanging="252"/>
        <w:spacing w:after="0" w:line="286" w:lineRule="auto"/>
        <w:tabs>
          <w:tab w:leader="none" w:pos="272" w:val="left"/>
        </w:tabs>
        <w:numPr>
          <w:ilvl w:val="0"/>
          <w:numId w:val="18"/>
        </w:numPr>
        <w:rPr>
          <w:rFonts w:ascii="Arial" w:cs="Arial" w:eastAsia="Arial" w:hAnsi="Arial"/>
          <w:sz w:val="17"/>
          <w:szCs w:val="17"/>
          <w:color w:val="auto"/>
        </w:rPr>
      </w:pPr>
      <w:r>
        <w:rPr>
          <w:rFonts w:ascii="Arial" w:cs="Arial" w:eastAsia="Arial" w:hAnsi="Arial"/>
          <w:sz w:val="15"/>
          <w:szCs w:val="15"/>
          <w:color w:val="auto"/>
        </w:rPr>
        <w:t>Related to the acquisition of six vessels from a subsidiary of MSL in 2014 and another two vessels in 2015, the Group is committed to purchase depot spares from MSL with an aggregate value of $8,000 of which depot spares with value of $660 have been purchased and paid for as of September 30, 2018 and are included in Tangible fixed assets (Note 5). The remaining spares are expected to be acquired before the end of the initial term of the charter party agreements.</w:t>
      </w:r>
    </w:p>
    <w:p>
      <w:pPr>
        <w:spacing w:after="0" w:line="193" w:lineRule="exact"/>
        <w:rPr>
          <w:rFonts w:ascii="Arial" w:cs="Arial" w:eastAsia="Arial" w:hAnsi="Arial"/>
          <w:sz w:val="17"/>
          <w:szCs w:val="17"/>
          <w:color w:val="auto"/>
        </w:rPr>
      </w:pPr>
    </w:p>
    <w:p>
      <w:pPr>
        <w:ind w:left="260" w:right="60" w:hanging="252"/>
        <w:spacing w:after="0" w:line="263"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6"/>
          <w:szCs w:val="16"/>
          <w:color w:val="auto"/>
        </w:rPr>
        <w:t>On November 2, 2015, a letter agreement between GasLog and MSL was signed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 or modifications of existing vessels as agreed between the parties. As of September 30, 2018, the outstanding commitment is $1,196.</w:t>
      </w:r>
    </w:p>
    <w:p>
      <w:pPr>
        <w:spacing w:after="0" w:line="208" w:lineRule="exact"/>
        <w:rPr>
          <w:rFonts w:ascii="Arial" w:cs="Arial" w:eastAsia="Arial" w:hAnsi="Arial"/>
          <w:sz w:val="18"/>
          <w:szCs w:val="18"/>
          <w:color w:val="auto"/>
        </w:rPr>
      </w:pPr>
    </w:p>
    <w:p>
      <w:pPr>
        <w:ind w:left="260" w:right="60" w:hanging="252"/>
        <w:spacing w:after="0" w:line="284" w:lineRule="auto"/>
        <w:tabs>
          <w:tab w:leader="none" w:pos="282" w:val="left"/>
        </w:tabs>
        <w:numPr>
          <w:ilvl w:val="0"/>
          <w:numId w:val="18"/>
        </w:numPr>
        <w:rPr>
          <w:rFonts w:ascii="Arial" w:cs="Arial" w:eastAsia="Arial" w:hAnsi="Arial"/>
          <w:sz w:val="17"/>
          <w:szCs w:val="17"/>
          <w:color w:val="auto"/>
        </w:rPr>
      </w:pPr>
      <w:r>
        <w:rPr>
          <w:rFonts w:ascii="Arial" w:cs="Arial" w:eastAsia="Arial" w:hAnsi="Arial"/>
          <w:sz w:val="15"/>
          <w:szCs w:val="15"/>
          <w:color w:val="auto"/>
        </w:rPr>
        <w:t>On October 11, 2016, GasLog LNG Services Ltd. entered into an agreement whereby it has access to all long lead items (“LLIs”) necessary for the conversion of a GasLog LNG carrier vessel into an FSRU whereby such conversion work would be undertaken by Keppel.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196" w:lineRule="exact"/>
        <w:rPr>
          <w:rFonts w:ascii="Arial" w:cs="Arial" w:eastAsia="Arial" w:hAnsi="Arial"/>
          <w:sz w:val="17"/>
          <w:szCs w:val="17"/>
          <w:color w:val="auto"/>
        </w:rPr>
      </w:pPr>
    </w:p>
    <w:p>
      <w:pPr>
        <w:ind w:left="260" w:right="60" w:hanging="252"/>
        <w:spacing w:after="0" w:line="263" w:lineRule="auto"/>
        <w:tabs>
          <w:tab w:leader="none" w:pos="268" w:val="left"/>
        </w:tabs>
        <w:numPr>
          <w:ilvl w:val="0"/>
          <w:numId w:val="18"/>
        </w:numPr>
        <w:rPr>
          <w:rFonts w:ascii="Arial" w:cs="Arial" w:eastAsia="Arial" w:hAnsi="Arial"/>
          <w:sz w:val="18"/>
          <w:szCs w:val="18"/>
          <w:color w:val="auto"/>
        </w:rPr>
      </w:pPr>
      <w:r>
        <w:rPr>
          <w:rFonts w:ascii="Arial" w:cs="Arial" w:eastAsia="Arial" w:hAnsi="Arial"/>
          <w:sz w:val="16"/>
          <w:szCs w:val="16"/>
          <w:color w:val="auto"/>
        </w:rPr>
        <w:t>On July 10, 2017, GasLog entered into an agreement with Keppel for the detailed engineering in relation to an FSRU conversion of one vessel. The commitment relating to this agreement as of September 30, 2018 is as follows:</w:t>
      </w:r>
    </w:p>
    <w:p>
      <w:pPr>
        <w:sectPr>
          <w:pgSz w:w="11900" w:h="16838" w:orient="portrait"/>
          <w:cols w:equalWidth="0" w:num="1">
            <w:col w:w="11460"/>
          </w:cols>
          <w:pgMar w:left="240" w:top="359" w:right="199" w:bottom="1440" w:gutter="0" w:footer="0" w:header="0"/>
          <w:type w:val="continuous"/>
        </w:sect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20320</wp:posOffset>
            </wp:positionV>
            <wp:extent cx="702373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3735" cy="137160"/>
                    </a:xfrm>
                    <a:prstGeom prst="rect">
                      <a:avLst/>
                    </a:prstGeom>
                    <a:noFill/>
                  </pic:spPr>
                </pic:pic>
              </a:graphicData>
            </a:graphic>
          </wp:anchor>
        </w:drawing>
      </w:r>
    </w:p>
    <w:p>
      <w:pPr>
        <w:spacing w:after="0" w:line="1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1,894</w:t>
      </w:r>
    </w:p>
    <w:p>
      <w:pPr>
        <w:spacing w:after="0" w:line="28"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1,894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20320</wp:posOffset>
            </wp:positionV>
            <wp:extent cx="1149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37465</wp:posOffset>
            </wp:positionV>
            <wp:extent cx="1149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-116205</wp:posOffset>
            </wp:positionV>
            <wp:extent cx="1149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980"/>
          </w:cols>
          <w:pgMar w:left="240" w:top="359" w:right="199" w:bottom="1440" w:gutter="0" w:footer="0" w:header="0"/>
          <w:type w:val="continuous"/>
        </w:sectPr>
      </w:pPr>
    </w:p>
    <w:p>
      <w:pPr>
        <w:spacing w:after="0" w:line="93" w:lineRule="exact"/>
        <w:rPr>
          <w:sz w:val="20"/>
          <w:szCs w:val="20"/>
          <w:color w:val="auto"/>
        </w:rPr>
      </w:pPr>
    </w:p>
    <w:p>
      <w:pPr>
        <w:ind w:left="260" w:right="280" w:hanging="252"/>
        <w:spacing w:after="0" w:line="284" w:lineRule="auto"/>
        <w:tabs>
          <w:tab w:leader="none" w:pos="282" w:val="left"/>
        </w:tabs>
        <w:numPr>
          <w:ilvl w:val="0"/>
          <w:numId w:val="19"/>
        </w:numPr>
        <w:rPr>
          <w:rFonts w:ascii="Arial" w:cs="Arial" w:eastAsia="Arial" w:hAnsi="Arial"/>
          <w:sz w:val="17"/>
          <w:szCs w:val="17"/>
          <w:color w:val="auto"/>
        </w:rPr>
      </w:pPr>
      <w:r>
        <w:rPr>
          <w:rFonts w:ascii="Arial" w:cs="Arial" w:eastAsia="Arial" w:hAnsi="Arial"/>
          <w:sz w:val="15"/>
          <w:szCs w:val="15"/>
          <w:color w:val="auto"/>
        </w:rPr>
        <w:t>In September 27, 2017 (and in addition to the seven existing maintenance agreements signed in 2014 in relation to GasLog vessels), GasLog LNG Services Ltd. entered into further maintenance agreements with Wartsila Greece S.A. (“Wartsila”) in respect of eight GasLog LNG carriers. The agreements cover the renewal of existing maintenance agreements on four GasLog vessels and extend the servicing to four additional LNG carriers. On July 1, 2018, GasLog LNG Services Ltd. entered into maintenance agreements with Wartsila in respect of seven additional GasLog LNG carriers. The agreements ensure dynamic maintenance planning, technical support, security of spare parts supply, specialist technical personnel and performance monitoring.</w:t>
      </w:r>
    </w:p>
    <w:p>
      <w:pPr>
        <w:spacing w:after="0" w:line="181" w:lineRule="exact"/>
        <w:rPr>
          <w:sz w:val="20"/>
          <w:szCs w:val="20"/>
          <w:color w:val="auto"/>
        </w:rPr>
      </w:pPr>
    </w:p>
    <w:p>
      <w:pPr>
        <w:ind w:right="140" w:firstLine="256"/>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20"/>
                <w:szCs w:val="20"/>
                <w:color w:val="auto"/>
              </w:rPr>
            </w:pPr>
            <w:r>
              <w:rPr>
                <w:rFonts w:ascii="Arial" w:cs="Arial" w:eastAsia="Arial" w:hAnsi="Arial"/>
                <w:sz w:val="16"/>
                <w:szCs w:val="16"/>
                <w:b w:val="1"/>
                <w:bCs w:val="1"/>
                <w:color w:val="auto"/>
              </w:rPr>
              <w:t>14. Derivative Financial Instruments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7380" w:type="dxa"/>
            <w:vAlign w:val="bottom"/>
          </w:tcPr>
          <w:p>
            <w:pPr>
              <w:ind w:left="380"/>
              <w:spacing w:after="0"/>
              <w:rPr>
                <w:sz w:val="20"/>
                <w:szCs w:val="20"/>
                <w:color w:val="auto"/>
              </w:rPr>
            </w:pPr>
            <w:r>
              <w:rPr>
                <w:rFonts w:ascii="Arial" w:cs="Arial" w:eastAsia="Arial" w:hAnsi="Arial"/>
                <w:sz w:val="16"/>
                <w:szCs w:val="16"/>
                <w:color w:val="auto"/>
              </w:rPr>
              <w:t>The fair value of the derivative assets is as follows:</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380" w:type="dxa"/>
            <w:vAlign w:val="bottom"/>
            <w:vMerge w:val="restart"/>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2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 2017</w:t>
            </w: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180"/>
        </w:trPr>
        <w:tc>
          <w:tcPr>
            <w:tcW w:w="7380" w:type="dxa"/>
            <w:vAlign w:val="bottom"/>
            <w:vMerge w:val="continue"/>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E5FFFF"/>
          </w:tcPr>
          <w:p>
            <w:pPr>
              <w:spacing w:after="0"/>
              <w:rPr>
                <w:sz w:val="20"/>
                <w:szCs w:val="20"/>
                <w:color w:val="auto"/>
              </w:rPr>
            </w:pPr>
            <w:r>
              <w:rPr>
                <w:rFonts w:ascii="Arial" w:cs="Arial" w:eastAsia="Arial" w:hAnsi="Arial"/>
                <w:sz w:val="16"/>
                <w:szCs w:val="16"/>
                <w:color w:val="auto"/>
              </w:rPr>
              <w:t>Interest rate swaps</w:t>
            </w:r>
          </w:p>
        </w:tc>
        <w:tc>
          <w:tcPr>
            <w:tcW w:w="21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11,535</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Forward foreign exchange contracts</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2,123</w:t>
            </w:r>
          </w:p>
        </w:tc>
        <w:tc>
          <w:tcPr>
            <w:tcW w:w="1840" w:type="dxa"/>
            <w:vAlign w:val="bottom"/>
          </w:tcPr>
          <w:p>
            <w:pPr>
              <w:jc w:val="right"/>
              <w:spacing w:after="0"/>
              <w:rPr>
                <w:sz w:val="20"/>
                <w:szCs w:val="20"/>
                <w:color w:val="auto"/>
              </w:rPr>
            </w:pPr>
            <w:r>
              <w:rPr>
                <w:rFonts w:ascii="Arial" w:cs="Arial" w:eastAsia="Arial" w:hAnsi="Arial"/>
                <w:sz w:val="16"/>
                <w:szCs w:val="16"/>
                <w:color w:val="auto"/>
              </w:rPr>
              <w:t>298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designated and effective as hedging instruments carried at fair value</w:t>
            </w:r>
          </w:p>
        </w:tc>
        <w:tc>
          <w:tcPr>
            <w:tcW w:w="18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7380" w:type="dxa"/>
            <w:vAlign w:val="bottom"/>
          </w:tcPr>
          <w:p>
            <w:pPr>
              <w:ind w:left="5580"/>
              <w:spacing w:after="0"/>
              <w:rPr>
                <w:sz w:val="20"/>
                <w:szCs w:val="20"/>
                <w:color w:val="auto"/>
              </w:rPr>
            </w:pPr>
            <w:r>
              <w:rPr>
                <w:rFonts w:ascii="Arial" w:cs="Arial" w:eastAsia="Arial" w:hAnsi="Arial"/>
                <w:sz w:val="14"/>
                <w:szCs w:val="14"/>
                <w:color w:val="auto"/>
              </w:rPr>
              <w:t>F-15</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3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9" w:right="19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6"/>
        </w:trPr>
        <w:tc>
          <w:tcPr>
            <w:tcW w:w="7380" w:type="dxa"/>
            <w:vAlign w:val="bottom"/>
          </w:tcPr>
          <w:p>
            <w:pPr>
              <w:spacing w:after="0"/>
              <w:rPr>
                <w:sz w:val="20"/>
                <w:szCs w:val="20"/>
                <w:color w:val="auto"/>
              </w:rPr>
            </w:pPr>
            <w:r>
              <w:rPr>
                <w:rFonts w:ascii="Arial" w:cs="Arial" w:eastAsia="Arial" w:hAnsi="Arial"/>
                <w:sz w:val="16"/>
                <w:szCs w:val="16"/>
                <w:color w:val="auto"/>
              </w:rPr>
              <w:t>Cross currency swaps</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4,553</w:t>
            </w:r>
          </w:p>
        </w:tc>
        <w:tc>
          <w:tcPr>
            <w:tcW w:w="1860" w:type="dxa"/>
            <w:vAlign w:val="bottom"/>
            <w:gridSpan w:val="2"/>
          </w:tcPr>
          <w:p>
            <w:pPr>
              <w:jc w:val="right"/>
              <w:ind w:right="20"/>
              <w:spacing w:after="0"/>
              <w:rPr>
                <w:sz w:val="20"/>
                <w:szCs w:val="20"/>
                <w:color w:val="auto"/>
              </w:rPr>
            </w:pPr>
            <w:r>
              <w:rPr>
                <w:rFonts w:ascii="Arial" w:cs="Arial" w:eastAsia="Arial" w:hAnsi="Arial"/>
                <w:sz w:val="16"/>
                <w:szCs w:val="16"/>
                <w:color w:val="auto"/>
              </w:rPr>
              <w:t>6,070</w:t>
            </w:r>
          </w:p>
        </w:tc>
        <w:tc>
          <w:tcPr>
            <w:tcW w:w="0" w:type="dxa"/>
            <w:vAlign w:val="bottom"/>
          </w:tcPr>
          <w:p>
            <w:pPr>
              <w:spacing w:after="0"/>
              <w:rPr>
                <w:sz w:val="1"/>
                <w:szCs w:val="1"/>
                <w:color w:val="auto"/>
              </w:rPr>
            </w:pPr>
          </w:p>
        </w:tc>
      </w:tr>
      <w:tr>
        <w:trPr>
          <w:trHeight w:val="202"/>
        </w:trPr>
        <w:tc>
          <w:tcPr>
            <w:tcW w:w="73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18,211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assets</w:t>
            </w:r>
          </w:p>
        </w:tc>
        <w:tc>
          <w:tcPr>
            <w:tcW w:w="21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28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assets</w:t>
            </w:r>
          </w:p>
        </w:tc>
        <w:tc>
          <w:tcPr>
            <w:tcW w:w="21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16,012</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18,211</w:t>
            </w:r>
          </w:p>
        </w:tc>
        <w:tc>
          <w:tcPr>
            <w:tcW w:w="28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6"/>
                <w:szCs w:val="16"/>
                <w:color w:val="auto"/>
              </w:rPr>
              <w:t>The fair value of the derivative liabilities is as follows:</w:t>
            </w: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73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80" w:type="dxa"/>
            <w:vAlign w:val="bottom"/>
          </w:tcPr>
          <w:p>
            <w:pPr>
              <w:spacing w:after="0"/>
              <w:rPr>
                <w:sz w:val="24"/>
                <w:szCs w:val="24"/>
                <w:color w:val="auto"/>
              </w:rPr>
            </w:pPr>
          </w:p>
        </w:tc>
        <w:tc>
          <w:tcPr>
            <w:tcW w:w="2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 2017</w:t>
            </w: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189"/>
        </w:trPr>
        <w:tc>
          <w:tcPr>
            <w:tcW w:w="7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182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840" w:type="dxa"/>
            <w:vAlign w:val="bottom"/>
            <w:tcBorders>
              <w:top w:val="single" w:sz="8" w:color="auto"/>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Cross currency swaps</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605</w:t>
            </w:r>
          </w:p>
        </w:tc>
        <w:tc>
          <w:tcPr>
            <w:tcW w:w="184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8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6"/>
                <w:szCs w:val="16"/>
                <w:color w:val="auto"/>
              </w:rPr>
              <w:t>Interest rate swaps</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1,210</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21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1,815</w:t>
            </w:r>
          </w:p>
        </w:tc>
        <w:tc>
          <w:tcPr>
            <w:tcW w:w="280" w:type="dxa"/>
            <w:vAlign w:val="bottom"/>
            <w:tcBorders>
              <w:bottom w:val="single" w:sz="8" w:color="E5FFFF"/>
            </w:tcBorders>
          </w:tcPr>
          <w:p>
            <w:pPr>
              <w:spacing w:after="0"/>
              <w:rPr>
                <w:sz w:val="20"/>
                <w:szCs w:val="20"/>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8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Derivative financial instruments, current liability</w:t>
            </w: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1,815</w:t>
            </w:r>
          </w:p>
        </w:tc>
        <w:tc>
          <w:tcPr>
            <w:tcW w:w="280" w:type="dxa"/>
            <w:vAlign w:val="bottom"/>
            <w:shd w:val="clear" w:color="auto" w:fill="E5FFFF"/>
          </w:tcPr>
          <w:p>
            <w:pPr>
              <w:spacing w:after="0"/>
              <w:rPr>
                <w:sz w:val="15"/>
                <w:szCs w:val="15"/>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1,815</w:t>
            </w:r>
          </w:p>
        </w:tc>
        <w:tc>
          <w:tcPr>
            <w:tcW w:w="28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jc w:val="both"/>
        <w:ind w:right="240" w:firstLine="363"/>
        <w:spacing w:after="0" w:line="335" w:lineRule="auto"/>
        <w:rPr>
          <w:sz w:val="20"/>
          <w:szCs w:val="20"/>
          <w:color w:val="auto"/>
        </w:rPr>
      </w:pPr>
      <w:r>
        <w:rPr>
          <w:rFonts w:ascii="Arial" w:cs="Arial" w:eastAsia="Arial" w:hAnsi="Arial"/>
          <w:sz w:val="14"/>
          <w:szCs w:val="14"/>
          <w:color w:val="auto"/>
        </w:rPr>
        <w:t>The Group enters into interest rate swap agreements which convert the floating interest rate exposure into a fixed interest rate in order to hedge economically a portion of the Group’s exposure to fluctuations in prevailing market interest rates. Under the interest rate swaps, the bank counterparty effects quarterly floating-rate payments to the Group for the notional amount based on the USD LIBOR, and the Group effects quarterly payments to the bank on the notional amounts at the respective fixed rates.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Notional Amount</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Trade</w:t>
            </w:r>
          </w:p>
        </w:tc>
        <w:tc>
          <w:tcPr>
            <w:tcW w:w="86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Effective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Termination</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Fixed Interest</w:t>
            </w:r>
          </w:p>
        </w:tc>
        <w:tc>
          <w:tcPr>
            <w:tcW w:w="14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880" w:type="dxa"/>
            <w:vAlign w:val="bottom"/>
            <w:gridSpan w:val="2"/>
          </w:tcPr>
          <w:p>
            <w:pPr>
              <w:ind w:left="380"/>
              <w:spacing w:after="0"/>
              <w:rPr>
                <w:sz w:val="20"/>
                <w:szCs w:val="20"/>
                <w:color w:val="auto"/>
              </w:rPr>
            </w:pPr>
            <w:r>
              <w:rPr>
                <w:rFonts w:ascii="Arial" w:cs="Arial" w:eastAsia="Arial" w:hAnsi="Arial"/>
                <w:sz w:val="16"/>
                <w:szCs w:val="16"/>
                <w:b w:val="1"/>
                <w:bCs w:val="1"/>
                <w:color w:val="auto"/>
              </w:rPr>
              <w:t>Counterparty</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Date</w:t>
            </w:r>
          </w:p>
        </w:tc>
        <w:tc>
          <w:tcPr>
            <w:tcW w:w="860" w:type="dxa"/>
            <w:vAlign w:val="bottom"/>
          </w:tcPr>
          <w:p>
            <w:pPr>
              <w:jc w:val="center"/>
              <w:ind w:left="99"/>
              <w:spacing w:after="0"/>
              <w:rPr>
                <w:sz w:val="20"/>
                <w:szCs w:val="20"/>
                <w:color w:val="auto"/>
              </w:rPr>
            </w:pPr>
            <w:r>
              <w:rPr>
                <w:rFonts w:ascii="Arial" w:cs="Arial" w:eastAsia="Arial" w:hAnsi="Arial"/>
                <w:sz w:val="16"/>
                <w:szCs w:val="16"/>
                <w:b w:val="1"/>
                <w:bCs w:val="1"/>
                <w:color w:val="auto"/>
                <w:w w:val="92"/>
              </w:rPr>
              <w:t>Date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Date</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Rate</w:t>
            </w: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60" w:type="dxa"/>
            <w:vAlign w:val="bottom"/>
            <w:tcBorders>
              <w:top w:val="single" w:sz="8" w:color="E5FFFF"/>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1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2020</w:t>
            </w:r>
          </w:p>
        </w:tc>
        <w:tc>
          <w:tcPr>
            <w:tcW w:w="16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16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16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Deutsche Bank AG</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66,667</w:t>
            </w:r>
          </w:p>
        </w:tc>
        <w:tc>
          <w:tcPr>
            <w:tcW w:w="130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66,667</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DNB Bank ASA (“DNB”)</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1.784%</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73,333</w:t>
            </w:r>
          </w:p>
        </w:tc>
        <w:tc>
          <w:tcPr>
            <w:tcW w:w="1300" w:type="dxa"/>
            <w:vAlign w:val="bottom"/>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(1)</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DNB</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1.729%</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73,333</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DNB</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1.719%</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73,333</w:t>
            </w:r>
          </w:p>
        </w:tc>
        <w:tc>
          <w:tcPr>
            <w:tcW w:w="1300" w:type="dxa"/>
            <w:vAlign w:val="bottom"/>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 Bank plc</w:t>
            </w:r>
          </w:p>
        </w:tc>
        <w:tc>
          <w:tcPr>
            <w:tcW w:w="104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8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2"/>
            <w:shd w:val="clear" w:color="auto" w:fill="E5FFFF"/>
          </w:tcPr>
          <w:p>
            <w:pPr>
              <w:spacing w:after="0" w:line="21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(3)</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1.896%</w:t>
            </w:r>
          </w:p>
        </w:tc>
        <w:tc>
          <w:tcPr>
            <w:tcW w:w="16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33,333</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(3)</w:t>
            </w:r>
          </w:p>
        </w:tc>
        <w:tc>
          <w:tcPr>
            <w:tcW w:w="1880" w:type="dxa"/>
            <w:vAlign w:val="bottom"/>
            <w:gridSpan w:val="2"/>
          </w:tcPr>
          <w:p>
            <w:pPr>
              <w:spacing w:after="0"/>
              <w:rPr>
                <w:sz w:val="20"/>
                <w:szCs w:val="20"/>
                <w:color w:val="auto"/>
              </w:rPr>
            </w:pPr>
            <w:r>
              <w:rPr>
                <w:rFonts w:ascii="Arial" w:cs="Arial" w:eastAsia="Arial" w:hAnsi="Arial"/>
                <w:sz w:val="16"/>
                <w:szCs w:val="16"/>
                <w:color w:val="auto"/>
              </w:rPr>
              <w:t>HSBC</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1.818%</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33,333</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1.79%</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33,333</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1.905%</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66,667</w:t>
            </w:r>
          </w:p>
        </w:tc>
        <w:tc>
          <w:tcPr>
            <w:tcW w:w="130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(2)</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1.84%</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66,667</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1.815%</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66,667</w:t>
            </w:r>
          </w:p>
        </w:tc>
        <w:tc>
          <w:tcPr>
            <w:tcW w:w="130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Skandinavinska Enskilda</w:t>
            </w:r>
          </w:p>
        </w:tc>
        <w:tc>
          <w:tcPr>
            <w:tcW w:w="104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8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Banken AB (“SEB”)</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1.928%</w:t>
            </w:r>
          </w:p>
        </w:tc>
        <w:tc>
          <w:tcPr>
            <w:tcW w:w="16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50,000</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SEB</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1.8405%</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50,000</w:t>
            </w: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(3)</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July 2016</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2016</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1.814%</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50,000</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HSBC</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Feb 2017</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1"/>
              </w:rPr>
              <w:t>Feb 2017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Feb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2.005%</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100,000</w:t>
            </w:r>
          </w:p>
        </w:tc>
        <w:tc>
          <w:tcPr>
            <w:tcW w:w="130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12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8"/>
              </w:rPr>
              <w:t>Feb 2017</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1"/>
              </w:rPr>
              <w:t>Feb 2017</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Mar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2.0145%</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100,000</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6"/>
                <w:szCs w:val="16"/>
                <w:color w:val="auto"/>
              </w:rPr>
              <w:t>ABN Amro Bank NV</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(“ABN”)</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Feb 2017</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1"/>
              </w:rPr>
              <w:t>Feb 2017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Mar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2.003%</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100,000</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9"/>
        </w:trPr>
        <w:tc>
          <w:tcPr>
            <w:tcW w:w="1620" w:type="dxa"/>
            <w:vAlign w:val="bottom"/>
            <w:gridSpan w:val="2"/>
            <w:shd w:val="clear" w:color="auto" w:fill="E5FFFF"/>
          </w:tcPr>
          <w:p>
            <w:pPr>
              <w:spacing w:after="0" w:line="209"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(4)</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2020</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2026</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3.070%</w:t>
            </w:r>
          </w:p>
        </w:tc>
        <w:tc>
          <w:tcPr>
            <w:tcW w:w="16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(2)</w:t>
            </w:r>
          </w:p>
        </w:tc>
        <w:tc>
          <w:tcPr>
            <w:tcW w:w="188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3"/>
              </w:rPr>
              <w:t>May 2018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2026</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2.562%</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(4)</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2020</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3.025%</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(3)</w:t>
            </w:r>
          </w:p>
        </w:tc>
        <w:tc>
          <w:tcPr>
            <w:tcW w:w="1880" w:type="dxa"/>
            <w:vAlign w:val="bottom"/>
            <w:gridSpan w:val="2"/>
          </w:tcPr>
          <w:p>
            <w:pPr>
              <w:spacing w:after="0"/>
              <w:rPr>
                <w:sz w:val="20"/>
                <w:szCs w:val="20"/>
                <w:color w:val="auto"/>
              </w:rPr>
            </w:pPr>
            <w:r>
              <w:rPr>
                <w:rFonts w:ascii="Arial" w:cs="Arial" w:eastAsia="Arial" w:hAnsi="Arial"/>
                <w:sz w:val="16"/>
                <w:szCs w:val="16"/>
                <w:color w:val="auto"/>
              </w:rPr>
              <w:t>SEB</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5"/>
              </w:rPr>
              <w:t>Apr 2018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2.300%</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(4)</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DNB</w:t>
            </w: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2020</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3.056%</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(1)</w:t>
            </w:r>
          </w:p>
        </w:tc>
        <w:tc>
          <w:tcPr>
            <w:tcW w:w="1880" w:type="dxa"/>
            <w:vAlign w:val="bottom"/>
            <w:gridSpan w:val="2"/>
          </w:tcPr>
          <w:p>
            <w:pPr>
              <w:spacing w:after="0"/>
              <w:rPr>
                <w:sz w:val="20"/>
                <w:szCs w:val="20"/>
                <w:color w:val="auto"/>
              </w:rPr>
            </w:pPr>
            <w:r>
              <w:rPr>
                <w:rFonts w:ascii="Arial" w:cs="Arial" w:eastAsia="Arial" w:hAnsi="Arial"/>
                <w:sz w:val="16"/>
                <w:szCs w:val="16"/>
                <w:color w:val="auto"/>
              </w:rPr>
              <w:t>DNB</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2.472%</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(3)</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5"/>
              </w:rPr>
              <w:t>Apr 2018</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2.475%</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(3)</w:t>
            </w:r>
          </w:p>
        </w:tc>
        <w:tc>
          <w:tcPr>
            <w:tcW w:w="1880" w:type="dxa"/>
            <w:vAlign w:val="bottom"/>
            <w:gridSpan w:val="2"/>
          </w:tcPr>
          <w:p>
            <w:pPr>
              <w:spacing w:after="0"/>
              <w:rPr>
                <w:sz w:val="20"/>
                <w:szCs w:val="20"/>
                <w:color w:val="auto"/>
              </w:rPr>
            </w:pPr>
            <w:r>
              <w:rPr>
                <w:rFonts w:ascii="Arial" w:cs="Arial" w:eastAsia="Arial" w:hAnsi="Arial"/>
                <w:sz w:val="16"/>
                <w:szCs w:val="16"/>
                <w:color w:val="auto"/>
              </w:rPr>
              <w:t>HSBC</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5"/>
              </w:rPr>
              <w:t>Apr 2018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2.550%</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Citibank Europe Plc.</w:t>
            </w:r>
          </w:p>
        </w:tc>
        <w:tc>
          <w:tcPr>
            <w:tcW w:w="104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8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1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44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2"/>
            <w:shd w:val="clear" w:color="auto" w:fill="E5FFFF"/>
          </w:tcPr>
          <w:p>
            <w:pPr>
              <w:spacing w:after="0" w:line="21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(4)</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(“CITI”)</w:t>
            </w: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shd w:val="clear" w:color="auto" w:fill="E5FFFF"/>
          </w:tcPr>
          <w:p>
            <w:pPr>
              <w:jc w:val="center"/>
              <w:ind w:left="119"/>
              <w:spacing w:after="0"/>
              <w:rPr>
                <w:sz w:val="20"/>
                <w:szCs w:val="20"/>
                <w:color w:val="auto"/>
              </w:rPr>
            </w:pPr>
            <w:r>
              <w:rPr>
                <w:rFonts w:ascii="Arial" w:cs="Arial" w:eastAsia="Arial" w:hAnsi="Arial"/>
                <w:sz w:val="16"/>
                <w:szCs w:val="16"/>
                <w:color w:val="auto"/>
                <w:w w:val="90"/>
              </w:rPr>
              <w:t>July 2020</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3.082%</w:t>
            </w:r>
          </w:p>
        </w:tc>
        <w:tc>
          <w:tcPr>
            <w:tcW w:w="160" w:type="dxa"/>
            <w:vAlign w:val="bottom"/>
            <w:shd w:val="clear" w:color="auto" w:fill="E5FFFF"/>
          </w:tcPr>
          <w:p>
            <w:pPr>
              <w:spacing w:after="0"/>
              <w:rPr>
                <w:sz w:val="18"/>
                <w:szCs w:val="18"/>
                <w:color w:val="auto"/>
              </w:rPr>
            </w:pPr>
          </w:p>
        </w:tc>
        <w:tc>
          <w:tcPr>
            <w:tcW w:w="1440" w:type="dxa"/>
            <w:vAlign w:val="bottom"/>
            <w:gridSpan w:val="2"/>
            <w:vMerge w:val="continue"/>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(4)</w:t>
            </w:r>
          </w:p>
        </w:tc>
        <w:tc>
          <w:tcPr>
            <w:tcW w:w="1880" w:type="dxa"/>
            <w:vAlign w:val="bottom"/>
            <w:gridSpan w:val="2"/>
          </w:tcPr>
          <w:p>
            <w:pPr>
              <w:spacing w:after="0"/>
              <w:rPr>
                <w:sz w:val="20"/>
                <w:szCs w:val="20"/>
                <w:color w:val="auto"/>
              </w:rPr>
            </w:pPr>
            <w:r>
              <w:rPr>
                <w:rFonts w:ascii="Arial" w:cs="Arial" w:eastAsia="Arial" w:hAnsi="Arial"/>
                <w:sz w:val="16"/>
                <w:szCs w:val="16"/>
                <w:color w:val="auto"/>
              </w:rPr>
              <w:t>CITI</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2018</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w w:val="90"/>
              </w:rPr>
              <w:t>July 2021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3.095%</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7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04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86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18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1,170,000</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4"/>
                <w:szCs w:val="14"/>
                <w:color w:val="auto"/>
              </w:rPr>
              <w:t>F-16</w:t>
            </w: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gridSpan w:val="4"/>
            <w:vMerge w:val="continue"/>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41" w:name="page42"/>
    <w:bookmarkEnd w:id="41"/>
    <w:p>
      <w:pPr>
        <w:ind w:left="260" w:right="60" w:hanging="124"/>
        <w:spacing w:after="0" w:line="208" w:lineRule="auto"/>
        <w:tabs>
          <w:tab w:leader="none" w:pos="282" w:val="left"/>
        </w:tabs>
        <w:numPr>
          <w:ilvl w:val="0"/>
          <w:numId w:val="20"/>
        </w:numPr>
        <w:rPr>
          <w:rFonts w:ascii="Arial" w:cs="Arial" w:eastAsia="Arial" w:hAnsi="Arial"/>
          <w:sz w:val="17"/>
          <w:szCs w:val="17"/>
          <w:color w:val="auto"/>
          <w:vertAlign w:val="superscript"/>
        </w:rPr>
      </w:pPr>
      <w:r>
        <w:rPr>
          <w:rFonts w:ascii="Arial" w:cs="Arial" w:eastAsia="Arial" w:hAnsi="Arial"/>
          <w:sz w:val="14"/>
          <w:szCs w:val="14"/>
          <w:color w:val="auto"/>
        </w:rPr>
        <w:t>In May 2018, the Group terminated an interest rate swap originally maturing in July 2021 with an effective date of July 2018. This swap was subsequently replaced with a new swap of the same notional amount of $73,333 with an effective date of July 2018 and a new maturity date of July 2025.</w:t>
      </w:r>
    </w:p>
    <w:p>
      <w:pPr>
        <w:ind w:left="280" w:hanging="144"/>
        <w:spacing w:after="0" w:line="222" w:lineRule="auto"/>
        <w:tabs>
          <w:tab w:leader="none" w:pos="28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Effective May 2018, the Group terminated the interest rate swap originally maturing in July 2021 and replaced it with a new swap of the same notional amount of $66,667 maturing in</w:t>
      </w:r>
    </w:p>
    <w:p>
      <w:pPr>
        <w:spacing w:after="0" w:line="115" w:lineRule="exact"/>
        <w:rPr>
          <w:sz w:val="20"/>
          <w:szCs w:val="20"/>
          <w:color w:val="auto"/>
        </w:rPr>
      </w:pPr>
    </w:p>
    <w:p>
      <w:pPr>
        <w:ind w:left="260" w:right="60" w:hanging="124"/>
        <w:spacing w:after="0" w:line="212" w:lineRule="auto"/>
        <w:tabs>
          <w:tab w:leader="none" w:pos="282" w:val="left"/>
        </w:tabs>
        <w:numPr>
          <w:ilvl w:val="0"/>
          <w:numId w:val="21"/>
        </w:numPr>
        <w:rPr>
          <w:rFonts w:ascii="Arial" w:cs="Arial" w:eastAsia="Arial" w:hAnsi="Arial"/>
          <w:sz w:val="17"/>
          <w:szCs w:val="17"/>
          <w:color w:val="auto"/>
          <w:vertAlign w:val="superscript"/>
        </w:rPr>
      </w:pPr>
      <w:r>
        <w:rPr>
          <w:rFonts w:ascii="Arial" w:cs="Arial" w:eastAsia="Arial" w:hAnsi="Arial"/>
          <w:sz w:val="14"/>
          <w:szCs w:val="14"/>
          <w:color w:val="auto"/>
        </w:rPr>
        <w:t>Effective May 2018, the Group terminated the interest rate swap with SEB originally maturing in July 2022 and replaced with a new swap of the same notional amount of $50,000 with an effective date of April 2018 and a new maturity date of July 2025. In addition, in May 2018, the Group terminated the interest rate swap agreements with HSBC with an aggregate notional value of $66,666 and entered into new agreements of the same notional amounts with an effective date April 2018.</w:t>
      </w:r>
    </w:p>
    <w:p>
      <w:pPr>
        <w:ind w:left="260" w:right="640" w:hanging="124"/>
        <w:spacing w:after="0" w:line="254" w:lineRule="auto"/>
        <w:tabs>
          <w:tab w:leader="none" w:pos="260" w:val="left"/>
        </w:tabs>
        <w:numPr>
          <w:ilvl w:val="0"/>
          <w:numId w:val="21"/>
        </w:numPr>
        <w:rPr>
          <w:rFonts w:ascii="Arial" w:cs="Arial" w:eastAsia="Arial" w:hAnsi="Arial"/>
          <w:sz w:val="15"/>
          <w:szCs w:val="15"/>
          <w:color w:val="auto"/>
          <w:vertAlign w:val="superscript"/>
        </w:rPr>
      </w:pPr>
      <w:r>
        <w:rPr>
          <w:rFonts w:ascii="Arial" w:cs="Arial" w:eastAsia="Arial" w:hAnsi="Arial"/>
          <w:sz w:val="12"/>
          <w:szCs w:val="12"/>
          <w:color w:val="auto"/>
        </w:rPr>
        <w:t>In May 2018, the Group entered into new interest rate swap agreements with various counterparties with an aggregate notional value of $250,000, with effective dates in July 2020 and July 2021, maturing between 2024 and 2026.</w:t>
      </w:r>
    </w:p>
    <w:p>
      <w:pPr>
        <w:spacing w:after="0" w:line="276" w:lineRule="exact"/>
        <w:rPr>
          <w:sz w:val="20"/>
          <w:szCs w:val="20"/>
          <w:color w:val="auto"/>
        </w:rPr>
      </w:pPr>
    </w:p>
    <w:p>
      <w:pPr>
        <w:ind w:right="40" w:firstLine="436"/>
        <w:spacing w:after="0" w:line="270" w:lineRule="auto"/>
        <w:rPr>
          <w:sz w:val="20"/>
          <w:szCs w:val="20"/>
          <w:color w:val="auto"/>
        </w:rPr>
      </w:pPr>
      <w:r>
        <w:rPr>
          <w:rFonts w:ascii="Arial" w:cs="Arial" w:eastAsia="Arial" w:hAnsi="Arial"/>
          <w:sz w:val="16"/>
          <w:szCs w:val="16"/>
          <w:color w:val="auto"/>
        </w:rPr>
        <w:t>The derivative instruments listed above were not designated as cash flow hedging instruments. The change in the fair value of these contracts for the three and nine months ended September 30, 2018 amounted to a net gain of $7,037 and net gain of $27,188, respectively (for the three and nine months ended September 30, 2017: a net gain of $2,444 and net loss of $696, respectively), which was recognized against profit or loss in the period incurred and is included in Loss/gain on swaps. During the three and nine months ended September 30, 2018, the net gain of $7,037 and the net gain of $27,188 derived mainly from the fact that the LIBOR yield curve, which was used to calculate the present value of the estimated future cash flows, was lower/higher than the agreed fixed interest rates resulting in an increase/decrease in derivative liabilities from interest rate swaps held for trading.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 (“CCS”)</w:t>
      </w:r>
    </w:p>
    <w:p>
      <w:pPr>
        <w:spacing w:after="0" w:line="239"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The Group enters into CCS which convert the floating interest rate exposure and the variability of the USD functional currency equivalent cash flows into a fixed interest rate and principal on maturity, in order to hedge the Group’s exposure to fluctuations deriving from its NOK 2021 Bonds.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principal terms of the CCS designated as cash flow hedging instruments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4"/>
          </w:tcPr>
          <w:p>
            <w:pPr>
              <w:ind w:left="76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Effective</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Termination</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Fixed Interest</w:t>
            </w:r>
          </w:p>
        </w:tc>
        <w:tc>
          <w:tcPr>
            <w:tcW w:w="14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6"/>
                <w:szCs w:val="16"/>
                <w:color w:val="auto"/>
              </w:rPr>
            </w:pPr>
          </w:p>
        </w:tc>
      </w:tr>
      <w:tr>
        <w:trPr>
          <w:trHeight w:val="213"/>
        </w:trPr>
        <w:tc>
          <w:tcPr>
            <w:tcW w:w="1620" w:type="dxa"/>
            <w:vAlign w:val="bottom"/>
            <w:gridSpan w:val="3"/>
          </w:tcPr>
          <w:p>
            <w:pPr>
              <w:spacing w:after="0"/>
              <w:rPr>
                <w:sz w:val="20"/>
                <w:szCs w:val="20"/>
                <w:color w:val="auto"/>
              </w:rPr>
            </w:pPr>
            <w:r>
              <w:rPr>
                <w:rFonts w:ascii="Arial" w:cs="Arial" w:eastAsia="Arial" w:hAnsi="Arial"/>
                <w:sz w:val="16"/>
                <w:szCs w:val="16"/>
                <w:b w:val="1"/>
                <w:bCs w:val="1"/>
                <w:color w:val="auto"/>
              </w:rPr>
              <w:t>Company</w:t>
            </w:r>
          </w:p>
        </w:tc>
        <w:tc>
          <w:tcPr>
            <w:tcW w:w="1880" w:type="dxa"/>
            <w:vAlign w:val="bottom"/>
            <w:gridSpan w:val="2"/>
          </w:tcPr>
          <w:p>
            <w:pPr>
              <w:ind w:left="380"/>
              <w:spacing w:after="0"/>
              <w:rPr>
                <w:sz w:val="20"/>
                <w:szCs w:val="20"/>
                <w:color w:val="auto"/>
              </w:rPr>
            </w:pPr>
            <w:r>
              <w:rPr>
                <w:rFonts w:ascii="Arial" w:cs="Arial" w:eastAsia="Arial" w:hAnsi="Arial"/>
                <w:sz w:val="16"/>
                <w:szCs w:val="16"/>
                <w:b w:val="1"/>
                <w:bCs w:val="1"/>
                <w:color w:val="auto"/>
              </w:rPr>
              <w:t>Counterparty</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Trade Date</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Date</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Rate</w:t>
            </w: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GasLog</w:t>
            </w:r>
          </w:p>
        </w:tc>
        <w:tc>
          <w:tcPr>
            <w:tcW w:w="160" w:type="dxa"/>
            <w:vAlign w:val="bottom"/>
          </w:tcPr>
          <w:p>
            <w:pPr>
              <w:spacing w:after="0"/>
              <w:rPr>
                <w:sz w:val="17"/>
                <w:szCs w:val="17"/>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DNB</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June 2016</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June 2016</w:t>
            </w:r>
          </w:p>
        </w:tc>
        <w:tc>
          <w:tcPr>
            <w:tcW w:w="16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May 2021</w:t>
            </w:r>
          </w:p>
        </w:tc>
        <w:tc>
          <w:tcPr>
            <w:tcW w:w="160" w:type="dxa"/>
            <w:vAlign w:val="bottom"/>
          </w:tcPr>
          <w:p>
            <w:pPr>
              <w:spacing w:after="0"/>
              <w:rPr>
                <w:sz w:val="17"/>
                <w:szCs w:val="17"/>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8.59%</w:t>
            </w:r>
          </w:p>
        </w:tc>
        <w:tc>
          <w:tcPr>
            <w:tcW w:w="16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30,050</w:t>
            </w:r>
          </w:p>
        </w:tc>
        <w:tc>
          <w:tcPr>
            <w:tcW w:w="16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6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2016</w:t>
            </w:r>
          </w:p>
        </w:tc>
        <w:tc>
          <w:tcPr>
            <w:tcW w:w="12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2016</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May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8.59%</w:t>
            </w:r>
          </w:p>
        </w:tc>
        <w:tc>
          <w:tcPr>
            <w:tcW w:w="16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30,050</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8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June 2016</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June 2016</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May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8.59%</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30,050</w:t>
            </w:r>
          </w:p>
        </w:tc>
        <w:tc>
          <w:tcPr>
            <w:tcW w:w="1300" w:type="dxa"/>
            <w:vAlign w:val="bottom"/>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4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7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04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04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18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90,150</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90,150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40" w:firstLine="363"/>
        <w:spacing w:after="0" w:line="291" w:lineRule="auto"/>
        <w:rPr>
          <w:sz w:val="20"/>
          <w:szCs w:val="20"/>
          <w:color w:val="auto"/>
        </w:rPr>
      </w:pPr>
      <w:r>
        <w:rPr>
          <w:rFonts w:ascii="Arial" w:cs="Arial" w:eastAsia="Arial" w:hAnsi="Arial"/>
          <w:sz w:val="15"/>
          <w:szCs w:val="15"/>
          <w:color w:val="auto"/>
        </w:rPr>
        <w:t>For the three and nine months ended September 30, 2018, the effective portion of changes in the fair value of CCS amounting to a loss of $130 and a gain of $1,998 has been recognized in Other comprehensive income (for the three and nine months ended September 30, 2017: a gain of $6,438 and $10,146). For the three and nine months ended September 30, 2018, a loss of $136 and $295, respectively, was recycled to profit or loss representing the realized loss on CCS in relation to the interest expenses component of the hedge (for the three and nine months ended September 30, 2017: a gain of $97 and a loss of $430, respectively). Additionally, for the three and nine months ended September 30, 2018, a gain of $71 and a loss of $1,006, was recognized in Other comprehensive income in relation to the retranslation of the NOK Bonds in USD as of September 30, 2018 (for the three and nine months ended September 30, 2017: a loss of $4,900 and $8,416,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60" w:firstLine="383"/>
        <w:spacing w:after="0" w:line="273"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Fixed</w:t>
            </w: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Exchange Rate</w:t>
            </w:r>
          </w:p>
        </w:tc>
        <w:tc>
          <w:tcPr>
            <w:tcW w:w="21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Total Exchange</w:t>
            </w:r>
          </w:p>
        </w:tc>
        <w:tc>
          <w:tcPr>
            <w:tcW w:w="0" w:type="dxa"/>
            <w:vAlign w:val="bottom"/>
          </w:tcPr>
          <w:p>
            <w:pPr>
              <w:spacing w:after="0"/>
              <w:rPr>
                <w:sz w:val="1"/>
                <w:szCs w:val="1"/>
                <w:color w:val="auto"/>
              </w:rPr>
            </w:pPr>
          </w:p>
        </w:tc>
      </w:tr>
      <w:tr>
        <w:trPr>
          <w:trHeight w:val="176"/>
        </w:trPr>
        <w:tc>
          <w:tcPr>
            <w:tcW w:w="11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Company</w:t>
            </w:r>
          </w:p>
        </w:tc>
        <w:tc>
          <w:tcPr>
            <w:tcW w:w="1560" w:type="dxa"/>
            <w:vAlign w:val="bottom"/>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3"/>
              </w:rPr>
              <w:t>Counterparty</w:t>
            </w:r>
          </w:p>
        </w:tc>
        <w:tc>
          <w:tcPr>
            <w:tcW w:w="1560" w:type="dxa"/>
            <w:vAlign w:val="bottom"/>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4"/>
              </w:rPr>
              <w:t>Trade Date</w:t>
            </w: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Contracts</w:t>
            </w:r>
          </w:p>
        </w:tc>
        <w:tc>
          <w:tcPr>
            <w:tcW w:w="160" w:type="dxa"/>
            <w:vAlign w:val="bottom"/>
          </w:tcPr>
          <w:p>
            <w:pPr>
              <w:spacing w:after="0"/>
              <w:rPr>
                <w:sz w:val="15"/>
                <w:szCs w:val="15"/>
                <w:color w:val="auto"/>
              </w:rPr>
            </w:pPr>
          </w:p>
        </w:tc>
        <w:tc>
          <w:tcPr>
            <w:tcW w:w="2240" w:type="dxa"/>
            <w:vAlign w:val="bottom"/>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89"/>
              </w:rPr>
              <w:t>Settlement Dates</w:t>
            </w:r>
          </w:p>
        </w:tc>
        <w:tc>
          <w:tcPr>
            <w:tcW w:w="1540" w:type="dxa"/>
            <w:vAlign w:val="bottom"/>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5"/>
              </w:rPr>
              <w:t>(USD/GBP)</w:t>
            </w:r>
          </w:p>
        </w:tc>
        <w:tc>
          <w:tcPr>
            <w:tcW w:w="2100" w:type="dxa"/>
            <w:vAlign w:val="bottom"/>
            <w:gridSpan w:val="2"/>
          </w:tcPr>
          <w:p>
            <w:pPr>
              <w:jc w:val="center"/>
              <w:ind w:right="60"/>
              <w:spacing w:after="0" w:line="176" w:lineRule="exact"/>
              <w:rPr>
                <w:sz w:val="20"/>
                <w:szCs w:val="20"/>
                <w:color w:val="auto"/>
              </w:rPr>
            </w:pPr>
            <w:r>
              <w:rPr>
                <w:rFonts w:ascii="Arial" w:cs="Arial" w:eastAsia="Arial" w:hAnsi="Arial"/>
                <w:sz w:val="16"/>
                <w:szCs w:val="16"/>
                <w:b w:val="1"/>
                <w:bCs w:val="1"/>
                <w:color w:val="auto"/>
                <w:w w:val="91"/>
              </w:rPr>
              <w:t>Amount (in thousands)</w:t>
            </w:r>
          </w:p>
        </w:tc>
        <w:tc>
          <w:tcPr>
            <w:tcW w:w="0" w:type="dxa"/>
            <w:vAlign w:val="bottom"/>
          </w:tcPr>
          <w:p>
            <w:pPr>
              <w:spacing w:after="0"/>
              <w:rPr>
                <w:sz w:val="1"/>
                <w:szCs w:val="1"/>
                <w:color w:val="auto"/>
              </w:rPr>
            </w:pPr>
          </w:p>
        </w:tc>
      </w:tr>
      <w:tr>
        <w:trPr>
          <w:trHeight w:val="21"/>
        </w:trPr>
        <w:tc>
          <w:tcPr>
            <w:tcW w:w="6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auto"/>
              </w:rPr>
              <w:t>GasLog</w:t>
            </w:r>
          </w:p>
        </w:tc>
        <w:tc>
          <w:tcPr>
            <w:tcW w:w="44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SEB</w:t>
            </w:r>
          </w:p>
        </w:tc>
        <w:tc>
          <w:tcPr>
            <w:tcW w:w="1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August 2017</w:t>
            </w: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color w:val="auto"/>
                <w:w w:val="90"/>
              </w:rPr>
              <w:t>October-December 2018</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1.3042</w:t>
            </w:r>
          </w:p>
        </w:tc>
        <w:tc>
          <w:tcPr>
            <w:tcW w:w="16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SEB</w:t>
            </w:r>
          </w:p>
        </w:tc>
        <w:tc>
          <w:tcPr>
            <w:tcW w:w="15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August 2018</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3</w:t>
            </w:r>
          </w:p>
        </w:tc>
        <w:tc>
          <w:tcPr>
            <w:tcW w:w="160" w:type="dxa"/>
            <w:vAlign w:val="bottom"/>
            <w:shd w:val="clear" w:color="auto" w:fill="E5FFFF"/>
          </w:tcPr>
          <w:p>
            <w:pPr>
              <w:spacing w:after="0"/>
              <w:rPr>
                <w:sz w:val="17"/>
                <w:szCs w:val="17"/>
                <w:color w:val="auto"/>
              </w:rPr>
            </w:pPr>
          </w:p>
        </w:tc>
        <w:tc>
          <w:tcPr>
            <w:tcW w:w="22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2"/>
              </w:rPr>
              <w:t>January-March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1.2860</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Fixed</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Exchange Rate</w:t>
            </w:r>
          </w:p>
        </w:tc>
        <w:tc>
          <w:tcPr>
            <w:tcW w:w="21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Total Exchange</w:t>
            </w:r>
          </w:p>
        </w:tc>
        <w:tc>
          <w:tcPr>
            <w:tcW w:w="0" w:type="dxa"/>
            <w:vAlign w:val="bottom"/>
          </w:tcPr>
          <w:p>
            <w:pPr>
              <w:spacing w:after="0"/>
              <w:rPr>
                <w:sz w:val="1"/>
                <w:szCs w:val="1"/>
                <w:color w:val="auto"/>
              </w:rPr>
            </w:pPr>
          </w:p>
        </w:tc>
      </w:tr>
      <w:tr>
        <w:trPr>
          <w:trHeight w:val="176"/>
        </w:trPr>
        <w:tc>
          <w:tcPr>
            <w:tcW w:w="11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Company</w:t>
            </w:r>
          </w:p>
        </w:tc>
        <w:tc>
          <w:tcPr>
            <w:tcW w:w="1560" w:type="dxa"/>
            <w:vAlign w:val="bottom"/>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3"/>
              </w:rPr>
              <w:t>Counterparty</w:t>
            </w:r>
          </w:p>
        </w:tc>
        <w:tc>
          <w:tcPr>
            <w:tcW w:w="1560" w:type="dxa"/>
            <w:vAlign w:val="bottom"/>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4"/>
              </w:rPr>
              <w:t>Trade Date</w:t>
            </w: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Contracts</w:t>
            </w:r>
          </w:p>
        </w:tc>
        <w:tc>
          <w:tcPr>
            <w:tcW w:w="160" w:type="dxa"/>
            <w:vAlign w:val="bottom"/>
          </w:tcPr>
          <w:p>
            <w:pPr>
              <w:spacing w:after="0"/>
              <w:rPr>
                <w:sz w:val="15"/>
                <w:szCs w:val="15"/>
                <w:color w:val="auto"/>
              </w:rPr>
            </w:pPr>
          </w:p>
        </w:tc>
        <w:tc>
          <w:tcPr>
            <w:tcW w:w="2240" w:type="dxa"/>
            <w:vAlign w:val="bottom"/>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89"/>
              </w:rPr>
              <w:t>Settlement Dates</w:t>
            </w:r>
          </w:p>
        </w:tc>
        <w:tc>
          <w:tcPr>
            <w:tcW w:w="1540" w:type="dxa"/>
            <w:vAlign w:val="bottom"/>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99"/>
              </w:rPr>
              <w:t>(USD/EUR)</w:t>
            </w:r>
          </w:p>
        </w:tc>
        <w:tc>
          <w:tcPr>
            <w:tcW w:w="2100" w:type="dxa"/>
            <w:vAlign w:val="bottom"/>
            <w:gridSpan w:val="2"/>
          </w:tcPr>
          <w:p>
            <w:pPr>
              <w:jc w:val="center"/>
              <w:ind w:right="60"/>
              <w:spacing w:after="0" w:line="176" w:lineRule="exact"/>
              <w:rPr>
                <w:sz w:val="20"/>
                <w:szCs w:val="20"/>
                <w:color w:val="auto"/>
              </w:rPr>
            </w:pPr>
            <w:r>
              <w:rPr>
                <w:rFonts w:ascii="Arial" w:cs="Arial" w:eastAsia="Arial" w:hAnsi="Arial"/>
                <w:sz w:val="16"/>
                <w:szCs w:val="16"/>
                <w:b w:val="1"/>
                <w:bCs w:val="1"/>
                <w:color w:val="auto"/>
                <w:w w:val="91"/>
              </w:rPr>
              <w:t>Amount (in thousands)</w:t>
            </w: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Nordea Bank</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Finland</w:t>
            </w:r>
          </w:p>
        </w:tc>
        <w:tc>
          <w:tcPr>
            <w:tcW w:w="156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August 2017</w:t>
            </w:r>
          </w:p>
        </w:tc>
        <w:tc>
          <w:tcPr>
            <w:tcW w:w="1180" w:type="dxa"/>
            <w:vAlign w:val="bottom"/>
          </w:tcPr>
          <w:p>
            <w:pPr>
              <w:jc w:val="center"/>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October-December 2018</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1.1986</w:t>
            </w:r>
          </w:p>
        </w:tc>
        <w:tc>
          <w:tcPr>
            <w:tcW w:w="2100" w:type="dxa"/>
            <w:vAlign w:val="bottom"/>
            <w:gridSpan w:val="2"/>
          </w:tcPr>
          <w:p>
            <w:pPr>
              <w:jc w:val="right"/>
              <w:ind w:right="40"/>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09"/>
        </w:trPr>
        <w:tc>
          <w:tcPr>
            <w:tcW w:w="11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SEB</w:t>
            </w:r>
          </w:p>
        </w:tc>
        <w:tc>
          <w:tcPr>
            <w:tcW w:w="15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August 2017</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3</w:t>
            </w:r>
          </w:p>
        </w:tc>
        <w:tc>
          <w:tcPr>
            <w:tcW w:w="160" w:type="dxa"/>
            <w:vAlign w:val="bottom"/>
            <w:shd w:val="clear" w:color="auto" w:fill="E5FFFF"/>
          </w:tcPr>
          <w:p>
            <w:pPr>
              <w:spacing w:after="0"/>
              <w:rPr>
                <w:sz w:val="18"/>
                <w:szCs w:val="18"/>
                <w:color w:val="auto"/>
              </w:rPr>
            </w:pPr>
          </w:p>
        </w:tc>
        <w:tc>
          <w:tcPr>
            <w:tcW w:w="22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October-December 2018</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1.1966</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Citibank</w:t>
            </w:r>
          </w:p>
        </w:tc>
        <w:tc>
          <w:tcPr>
            <w:tcW w:w="156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November 2017</w:t>
            </w:r>
          </w:p>
        </w:tc>
        <w:tc>
          <w:tcPr>
            <w:tcW w:w="1180" w:type="dxa"/>
            <w:vAlign w:val="bottom"/>
          </w:tcPr>
          <w:p>
            <w:pPr>
              <w:jc w:val="center"/>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October 2018</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1.2099</w:t>
            </w:r>
          </w:p>
        </w:tc>
        <w:tc>
          <w:tcPr>
            <w:tcW w:w="2060" w:type="dxa"/>
            <w:vAlign w:val="bottom"/>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6"/>
              </w:rPr>
              <w:t>Citibank</w:t>
            </w:r>
          </w:p>
        </w:tc>
        <w:tc>
          <w:tcPr>
            <w:tcW w:w="15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November 2017</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w:t>
            </w:r>
          </w:p>
        </w:tc>
        <w:tc>
          <w:tcPr>
            <w:tcW w:w="160" w:type="dxa"/>
            <w:vAlign w:val="bottom"/>
            <w:shd w:val="clear" w:color="auto" w:fill="E5FFFF"/>
          </w:tcPr>
          <w:p>
            <w:pPr>
              <w:spacing w:after="0"/>
              <w:rPr>
                <w:sz w:val="17"/>
                <w:szCs w:val="17"/>
                <w:color w:val="auto"/>
              </w:rPr>
            </w:pPr>
          </w:p>
        </w:tc>
        <w:tc>
          <w:tcPr>
            <w:tcW w:w="22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November 2018</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1.2123</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Citibank</w:t>
            </w:r>
          </w:p>
        </w:tc>
        <w:tc>
          <w:tcPr>
            <w:tcW w:w="156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November 2017</w:t>
            </w:r>
          </w:p>
        </w:tc>
        <w:tc>
          <w:tcPr>
            <w:tcW w:w="1180" w:type="dxa"/>
            <w:vAlign w:val="bottom"/>
          </w:tcPr>
          <w:p>
            <w:pPr>
              <w:jc w:val="center"/>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December 2018</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1.2148</w:t>
            </w:r>
          </w:p>
        </w:tc>
        <w:tc>
          <w:tcPr>
            <w:tcW w:w="2060" w:type="dxa"/>
            <w:vAlign w:val="bottom"/>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6"/>
              </w:rPr>
              <w:t>Citibank</w:t>
            </w:r>
          </w:p>
        </w:tc>
        <w:tc>
          <w:tcPr>
            <w:tcW w:w="156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May 2018</w:t>
            </w:r>
          </w:p>
        </w:tc>
        <w:tc>
          <w:tcPr>
            <w:tcW w:w="118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w:t>
            </w:r>
          </w:p>
        </w:tc>
        <w:tc>
          <w:tcPr>
            <w:tcW w:w="160" w:type="dxa"/>
            <w:vAlign w:val="bottom"/>
            <w:shd w:val="clear" w:color="auto" w:fill="E5FFFF"/>
          </w:tcPr>
          <w:p>
            <w:pPr>
              <w:spacing w:after="0"/>
              <w:rPr>
                <w:sz w:val="17"/>
                <w:szCs w:val="17"/>
                <w:color w:val="auto"/>
              </w:rPr>
            </w:pPr>
          </w:p>
        </w:tc>
        <w:tc>
          <w:tcPr>
            <w:tcW w:w="22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October 2018</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1.1844</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56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Citibank</w:t>
            </w: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May 2018</w:t>
            </w:r>
          </w:p>
        </w:tc>
        <w:tc>
          <w:tcPr>
            <w:tcW w:w="1180" w:type="dxa"/>
            <w:vAlign w:val="bottom"/>
          </w:tcPr>
          <w:p>
            <w:pPr>
              <w:jc w:val="center"/>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November 2018</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1.1875</w:t>
            </w:r>
          </w:p>
        </w:tc>
        <w:tc>
          <w:tcPr>
            <w:tcW w:w="2060" w:type="dxa"/>
            <w:vAlign w:val="bottom"/>
          </w:tcPr>
          <w:p>
            <w:pPr>
              <w:jc w:val="right"/>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0" w:type="dxa"/>
            <w:vAlign w:val="bottom"/>
            <w:gridSpan w:val="3"/>
          </w:tcPr>
          <w:p>
            <w:pPr>
              <w:ind w:left="160"/>
              <w:spacing w:after="0"/>
              <w:rPr>
                <w:sz w:val="20"/>
                <w:szCs w:val="20"/>
                <w:color w:val="auto"/>
              </w:rPr>
            </w:pPr>
            <w:r>
              <w:rPr>
                <w:rFonts w:ascii="Arial" w:cs="Arial" w:eastAsia="Arial" w:hAnsi="Arial"/>
                <w:sz w:val="14"/>
                <w:szCs w:val="14"/>
                <w:color w:val="auto"/>
              </w:rPr>
              <w:t>F-17</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6"/>
              </w:rPr>
              <w:t>Citibank</w:t>
            </w:r>
          </w:p>
        </w:tc>
        <w:tc>
          <w:tcPr>
            <w:tcW w:w="1700" w:type="dxa"/>
            <w:vAlign w:val="bottom"/>
            <w:shd w:val="clear" w:color="auto" w:fill="E5FFFF"/>
          </w:tcPr>
          <w:p>
            <w:pPr>
              <w:jc w:val="center"/>
              <w:ind w:right="79"/>
              <w:spacing w:after="0"/>
              <w:rPr>
                <w:sz w:val="20"/>
                <w:szCs w:val="20"/>
                <w:color w:val="auto"/>
              </w:rPr>
            </w:pPr>
            <w:r>
              <w:rPr>
                <w:rFonts w:ascii="Arial" w:cs="Arial" w:eastAsia="Arial" w:hAnsi="Arial"/>
                <w:sz w:val="16"/>
                <w:szCs w:val="16"/>
                <w:color w:val="auto"/>
                <w:w w:val="93"/>
              </w:rPr>
              <w:t>May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December 2018</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1.1905</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SEB</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May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3</w:t>
            </w:r>
          </w:p>
        </w:tc>
        <w:tc>
          <w:tcPr>
            <w:tcW w:w="2480" w:type="dxa"/>
            <w:vAlign w:val="bottom"/>
          </w:tcPr>
          <w:p>
            <w:pPr>
              <w:jc w:val="center"/>
              <w:spacing w:after="0"/>
              <w:rPr>
                <w:sz w:val="20"/>
                <w:szCs w:val="20"/>
                <w:color w:val="auto"/>
              </w:rPr>
            </w:pPr>
            <w:r>
              <w:rPr>
                <w:rFonts w:ascii="Arial" w:cs="Arial" w:eastAsia="Arial" w:hAnsi="Arial"/>
                <w:sz w:val="16"/>
                <w:szCs w:val="16"/>
                <w:color w:val="auto"/>
                <w:w w:val="90"/>
              </w:rPr>
              <w:t>October-December 2018</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1.1831</w:t>
            </w:r>
          </w:p>
        </w:tc>
        <w:tc>
          <w:tcPr>
            <w:tcW w:w="206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4"/>
              </w:rPr>
              <w:t>HSBC</w:t>
            </w:r>
          </w:p>
        </w:tc>
        <w:tc>
          <w:tcPr>
            <w:tcW w:w="1700" w:type="dxa"/>
            <w:vAlign w:val="bottom"/>
            <w:shd w:val="clear" w:color="auto" w:fill="E5FFFF"/>
          </w:tcPr>
          <w:p>
            <w:pPr>
              <w:jc w:val="center"/>
              <w:ind w:right="79"/>
              <w:spacing w:after="0"/>
              <w:rPr>
                <w:sz w:val="20"/>
                <w:szCs w:val="20"/>
                <w:color w:val="auto"/>
              </w:rPr>
            </w:pPr>
            <w:r>
              <w:rPr>
                <w:rFonts w:ascii="Arial" w:cs="Arial" w:eastAsia="Arial" w:hAnsi="Arial"/>
                <w:sz w:val="16"/>
                <w:szCs w:val="16"/>
                <w:color w:val="auto"/>
                <w:w w:val="93"/>
              </w:rPr>
              <w:t>May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3</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October-December 2018</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1.1847</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€1,500</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w w:val="96"/>
              </w:rPr>
              <w:t>Citibank</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May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tcPr>
          <w:p>
            <w:pPr>
              <w:jc w:val="center"/>
              <w:spacing w:after="0"/>
              <w:rPr>
                <w:sz w:val="20"/>
                <w:szCs w:val="20"/>
                <w:color w:val="auto"/>
              </w:rPr>
            </w:pPr>
            <w:r>
              <w:rPr>
                <w:rFonts w:ascii="Arial" w:cs="Arial" w:eastAsia="Arial" w:hAnsi="Arial"/>
                <w:sz w:val="16"/>
                <w:szCs w:val="16"/>
                <w:color w:val="auto"/>
                <w:w w:val="90"/>
              </w:rPr>
              <w:t>January 2019</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1.1954</w:t>
            </w:r>
          </w:p>
        </w:tc>
        <w:tc>
          <w:tcPr>
            <w:tcW w:w="20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6"/>
              </w:rPr>
              <w:t>Citibank</w:t>
            </w:r>
          </w:p>
        </w:tc>
        <w:tc>
          <w:tcPr>
            <w:tcW w:w="1700" w:type="dxa"/>
            <w:vAlign w:val="bottom"/>
            <w:shd w:val="clear" w:color="auto" w:fill="E5FFFF"/>
          </w:tcPr>
          <w:p>
            <w:pPr>
              <w:jc w:val="center"/>
              <w:ind w:right="79"/>
              <w:spacing w:after="0"/>
              <w:rPr>
                <w:sz w:val="20"/>
                <w:szCs w:val="20"/>
                <w:color w:val="auto"/>
              </w:rPr>
            </w:pPr>
            <w:r>
              <w:rPr>
                <w:rFonts w:ascii="Arial" w:cs="Arial" w:eastAsia="Arial" w:hAnsi="Arial"/>
                <w:sz w:val="16"/>
                <w:szCs w:val="16"/>
                <w:color w:val="auto"/>
                <w:w w:val="93"/>
              </w:rPr>
              <w:t>May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February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1.1983</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w w:val="96"/>
              </w:rPr>
              <w:t>Citibank</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May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tcPr>
          <w:p>
            <w:pPr>
              <w:jc w:val="center"/>
              <w:spacing w:after="0"/>
              <w:rPr>
                <w:sz w:val="20"/>
                <w:szCs w:val="20"/>
                <w:color w:val="auto"/>
              </w:rPr>
            </w:pPr>
            <w:r>
              <w:rPr>
                <w:rFonts w:ascii="Arial" w:cs="Arial" w:eastAsia="Arial" w:hAnsi="Arial"/>
                <w:sz w:val="16"/>
                <w:szCs w:val="16"/>
                <w:color w:val="auto"/>
                <w:w w:val="94"/>
              </w:rPr>
              <w:t>March 2019</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1.2012</w:t>
            </w:r>
          </w:p>
        </w:tc>
        <w:tc>
          <w:tcPr>
            <w:tcW w:w="20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SEB</w:t>
            </w:r>
          </w:p>
        </w:tc>
        <w:tc>
          <w:tcPr>
            <w:tcW w:w="1700" w:type="dxa"/>
            <w:vAlign w:val="bottom"/>
            <w:shd w:val="clear" w:color="auto" w:fill="E5FFFF"/>
          </w:tcPr>
          <w:p>
            <w:pPr>
              <w:jc w:val="center"/>
              <w:ind w:right="79"/>
              <w:spacing w:after="0"/>
              <w:rPr>
                <w:sz w:val="20"/>
                <w:szCs w:val="20"/>
                <w:color w:val="auto"/>
              </w:rPr>
            </w:pPr>
            <w:r>
              <w:rPr>
                <w:rFonts w:ascii="Arial" w:cs="Arial" w:eastAsia="Arial" w:hAnsi="Arial"/>
                <w:sz w:val="16"/>
                <w:szCs w:val="16"/>
                <w:color w:val="auto"/>
                <w:w w:val="93"/>
              </w:rPr>
              <w:t>May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3</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January-March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1.1984</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€7,500</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rPr>
              <w:t>ABN</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88"/>
              </w:rPr>
              <w:t>June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tcPr>
          <w:p>
            <w:pPr>
              <w:jc w:val="center"/>
              <w:spacing w:after="0"/>
              <w:rPr>
                <w:sz w:val="20"/>
                <w:szCs w:val="20"/>
                <w:color w:val="auto"/>
              </w:rPr>
            </w:pPr>
            <w:r>
              <w:rPr>
                <w:rFonts w:ascii="Arial" w:cs="Arial" w:eastAsia="Arial" w:hAnsi="Arial"/>
                <w:sz w:val="16"/>
                <w:szCs w:val="16"/>
                <w:color w:val="auto"/>
                <w:w w:val="99"/>
              </w:rPr>
              <w:t>April 2019</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1.1903</w:t>
            </w:r>
          </w:p>
        </w:tc>
        <w:tc>
          <w:tcPr>
            <w:tcW w:w="20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ABN</w:t>
            </w:r>
          </w:p>
        </w:tc>
        <w:tc>
          <w:tcPr>
            <w:tcW w:w="1700" w:type="dxa"/>
            <w:vAlign w:val="bottom"/>
            <w:shd w:val="clear" w:color="auto" w:fill="E5FFFF"/>
          </w:tcPr>
          <w:p>
            <w:pPr>
              <w:jc w:val="center"/>
              <w:ind w:right="79"/>
              <w:spacing w:after="0"/>
              <w:rPr>
                <w:sz w:val="20"/>
                <w:szCs w:val="20"/>
                <w:color w:val="auto"/>
              </w:rPr>
            </w:pPr>
            <w:r>
              <w:rPr>
                <w:rFonts w:ascii="Arial" w:cs="Arial" w:eastAsia="Arial" w:hAnsi="Arial"/>
                <w:sz w:val="16"/>
                <w:szCs w:val="16"/>
                <w:color w:val="auto"/>
                <w:w w:val="88"/>
              </w:rPr>
              <w:t>June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May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1.1936</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rPr>
              <w:t>ABN</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88"/>
              </w:rPr>
              <w:t>June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tcPr>
          <w:p>
            <w:pPr>
              <w:jc w:val="center"/>
              <w:spacing w:after="0"/>
              <w:rPr>
                <w:sz w:val="20"/>
                <w:szCs w:val="20"/>
                <w:color w:val="auto"/>
              </w:rPr>
            </w:pPr>
            <w:r>
              <w:rPr>
                <w:rFonts w:ascii="Arial" w:cs="Arial" w:eastAsia="Arial" w:hAnsi="Arial"/>
                <w:sz w:val="16"/>
                <w:szCs w:val="16"/>
                <w:color w:val="auto"/>
                <w:w w:val="88"/>
              </w:rPr>
              <w:t>June 2019</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1.1968</w:t>
            </w:r>
          </w:p>
        </w:tc>
        <w:tc>
          <w:tcPr>
            <w:tcW w:w="20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DNB</w:t>
            </w:r>
          </w:p>
        </w:tc>
        <w:tc>
          <w:tcPr>
            <w:tcW w:w="1700" w:type="dxa"/>
            <w:vAlign w:val="bottom"/>
            <w:shd w:val="clear" w:color="auto" w:fill="E5FFFF"/>
          </w:tcPr>
          <w:p>
            <w:pPr>
              <w:jc w:val="center"/>
              <w:ind w:right="79"/>
              <w:spacing w:after="0"/>
              <w:rPr>
                <w:sz w:val="20"/>
                <w:szCs w:val="20"/>
                <w:color w:val="auto"/>
              </w:rPr>
            </w:pPr>
            <w:r>
              <w:rPr>
                <w:rFonts w:ascii="Arial" w:cs="Arial" w:eastAsia="Arial" w:hAnsi="Arial"/>
                <w:sz w:val="16"/>
                <w:szCs w:val="16"/>
                <w:color w:val="auto"/>
                <w:w w:val="88"/>
              </w:rPr>
              <w:t>June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April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1.1910</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rPr>
              <w:t>DNB</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88"/>
              </w:rPr>
              <w:t>June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tcPr>
          <w:p>
            <w:pPr>
              <w:jc w:val="center"/>
              <w:spacing w:after="0"/>
              <w:rPr>
                <w:sz w:val="20"/>
                <w:szCs w:val="20"/>
                <w:color w:val="auto"/>
              </w:rPr>
            </w:pPr>
            <w:r>
              <w:rPr>
                <w:rFonts w:ascii="Arial" w:cs="Arial" w:eastAsia="Arial" w:hAnsi="Arial"/>
                <w:sz w:val="16"/>
                <w:szCs w:val="16"/>
                <w:color w:val="auto"/>
                <w:w w:val="93"/>
              </w:rPr>
              <w:t>May 2019</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1.1943</w:t>
            </w:r>
          </w:p>
        </w:tc>
        <w:tc>
          <w:tcPr>
            <w:tcW w:w="20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DNB</w:t>
            </w:r>
          </w:p>
        </w:tc>
        <w:tc>
          <w:tcPr>
            <w:tcW w:w="1700" w:type="dxa"/>
            <w:vAlign w:val="bottom"/>
            <w:shd w:val="clear" w:color="auto" w:fill="E5FFFF"/>
          </w:tcPr>
          <w:p>
            <w:pPr>
              <w:jc w:val="center"/>
              <w:ind w:right="79"/>
              <w:spacing w:after="0"/>
              <w:rPr>
                <w:sz w:val="20"/>
                <w:szCs w:val="20"/>
                <w:color w:val="auto"/>
              </w:rPr>
            </w:pPr>
            <w:r>
              <w:rPr>
                <w:rFonts w:ascii="Arial" w:cs="Arial" w:eastAsia="Arial" w:hAnsi="Arial"/>
                <w:sz w:val="16"/>
                <w:szCs w:val="16"/>
                <w:color w:val="auto"/>
                <w:w w:val="88"/>
              </w:rPr>
              <w:t>June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1.1975</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r>
      <w:tr>
        <w:trPr>
          <w:trHeight w:val="193"/>
        </w:trPr>
        <w:tc>
          <w:tcPr>
            <w:tcW w:w="9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Nordea Bank</w:t>
            </w: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Finland</w:t>
            </w:r>
          </w:p>
        </w:tc>
        <w:tc>
          <w:tcPr>
            <w:tcW w:w="1700" w:type="dxa"/>
            <w:vAlign w:val="bottom"/>
          </w:tcPr>
          <w:p>
            <w:pPr>
              <w:jc w:val="center"/>
              <w:ind w:right="59"/>
              <w:spacing w:after="0"/>
              <w:rPr>
                <w:sz w:val="20"/>
                <w:szCs w:val="20"/>
                <w:color w:val="auto"/>
              </w:rPr>
            </w:pPr>
            <w:r>
              <w:rPr>
                <w:rFonts w:ascii="Arial" w:cs="Arial" w:eastAsia="Arial" w:hAnsi="Arial"/>
                <w:sz w:val="16"/>
                <w:szCs w:val="16"/>
                <w:color w:val="auto"/>
                <w:w w:val="93"/>
              </w:rPr>
              <w:t>August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tcPr>
          <w:p>
            <w:pPr>
              <w:jc w:val="center"/>
              <w:spacing w:after="0"/>
              <w:rPr>
                <w:sz w:val="20"/>
                <w:szCs w:val="20"/>
                <w:color w:val="auto"/>
              </w:rPr>
            </w:pPr>
            <w:r>
              <w:rPr>
                <w:rFonts w:ascii="Arial" w:cs="Arial" w:eastAsia="Arial" w:hAnsi="Arial"/>
                <w:sz w:val="16"/>
                <w:szCs w:val="16"/>
                <w:color w:val="auto"/>
                <w:w w:val="93"/>
              </w:rPr>
              <w:t>July 2019</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1.1715</w:t>
            </w:r>
          </w:p>
        </w:tc>
        <w:tc>
          <w:tcPr>
            <w:tcW w:w="20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196"/>
        </w:trPr>
        <w:tc>
          <w:tcPr>
            <w:tcW w:w="960" w:type="dxa"/>
            <w:vAlign w:val="bottom"/>
            <w:shd w:val="clear" w:color="auto" w:fill="E5FFFF"/>
          </w:tcPr>
          <w:p>
            <w:pPr>
              <w:spacing w:after="0"/>
              <w:rPr>
                <w:sz w:val="17"/>
                <w:szCs w:val="17"/>
                <w:color w:val="auto"/>
              </w:rPr>
            </w:pP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Nordea Bank</w:t>
            </w:r>
          </w:p>
        </w:tc>
        <w:tc>
          <w:tcPr>
            <w:tcW w:w="17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4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60" w:type="dxa"/>
            <w:vAlign w:val="bottom"/>
            <w:shd w:val="clear" w:color="auto" w:fill="E5FFFF"/>
          </w:tcPr>
          <w:p>
            <w:pPr>
              <w:spacing w:after="0"/>
              <w:rPr>
                <w:sz w:val="17"/>
                <w:szCs w:val="17"/>
                <w:color w:val="auto"/>
              </w:rPr>
            </w:pPr>
          </w:p>
        </w:tc>
      </w:tr>
      <w:tr>
        <w:trPr>
          <w:trHeight w:val="212"/>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Finland</w:t>
            </w:r>
          </w:p>
        </w:tc>
        <w:tc>
          <w:tcPr>
            <w:tcW w:w="1700" w:type="dxa"/>
            <w:vAlign w:val="bottom"/>
            <w:shd w:val="clear" w:color="auto" w:fill="E5FFFF"/>
          </w:tcPr>
          <w:p>
            <w:pPr>
              <w:jc w:val="center"/>
              <w:ind w:right="59"/>
              <w:spacing w:after="0"/>
              <w:rPr>
                <w:sz w:val="20"/>
                <w:szCs w:val="20"/>
                <w:color w:val="auto"/>
              </w:rPr>
            </w:pPr>
            <w:r>
              <w:rPr>
                <w:rFonts w:ascii="Arial" w:cs="Arial" w:eastAsia="Arial" w:hAnsi="Arial"/>
                <w:sz w:val="16"/>
                <w:szCs w:val="16"/>
                <w:color w:val="auto"/>
                <w:w w:val="93"/>
              </w:rPr>
              <w:t>August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7"/>
              </w:rPr>
              <w:t>September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1.1784</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GasLog</w:t>
            </w:r>
          </w:p>
        </w:tc>
        <w:tc>
          <w:tcPr>
            <w:tcW w:w="1640" w:type="dxa"/>
            <w:vAlign w:val="bottom"/>
          </w:tcPr>
          <w:p>
            <w:pPr>
              <w:jc w:val="center"/>
              <w:spacing w:after="0"/>
              <w:rPr>
                <w:sz w:val="20"/>
                <w:szCs w:val="20"/>
                <w:color w:val="auto"/>
              </w:rPr>
            </w:pPr>
            <w:r>
              <w:rPr>
                <w:rFonts w:ascii="Arial" w:cs="Arial" w:eastAsia="Arial" w:hAnsi="Arial"/>
                <w:sz w:val="16"/>
                <w:szCs w:val="16"/>
                <w:color w:val="auto"/>
              </w:rPr>
              <w:t>DNB</w:t>
            </w:r>
          </w:p>
        </w:tc>
        <w:tc>
          <w:tcPr>
            <w:tcW w:w="1700" w:type="dxa"/>
            <w:vAlign w:val="bottom"/>
          </w:tcPr>
          <w:p>
            <w:pPr>
              <w:jc w:val="center"/>
              <w:ind w:right="59"/>
              <w:spacing w:after="0"/>
              <w:rPr>
                <w:sz w:val="20"/>
                <w:szCs w:val="20"/>
                <w:color w:val="auto"/>
              </w:rPr>
            </w:pPr>
            <w:r>
              <w:rPr>
                <w:rFonts w:ascii="Arial" w:cs="Arial" w:eastAsia="Arial" w:hAnsi="Arial"/>
                <w:sz w:val="16"/>
                <w:szCs w:val="16"/>
                <w:color w:val="auto"/>
                <w:w w:val="93"/>
              </w:rPr>
              <w:t>August 2018</w:t>
            </w: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tcPr>
          <w:p>
            <w:pPr>
              <w:jc w:val="center"/>
              <w:spacing w:after="0"/>
              <w:rPr>
                <w:sz w:val="20"/>
                <w:szCs w:val="20"/>
                <w:color w:val="auto"/>
              </w:rPr>
            </w:pPr>
            <w:r>
              <w:rPr>
                <w:rFonts w:ascii="Arial" w:cs="Arial" w:eastAsia="Arial" w:hAnsi="Arial"/>
                <w:sz w:val="16"/>
                <w:szCs w:val="16"/>
                <w:color w:val="auto"/>
                <w:w w:val="93"/>
              </w:rPr>
              <w:t>July 2019</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1.1711</w:t>
            </w:r>
          </w:p>
        </w:tc>
        <w:tc>
          <w:tcPr>
            <w:tcW w:w="20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96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DNB</w:t>
            </w:r>
          </w:p>
        </w:tc>
        <w:tc>
          <w:tcPr>
            <w:tcW w:w="1700" w:type="dxa"/>
            <w:vAlign w:val="bottom"/>
            <w:shd w:val="clear" w:color="auto" w:fill="E5FFFF"/>
          </w:tcPr>
          <w:p>
            <w:pPr>
              <w:jc w:val="center"/>
              <w:ind w:right="59"/>
              <w:spacing w:after="0"/>
              <w:rPr>
                <w:sz w:val="20"/>
                <w:szCs w:val="20"/>
                <w:color w:val="auto"/>
              </w:rPr>
            </w:pPr>
            <w:r>
              <w:rPr>
                <w:rFonts w:ascii="Arial" w:cs="Arial" w:eastAsia="Arial" w:hAnsi="Arial"/>
                <w:sz w:val="16"/>
                <w:szCs w:val="16"/>
                <w:color w:val="auto"/>
                <w:w w:val="93"/>
              </w:rPr>
              <w:t>August 2018</w:t>
            </w:r>
          </w:p>
        </w:tc>
        <w:tc>
          <w:tcPr>
            <w:tcW w:w="104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w:t>
            </w:r>
          </w:p>
        </w:tc>
        <w:tc>
          <w:tcPr>
            <w:tcW w:w="2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August 2019</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1.1747</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w:t>
            </w:r>
          </w:p>
        </w:tc>
      </w:tr>
      <w:tr>
        <w:trPr>
          <w:trHeight w:val="196"/>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€63,750</w:t>
            </w:r>
          </w:p>
        </w:tc>
      </w:tr>
      <w:tr>
        <w:trPr>
          <w:trHeight w:val="20"/>
        </w:trPr>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160" w:firstLine="356"/>
        <w:spacing w:after="0" w:line="335" w:lineRule="auto"/>
        <w:rPr>
          <w:sz w:val="20"/>
          <w:szCs w:val="20"/>
          <w:color w:val="auto"/>
        </w:rPr>
      </w:pPr>
      <w:r>
        <w:rPr>
          <w:rFonts w:ascii="Arial" w:cs="Arial" w:eastAsia="Arial" w:hAnsi="Arial"/>
          <w:sz w:val="14"/>
          <w:szCs w:val="14"/>
          <w:color w:val="auto"/>
        </w:rPr>
        <w:t>The derivative instruments listed above were not designated as cash flow hedging instruments as of September 30, 2018. The change in the fair value of these contracts for the three and nine months ended September 30, 2018 amounted to a net loss of $62 and $2,978, respectively (for the three and nine months ended September 30, 2017: net gain of $762 and $2,730, respectively), which was recognized against profit or loss in the period incurred and is included in Loss/gain on derivatives.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20"/>
                <w:szCs w:val="20"/>
                <w:color w:val="auto"/>
              </w:rPr>
            </w:pPr>
            <w:r>
              <w:rPr>
                <w:rFonts w:ascii="Arial" w:cs="Arial" w:eastAsia="Arial" w:hAnsi="Arial"/>
                <w:sz w:val="16"/>
                <w:szCs w:val="16"/>
                <w:b w:val="1"/>
                <w:bCs w:val="1"/>
                <w:color w:val="auto"/>
              </w:rPr>
              <w:t>15. Financial Costs and Gain/(Loss) on Derivatives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460" w:type="dxa"/>
            <w:vAlign w:val="bottom"/>
          </w:tcPr>
          <w:p>
            <w:pPr>
              <w:ind w:left="420"/>
              <w:spacing w:after="0"/>
              <w:rPr>
                <w:sz w:val="20"/>
                <w:szCs w:val="20"/>
                <w:color w:val="auto"/>
              </w:rPr>
            </w:pPr>
            <w:r>
              <w:rPr>
                <w:rFonts w:ascii="Arial" w:cs="Arial" w:eastAsia="Arial" w:hAnsi="Arial"/>
                <w:sz w:val="16"/>
                <w:szCs w:val="16"/>
                <w:color w:val="auto"/>
                <w:w w:val="98"/>
              </w:rPr>
              <w:t>An analysis of financial costs and gain/(loss) on derivatives is as follows: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460" w:type="dxa"/>
            <w:vAlign w:val="bottom"/>
          </w:tcPr>
          <w:p>
            <w:pPr>
              <w:spacing w:after="0"/>
              <w:rPr>
                <w:sz w:val="24"/>
                <w:szCs w:val="24"/>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20" w:type="dxa"/>
            <w:vAlign w:val="bottom"/>
            <w:gridSpan w:val="5"/>
          </w:tcPr>
          <w:p>
            <w:pPr>
              <w:ind w:lef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5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89"/>
              </w:rPr>
              <w:t>September 30,</w:t>
            </w:r>
          </w:p>
        </w:tc>
        <w:tc>
          <w:tcPr>
            <w:tcW w:w="15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13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w w:val="99"/>
              </w:rPr>
              <w:t>Amortization and write off of deferred loan/bond issuance costs and premium</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(2,898)</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(3,239)</w:t>
            </w: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(9,335)</w:t>
            </w: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(21,100)</w:t>
            </w: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(30,068)</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(64,681)</w:t>
            </w:r>
          </w:p>
        </w:tc>
        <w:tc>
          <w:tcPr>
            <w:tcW w:w="1260" w:type="dxa"/>
            <w:vAlign w:val="bottom"/>
          </w:tcPr>
          <w:p>
            <w:pPr>
              <w:jc w:val="right"/>
              <w:spacing w:after="0"/>
              <w:rPr>
                <w:sz w:val="20"/>
                <w:szCs w:val="20"/>
                <w:color w:val="auto"/>
              </w:rPr>
            </w:pPr>
            <w:r>
              <w:rPr>
                <w:rFonts w:ascii="Arial" w:cs="Arial" w:eastAsia="Arial" w:hAnsi="Arial"/>
                <w:sz w:val="16"/>
                <w:szCs w:val="16"/>
                <w:color w:val="auto"/>
              </w:rPr>
              <w:t>(81,331)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bonds and realized loss on cross-currency swaps</w:t>
            </w:r>
          </w:p>
        </w:tc>
        <w:tc>
          <w:tcPr>
            <w:tcW w:w="154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(7,526)</w:t>
            </w: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(7,526)</w:t>
            </w: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(19,497)</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(22,441)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Finance lease charge</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(2,731)</w:t>
            </w: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(2,641)</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(8,167)</w:t>
            </w:r>
          </w:p>
        </w:tc>
        <w:tc>
          <w:tcPr>
            <w:tcW w:w="1260" w:type="dxa"/>
            <w:vAlign w:val="bottom"/>
          </w:tcPr>
          <w:p>
            <w:pPr>
              <w:jc w:val="right"/>
              <w:spacing w:after="0"/>
              <w:rPr>
                <w:sz w:val="20"/>
                <w:szCs w:val="20"/>
                <w:color w:val="auto"/>
              </w:rPr>
            </w:pPr>
            <w:r>
              <w:rPr>
                <w:rFonts w:ascii="Arial" w:cs="Arial" w:eastAsia="Arial" w:hAnsi="Arial"/>
                <w:sz w:val="16"/>
                <w:szCs w:val="16"/>
                <w:color w:val="auto"/>
              </w:rPr>
              <w:t>(7,903)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Loss arising on NOK bond repurchase at a premium</w:t>
            </w:r>
          </w:p>
        </w:tc>
        <w:tc>
          <w:tcPr>
            <w:tcW w:w="154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(1,459)</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Other financial costs</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(454)</w:t>
            </w: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(434)</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(1,172)</w:t>
            </w:r>
          </w:p>
        </w:tc>
        <w:tc>
          <w:tcPr>
            <w:tcW w:w="1260" w:type="dxa"/>
            <w:vAlign w:val="bottom"/>
          </w:tcPr>
          <w:p>
            <w:pPr>
              <w:jc w:val="right"/>
              <w:spacing w:after="0"/>
              <w:rPr>
                <w:sz w:val="20"/>
                <w:szCs w:val="20"/>
                <w:color w:val="auto"/>
              </w:rPr>
            </w:pPr>
            <w:r>
              <w:rPr>
                <w:rFonts w:ascii="Arial" w:cs="Arial" w:eastAsia="Arial" w:hAnsi="Arial"/>
                <w:sz w:val="16"/>
                <w:szCs w:val="16"/>
                <w:color w:val="auto"/>
              </w:rPr>
              <w:t>(1,447)</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7"/>
        </w:trPr>
        <w:tc>
          <w:tcPr>
            <w:tcW w:w="5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(34,709</w:t>
            </w:r>
          </w:p>
        </w:tc>
        <w:tc>
          <w:tcPr>
            <w:tcW w:w="300" w:type="dxa"/>
            <w:vAlign w:val="bottom"/>
            <w:tcBorders>
              <w:top w:val="single" w:sz="8" w:color="E5FFFF"/>
              <w:bottom w:val="single" w:sz="8" w:color="E5FFFF"/>
            </w:tcBorders>
            <w:shd w:val="clear" w:color="auto" w:fill="E5FFFF"/>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(43,908</w:t>
            </w:r>
          </w:p>
        </w:tc>
        <w:tc>
          <w:tcPr>
            <w:tcW w:w="28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(104,311</w:t>
            </w:r>
          </w:p>
        </w:tc>
        <w:tc>
          <w:tcPr>
            <w:tcW w:w="28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(122,505</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460" w:type="dxa"/>
            <w:vAlign w:val="bottom"/>
          </w:tcPr>
          <w:p>
            <w:pPr>
              <w:spacing w:after="0"/>
              <w:rPr>
                <w:sz w:val="24"/>
                <w:szCs w:val="24"/>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20" w:type="dxa"/>
            <w:vAlign w:val="bottom"/>
            <w:gridSpan w:val="5"/>
          </w:tcPr>
          <w:p>
            <w:pPr>
              <w:ind w:lef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5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89"/>
              </w:rPr>
              <w:t>September 30,</w:t>
            </w:r>
          </w:p>
        </w:tc>
        <w:tc>
          <w:tcPr>
            <w:tcW w:w="15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13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Unrealized gain on derivative financial instruments held for trading (Note 14)</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3,206</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6,975</w:t>
            </w: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2,034</w:t>
            </w: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24,210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Realized (loss)/gain on interest rate swaps held for trading</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(1,815)</w:t>
            </w:r>
          </w:p>
        </w:tc>
        <w:tc>
          <w:tcPr>
            <w:tcW w:w="1540" w:type="dxa"/>
            <w:vAlign w:val="bottom"/>
            <w:gridSpan w:val="2"/>
          </w:tcPr>
          <w:p>
            <w:pPr>
              <w:jc w:val="right"/>
              <w:ind w:right="199"/>
              <w:spacing w:after="0"/>
              <w:rPr>
                <w:sz w:val="20"/>
                <w:szCs w:val="20"/>
                <w:color w:val="auto"/>
              </w:rPr>
            </w:pPr>
            <w:r>
              <w:rPr>
                <w:rFonts w:ascii="Arial" w:cs="Arial" w:eastAsia="Arial" w:hAnsi="Arial"/>
                <w:sz w:val="16"/>
                <w:szCs w:val="16"/>
                <w:color w:val="auto"/>
              </w:rPr>
              <w:t>675</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(6,192)</w:t>
            </w:r>
          </w:p>
        </w:tc>
        <w:tc>
          <w:tcPr>
            <w:tcW w:w="1260" w:type="dxa"/>
            <w:vAlign w:val="bottom"/>
          </w:tcPr>
          <w:p>
            <w:pPr>
              <w:jc w:val="right"/>
              <w:spacing w:after="0"/>
              <w:rPr>
                <w:sz w:val="20"/>
                <w:szCs w:val="20"/>
                <w:color w:val="auto"/>
              </w:rPr>
            </w:pPr>
            <w:r>
              <w:rPr>
                <w:rFonts w:ascii="Arial" w:cs="Arial" w:eastAsia="Arial" w:hAnsi="Arial"/>
                <w:sz w:val="16"/>
                <w:szCs w:val="16"/>
                <w:color w:val="auto"/>
              </w:rPr>
              <w:t>1,065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154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(4,368)</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Realized gain/(loss) on forward foreign exchange contracts held for trading</w:t>
            </w:r>
          </w:p>
        </w:tc>
        <w:tc>
          <w:tcPr>
            <w:tcW w:w="1240" w:type="dxa"/>
            <w:vAlign w:val="bottom"/>
          </w:tcPr>
          <w:p>
            <w:pPr>
              <w:jc w:val="right"/>
              <w:spacing w:after="0"/>
              <w:rPr>
                <w:sz w:val="20"/>
                <w:szCs w:val="20"/>
                <w:color w:val="auto"/>
              </w:rPr>
            </w:pPr>
            <w:r>
              <w:rPr>
                <w:rFonts w:ascii="Arial" w:cs="Arial" w:eastAsia="Arial" w:hAnsi="Arial"/>
                <w:sz w:val="16"/>
                <w:szCs w:val="16"/>
                <w:color w:val="auto"/>
              </w:rPr>
              <w:t>1,746</w:t>
            </w:r>
          </w:p>
        </w:tc>
        <w:tc>
          <w:tcPr>
            <w:tcW w:w="30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(480)</w:t>
            </w:r>
          </w:p>
        </w:tc>
        <w:tc>
          <w:tcPr>
            <w:tcW w:w="1240" w:type="dxa"/>
            <w:vAlign w:val="bottom"/>
          </w:tcPr>
          <w:p>
            <w:pPr>
              <w:jc w:val="right"/>
              <w:spacing w:after="0"/>
              <w:rPr>
                <w:sz w:val="20"/>
                <w:szCs w:val="20"/>
                <w:color w:val="auto"/>
              </w:rPr>
            </w:pPr>
            <w:r>
              <w:rPr>
                <w:rFonts w:ascii="Arial" w:cs="Arial" w:eastAsia="Arial" w:hAnsi="Arial"/>
                <w:sz w:val="16"/>
                <w:szCs w:val="16"/>
                <w:color w:val="auto"/>
              </w:rPr>
              <w:t>1,941</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54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198</w:t>
            </w:r>
          </w:p>
        </w:tc>
        <w:tc>
          <w:tcPr>
            <w:tcW w:w="152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60" w:type="dxa"/>
            <w:vAlign w:val="bottom"/>
          </w:tcPr>
          <w:p>
            <w:pPr>
              <w:spacing w:after="0"/>
              <w:rPr>
                <w:sz w:val="20"/>
                <w:szCs w:val="20"/>
                <w:color w:val="auto"/>
              </w:rPr>
            </w:pPr>
            <w:r>
              <w:rPr>
                <w:rFonts w:ascii="Arial" w:cs="Arial" w:eastAsia="Arial" w:hAnsi="Arial"/>
                <w:sz w:val="16"/>
                <w:szCs w:val="16"/>
                <w:b w:val="1"/>
                <w:bCs w:val="1"/>
                <w:color w:val="auto"/>
              </w:rPr>
              <w:t>Total gain/(loss) on derivatives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3,137</w:t>
            </w:r>
          </w:p>
        </w:tc>
        <w:tc>
          <w:tcPr>
            <w:tcW w:w="3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7,368</w:t>
            </w:r>
          </w:p>
        </w:tc>
        <w:tc>
          <w:tcPr>
            <w:tcW w:w="2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(6,585</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26,306</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Flow Reconciliations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reconciliation of the Group’s non-cash investing and financing activities for the period ended September 30, 2018 is presented in the tables below:</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Other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Deferred</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Opening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Non-cash</w:t>
            </w: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financing costs,</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balance</w:t>
            </w: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income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items</w:t>
            </w: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spacing w:after="0"/>
              <w:rPr>
                <w:sz w:val="18"/>
                <w:szCs w:val="18"/>
                <w:color w:val="auto"/>
              </w:rPr>
            </w:pPr>
          </w:p>
        </w:tc>
      </w:tr>
      <w:tr>
        <w:trPr>
          <w:trHeight w:val="179"/>
        </w:trPr>
        <w:tc>
          <w:tcPr>
            <w:tcW w:w="270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w:t>
            </w:r>
          </w:p>
        </w:tc>
        <w:tc>
          <w:tcPr>
            <w:tcW w:w="114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400" w:type="dxa"/>
            <w:vAlign w:val="bottom"/>
          </w:tcPr>
          <w:p>
            <w:pPr>
              <w:spacing w:after="0"/>
              <w:rPr>
                <w:sz w:val="15"/>
                <w:szCs w:val="15"/>
                <w:color w:val="auto"/>
              </w:rPr>
            </w:pPr>
          </w:p>
        </w:tc>
      </w:tr>
      <w:tr>
        <w:trPr>
          <w:trHeight w:val="212"/>
        </w:trPr>
        <w:tc>
          <w:tcPr>
            <w:tcW w:w="2700" w:type="dxa"/>
            <w:vAlign w:val="bottom"/>
            <w:shd w:val="clear" w:color="auto" w:fill="E5FFFF"/>
          </w:tcPr>
          <w:p>
            <w:pPr>
              <w:spacing w:after="0"/>
              <w:rPr>
                <w:sz w:val="20"/>
                <w:szCs w:val="20"/>
                <w:color w:val="auto"/>
              </w:rPr>
            </w:pPr>
            <w:r>
              <w:rPr>
                <w:rFonts w:ascii="Arial" w:cs="Arial" w:eastAsia="Arial" w:hAnsi="Arial"/>
                <w:sz w:val="16"/>
                <w:szCs w:val="16"/>
                <w:color w:val="auto"/>
              </w:rPr>
              <w:t>January 1, 2018</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20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ind w:left="1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ind w:left="96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5FFFF"/>
          </w:tcPr>
          <w:p>
            <w:pPr>
              <w:ind w:left="1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400" w:type="dxa"/>
            <w:vAlign w:val="bottom"/>
          </w:tcPr>
          <w:p>
            <w:pPr>
              <w:spacing w:after="0"/>
              <w:rPr>
                <w:sz w:val="18"/>
                <w:szCs w:val="18"/>
                <w:color w:val="auto"/>
              </w:rPr>
            </w:pPr>
          </w:p>
        </w:tc>
      </w:tr>
      <w:tr>
        <w:trPr>
          <w:trHeight w:val="380"/>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color w:val="auto"/>
              </w:rPr>
              <w:t>F-18</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7"/>
        </w:trPr>
        <w:tc>
          <w:tcPr>
            <w:tcW w:w="27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498,225</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498,225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E5FFFF"/>
          </w:tcPr>
          <w:p>
            <w:pPr>
              <w:spacing w:after="0"/>
              <w:rPr>
                <w:sz w:val="20"/>
                <w:szCs w:val="20"/>
                <w:color w:val="auto"/>
              </w:rPr>
            </w:pPr>
            <w:r>
              <w:rPr>
                <w:rFonts w:ascii="Arial" w:cs="Arial" w:eastAsia="Arial" w:hAnsi="Arial"/>
                <w:sz w:val="16"/>
                <w:szCs w:val="16"/>
                <w:color w:val="auto"/>
              </w:rPr>
              <w:t>Bank loan and bond repayments</w:t>
            </w:r>
          </w:p>
        </w:tc>
        <w:tc>
          <w:tcPr>
            <w:tcW w:w="13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(180,792)</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(180,792)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(7,363)</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1,302</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(13,195)</w:t>
            </w:r>
          </w:p>
        </w:tc>
        <w:tc>
          <w:tcPr>
            <w:tcW w:w="1140" w:type="dxa"/>
            <w:vAlign w:val="bottom"/>
          </w:tcPr>
          <w:p>
            <w:pPr>
              <w:jc w:val="right"/>
              <w:spacing w:after="0"/>
              <w:rPr>
                <w:sz w:val="20"/>
                <w:szCs w:val="20"/>
                <w:color w:val="auto"/>
              </w:rPr>
            </w:pPr>
            <w:r>
              <w:rPr>
                <w:rFonts w:ascii="Arial" w:cs="Arial" w:eastAsia="Arial" w:hAnsi="Arial"/>
                <w:sz w:val="16"/>
                <w:szCs w:val="16"/>
                <w:color w:val="auto"/>
              </w:rPr>
              <w:t>(19,256)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00" w:type="dxa"/>
            <w:vAlign w:val="bottom"/>
            <w:shd w:val="clear" w:color="auto" w:fill="E5FFFF"/>
          </w:tcPr>
          <w:p>
            <w:pPr>
              <w:spacing w:after="0"/>
              <w:rPr>
                <w:sz w:val="20"/>
                <w:szCs w:val="20"/>
                <w:color w:val="auto"/>
              </w:rPr>
            </w:pPr>
            <w:r>
              <w:rPr>
                <w:rFonts w:ascii="Arial" w:cs="Arial" w:eastAsia="Arial" w:hAnsi="Arial"/>
                <w:sz w:val="16"/>
                <w:szCs w:val="16"/>
                <w:color w:val="auto"/>
              </w:rPr>
              <w:t>Amortization of deferred loan</w:t>
            </w:r>
          </w:p>
        </w:tc>
        <w:tc>
          <w:tcPr>
            <w:tcW w:w="11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issuance costs and premium (Note</w:t>
            </w:r>
          </w:p>
        </w:tc>
        <w:tc>
          <w:tcPr>
            <w:tcW w:w="11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15)</w:t>
            </w:r>
          </w:p>
        </w:tc>
        <w:tc>
          <w:tcPr>
            <w:tcW w:w="13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9,383</w:t>
            </w: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00" w:type="dxa"/>
            <w:vAlign w:val="bottom"/>
          </w:tcPr>
          <w:p>
            <w:pPr>
              <w:spacing w:after="0"/>
              <w:rPr>
                <w:sz w:val="20"/>
                <w:szCs w:val="20"/>
                <w:color w:val="auto"/>
              </w:rPr>
            </w:pPr>
            <w:r>
              <w:rPr>
                <w:rFonts w:ascii="Arial" w:cs="Arial" w:eastAsia="Arial" w:hAnsi="Arial"/>
                <w:sz w:val="16"/>
                <w:szCs w:val="16"/>
                <w:color w:val="auto"/>
              </w:rPr>
              <w:t>Retranslation of the NOK Bonds in</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U.S. dollars</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1,007</w:t>
            </w: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vMerge w:val="continue"/>
            <w:shd w:val="clear" w:color="auto" w:fill="E5FFFF"/>
          </w:tcPr>
          <w:p>
            <w:pPr>
              <w:spacing w:after="0"/>
              <w:rPr>
                <w:sz w:val="15"/>
                <w:szCs w:val="15"/>
                <w:color w:val="auto"/>
              </w:rPr>
            </w:pP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2,547,556</w:t>
            </w:r>
          </w:p>
        </w:tc>
        <w:tc>
          <w:tcPr>
            <w:tcW w:w="200" w:type="dxa"/>
            <w:vAlign w:val="bottom"/>
            <w:shd w:val="clear" w:color="auto" w:fill="E5FFFF"/>
          </w:tcPr>
          <w:p>
            <w:pPr>
              <w:spacing w:after="0"/>
              <w:rPr>
                <w:sz w:val="15"/>
                <w:szCs w:val="15"/>
                <w:color w:val="auto"/>
              </w:rPr>
            </w:pPr>
          </w:p>
        </w:tc>
        <w:tc>
          <w:tcPr>
            <w:tcW w:w="1360" w:type="dxa"/>
            <w:vAlign w:val="bottom"/>
            <w:gridSpan w:val="2"/>
            <w:vMerge w:val="restart"/>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310,070</w:t>
            </w:r>
          </w:p>
        </w:tc>
        <w:tc>
          <w:tcPr>
            <w:tcW w:w="13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1,007</w:t>
            </w:r>
          </w:p>
        </w:tc>
        <w:tc>
          <w:tcPr>
            <w:tcW w:w="220" w:type="dxa"/>
            <w:vAlign w:val="bottom"/>
            <w:shd w:val="clear" w:color="auto" w:fill="E5FFFF"/>
          </w:tcPr>
          <w:p>
            <w:pPr>
              <w:spacing w:after="0"/>
              <w:rPr>
                <w:sz w:val="15"/>
                <w:szCs w:val="15"/>
                <w:color w:val="auto"/>
              </w:rPr>
            </w:pPr>
          </w:p>
        </w:tc>
        <w:tc>
          <w:tcPr>
            <w:tcW w:w="134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10,685</w:t>
            </w:r>
          </w:p>
        </w:tc>
        <w:tc>
          <w:tcPr>
            <w:tcW w:w="16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(13,195)</w:t>
            </w: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2,856,123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September 30, 2018</w:t>
            </w:r>
          </w:p>
        </w:tc>
        <w:tc>
          <w:tcPr>
            <w:tcW w:w="1140" w:type="dxa"/>
            <w:vAlign w:val="bottom"/>
            <w:vMerge w:val="continue"/>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gridSpan w:val="2"/>
            <w:vMerge w:val="continue"/>
            <w:shd w:val="clear" w:color="auto" w:fill="E5FFFF"/>
          </w:tcPr>
          <w:p>
            <w:pPr>
              <w:spacing w:after="0"/>
              <w:rPr>
                <w:sz w:val="17"/>
                <w:szCs w:val="17"/>
                <w:color w:val="auto"/>
              </w:rPr>
            </w:pPr>
          </w:p>
        </w:tc>
        <w:tc>
          <w:tcPr>
            <w:tcW w:w="136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gridSpan w:val="2"/>
            <w:vMerge w:val="continue"/>
            <w:shd w:val="clear" w:color="auto" w:fill="E5FFFF"/>
          </w:tcPr>
          <w:p>
            <w:pPr>
              <w:spacing w:after="0"/>
              <w:rPr>
                <w:sz w:val="17"/>
                <w:szCs w:val="17"/>
                <w:color w:val="auto"/>
              </w:rPr>
            </w:pPr>
          </w:p>
        </w:tc>
        <w:tc>
          <w:tcPr>
            <w:tcW w:w="1600" w:type="dxa"/>
            <w:vAlign w:val="bottom"/>
            <w:gridSpan w:val="2"/>
            <w:vMerge w:val="continue"/>
            <w:shd w:val="clear" w:color="auto" w:fill="E5FFFF"/>
          </w:tcPr>
          <w:p>
            <w:pPr>
              <w:spacing w:after="0"/>
              <w:rPr>
                <w:sz w:val="17"/>
                <w:szCs w:val="17"/>
                <w:color w:val="auto"/>
              </w:rPr>
            </w:pPr>
          </w:p>
        </w:tc>
        <w:tc>
          <w:tcPr>
            <w:tcW w:w="1140" w:type="dxa"/>
            <w:vAlign w:val="bottom"/>
            <w:vMerge w:val="continue"/>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Other</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Opening</w:t>
            </w: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800" w:type="dxa"/>
            <w:vAlign w:val="bottom"/>
          </w:tcPr>
          <w:p>
            <w:pPr>
              <w:spacing w:after="0"/>
              <w:rPr>
                <w:sz w:val="18"/>
                <w:szCs w:val="18"/>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balance</w:t>
            </w: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income</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Non-cash items</w:t>
            </w:r>
          </w:p>
        </w:tc>
        <w:tc>
          <w:tcPr>
            <w:tcW w:w="14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202"/>
        </w:trPr>
        <w:tc>
          <w:tcPr>
            <w:tcW w:w="48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2018</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16,396</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16,396</w:t>
            </w:r>
          </w:p>
        </w:tc>
        <w:tc>
          <w:tcPr>
            <w:tcW w:w="60" w:type="dxa"/>
            <w:vAlign w:val="bottom"/>
          </w:tcPr>
          <w:p>
            <w:pPr>
              <w:spacing w:after="0"/>
              <w:rPr>
                <w:sz w:val="17"/>
                <w:szCs w:val="17"/>
                <w:color w:val="auto"/>
              </w:rPr>
            </w:pPr>
          </w:p>
        </w:tc>
      </w:tr>
      <w:tr>
        <w:trPr>
          <w:trHeight w:val="193"/>
        </w:trPr>
        <w:tc>
          <w:tcPr>
            <w:tcW w:w="480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 trading</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6"/>
                <w:szCs w:val="16"/>
                <w:color w:val="auto"/>
              </w:rPr>
              <w:t>(Note 15)</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24,210</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24,210</w:t>
            </w:r>
          </w:p>
        </w:tc>
      </w:tr>
      <w:tr>
        <w:trPr>
          <w:trHeight w:val="209"/>
        </w:trPr>
        <w:tc>
          <w:tcPr>
            <w:tcW w:w="480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 (Note 15)</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(332)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(332)</w:t>
            </w:r>
          </w:p>
        </w:tc>
        <w:tc>
          <w:tcPr>
            <w:tcW w:w="60" w:type="dxa"/>
            <w:vAlign w:val="bottom"/>
          </w:tcPr>
          <w:p>
            <w:pPr>
              <w:spacing w:after="0"/>
              <w:rPr>
                <w:sz w:val="18"/>
                <w:szCs w:val="18"/>
                <w:color w:val="auto"/>
              </w:rPr>
            </w:pPr>
          </w:p>
        </w:tc>
      </w:tr>
      <w:tr>
        <w:trPr>
          <w:trHeight w:val="193"/>
        </w:trPr>
        <w:tc>
          <w:tcPr>
            <w:tcW w:w="4800" w:type="dxa"/>
            <w:vAlign w:val="bottom"/>
          </w:tcPr>
          <w:p>
            <w:pPr>
              <w:spacing w:after="0"/>
              <w:rPr>
                <w:sz w:val="20"/>
                <w:szCs w:val="20"/>
                <w:color w:val="auto"/>
              </w:rPr>
            </w:pPr>
            <w:r>
              <w:rPr>
                <w:rFonts w:ascii="Arial" w:cs="Arial" w:eastAsia="Arial" w:hAnsi="Arial"/>
                <w:sz w:val="16"/>
                <w:szCs w:val="16"/>
                <w:color w:val="auto"/>
              </w:rPr>
              <w:t>Effective portion of changes in the fair value of derivatives</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6"/>
                <w:szCs w:val="16"/>
                <w:color w:val="auto"/>
              </w:rPr>
              <w:t>designated as cash flow hedging instruments</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2,292</w:t>
            </w:r>
          </w:p>
        </w:tc>
        <w:tc>
          <w:tcPr>
            <w:tcW w:w="28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2,292</w:t>
            </w:r>
          </w:p>
        </w:tc>
      </w:tr>
      <w:tr>
        <w:trPr>
          <w:trHeight w:val="202"/>
        </w:trPr>
        <w:tc>
          <w:tcPr>
            <w:tcW w:w="48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derivative assets as of September 30, 2018</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16,396</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23,878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42,566</w:t>
            </w:r>
          </w:p>
        </w:tc>
        <w:tc>
          <w:tcPr>
            <w:tcW w:w="6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tangible fixed assets, vessels under construction and vessel held under finance lease arising from investing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w w:val="87"/>
              </w:rPr>
              <w:t>Cash flows</w:t>
            </w:r>
          </w:p>
        </w:tc>
        <w:tc>
          <w:tcPr>
            <w:tcW w:w="20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Non-cash items</w:t>
            </w:r>
          </w:p>
        </w:tc>
        <w:tc>
          <w:tcPr>
            <w:tcW w:w="220" w:type="dxa"/>
            <w:vAlign w:val="bottom"/>
          </w:tcPr>
          <w:p>
            <w:pPr>
              <w:spacing w:after="0"/>
              <w:rPr>
                <w:sz w:val="18"/>
                <w:szCs w:val="18"/>
                <w:color w:val="auto"/>
              </w:rPr>
            </w:pPr>
          </w:p>
        </w:tc>
        <w:tc>
          <w:tcPr>
            <w:tcW w:w="1640" w:type="dxa"/>
            <w:vAlign w:val="bottom"/>
            <w:gridSpan w:val="3"/>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390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Tangible fixed assets, vessels under construction and</w:t>
            </w:r>
          </w:p>
        </w:tc>
        <w:tc>
          <w:tcPr>
            <w:tcW w:w="180" w:type="dxa"/>
            <w:vAlign w:val="bottom"/>
            <w:tcBorders>
              <w:top w:val="single" w:sz="8" w:color="auto"/>
            </w:tcBorders>
            <w:shd w:val="clear" w:color="auto" w:fill="E5FFFF"/>
          </w:tcPr>
          <w:p>
            <w:pPr>
              <w:spacing w:after="0"/>
              <w:rPr>
                <w:sz w:val="15"/>
                <w:szCs w:val="15"/>
                <w:color w:val="auto"/>
              </w:rPr>
            </w:pPr>
          </w:p>
        </w:tc>
        <w:tc>
          <w:tcPr>
            <w:tcW w:w="142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200" w:type="dxa"/>
            <w:vAlign w:val="bottom"/>
            <w:tcBorders>
              <w:top w:val="single" w:sz="8" w:color="auto"/>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6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vessel held under finance lease as of January 1, 2018</w:t>
            </w:r>
          </w:p>
        </w:tc>
        <w:tc>
          <w:tcPr>
            <w:tcW w:w="1780" w:type="dxa"/>
            <w:vAlign w:val="bottom"/>
            <w:gridSpan w:val="3"/>
            <w:shd w:val="clear" w:color="auto" w:fill="E5FFFF"/>
          </w:tcPr>
          <w:p>
            <w:pPr>
              <w:jc w:val="right"/>
              <w:ind w:right="99"/>
              <w:spacing w:after="0"/>
              <w:rPr>
                <w:sz w:val="20"/>
                <w:szCs w:val="20"/>
                <w:color w:val="auto"/>
              </w:rPr>
            </w:pPr>
            <w:r>
              <w:rPr>
                <w:rFonts w:ascii="Arial" w:cs="Arial" w:eastAsia="Arial" w:hAnsi="Arial"/>
                <w:sz w:val="16"/>
                <w:szCs w:val="16"/>
                <w:color w:val="auto"/>
              </w:rPr>
              <w:t>4,153,550</w:t>
            </w:r>
          </w:p>
        </w:tc>
        <w:tc>
          <w:tcPr>
            <w:tcW w:w="1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60" w:type="dxa"/>
            <w:vAlign w:val="bottom"/>
            <w:gridSpan w:val="3"/>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FFFF"/>
          </w:tcPr>
          <w:p>
            <w:pPr>
              <w:spacing w:after="0"/>
              <w:rPr>
                <w:sz w:val="18"/>
                <w:szCs w:val="18"/>
                <w:color w:val="auto"/>
              </w:rPr>
            </w:pPr>
          </w:p>
        </w:tc>
        <w:tc>
          <w:tcPr>
            <w:tcW w:w="16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4,153,550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Additions (Note 5)</w:t>
            </w:r>
          </w:p>
        </w:tc>
        <w:tc>
          <w:tcPr>
            <w:tcW w:w="180" w:type="dxa"/>
            <w:vAlign w:val="bottom"/>
          </w:tcPr>
          <w:p>
            <w:pPr>
              <w:spacing w:after="0"/>
              <w:rPr>
                <w:sz w:val="17"/>
                <w:szCs w:val="17"/>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618,601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16,938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635,539</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Transfer under “Other non-current assets”</w:t>
            </w:r>
          </w:p>
        </w:tc>
        <w:tc>
          <w:tcPr>
            <w:tcW w:w="180" w:type="dxa"/>
            <w:vAlign w:val="bottom"/>
            <w:shd w:val="clear" w:color="auto" w:fill="E5FFFF"/>
          </w:tcPr>
          <w:p>
            <w:pPr>
              <w:spacing w:after="0"/>
              <w:rPr>
                <w:sz w:val="17"/>
                <w:szCs w:val="17"/>
                <w:color w:val="auto"/>
              </w:rPr>
            </w:pPr>
          </w:p>
        </w:tc>
        <w:tc>
          <w:tcPr>
            <w:tcW w:w="2100" w:type="dxa"/>
            <w:vAlign w:val="bottom"/>
            <w:gridSpan w:val="5"/>
            <w:shd w:val="clear" w:color="auto" w:fill="E5FFFF"/>
          </w:tcPr>
          <w:p>
            <w:pPr>
              <w:jc w:val="right"/>
              <w:ind w:right="68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800" w:type="dxa"/>
            <w:vAlign w:val="bottom"/>
            <w:gridSpan w:val="3"/>
            <w:shd w:val="clear" w:color="auto" w:fill="E5FFFF"/>
          </w:tcPr>
          <w:p>
            <w:pPr>
              <w:jc w:val="right"/>
              <w:ind w:right="79"/>
              <w:spacing w:after="0"/>
              <w:rPr>
                <w:sz w:val="20"/>
                <w:szCs w:val="20"/>
                <w:color w:val="auto"/>
              </w:rPr>
            </w:pPr>
            <w:r>
              <w:rPr>
                <w:rFonts w:ascii="Arial" w:cs="Arial" w:eastAsia="Arial" w:hAnsi="Arial"/>
                <w:sz w:val="16"/>
                <w:szCs w:val="16"/>
                <w:color w:val="auto"/>
              </w:rPr>
              <w:t>(1,650)</w:t>
            </w:r>
          </w:p>
        </w:tc>
        <w:tc>
          <w:tcPr>
            <w:tcW w:w="6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(1,650)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Depreciation expense (Note 5)</w:t>
            </w:r>
          </w:p>
        </w:tc>
        <w:tc>
          <w:tcPr>
            <w:tcW w:w="180" w:type="dxa"/>
            <w:vAlign w:val="bottom"/>
          </w:tcPr>
          <w:p>
            <w:pPr>
              <w:spacing w:after="0"/>
              <w:rPr>
                <w:sz w:val="17"/>
                <w:szCs w:val="17"/>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1800" w:type="dxa"/>
            <w:vAlign w:val="bottom"/>
            <w:gridSpan w:val="3"/>
          </w:tcPr>
          <w:p>
            <w:pPr>
              <w:jc w:val="right"/>
              <w:ind w:right="79"/>
              <w:spacing w:after="0"/>
              <w:rPr>
                <w:sz w:val="20"/>
                <w:szCs w:val="20"/>
                <w:color w:val="auto"/>
              </w:rPr>
            </w:pPr>
            <w:r>
              <w:rPr>
                <w:rFonts w:ascii="Arial" w:cs="Arial" w:eastAsia="Arial" w:hAnsi="Arial"/>
                <w:sz w:val="16"/>
                <w:szCs w:val="16"/>
                <w:color w:val="auto"/>
              </w:rPr>
              <w:t>(113,683)</w:t>
            </w: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(113,683)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900" w:type="dxa"/>
            <w:vAlign w:val="bottom"/>
            <w:tcBorders>
              <w:top w:val="single" w:sz="8" w:color="E5FFFF"/>
            </w:tcBorders>
            <w:shd w:val="clear" w:color="auto" w:fill="E5FFFF"/>
          </w:tcPr>
          <w:p>
            <w:pPr>
              <w:spacing w:after="0" w:line="169" w:lineRule="exact"/>
              <w:rPr>
                <w:sz w:val="20"/>
                <w:szCs w:val="20"/>
                <w:color w:val="auto"/>
              </w:rPr>
            </w:pPr>
            <w:r>
              <w:rPr>
                <w:rFonts w:ascii="Arial" w:cs="Arial" w:eastAsia="Arial" w:hAnsi="Arial"/>
                <w:sz w:val="16"/>
                <w:szCs w:val="16"/>
                <w:b w:val="1"/>
                <w:bCs w:val="1"/>
                <w:color w:val="auto"/>
              </w:rPr>
              <w:t>Tangible fixed assets, vessels under construction</w:t>
            </w:r>
          </w:p>
        </w:tc>
        <w:tc>
          <w:tcPr>
            <w:tcW w:w="180" w:type="dxa"/>
            <w:vAlign w:val="bottom"/>
            <w:tcBorders>
              <w:top w:val="single" w:sz="8" w:color="auto"/>
            </w:tcBorders>
            <w:shd w:val="clear" w:color="auto" w:fill="E5FFFF"/>
          </w:tcPr>
          <w:p>
            <w:pPr>
              <w:spacing w:after="0"/>
              <w:rPr>
                <w:sz w:val="14"/>
                <w:szCs w:val="14"/>
                <w:color w:val="auto"/>
              </w:rPr>
            </w:pPr>
          </w:p>
        </w:tc>
        <w:tc>
          <w:tcPr>
            <w:tcW w:w="1420" w:type="dxa"/>
            <w:vAlign w:val="bottom"/>
            <w:tcBorders>
              <w:top w:val="single" w:sz="8" w:color="auto"/>
            </w:tcBorders>
            <w:shd w:val="clear" w:color="auto" w:fill="E5FFFF"/>
          </w:tcPr>
          <w:p>
            <w:pPr>
              <w:spacing w:after="0"/>
              <w:rPr>
                <w:sz w:val="14"/>
                <w:szCs w:val="14"/>
                <w:color w:val="auto"/>
              </w:rPr>
            </w:pPr>
          </w:p>
        </w:tc>
        <w:tc>
          <w:tcPr>
            <w:tcW w:w="180" w:type="dxa"/>
            <w:vAlign w:val="bottom"/>
            <w:tcBorders>
              <w:top w:val="single" w:sz="8" w:color="E5FFFF"/>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18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auto"/>
            </w:tcBorders>
            <w:shd w:val="clear" w:color="auto" w:fill="E5FFFF"/>
          </w:tcPr>
          <w:p>
            <w:pPr>
              <w:spacing w:after="0"/>
              <w:rPr>
                <w:sz w:val="14"/>
                <w:szCs w:val="14"/>
                <w:color w:val="auto"/>
              </w:rPr>
            </w:pPr>
          </w:p>
        </w:tc>
        <w:tc>
          <w:tcPr>
            <w:tcW w:w="1180" w:type="dxa"/>
            <w:vAlign w:val="bottom"/>
            <w:tcBorders>
              <w:top w:val="single" w:sz="8" w:color="auto"/>
            </w:tcBorders>
            <w:shd w:val="clear" w:color="auto" w:fill="E5FFFF"/>
          </w:tcPr>
          <w:p>
            <w:pPr>
              <w:spacing w:after="0"/>
              <w:rPr>
                <w:sz w:val="14"/>
                <w:szCs w:val="14"/>
                <w:color w:val="auto"/>
              </w:rPr>
            </w:pPr>
          </w:p>
        </w:tc>
        <w:tc>
          <w:tcPr>
            <w:tcW w:w="200" w:type="dxa"/>
            <w:vAlign w:val="bottom"/>
            <w:tcBorders>
              <w:top w:val="single" w:sz="8" w:color="E5FFFF"/>
            </w:tcBorders>
            <w:shd w:val="clear" w:color="auto" w:fill="E5FFFF"/>
          </w:tcPr>
          <w:p>
            <w:pPr>
              <w:spacing w:after="0"/>
              <w:rPr>
                <w:sz w:val="14"/>
                <w:szCs w:val="14"/>
                <w:color w:val="auto"/>
              </w:rPr>
            </w:pPr>
          </w:p>
        </w:tc>
        <w:tc>
          <w:tcPr>
            <w:tcW w:w="80" w:type="dxa"/>
            <w:vAlign w:val="bottom"/>
            <w:tcBorders>
              <w:top w:val="single" w:sz="8" w:color="E5FFFF"/>
            </w:tcBorders>
            <w:shd w:val="clear" w:color="auto" w:fill="E5FFFF"/>
          </w:tcPr>
          <w:p>
            <w:pPr>
              <w:spacing w:after="0"/>
              <w:rPr>
                <w:sz w:val="14"/>
                <w:szCs w:val="14"/>
                <w:color w:val="auto"/>
              </w:rPr>
            </w:pPr>
          </w:p>
        </w:tc>
        <w:tc>
          <w:tcPr>
            <w:tcW w:w="200" w:type="dxa"/>
            <w:vAlign w:val="bottom"/>
            <w:tcBorders>
              <w:top w:val="single" w:sz="8" w:color="auto"/>
            </w:tcBorders>
            <w:shd w:val="clear" w:color="auto" w:fill="E5FFFF"/>
          </w:tcPr>
          <w:p>
            <w:pPr>
              <w:spacing w:after="0"/>
              <w:rPr>
                <w:sz w:val="14"/>
                <w:szCs w:val="14"/>
                <w:color w:val="auto"/>
              </w:rPr>
            </w:pPr>
          </w:p>
        </w:tc>
        <w:tc>
          <w:tcPr>
            <w:tcW w:w="138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60" w:type="dxa"/>
            <w:vAlign w:val="bottom"/>
            <w:tcBorders>
              <w:top w:val="single" w:sz="8" w:color="E5FFFF"/>
            </w:tcBorders>
            <w:shd w:val="clear" w:color="auto" w:fill="E5FFFF"/>
          </w:tcPr>
          <w:p>
            <w:pPr>
              <w:spacing w:after="0"/>
              <w:rPr>
                <w:sz w:val="14"/>
                <w:szCs w:val="14"/>
                <w:color w:val="auto"/>
              </w:rPr>
            </w:pPr>
          </w:p>
        </w:tc>
        <w:tc>
          <w:tcPr>
            <w:tcW w:w="220" w:type="dxa"/>
            <w:vAlign w:val="bottom"/>
            <w:tcBorders>
              <w:top w:val="single" w:sz="8" w:color="auto"/>
            </w:tcBorders>
            <w:shd w:val="clear" w:color="auto" w:fill="E5FFFF"/>
          </w:tcPr>
          <w:p>
            <w:pPr>
              <w:spacing w:after="0"/>
              <w:rPr>
                <w:sz w:val="14"/>
                <w:szCs w:val="14"/>
                <w:color w:val="auto"/>
              </w:rPr>
            </w:pPr>
          </w:p>
        </w:tc>
        <w:tc>
          <w:tcPr>
            <w:tcW w:w="1360" w:type="dxa"/>
            <w:vAlign w:val="bottom"/>
            <w:tcBorders>
              <w:top w:val="single" w:sz="8" w:color="auto"/>
            </w:tcBorders>
            <w:shd w:val="clear" w:color="auto" w:fill="E5FFFF"/>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and vessel held under finance lease as of</w:t>
            </w:r>
          </w:p>
        </w:tc>
        <w:tc>
          <w:tcPr>
            <w:tcW w:w="160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4,153,550</w:t>
            </w:r>
          </w:p>
        </w:tc>
        <w:tc>
          <w:tcPr>
            <w:tcW w:w="180" w:type="dxa"/>
            <w:vAlign w:val="bottom"/>
            <w:vMerge w:val="restart"/>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618,601</w:t>
            </w: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800" w:type="dxa"/>
            <w:vAlign w:val="bottom"/>
            <w:gridSpan w:val="3"/>
            <w:vMerge w:val="restart"/>
            <w:shd w:val="clear" w:color="auto" w:fill="E5FFFF"/>
          </w:tcPr>
          <w:p>
            <w:pPr>
              <w:jc w:val="right"/>
              <w:ind w:right="79"/>
              <w:spacing w:after="0"/>
              <w:rPr>
                <w:sz w:val="20"/>
                <w:szCs w:val="20"/>
                <w:color w:val="auto"/>
              </w:rPr>
            </w:pPr>
            <w:r>
              <w:rPr>
                <w:rFonts w:ascii="Arial" w:cs="Arial" w:eastAsia="Arial" w:hAnsi="Arial"/>
                <w:sz w:val="16"/>
                <w:szCs w:val="16"/>
                <w:b w:val="1"/>
                <w:bCs w:val="1"/>
                <w:color w:val="auto"/>
              </w:rPr>
              <w:t>(98,395)</w:t>
            </w:r>
          </w:p>
        </w:tc>
        <w:tc>
          <w:tcPr>
            <w:tcW w:w="60" w:type="dxa"/>
            <w:vAlign w:val="bottom"/>
            <w:shd w:val="clear" w:color="auto" w:fill="E5FFFF"/>
          </w:tcPr>
          <w:p>
            <w:pPr>
              <w:spacing w:after="0"/>
              <w:rPr>
                <w:sz w:val="17"/>
                <w:szCs w:val="17"/>
                <w:color w:val="auto"/>
              </w:rPr>
            </w:pPr>
          </w:p>
        </w:tc>
        <w:tc>
          <w:tcPr>
            <w:tcW w:w="158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4,673,756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September 30, 2018</w:t>
            </w:r>
          </w:p>
        </w:tc>
        <w:tc>
          <w:tcPr>
            <w:tcW w:w="1600" w:type="dxa"/>
            <w:vAlign w:val="bottom"/>
            <w:gridSpan w:val="2"/>
            <w:vMerge w:val="continue"/>
            <w:shd w:val="clear" w:color="auto" w:fill="E5FFFF"/>
          </w:tcPr>
          <w:p>
            <w:pPr>
              <w:spacing w:after="0"/>
              <w:rPr>
                <w:sz w:val="17"/>
                <w:szCs w:val="17"/>
                <w:color w:val="auto"/>
              </w:rPr>
            </w:pPr>
          </w:p>
        </w:tc>
        <w:tc>
          <w:tcPr>
            <w:tcW w:w="180" w:type="dxa"/>
            <w:vAlign w:val="bottom"/>
            <w:vMerge w:val="continue"/>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80" w:type="dxa"/>
            <w:vAlign w:val="bottom"/>
            <w:vMerge w:val="continue"/>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800" w:type="dxa"/>
            <w:vAlign w:val="bottom"/>
            <w:gridSpan w:val="3"/>
            <w:vMerge w:val="continue"/>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80" w:type="dxa"/>
            <w:vAlign w:val="bottom"/>
            <w:gridSpan w:val="2"/>
            <w:vMerge w:val="continue"/>
            <w:shd w:val="clear" w:color="auto" w:fill="E5FFFF"/>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180" w:type="dxa"/>
            <w:vAlign w:val="bottom"/>
            <w:gridSpan w:val="7"/>
          </w:tcPr>
          <w:p>
            <w:pPr>
              <w:ind w:left="420"/>
              <w:spacing w:after="0"/>
              <w:rPr>
                <w:sz w:val="20"/>
                <w:szCs w:val="20"/>
                <w:color w:val="auto"/>
              </w:rPr>
            </w:pPr>
            <w:r>
              <w:rPr>
                <w:rFonts w:ascii="Arial" w:cs="Arial" w:eastAsia="Arial" w:hAnsi="Arial"/>
                <w:sz w:val="16"/>
                <w:szCs w:val="16"/>
                <w:color w:val="auto"/>
                <w:w w:val="94"/>
              </w:rPr>
              <w:t>A reconciliation of finance lease liabilities arising from financing activities is as follows: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220"/>
              <w:spacing w:after="0"/>
              <w:rPr>
                <w:sz w:val="20"/>
                <w:szCs w:val="20"/>
                <w:color w:val="auto"/>
              </w:rPr>
            </w:pPr>
            <w:r>
              <w:rPr>
                <w:rFonts w:ascii="Arial" w:cs="Arial" w:eastAsia="Arial" w:hAnsi="Arial"/>
                <w:sz w:val="16"/>
                <w:szCs w:val="16"/>
                <w:b w:val="1"/>
                <w:bCs w:val="1"/>
                <w:color w:val="auto"/>
              </w:rPr>
              <w:t>Opening balance</w:t>
            </w:r>
          </w:p>
        </w:tc>
        <w:tc>
          <w:tcPr>
            <w:tcW w:w="14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Cash flows</w:t>
            </w:r>
          </w:p>
        </w:tc>
        <w:tc>
          <w:tcPr>
            <w:tcW w:w="200" w:type="dxa"/>
            <w:vAlign w:val="bottom"/>
          </w:tcPr>
          <w:p>
            <w:pPr>
              <w:spacing w:after="0"/>
              <w:rPr>
                <w:sz w:val="24"/>
                <w:szCs w:val="24"/>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Non-cash items</w:t>
            </w:r>
          </w:p>
        </w:tc>
        <w:tc>
          <w:tcPr>
            <w:tcW w:w="220" w:type="dxa"/>
            <w:vAlign w:val="bottom"/>
          </w:tcPr>
          <w:p>
            <w:pPr>
              <w:spacing w:after="0"/>
              <w:rPr>
                <w:sz w:val="24"/>
                <w:szCs w:val="24"/>
                <w:color w:val="auto"/>
              </w:rPr>
            </w:pPr>
          </w:p>
        </w:tc>
        <w:tc>
          <w:tcPr>
            <w:tcW w:w="1640" w:type="dxa"/>
            <w:vAlign w:val="bottom"/>
            <w:gridSpan w:val="3"/>
          </w:tcPr>
          <w:p>
            <w:pPr>
              <w:ind w:lef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Finance lease liabilities as of January 1, 2018</w:t>
            </w:r>
          </w:p>
        </w:tc>
        <w:tc>
          <w:tcPr>
            <w:tcW w:w="18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1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Finance lease charge (Note 15)</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gridSpan w:val="4"/>
          </w:tcPr>
          <w:p>
            <w:pPr>
              <w:jc w:val="right"/>
              <w:ind w:right="500"/>
              <w:spacing w:after="0"/>
              <w:rPr>
                <w:sz w:val="20"/>
                <w:szCs w:val="20"/>
                <w:color w:val="auto"/>
              </w:rPr>
            </w:pPr>
            <w:r>
              <w:rPr>
                <w:rFonts w:ascii="Arial" w:cs="Arial" w:eastAsia="Arial" w:hAnsi="Arial"/>
                <w:sz w:val="16"/>
                <w:szCs w:val="16"/>
                <w:color w:val="auto"/>
                <w:w w:val="99"/>
              </w:rPr>
              <w:t>—</w:t>
            </w:r>
          </w:p>
        </w:tc>
        <w:tc>
          <w:tcPr>
            <w:tcW w:w="1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7,903</w:t>
            </w:r>
          </w:p>
        </w:tc>
        <w:tc>
          <w:tcPr>
            <w:tcW w:w="6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7,903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18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680" w:type="dxa"/>
            <w:vAlign w:val="bottom"/>
            <w:gridSpan w:val="4"/>
            <w:shd w:val="clear" w:color="auto" w:fill="E5FFFF"/>
          </w:tcPr>
          <w:p>
            <w:pPr>
              <w:jc w:val="right"/>
              <w:ind w:right="500"/>
              <w:spacing w:after="0"/>
              <w:rPr>
                <w:sz w:val="20"/>
                <w:szCs w:val="20"/>
                <w:color w:val="auto"/>
              </w:rPr>
            </w:pPr>
            <w:r>
              <w:rPr>
                <w:rFonts w:ascii="Arial" w:cs="Arial" w:eastAsia="Arial" w:hAnsi="Arial"/>
                <w:sz w:val="16"/>
                <w:szCs w:val="16"/>
                <w:color w:val="auto"/>
                <w:w w:val="99"/>
              </w:rPr>
              <w:t>—</w:t>
            </w:r>
          </w:p>
        </w:tc>
        <w:tc>
          <w:tcPr>
            <w:tcW w:w="14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(7,903)</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(7,903)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Payments for finance lease liability</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gridSpan w:val="4"/>
          </w:tcPr>
          <w:p>
            <w:pPr>
              <w:jc w:val="right"/>
              <w:ind w:right="500"/>
              <w:spacing w:after="0"/>
              <w:rPr>
                <w:sz w:val="20"/>
                <w:szCs w:val="20"/>
                <w:color w:val="auto"/>
              </w:rPr>
            </w:pPr>
            <w:r>
              <w:rPr>
                <w:rFonts w:ascii="Arial" w:cs="Arial" w:eastAsia="Arial" w:hAnsi="Arial"/>
                <w:sz w:val="16"/>
                <w:szCs w:val="16"/>
                <w:color w:val="auto"/>
                <w:w w:val="99"/>
              </w:rPr>
              <w:t>—</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(5,447)</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(5,447)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Finance lease liabilities as of September 30, 2018</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213,428</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(13,350</w:t>
            </w:r>
          </w:p>
        </w:tc>
        <w:tc>
          <w:tcPr>
            <w:tcW w:w="8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7,903</w:t>
            </w:r>
          </w:p>
        </w:tc>
        <w:tc>
          <w:tcPr>
            <w:tcW w:w="6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207,981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180" w:type="dxa"/>
            <w:vAlign w:val="bottom"/>
            <w:gridSpan w:val="7"/>
          </w:tcPr>
          <w:p>
            <w:pPr>
              <w:ind w:left="420"/>
              <w:spacing w:after="0"/>
              <w:rPr>
                <w:sz w:val="20"/>
                <w:szCs w:val="20"/>
                <w:color w:val="auto"/>
              </w:rPr>
            </w:pPr>
            <w:r>
              <w:rPr>
                <w:rFonts w:ascii="Arial" w:cs="Arial" w:eastAsia="Arial" w:hAnsi="Arial"/>
                <w:sz w:val="16"/>
                <w:szCs w:val="16"/>
                <w:color w:val="auto"/>
              </w:rPr>
              <w:t>A reconciliation of equity offerings arising from financing activities is as follows: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w w:val="87"/>
              </w:rPr>
              <w:t>Cash flows</w:t>
            </w:r>
          </w:p>
        </w:tc>
        <w:tc>
          <w:tcPr>
            <w:tcW w:w="20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Non-cash items</w:t>
            </w:r>
          </w:p>
        </w:tc>
        <w:tc>
          <w:tcPr>
            <w:tcW w:w="220" w:type="dxa"/>
            <w:vAlign w:val="bottom"/>
          </w:tcPr>
          <w:p>
            <w:pPr>
              <w:spacing w:after="0"/>
              <w:rPr>
                <w:sz w:val="24"/>
                <w:szCs w:val="24"/>
                <w:color w:val="auto"/>
              </w:rPr>
            </w:pPr>
          </w:p>
        </w:tc>
        <w:tc>
          <w:tcPr>
            <w:tcW w:w="1640" w:type="dxa"/>
            <w:vAlign w:val="bottom"/>
            <w:gridSpan w:val="3"/>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5780" w:type="dxa"/>
            <w:vAlign w:val="bottom"/>
            <w:tcBorders>
              <w:top w:val="single" w:sz="8" w:color="E5FFFF"/>
            </w:tcBorders>
            <w:gridSpan w:val="5"/>
            <w:shd w:val="clear" w:color="auto" w:fill="E5FFFF"/>
          </w:tcPr>
          <w:p>
            <w:pPr>
              <w:spacing w:after="0" w:line="179" w:lineRule="exact"/>
              <w:rPr>
                <w:sz w:val="20"/>
                <w:szCs w:val="20"/>
                <w:color w:val="auto"/>
              </w:rPr>
            </w:pPr>
            <w:r>
              <w:rPr>
                <w:rFonts w:ascii="Arial" w:cs="Arial" w:eastAsia="Arial" w:hAnsi="Arial"/>
                <w:sz w:val="16"/>
                <w:szCs w:val="16"/>
                <w:color w:val="auto"/>
              </w:rPr>
              <w:t>Proceeds from GasLog Partners’ preference unit offerings (net of underwriting</w:t>
            </w:r>
          </w:p>
        </w:tc>
        <w:tc>
          <w:tcPr>
            <w:tcW w:w="400" w:type="dxa"/>
            <w:vAlign w:val="bottom"/>
            <w:tcBorders>
              <w:top w:val="single" w:sz="8" w:color="auto"/>
            </w:tcBorders>
            <w:gridSpan w:val="2"/>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200" w:type="dxa"/>
            <w:vAlign w:val="bottom"/>
            <w:tcBorders>
              <w:top w:val="single" w:sz="8" w:color="auto"/>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6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discounts and commissions)</w:t>
            </w:r>
          </w:p>
        </w:tc>
        <w:tc>
          <w:tcPr>
            <w:tcW w:w="18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2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80" w:type="dxa"/>
            <w:vAlign w:val="bottom"/>
            <w:gridSpan w:val="7"/>
          </w:tcPr>
          <w:p>
            <w:pPr>
              <w:spacing w:after="0"/>
              <w:rPr>
                <w:sz w:val="20"/>
                <w:szCs w:val="20"/>
                <w:color w:val="auto"/>
              </w:rPr>
            </w:pPr>
            <w:r>
              <w:rPr>
                <w:rFonts w:ascii="Arial" w:cs="Arial" w:eastAsia="Arial" w:hAnsi="Arial"/>
                <w:sz w:val="16"/>
                <w:szCs w:val="16"/>
                <w:color w:val="auto"/>
              </w:rPr>
              <w:t>Proceeds from public offerings and private placement (net of underwriting</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180"/>
              <w:spacing w:after="0"/>
              <w:rPr>
                <w:sz w:val="20"/>
                <w:szCs w:val="20"/>
                <w:color w:val="auto"/>
              </w:rPr>
            </w:pPr>
            <w:r>
              <w:rPr>
                <w:rFonts w:ascii="Arial" w:cs="Arial" w:eastAsia="Arial" w:hAnsi="Arial"/>
                <w:sz w:val="16"/>
                <w:szCs w:val="16"/>
                <w:color w:val="auto"/>
              </w:rPr>
              <w:t>discounts and commissions)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54,338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54,338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Offering costs</w:t>
            </w:r>
          </w:p>
        </w:tc>
        <w:tc>
          <w:tcPr>
            <w:tcW w:w="18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(929)</w:t>
            </w:r>
          </w:p>
        </w:tc>
        <w:tc>
          <w:tcPr>
            <w:tcW w:w="8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198</w:t>
            </w: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(731)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80" w:type="dxa"/>
            <w:vAlign w:val="bottom"/>
            <w:gridSpan w:val="5"/>
          </w:tcPr>
          <w:p>
            <w:pPr>
              <w:spacing w:after="0"/>
              <w:rPr>
                <w:sz w:val="20"/>
                <w:szCs w:val="20"/>
                <w:color w:val="auto"/>
              </w:rPr>
            </w:pPr>
            <w:r>
              <w:rPr>
                <w:rFonts w:ascii="Arial" w:cs="Arial" w:eastAsia="Arial" w:hAnsi="Arial"/>
                <w:sz w:val="16"/>
                <w:szCs w:val="16"/>
                <w:b w:val="1"/>
                <w:bCs w:val="1"/>
                <w:color w:val="auto"/>
              </w:rPr>
              <w:t>Net proceeds from equity offerings in the period ended September 30, 2018</w:t>
            </w:r>
          </w:p>
        </w:tc>
        <w:tc>
          <w:tcPr>
            <w:tcW w:w="400" w:type="dxa"/>
            <w:vAlign w:val="bottom"/>
            <w:tcBorders>
              <w:top w:val="single" w:sz="8" w:color="auto"/>
              <w:bottom w:val="single" w:sz="8" w:color="auto"/>
            </w:tcBorders>
            <w:gridSpan w:val="2"/>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165,151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Share-Based Compensation</w:t>
      </w:r>
    </w:p>
    <w:p>
      <w:pPr>
        <w:spacing w:after="0" w:line="239" w:lineRule="exact"/>
        <w:rPr>
          <w:sz w:val="20"/>
          <w:szCs w:val="20"/>
          <w:color w:val="auto"/>
        </w:rPr>
      </w:pPr>
    </w:p>
    <w:p>
      <w:pPr>
        <w:ind w:right="320" w:firstLine="357"/>
        <w:spacing w:after="0" w:line="278" w:lineRule="auto"/>
        <w:rPr>
          <w:sz w:val="20"/>
          <w:szCs w:val="20"/>
          <w:color w:val="auto"/>
        </w:rPr>
      </w:pPr>
      <w:r>
        <w:rPr>
          <w:rFonts w:ascii="Arial" w:cs="Arial" w:eastAsia="Arial" w:hAnsi="Arial"/>
          <w:sz w:val="16"/>
          <w:szCs w:val="16"/>
          <w:color w:val="auto"/>
        </w:rPr>
        <w:t>The terms of the 2013 Omnibus Incentive Compensation Plan (the “Plan”) and the assumptions for the valuation of Restricted Stock Units (“RSUs”) and Stock Appreciation Rights or Stock Options (collectively the “SARs”) have been disclosed in Note 21 “Share-Based Compensation” in the annual audited consolidated financial statements for the year ended December 31, 2017.</w:t>
      </w:r>
    </w:p>
    <w:p>
      <w:pPr>
        <w:spacing w:after="0" w:line="184" w:lineRule="exact"/>
        <w:rPr>
          <w:sz w:val="20"/>
          <w:szCs w:val="20"/>
          <w:color w:val="auto"/>
        </w:rPr>
      </w:pPr>
    </w:p>
    <w:p>
      <w:pPr>
        <w:ind w:firstLine="357"/>
        <w:spacing w:after="0" w:line="293" w:lineRule="auto"/>
        <w:rPr>
          <w:sz w:val="20"/>
          <w:szCs w:val="20"/>
          <w:color w:val="auto"/>
        </w:rPr>
      </w:pPr>
      <w:r>
        <w:rPr>
          <w:rFonts w:ascii="Arial" w:cs="Arial" w:eastAsia="Arial" w:hAnsi="Arial"/>
          <w:sz w:val="16"/>
          <w:szCs w:val="16"/>
          <w:color w:val="auto"/>
        </w:rPr>
        <w:t>On April 2, 2018, GasLog granted to executives, managers and certain employees of the Group 149,786 RSUs and 416,458 SARs in accordance with the Plan. The RSUs will vest on April 2, 2021 while the SARs will vest incrementally with one-third of the SARs vesting on each</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44" w:name="page45"/>
    <w:bookmarkEnd w:id="44"/>
    <w:p>
      <w:pPr>
        <w:spacing w:after="0" w:line="293" w:lineRule="auto"/>
        <w:rPr>
          <w:sz w:val="20"/>
          <w:szCs w:val="20"/>
          <w:color w:val="auto"/>
        </w:rPr>
      </w:pPr>
      <w:r>
        <w:rPr>
          <w:rFonts w:ascii="Arial" w:cs="Arial" w:eastAsia="Arial" w:hAnsi="Arial"/>
          <w:sz w:val="16"/>
          <w:szCs w:val="16"/>
          <w:color w:val="auto"/>
        </w:rPr>
        <w:t>of April 2, 2019, 2020 and 2021. The compensation cost for the SARs is recognized on an accelerated basis as though each separately vesting portion of the SARs is a separate award.</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gridSpan w:val="2"/>
          </w:tcPr>
          <w:p>
            <w:pPr>
              <w:ind w:left="300"/>
              <w:spacing w:after="0"/>
              <w:rPr>
                <w:sz w:val="20"/>
                <w:szCs w:val="20"/>
                <w:color w:val="auto"/>
              </w:rPr>
            </w:pPr>
            <w:r>
              <w:rPr>
                <w:rFonts w:ascii="Arial" w:cs="Arial" w:eastAsia="Arial" w:hAnsi="Arial"/>
                <w:sz w:val="16"/>
                <w:szCs w:val="16"/>
                <w:b w:val="1"/>
                <w:bCs w:val="1"/>
                <w:color w:val="auto"/>
                <w:w w:val="88"/>
              </w:rPr>
              <w:t>Exercise</w:t>
            </w:r>
          </w:p>
        </w:tc>
        <w:tc>
          <w:tcPr>
            <w:tcW w:w="520" w:type="dxa"/>
            <w:vAlign w:val="bottom"/>
          </w:tcPr>
          <w:p>
            <w:pPr>
              <w:spacing w:after="0"/>
              <w:rPr>
                <w:sz w:val="17"/>
                <w:szCs w:val="17"/>
                <w:color w:val="auto"/>
              </w:rPr>
            </w:pPr>
          </w:p>
        </w:tc>
        <w:tc>
          <w:tcPr>
            <w:tcW w:w="14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Fair value at</w:t>
            </w: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Awards</w:t>
            </w:r>
          </w:p>
        </w:tc>
        <w:tc>
          <w:tcPr>
            <w:tcW w:w="14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Number</w:t>
            </w:r>
          </w:p>
        </w:tc>
        <w:tc>
          <w:tcPr>
            <w:tcW w:w="2020" w:type="dxa"/>
            <w:vAlign w:val="bottom"/>
            <w:gridSpan w:val="3"/>
          </w:tcPr>
          <w:p>
            <w:pPr>
              <w:ind w:left="280"/>
              <w:spacing w:after="0"/>
              <w:rPr>
                <w:sz w:val="20"/>
                <w:szCs w:val="20"/>
                <w:color w:val="auto"/>
              </w:rPr>
            </w:pPr>
            <w:r>
              <w:rPr>
                <w:rFonts w:ascii="Arial" w:cs="Arial" w:eastAsia="Arial" w:hAnsi="Arial"/>
                <w:sz w:val="16"/>
                <w:szCs w:val="16"/>
                <w:b w:val="1"/>
                <w:bCs w:val="1"/>
                <w:color w:val="auto"/>
              </w:rPr>
              <w:t>Grant date</w:t>
            </w:r>
          </w:p>
        </w:tc>
        <w:tc>
          <w:tcPr>
            <w:tcW w:w="1580" w:type="dxa"/>
            <w:vAlign w:val="bottom"/>
          </w:tcPr>
          <w:p>
            <w:pPr>
              <w:spacing w:after="0"/>
              <w:rPr>
                <w:sz w:val="20"/>
                <w:szCs w:val="20"/>
                <w:color w:val="auto"/>
              </w:rPr>
            </w:pPr>
            <w:r>
              <w:rPr>
                <w:rFonts w:ascii="Arial" w:cs="Arial" w:eastAsia="Arial" w:hAnsi="Arial"/>
                <w:sz w:val="16"/>
                <w:szCs w:val="16"/>
                <w:b w:val="1"/>
                <w:bCs w:val="1"/>
                <w:color w:val="auto"/>
              </w:rPr>
              <w:t>Expiry date</w:t>
            </w:r>
          </w:p>
        </w:tc>
        <w:tc>
          <w:tcPr>
            <w:tcW w:w="30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6"/>
                <w:szCs w:val="16"/>
                <w:b w:val="1"/>
                <w:bCs w:val="1"/>
                <w:color w:val="auto"/>
              </w:rPr>
              <w:t>price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 date</w:t>
            </w:r>
          </w:p>
        </w:tc>
      </w:tr>
      <w:tr>
        <w:trPr>
          <w:trHeight w:val="199"/>
        </w:trPr>
        <w:tc>
          <w:tcPr>
            <w:tcW w:w="25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RSUs</w:t>
            </w:r>
          </w:p>
        </w:tc>
        <w:tc>
          <w:tcPr>
            <w:tcW w:w="30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149,786</w:t>
            </w: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April 2, 2018</w:t>
            </w:r>
          </w:p>
        </w:tc>
        <w:tc>
          <w:tcPr>
            <w:tcW w:w="28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n/a</w:t>
            </w:r>
          </w:p>
        </w:tc>
        <w:tc>
          <w:tcPr>
            <w:tcW w:w="300" w:type="dxa"/>
            <w:vAlign w:val="bottom"/>
            <w:tcBorders>
              <w:top w:val="single" w:sz="8" w:color="E5FFFF"/>
            </w:tcBorders>
            <w:shd w:val="clear" w:color="auto" w:fill="E5FFFF"/>
          </w:tcPr>
          <w:p>
            <w:pPr>
              <w:spacing w:after="0"/>
              <w:rPr>
                <w:sz w:val="17"/>
                <w:szCs w:val="17"/>
                <w:color w:val="auto"/>
              </w:rPr>
            </w:pPr>
          </w:p>
        </w:tc>
        <w:tc>
          <w:tcPr>
            <w:tcW w:w="600" w:type="dxa"/>
            <w:vAlign w:val="bottom"/>
            <w:tcBorders>
              <w:top w:val="single" w:sz="8" w:color="auto"/>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3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$16.30</w:t>
            </w: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SARs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416,458</w:t>
            </w:r>
          </w:p>
        </w:tc>
        <w:tc>
          <w:tcPr>
            <w:tcW w:w="2020" w:type="dxa"/>
            <w:vAlign w:val="bottom"/>
            <w:gridSpan w:val="3"/>
          </w:tcPr>
          <w:p>
            <w:pPr>
              <w:ind w:left="280"/>
              <w:spacing w:after="0"/>
              <w:rPr>
                <w:sz w:val="20"/>
                <w:szCs w:val="20"/>
                <w:color w:val="auto"/>
              </w:rPr>
            </w:pPr>
            <w:r>
              <w:rPr>
                <w:rFonts w:ascii="Arial" w:cs="Arial" w:eastAsia="Arial" w:hAnsi="Arial"/>
                <w:sz w:val="16"/>
                <w:szCs w:val="16"/>
                <w:color w:val="auto"/>
              </w:rPr>
              <w:t>April 2, 2018</w:t>
            </w:r>
          </w:p>
        </w:tc>
        <w:tc>
          <w:tcPr>
            <w:tcW w:w="1580" w:type="dxa"/>
            <w:vAlign w:val="bottom"/>
          </w:tcPr>
          <w:p>
            <w:pPr>
              <w:spacing w:after="0"/>
              <w:rPr>
                <w:sz w:val="20"/>
                <w:szCs w:val="20"/>
                <w:color w:val="auto"/>
              </w:rPr>
            </w:pPr>
            <w:r>
              <w:rPr>
                <w:rFonts w:ascii="Arial" w:cs="Arial" w:eastAsia="Arial" w:hAnsi="Arial"/>
                <w:sz w:val="16"/>
                <w:szCs w:val="16"/>
                <w:color w:val="auto"/>
              </w:rPr>
              <w:t>April 2, 2028</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$16.30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$5.30</w:t>
            </w:r>
          </w:p>
        </w:tc>
      </w:tr>
    </w:tbl>
    <w:p>
      <w:pPr>
        <w:spacing w:after="0" w:line="202" w:lineRule="exact"/>
        <w:rPr>
          <w:sz w:val="20"/>
          <w:szCs w:val="20"/>
          <w:color w:val="auto"/>
        </w:rPr>
      </w:pPr>
    </w:p>
    <w:p>
      <w:pPr>
        <w:ind w:right="100" w:firstLine="357"/>
        <w:spacing w:after="0" w:line="273" w:lineRule="auto"/>
        <w:rPr>
          <w:sz w:val="20"/>
          <w:szCs w:val="20"/>
          <w:color w:val="auto"/>
        </w:rPr>
      </w:pPr>
      <w:r>
        <w:rPr>
          <w:rFonts w:ascii="Arial" w:cs="Arial" w:eastAsia="Arial" w:hAnsi="Arial"/>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9" w:lineRule="exact"/>
        <w:rPr>
          <w:sz w:val="20"/>
          <w:szCs w:val="20"/>
          <w:color w:val="auto"/>
        </w:rPr>
      </w:pPr>
    </w:p>
    <w:p>
      <w:pPr>
        <w:ind w:right="140" w:firstLine="436"/>
        <w:spacing w:after="0" w:line="293"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GasLog’s initial public offering. The significant assumptions used to estimate the fair value of the SARs are set out below:</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Inputs into the model</w:t>
      </w:r>
    </w:p>
    <w:p>
      <w:pPr>
        <w:spacing w:after="0" w:line="26" w:lineRule="exact"/>
        <w:rPr>
          <w:sz w:val="20"/>
          <w:szCs w:val="20"/>
          <w:color w:val="auto"/>
        </w:rPr>
      </w:pPr>
    </w:p>
    <w:tbl>
      <w:tblPr>
        <w:tblLayout w:type="fixed"/>
        <w:tblInd w:w="440" w:type="dxa"/>
        <w:tblCellMar>
          <w:top w:w="0" w:type="dxa"/>
          <w:left w:w="0" w:type="dxa"/>
          <w:bottom w:w="0" w:type="dxa"/>
          <w:right w:w="0" w:type="dxa"/>
        </w:tblCellMar>
      </w:tblPr>
      <w:tr>
        <w:trPr>
          <w:trHeight w:val="202"/>
        </w:trPr>
        <w:tc>
          <w:tcPr>
            <w:tcW w:w="62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Grant date share closing price</w:t>
            </w:r>
          </w:p>
        </w:tc>
        <w:tc>
          <w:tcPr>
            <w:tcW w:w="2500" w:type="dxa"/>
            <w:vAlign w:val="bottom"/>
            <w:tcBorders>
              <w:top w:val="single" w:sz="8" w:color="auto"/>
            </w:tcBorders>
            <w:shd w:val="clear" w:color="auto" w:fill="E5FF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16.30</w:t>
            </w:r>
          </w:p>
        </w:tc>
        <w:tc>
          <w:tcPr>
            <w:tcW w:w="140" w:type="dxa"/>
            <w:vAlign w:val="bottom"/>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Exercise price</w:t>
            </w:r>
          </w:p>
        </w:tc>
        <w:tc>
          <w:tcPr>
            <w:tcW w:w="25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16.30</w:t>
            </w:r>
          </w:p>
        </w:tc>
        <w:tc>
          <w:tcPr>
            <w:tcW w:w="140" w:type="dxa"/>
            <w:vAlign w:val="bottom"/>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Expected volatility</w:t>
            </w:r>
          </w:p>
        </w:tc>
        <w:tc>
          <w:tcPr>
            <w:tcW w:w="25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44.5%</w:t>
            </w: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Expected term</w:t>
            </w:r>
          </w:p>
        </w:tc>
        <w:tc>
          <w:tcPr>
            <w:tcW w:w="25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 years</w:t>
            </w: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Risk-free interest rate for the period similar to the expected term</w:t>
            </w:r>
          </w:p>
        </w:tc>
        <w:tc>
          <w:tcPr>
            <w:tcW w:w="25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-385445</wp:posOffset>
            </wp:positionV>
            <wp:extent cx="607187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12890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-128270</wp:posOffset>
            </wp:positionV>
            <wp:extent cx="607187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1289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right="80" w:firstLine="357"/>
        <w:spacing w:after="0" w:line="293" w:lineRule="auto"/>
        <w:rPr>
          <w:sz w:val="20"/>
          <w:szCs w:val="20"/>
          <w:color w:val="auto"/>
        </w:rPr>
      </w:pPr>
      <w:r>
        <w:rPr>
          <w:rFonts w:ascii="Arial" w:cs="Arial" w:eastAsia="Arial" w:hAnsi="Arial"/>
          <w:sz w:val="16"/>
          <w:szCs w:val="16"/>
          <w:color w:val="auto"/>
        </w:rPr>
        <w:t>The fair value of the RSUs was determined by using the grant date closing price of $16.30 per common unit and was not further adjusted since the holders are entitled to dividends.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 in RSUs and SARs during the period</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summary of RSUs and SARs is presented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 price</w:t>
            </w:r>
          </w:p>
        </w:tc>
        <w:tc>
          <w:tcPr>
            <w:tcW w:w="1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share price at the</w:t>
            </w: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average</w:t>
            </w:r>
          </w:p>
        </w:tc>
        <w:tc>
          <w:tcPr>
            <w:tcW w:w="15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Aggregate fair</w:t>
            </w:r>
          </w:p>
        </w:tc>
      </w:tr>
      <w:tr>
        <w:trPr>
          <w:trHeight w:val="213"/>
        </w:trPr>
        <w:tc>
          <w:tcPr>
            <w:tcW w:w="32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awards</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 share</w:t>
            </w:r>
          </w:p>
        </w:tc>
        <w:tc>
          <w:tcPr>
            <w:tcW w:w="18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date of exercise</w:t>
            </w: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contractual life</w:t>
            </w:r>
          </w:p>
        </w:tc>
        <w:tc>
          <w:tcPr>
            <w:tcW w:w="15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value</w:t>
            </w:r>
          </w:p>
        </w:tc>
      </w:tr>
      <w:tr>
        <w:trPr>
          <w:trHeight w:val="186"/>
        </w:trPr>
        <w:tc>
          <w:tcPr>
            <w:tcW w:w="3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RSUs</w:t>
            </w:r>
          </w:p>
        </w:tc>
        <w:tc>
          <w:tcPr>
            <w:tcW w:w="114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60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148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425,702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1.39</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5,636</w:t>
            </w:r>
          </w:p>
        </w:tc>
        <w:tc>
          <w:tcPr>
            <w:tcW w:w="60" w:type="dxa"/>
            <w:vAlign w:val="bottom"/>
          </w:tcPr>
          <w:p>
            <w:pPr>
              <w:spacing w:after="0"/>
              <w:rPr>
                <w:sz w:val="17"/>
                <w:szCs w:val="17"/>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149,786</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2,441</w:t>
            </w:r>
          </w:p>
        </w:tc>
        <w:tc>
          <w:tcPr>
            <w:tcW w:w="60" w:type="dxa"/>
            <w:vAlign w:val="bottom"/>
          </w:tcPr>
          <w:p>
            <w:pPr>
              <w:spacing w:after="0"/>
              <w:rPr>
                <w:sz w:val="17"/>
                <w:szCs w:val="17"/>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Forfeited during the period</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(1,179)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3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(86,136)</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(1,655)</w:t>
            </w:r>
          </w:p>
        </w:tc>
        <w:tc>
          <w:tcPr>
            <w:tcW w:w="60" w:type="dxa"/>
            <w:vAlign w:val="bottom"/>
          </w:tcPr>
          <w:p>
            <w:pPr>
              <w:spacing w:after="0"/>
              <w:rPr>
                <w:sz w:val="17"/>
                <w:szCs w:val="17"/>
                <w:color w:val="auto"/>
              </w:rPr>
            </w:pPr>
          </w:p>
        </w:tc>
      </w:tr>
      <w:tr>
        <w:trPr>
          <w:trHeight w:val="236"/>
        </w:trPr>
        <w:tc>
          <w:tcPr>
            <w:tcW w:w="3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Outstanding as of September 30,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488,173</w:t>
            </w:r>
          </w:p>
        </w:tc>
        <w:tc>
          <w:tcPr>
            <w:tcW w:w="240" w:type="dxa"/>
            <w:vAlign w:val="bottom"/>
            <w:tcBorders>
              <w:bottom w:val="single" w:sz="8" w:color="E5FF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E5FFFF"/>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E5FF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200" w:type="dxa"/>
            <w:vAlign w:val="bottom"/>
            <w:tcBorders>
              <w:bottom w:val="single" w:sz="8" w:color="E5FFFF"/>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6,408</w:t>
            </w:r>
          </w:p>
        </w:tc>
        <w:tc>
          <w:tcPr>
            <w:tcW w:w="60" w:type="dxa"/>
            <w:vAlign w:val="bottom"/>
          </w:tcPr>
          <w:p>
            <w:pPr>
              <w:spacing w:after="0"/>
              <w:rPr>
                <w:sz w:val="20"/>
                <w:szCs w:val="20"/>
                <w:color w:val="auto"/>
              </w:rPr>
            </w:pPr>
          </w:p>
        </w:tc>
      </w:tr>
      <w:tr>
        <w:trPr>
          <w:trHeight w:val="156"/>
        </w:trPr>
        <w:tc>
          <w:tcPr>
            <w:tcW w:w="324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SARs</w:t>
            </w:r>
          </w:p>
        </w:tc>
        <w:tc>
          <w:tcPr>
            <w:tcW w:w="114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14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60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38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480" w:type="dxa"/>
            <w:vAlign w:val="bottom"/>
            <w:shd w:val="clear" w:color="auto" w:fill="E5FFFF"/>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2,031,279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14.59</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7.68</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7,874</w:t>
            </w:r>
          </w:p>
        </w:tc>
        <w:tc>
          <w:tcPr>
            <w:tcW w:w="60" w:type="dxa"/>
            <w:vAlign w:val="bottom"/>
          </w:tcPr>
          <w:p>
            <w:pPr>
              <w:spacing w:after="0"/>
              <w:rPr>
                <w:sz w:val="17"/>
                <w:szCs w:val="17"/>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416,458</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2,207</w:t>
            </w:r>
          </w:p>
        </w:tc>
        <w:tc>
          <w:tcPr>
            <w:tcW w:w="60" w:type="dxa"/>
            <w:vAlign w:val="bottom"/>
          </w:tcPr>
          <w:p>
            <w:pPr>
              <w:spacing w:after="0"/>
              <w:rPr>
                <w:sz w:val="17"/>
                <w:szCs w:val="17"/>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Exercised during the period</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(14,753)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color w:val="auto"/>
              </w:rPr>
              <w:t>18.26</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7"/>
                <w:szCs w:val="17"/>
                <w:color w:val="auto"/>
              </w:rPr>
            </w:pPr>
          </w:p>
        </w:tc>
      </w:tr>
      <w:tr>
        <w:trPr>
          <w:trHeight w:val="203"/>
        </w:trPr>
        <w:tc>
          <w:tcPr>
            <w:tcW w:w="3240" w:type="dxa"/>
            <w:vAlign w:val="bottom"/>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3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(3,333)</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7"/>
                <w:szCs w:val="17"/>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Expired during the period</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(12,198)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7"/>
                <w:szCs w:val="17"/>
                <w:color w:val="auto"/>
              </w:rPr>
            </w:pPr>
          </w:p>
        </w:tc>
      </w:tr>
      <w:tr>
        <w:trPr>
          <w:trHeight w:val="196"/>
        </w:trPr>
        <w:tc>
          <w:tcPr>
            <w:tcW w:w="32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September 30, 2018</w:t>
            </w: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2,417,453</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14.87</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7.38</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9,946</w:t>
            </w:r>
          </w:p>
        </w:tc>
        <w:tc>
          <w:tcPr>
            <w:tcW w:w="6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2018, 1,440,982 SARs have vested but have not been exercised.</w:t>
      </w:r>
    </w:p>
    <w:p>
      <w:pPr>
        <w:spacing w:after="0" w:line="235" w:lineRule="exact"/>
        <w:rPr>
          <w:sz w:val="20"/>
          <w:szCs w:val="20"/>
          <w:color w:val="auto"/>
        </w:rPr>
      </w:pPr>
    </w:p>
    <w:p>
      <w:pPr>
        <w:ind w:right="20" w:firstLine="357"/>
        <w:spacing w:after="0" w:line="278" w:lineRule="auto"/>
        <w:rPr>
          <w:sz w:val="20"/>
          <w:szCs w:val="20"/>
          <w:color w:val="auto"/>
        </w:rPr>
      </w:pPr>
      <w:r>
        <w:rPr>
          <w:rFonts w:ascii="Arial" w:cs="Arial" w:eastAsia="Arial" w:hAnsi="Arial"/>
          <w:sz w:val="16"/>
          <w:szCs w:val="16"/>
          <w:color w:val="auto"/>
        </w:rPr>
        <w:t>The terms of the GasLog Partners’ 2015 Long-Term Incentive Plan (the “GasLog Partners’ Plan”) and the assumptions for the valuation of Restricted Common Units (“RCUs”) and Performance Common Units (“PCUs”) have been disclosed in Note 21 “Share-Based Compensation” in the annual audited consolidated financial statements for the year ended December 31, 2017.</w:t>
      </w:r>
    </w:p>
    <w:p>
      <w:pPr>
        <w:spacing w:after="0" w:line="1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April 2, 2018, GasLog Partners granted to its executives 24,608 RCUs and 24,608 PCUs in accordance with the GasLog Partners’ Plan. The RCUs and PCUs will vest on April 2, 2021. The holders are entitled to cash distributions that will be accrued and settled on vesting.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45" w:name="page46"/>
    <w:bookmarkEnd w:id="45"/>
    <w:tbl>
      <w:tblPr>
        <w:tblLayout w:type="fixed"/>
        <w:tblInd w:w="86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 at</w:t>
            </w:r>
          </w:p>
        </w:tc>
      </w:tr>
      <w:tr>
        <w:trPr>
          <w:trHeight w:val="213"/>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Awards</w:t>
            </w: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Grant date</w:t>
            </w:r>
          </w:p>
        </w:tc>
        <w:tc>
          <w:tcPr>
            <w:tcW w:w="1860" w:type="dxa"/>
            <w:vAlign w:val="bottom"/>
            <w:gridSpan w:val="2"/>
          </w:tcPr>
          <w:p>
            <w:pPr>
              <w:ind w:left="380"/>
              <w:spacing w:after="0"/>
              <w:rPr>
                <w:sz w:val="20"/>
                <w:szCs w:val="20"/>
                <w:color w:val="auto"/>
              </w:rPr>
            </w:pPr>
            <w:r>
              <w:rPr>
                <w:rFonts w:ascii="Arial" w:cs="Arial" w:eastAsia="Arial" w:hAnsi="Arial"/>
                <w:sz w:val="16"/>
                <w:szCs w:val="16"/>
                <w:b w:val="1"/>
                <w:bCs w:val="1"/>
                <w:color w:val="auto"/>
              </w:rPr>
              <w:t>Expiry date</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grant date</w:t>
            </w:r>
          </w:p>
        </w:tc>
      </w:tr>
      <w:tr>
        <w:trPr>
          <w:trHeight w:val="199"/>
        </w:trPr>
        <w:tc>
          <w:tcPr>
            <w:tcW w:w="21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24,608</w:t>
            </w:r>
          </w:p>
        </w:tc>
        <w:tc>
          <w:tcPr>
            <w:tcW w:w="26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April 2, 2018</w:t>
            </w:r>
          </w:p>
        </w:tc>
        <w:tc>
          <w:tcPr>
            <w:tcW w:w="28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ind w:left="1380"/>
              <w:spacing w:after="0"/>
              <w:rPr>
                <w:sz w:val="20"/>
                <w:szCs w:val="20"/>
                <w:color w:val="auto"/>
              </w:rPr>
            </w:pPr>
            <w:r>
              <w:rPr>
                <w:rFonts w:ascii="Arial" w:cs="Arial" w:eastAsia="Arial" w:hAnsi="Arial"/>
                <w:sz w:val="16"/>
                <w:szCs w:val="16"/>
                <w:color w:val="auto"/>
                <w:w w:val="80"/>
              </w:rPr>
              <w:t>n/a</w:t>
            </w:r>
          </w:p>
        </w:tc>
        <w:tc>
          <w:tcPr>
            <w:tcW w:w="2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$23.40</w:t>
            </w:r>
          </w:p>
        </w:tc>
      </w:tr>
      <w:tr>
        <w:trPr>
          <w:trHeight w:val="206"/>
        </w:trPr>
        <w:tc>
          <w:tcPr>
            <w:tcW w:w="2420" w:type="dxa"/>
            <w:vAlign w:val="bottom"/>
            <w:gridSpan w:val="2"/>
          </w:tcPr>
          <w:p>
            <w:pPr>
              <w:spacing w:after="0"/>
              <w:rPr>
                <w:sz w:val="20"/>
                <w:szCs w:val="20"/>
                <w:color w:val="auto"/>
              </w:rPr>
            </w:pPr>
            <w:r>
              <w:rPr>
                <w:rFonts w:ascii="Arial" w:cs="Arial" w:eastAsia="Arial" w:hAnsi="Arial"/>
                <w:sz w:val="16"/>
                <w:szCs w:val="16"/>
                <w:color w:val="auto"/>
              </w:rPr>
              <w:t>PCUs</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24,608</w:t>
            </w: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April 2, 2018</w:t>
            </w:r>
          </w:p>
        </w:tc>
        <w:tc>
          <w:tcPr>
            <w:tcW w:w="1860" w:type="dxa"/>
            <w:vAlign w:val="bottom"/>
            <w:gridSpan w:val="2"/>
          </w:tcPr>
          <w:p>
            <w:pPr>
              <w:ind w:left="1380"/>
              <w:spacing w:after="0"/>
              <w:rPr>
                <w:sz w:val="20"/>
                <w:szCs w:val="20"/>
                <w:color w:val="auto"/>
              </w:rPr>
            </w:pPr>
            <w:r>
              <w:rPr>
                <w:rFonts w:ascii="Arial" w:cs="Arial" w:eastAsia="Arial" w:hAnsi="Arial"/>
                <w:sz w:val="16"/>
                <w:szCs w:val="16"/>
                <w:color w:val="auto"/>
              </w:rPr>
              <w:t>n/a</w:t>
            </w:r>
          </w:p>
        </w:tc>
        <w:tc>
          <w:tcPr>
            <w:tcW w:w="1120" w:type="dxa"/>
            <w:vAlign w:val="bottom"/>
          </w:tcPr>
          <w:p>
            <w:pPr>
              <w:jc w:val="right"/>
              <w:spacing w:after="0"/>
              <w:rPr>
                <w:sz w:val="20"/>
                <w:szCs w:val="20"/>
                <w:color w:val="auto"/>
              </w:rPr>
            </w:pPr>
            <w:r>
              <w:rPr>
                <w:rFonts w:ascii="Arial" w:cs="Arial" w:eastAsia="Arial" w:hAnsi="Arial"/>
                <w:sz w:val="16"/>
                <w:szCs w:val="16"/>
                <w:color w:val="auto"/>
              </w:rPr>
              <w:t>$23.40</w:t>
            </w:r>
          </w:p>
        </w:tc>
      </w:tr>
    </w:tbl>
    <w:p>
      <w:pPr>
        <w:spacing w:after="0" w:line="202" w:lineRule="exact"/>
        <w:rPr>
          <w:sz w:val="20"/>
          <w:szCs w:val="20"/>
          <w:color w:val="auto"/>
        </w:rPr>
      </w:pPr>
    </w:p>
    <w:p>
      <w:pPr>
        <w:ind w:firstLine="357"/>
        <w:spacing w:after="0" w:line="278" w:lineRule="auto"/>
        <w:rPr>
          <w:sz w:val="20"/>
          <w:szCs w:val="20"/>
          <w:color w:val="auto"/>
        </w:rPr>
      </w:pPr>
      <w:r>
        <w:rPr>
          <w:rFonts w:ascii="Arial" w:cs="Arial" w:eastAsia="Arial" w:hAnsi="Arial"/>
          <w:sz w:val="16"/>
          <w:szCs w:val="16"/>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firstLine="357"/>
        <w:spacing w:after="0" w:line="293" w:lineRule="auto"/>
        <w:rPr>
          <w:sz w:val="20"/>
          <w:szCs w:val="20"/>
          <w:color w:val="auto"/>
        </w:rPr>
      </w:pPr>
      <w:r>
        <w:rPr>
          <w:rFonts w:ascii="Arial" w:cs="Arial" w:eastAsia="Arial" w:hAnsi="Arial"/>
          <w:sz w:val="16"/>
          <w:szCs w:val="16"/>
          <w:color w:val="auto"/>
        </w:rPr>
        <w:t>The fair value of the RCUs and PCUs in accordance with the GasLog Partners’ Plan was determined by using the grant date closing price of $23.40 per common unit and was not further adjusted since the holders are entitled to cash distributions.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Movement in RCUs and PCUs during the period</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9"/>
        </w:trPr>
        <w:tc>
          <w:tcPr>
            <w:tcW w:w="240" w:type="dxa"/>
            <w:vAlign w:val="bottom"/>
          </w:tcPr>
          <w:p>
            <w:pPr>
              <w:spacing w:after="0"/>
              <w:rPr>
                <w:sz w:val="24"/>
                <w:szCs w:val="24"/>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The summary of RCUs and PCUs is presented below:</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2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4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Number of</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2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awards</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contractual life</w:t>
            </w:r>
          </w:p>
        </w:tc>
        <w:tc>
          <w:tcPr>
            <w:tcW w:w="14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fair value</w:t>
            </w:r>
          </w:p>
        </w:tc>
      </w:tr>
      <w:tr>
        <w:trPr>
          <w:trHeight w:val="189"/>
        </w:trPr>
        <w:tc>
          <w:tcPr>
            <w:tcW w:w="240" w:type="dxa"/>
            <w:vAlign w:val="bottom"/>
          </w:tcPr>
          <w:p>
            <w:pPr>
              <w:spacing w:after="0"/>
              <w:rPr>
                <w:sz w:val="16"/>
                <w:szCs w:val="16"/>
                <w:color w:val="auto"/>
              </w:rPr>
            </w:pPr>
          </w:p>
        </w:tc>
        <w:tc>
          <w:tcPr>
            <w:tcW w:w="6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36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67,475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1,429</w:t>
            </w:r>
          </w:p>
        </w:tc>
        <w:tc>
          <w:tcPr>
            <w:tcW w:w="10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24,608</w:t>
            </w:r>
          </w:p>
        </w:tc>
        <w:tc>
          <w:tcPr>
            <w:tcW w:w="2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E5FFFF"/>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(16,999)</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(410)</w:t>
            </w:r>
          </w:p>
        </w:tc>
      </w:tr>
      <w:tr>
        <w:trPr>
          <w:trHeight w:val="236"/>
        </w:trPr>
        <w:tc>
          <w:tcPr>
            <w:tcW w:w="240" w:type="dxa"/>
            <w:vAlign w:val="bottom"/>
          </w:tcPr>
          <w:p>
            <w:pPr>
              <w:spacing w:after="0"/>
              <w:rPr>
                <w:sz w:val="20"/>
                <w:szCs w:val="20"/>
                <w:color w:val="auto"/>
              </w:rPr>
            </w:pPr>
          </w:p>
        </w:tc>
        <w:tc>
          <w:tcPr>
            <w:tcW w:w="60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September 30, 2018</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75,084</w:t>
            </w:r>
          </w:p>
        </w:tc>
        <w:tc>
          <w:tcPr>
            <w:tcW w:w="280" w:type="dxa"/>
            <w:vAlign w:val="bottom"/>
            <w:tcBorders>
              <w:top w:val="single" w:sz="8" w:color="E5FFFF"/>
              <w:bottom w:val="single" w:sz="8" w:color="E5FFFF"/>
            </w:tcBorders>
            <w:shd w:val="clear" w:color="auto" w:fill="E5FFFF"/>
          </w:tcPr>
          <w:p>
            <w:pPr>
              <w:spacing w:after="0"/>
              <w:rPr>
                <w:sz w:val="20"/>
                <w:szCs w:val="20"/>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1.50</w:t>
            </w:r>
          </w:p>
        </w:tc>
        <w:tc>
          <w:tcPr>
            <w:tcW w:w="280" w:type="dxa"/>
            <w:vAlign w:val="bottom"/>
            <w:tcBorders>
              <w:top w:val="single" w:sz="8" w:color="E5FFFF"/>
              <w:bottom w:val="single" w:sz="8" w:color="E5FFFF"/>
            </w:tcBorders>
            <w:shd w:val="clear" w:color="auto" w:fill="E5FFFF"/>
          </w:tcPr>
          <w:p>
            <w:pPr>
              <w:spacing w:after="0"/>
              <w:rPr>
                <w:sz w:val="20"/>
                <w:szCs w:val="20"/>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1,595</w:t>
            </w:r>
          </w:p>
        </w:tc>
        <w:tc>
          <w:tcPr>
            <w:tcW w:w="100" w:type="dxa"/>
            <w:vAlign w:val="bottom"/>
            <w:tcBorders>
              <w:top w:val="single" w:sz="8" w:color="auto"/>
              <w:bottom w:val="single" w:sz="8" w:color="auto"/>
            </w:tcBorders>
            <w:shd w:val="clear" w:color="auto" w:fill="E5FFFF"/>
          </w:tcPr>
          <w:p>
            <w:pPr>
              <w:spacing w:after="0"/>
              <w:rPr>
                <w:sz w:val="20"/>
                <w:szCs w:val="20"/>
                <w:color w:val="auto"/>
              </w:rPr>
            </w:pPr>
          </w:p>
        </w:tc>
      </w:tr>
      <w:tr>
        <w:trPr>
          <w:trHeight w:val="156"/>
        </w:trPr>
        <w:tc>
          <w:tcPr>
            <w:tcW w:w="240" w:type="dxa"/>
            <w:vAlign w:val="bottom"/>
          </w:tcPr>
          <w:p>
            <w:pPr>
              <w:spacing w:after="0"/>
              <w:rPr>
                <w:sz w:val="13"/>
                <w:szCs w:val="13"/>
                <w:color w:val="auto"/>
              </w:rPr>
            </w:pPr>
          </w:p>
        </w:tc>
        <w:tc>
          <w:tcPr>
            <w:tcW w:w="6060" w:type="dxa"/>
            <w:vAlign w:val="bottom"/>
          </w:tcPr>
          <w:p>
            <w:pPr>
              <w:spacing w:after="0" w:line="156" w:lineRule="exact"/>
              <w:rPr>
                <w:sz w:val="20"/>
                <w:szCs w:val="20"/>
                <w:color w:val="auto"/>
              </w:rPr>
            </w:pPr>
            <w:r>
              <w:rPr>
                <w:rFonts w:ascii="Arial" w:cs="Arial" w:eastAsia="Arial" w:hAnsi="Arial"/>
                <w:sz w:val="16"/>
                <w:szCs w:val="16"/>
                <w:b w:val="1"/>
                <w:bCs w:val="1"/>
                <w:color w:val="auto"/>
              </w:rPr>
              <w:t>PCUs</w:t>
            </w: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40" w:type="dxa"/>
            <w:vAlign w:val="bottom"/>
          </w:tcPr>
          <w:p>
            <w:pPr>
              <w:spacing w:after="0"/>
              <w:rPr>
                <w:sz w:val="17"/>
                <w:szCs w:val="17"/>
                <w:color w:val="auto"/>
              </w:rPr>
            </w:pPr>
          </w:p>
        </w:tc>
        <w:tc>
          <w:tcPr>
            <w:tcW w:w="6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67,475</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1.38</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1,429</w:t>
            </w:r>
          </w:p>
        </w:tc>
        <w:tc>
          <w:tcPr>
            <w:tcW w:w="100" w:type="dxa"/>
            <w:vAlign w:val="bottom"/>
            <w:shd w:val="clear" w:color="auto" w:fill="E5FFFF"/>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24,608</w:t>
            </w:r>
          </w:p>
        </w:tc>
        <w:tc>
          <w:tcPr>
            <w:tcW w:w="28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606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(16,999)</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(410)</w:t>
            </w:r>
          </w:p>
        </w:tc>
      </w:tr>
      <w:tr>
        <w:trPr>
          <w:trHeight w:val="236"/>
        </w:trPr>
        <w:tc>
          <w:tcPr>
            <w:tcW w:w="24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6"/>
                <w:szCs w:val="16"/>
                <w:b w:val="1"/>
                <w:bCs w:val="1"/>
                <w:color w:val="auto"/>
              </w:rPr>
              <w:t>Outstanding as of September 30, 2018</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75,084</w:t>
            </w:r>
          </w:p>
        </w:tc>
        <w:tc>
          <w:tcPr>
            <w:tcW w:w="28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8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1,595</w:t>
            </w:r>
          </w:p>
        </w:tc>
        <w:tc>
          <w:tcPr>
            <w:tcW w:w="100" w:type="dxa"/>
            <w:vAlign w:val="bottom"/>
            <w:tcBorders>
              <w:top w:val="single" w:sz="8" w:color="auto"/>
              <w:bottom w:val="single" w:sz="8" w:color="auto"/>
            </w:tcBorders>
          </w:tcPr>
          <w:p>
            <w:pPr>
              <w:spacing w:after="0"/>
              <w:rPr>
                <w:sz w:val="20"/>
                <w:szCs w:val="20"/>
                <w:color w:val="auto"/>
              </w:rPr>
            </w:pPr>
          </w:p>
        </w:tc>
      </w:tr>
    </w:tbl>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3, 2018, 16,999 RCUs and 16,999 PCUs vested under the GasLog Partners’ Plan.</w:t>
      </w:r>
    </w:p>
    <w:p>
      <w:pPr>
        <w:spacing w:after="0" w:line="235" w:lineRule="exact"/>
        <w:rPr>
          <w:sz w:val="20"/>
          <w:szCs w:val="20"/>
          <w:color w:val="auto"/>
        </w:rPr>
      </w:pPr>
    </w:p>
    <w:p>
      <w:pPr>
        <w:ind w:right="80" w:firstLine="383"/>
        <w:spacing w:after="0" w:line="369" w:lineRule="auto"/>
        <w:rPr>
          <w:sz w:val="20"/>
          <w:szCs w:val="20"/>
          <w:color w:val="auto"/>
        </w:rPr>
      </w:pPr>
      <w:r>
        <w:rPr>
          <w:rFonts w:ascii="Arial" w:cs="Arial" w:eastAsia="Arial" w:hAnsi="Arial"/>
          <w:sz w:val="14"/>
          <w:szCs w:val="14"/>
          <w:color w:val="auto"/>
        </w:rPr>
        <w:t>The total expense recognized in respect of share-based compensation for the three and nine months ended September 30, 2018 was $1,350 and $3,865 (for the three and nine months ended September 30, 2017: $1,257 and $3,492). The total accrued cash distribution as of September 30, 2018 is $916 (December 31, 2017: $814).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Earnings/(losses) per Share (“EPS”)</w:t>
      </w:r>
    </w:p>
    <w:p>
      <w:pPr>
        <w:spacing w:after="0" w:line="239" w:lineRule="exact"/>
        <w:rPr>
          <w:sz w:val="20"/>
          <w:szCs w:val="20"/>
          <w:color w:val="auto"/>
        </w:rPr>
      </w:pPr>
    </w:p>
    <w:p>
      <w:pPr>
        <w:ind w:right="40" w:firstLine="356"/>
        <w:spacing w:after="0" w:line="293" w:lineRule="auto"/>
        <w:rPr>
          <w:sz w:val="20"/>
          <w:szCs w:val="20"/>
          <w:color w:val="auto"/>
        </w:rPr>
      </w:pPr>
      <w:r>
        <w:rPr>
          <w:rFonts w:ascii="Arial" w:cs="Arial" w:eastAsia="Arial" w:hAnsi="Arial"/>
          <w:sz w:val="16"/>
          <w:szCs w:val="16"/>
          <w:color w:val="auto"/>
        </w:rPr>
        <w:t>Basic earnings/(losses) per share was calculated by dividing the profit for the period attributable to the owners of the common shares by the weighted average number of common shares issued and outstanding during the period.</w:t>
      </w:r>
    </w:p>
    <w:p>
      <w:pPr>
        <w:spacing w:after="0" w:line="172" w:lineRule="exact"/>
        <w:rPr>
          <w:sz w:val="20"/>
          <w:szCs w:val="20"/>
          <w:color w:val="auto"/>
        </w:rPr>
      </w:pPr>
    </w:p>
    <w:p>
      <w:pPr>
        <w:ind w:right="460" w:firstLine="356"/>
        <w:spacing w:after="0" w:line="329" w:lineRule="auto"/>
        <w:rPr>
          <w:sz w:val="20"/>
          <w:szCs w:val="20"/>
          <w:color w:val="auto"/>
        </w:rPr>
      </w:pPr>
      <w:r>
        <w:rPr>
          <w:rFonts w:ascii="Arial" w:cs="Arial" w:eastAsia="Arial" w:hAnsi="Arial"/>
          <w:sz w:val="15"/>
          <w:szCs w:val="15"/>
          <w:color w:val="auto"/>
        </w:rPr>
        <w:t>Diluted earnings/(losses)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reflects the earnings/(losses) and share data used in the basic and diluted earnings/(losses) per share computations: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306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784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78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r>
      <w:tr>
        <w:trPr>
          <w:trHeight w:val="186"/>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earnings/(loss) per share</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Profit/(loss) for the period attributable to owners of the Group</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5,335</w:t>
            </w:r>
          </w:p>
        </w:tc>
        <w:tc>
          <w:tcPr>
            <w:tcW w:w="1360" w:type="dxa"/>
            <w:vAlign w:val="bottom"/>
          </w:tcPr>
          <w:p>
            <w:pPr>
              <w:jc w:val="right"/>
              <w:spacing w:after="0"/>
              <w:rPr>
                <w:sz w:val="20"/>
                <w:szCs w:val="20"/>
                <w:color w:val="auto"/>
              </w:rPr>
            </w:pPr>
            <w:r>
              <w:rPr>
                <w:rFonts w:ascii="Arial" w:cs="Arial" w:eastAsia="Arial" w:hAnsi="Arial"/>
                <w:sz w:val="16"/>
                <w:szCs w:val="16"/>
                <w:color w:val="auto"/>
              </w:rPr>
              <w:t>18,214</w:t>
            </w:r>
          </w:p>
        </w:tc>
        <w:tc>
          <w:tcPr>
            <w:tcW w:w="6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Less:</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(2,516)</w:t>
            </w:r>
          </w:p>
        </w:tc>
        <w:tc>
          <w:tcPr>
            <w:tcW w:w="1360" w:type="dxa"/>
            <w:vAlign w:val="bottom"/>
          </w:tcPr>
          <w:p>
            <w:pPr>
              <w:jc w:val="right"/>
              <w:spacing w:after="0"/>
              <w:rPr>
                <w:sz w:val="20"/>
                <w:szCs w:val="20"/>
                <w:color w:val="auto"/>
              </w:rPr>
            </w:pPr>
            <w:r>
              <w:rPr>
                <w:rFonts w:ascii="Arial" w:cs="Arial" w:eastAsia="Arial" w:hAnsi="Arial"/>
                <w:sz w:val="16"/>
                <w:szCs w:val="16"/>
                <w:color w:val="auto"/>
              </w:rPr>
              <w:t>(2,516)</w:t>
            </w:r>
          </w:p>
        </w:tc>
        <w:tc>
          <w:tcPr>
            <w:tcW w:w="60" w:type="dxa"/>
            <w:vAlign w:val="bottom"/>
          </w:tcPr>
          <w:p>
            <w:pPr>
              <w:spacing w:after="0"/>
              <w:rPr>
                <w:sz w:val="17"/>
                <w:szCs w:val="17"/>
                <w:color w:val="auto"/>
              </w:rPr>
            </w:pPr>
          </w:p>
        </w:tc>
      </w:tr>
      <w:tr>
        <w:trPr>
          <w:trHeight w:val="196"/>
        </w:trPr>
        <w:tc>
          <w:tcPr>
            <w:tcW w:w="7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 available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2,819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15,698</w:t>
            </w:r>
          </w:p>
        </w:tc>
        <w:tc>
          <w:tcPr>
            <w:tcW w:w="60" w:type="dxa"/>
            <w:vAlign w:val="bottom"/>
          </w:tcPr>
          <w:p>
            <w:pPr>
              <w:spacing w:after="0"/>
              <w:rPr>
                <w:sz w:val="17"/>
                <w:szCs w:val="17"/>
                <w:color w:val="auto"/>
              </w:rPr>
            </w:pPr>
          </w:p>
        </w:tc>
      </w:tr>
      <w:tr>
        <w:trPr>
          <w:trHeight w:val="19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80,631,298</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80,814,285</w:t>
            </w:r>
          </w:p>
        </w:tc>
        <w:tc>
          <w:tcPr>
            <w:tcW w:w="60" w:type="dxa"/>
            <w:vAlign w:val="bottom"/>
          </w:tcPr>
          <w:p>
            <w:pPr>
              <w:spacing w:after="0"/>
              <w:rPr>
                <w:sz w:val="17"/>
                <w:szCs w:val="17"/>
                <w:color w:val="auto"/>
              </w:rPr>
            </w:pPr>
          </w:p>
        </w:tc>
      </w:tr>
      <w:tr>
        <w:trPr>
          <w:trHeight w:val="196"/>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earnings/(loss)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0.03</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0.19</w:t>
            </w:r>
          </w:p>
        </w:tc>
        <w:tc>
          <w:tcPr>
            <w:tcW w:w="60" w:type="dxa"/>
            <w:vAlign w:val="bottom"/>
          </w:tcPr>
          <w:p>
            <w:pPr>
              <w:spacing w:after="0"/>
              <w:rPr>
                <w:sz w:val="17"/>
                <w:szCs w:val="17"/>
                <w:color w:val="auto"/>
              </w:rPr>
            </w:pPr>
          </w:p>
        </w:tc>
      </w:tr>
      <w:tr>
        <w:trPr>
          <w:trHeight w:val="183"/>
        </w:trPr>
        <w:tc>
          <w:tcPr>
            <w:tcW w:w="784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earnings/(loss) per share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w w:val="99"/>
              </w:rPr>
              <w:t>Profit/(loss) for the period available to owners of the Group used in the calculation of diluted earnings/(loss) per</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78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share</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2,819</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15,698</w:t>
            </w:r>
          </w:p>
        </w:tc>
        <w:tc>
          <w:tcPr>
            <w:tcW w:w="60" w:type="dxa"/>
            <w:vAlign w:val="bottom"/>
          </w:tcPr>
          <w:p>
            <w:pPr>
              <w:spacing w:after="0"/>
              <w:rPr>
                <w:sz w:val="18"/>
                <w:szCs w:val="18"/>
                <w:color w:val="auto"/>
              </w:rPr>
            </w:pPr>
          </w:p>
        </w:tc>
      </w:tr>
      <w:tr>
        <w:trPr>
          <w:trHeight w:val="196"/>
        </w:trPr>
        <w:tc>
          <w:tcPr>
            <w:tcW w:w="784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80,631,298</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80,814,285</w:t>
            </w:r>
          </w:p>
        </w:tc>
        <w:tc>
          <w:tcPr>
            <w:tcW w:w="6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643,263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722,479</w:t>
            </w:r>
          </w:p>
        </w:tc>
        <w:tc>
          <w:tcPr>
            <w:tcW w:w="60" w:type="dxa"/>
            <w:vAlign w:val="bottom"/>
          </w:tcPr>
          <w:p>
            <w:pPr>
              <w:spacing w:after="0"/>
              <w:rPr>
                <w:sz w:val="17"/>
                <w:szCs w:val="17"/>
                <w:color w:val="auto"/>
              </w:rPr>
            </w:pPr>
          </w:p>
        </w:tc>
      </w:tr>
      <w:tr>
        <w:trPr>
          <w:trHeight w:val="19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earnings/(loss)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81,274,561</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81,536,764</w:t>
            </w:r>
          </w:p>
        </w:tc>
        <w:tc>
          <w:tcPr>
            <w:tcW w:w="60" w:type="dxa"/>
            <w:vAlign w:val="bottom"/>
          </w:tcPr>
          <w:p>
            <w:pPr>
              <w:spacing w:after="0"/>
              <w:rPr>
                <w:sz w:val="17"/>
                <w:szCs w:val="17"/>
                <w:color w:val="auto"/>
              </w:rPr>
            </w:pPr>
          </w:p>
        </w:tc>
      </w:tr>
      <w:tr>
        <w:trPr>
          <w:trHeight w:val="196"/>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earnings/(loss)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0.03</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0.19</w:t>
            </w:r>
          </w:p>
        </w:tc>
        <w:tc>
          <w:tcPr>
            <w:tcW w:w="60" w:type="dxa"/>
            <w:vAlign w:val="bottom"/>
          </w:tcPr>
          <w:p>
            <w:pPr>
              <w:spacing w:after="0"/>
              <w:rPr>
                <w:sz w:val="17"/>
                <w:szCs w:val="17"/>
                <w:color w:val="auto"/>
              </w:rPr>
            </w:pPr>
          </w:p>
        </w:tc>
      </w:tr>
    </w:tbl>
    <w:p>
      <w:pPr>
        <w:spacing w:after="0" w:line="206" w:lineRule="exact"/>
        <w:rPr>
          <w:sz w:val="20"/>
          <w:szCs w:val="20"/>
          <w:color w:val="auto"/>
        </w:rPr>
      </w:pPr>
    </w:p>
    <w:p>
      <w:pPr>
        <w:ind w:right="720" w:firstLine="392"/>
        <w:spacing w:after="0" w:line="293" w:lineRule="auto"/>
        <w:rPr>
          <w:sz w:val="20"/>
          <w:szCs w:val="20"/>
          <w:color w:val="auto"/>
        </w:rPr>
      </w:pPr>
      <w:r>
        <w:rPr>
          <w:rFonts w:ascii="Arial" w:cs="Arial" w:eastAsia="Arial" w:hAnsi="Arial"/>
          <w:sz w:val="16"/>
          <w:szCs w:val="16"/>
          <w:color w:val="auto"/>
        </w:rPr>
        <w:t>The Group excluded the dilutive effect of 971,911 SARs in calculating diluted EPS for the three months ended September 30, 2018, as they were anti-dilutive (September 30, 2017: 1,018,089 SARs).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46" w:name="page47"/>
    <w:bookmarkEnd w:id="46"/>
    <w:tbl>
      <w:tblPr>
        <w:tblLayout w:type="fixed"/>
        <w:tblInd w:w="20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306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7840" w:type="dxa"/>
            <w:vAlign w:val="bottom"/>
          </w:tcPr>
          <w:p>
            <w:pPr>
              <w:spacing w:after="0"/>
              <w:rPr>
                <w:sz w:val="17"/>
                <w:szCs w:val="17"/>
                <w:color w:val="auto"/>
              </w:rPr>
            </w:pPr>
          </w:p>
        </w:tc>
        <w:tc>
          <w:tcPr>
            <w:tcW w:w="16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78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r>
      <w:tr>
        <w:trPr>
          <w:trHeight w:val="186"/>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(loss)/earnings per share</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Profit for the period attributable to owners of the Group</w:t>
            </w:r>
          </w:p>
        </w:tc>
        <w:tc>
          <w:tcPr>
            <w:tcW w:w="1640" w:type="dxa"/>
            <w:vAlign w:val="bottom"/>
            <w:gridSpan w:val="2"/>
          </w:tcPr>
          <w:p>
            <w:pPr>
              <w:jc w:val="right"/>
              <w:ind w:right="199"/>
              <w:spacing w:after="0"/>
              <w:rPr>
                <w:sz w:val="20"/>
                <w:szCs w:val="20"/>
                <w:color w:val="auto"/>
              </w:rPr>
            </w:pPr>
            <w:r>
              <w:rPr>
                <w:rFonts w:ascii="Arial" w:cs="Arial" w:eastAsia="Arial" w:hAnsi="Arial"/>
                <w:sz w:val="16"/>
                <w:szCs w:val="16"/>
                <w:color w:val="auto"/>
              </w:rPr>
              <w:t>6,572</w:t>
            </w:r>
          </w:p>
        </w:tc>
        <w:tc>
          <w:tcPr>
            <w:tcW w:w="1360" w:type="dxa"/>
            <w:vAlign w:val="bottom"/>
          </w:tcPr>
          <w:p>
            <w:pPr>
              <w:jc w:val="right"/>
              <w:spacing w:after="0"/>
              <w:rPr>
                <w:sz w:val="20"/>
                <w:szCs w:val="20"/>
                <w:color w:val="auto"/>
              </w:rPr>
            </w:pPr>
            <w:r>
              <w:rPr>
                <w:rFonts w:ascii="Arial" w:cs="Arial" w:eastAsia="Arial" w:hAnsi="Arial"/>
                <w:sz w:val="16"/>
                <w:szCs w:val="16"/>
                <w:color w:val="auto"/>
              </w:rPr>
              <w:t>33,898</w:t>
            </w:r>
          </w:p>
        </w:tc>
        <w:tc>
          <w:tcPr>
            <w:tcW w:w="6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Less:</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(7,548)</w:t>
            </w:r>
          </w:p>
        </w:tc>
        <w:tc>
          <w:tcPr>
            <w:tcW w:w="1360" w:type="dxa"/>
            <w:vAlign w:val="bottom"/>
          </w:tcPr>
          <w:p>
            <w:pPr>
              <w:jc w:val="right"/>
              <w:spacing w:after="0"/>
              <w:rPr>
                <w:sz w:val="20"/>
                <w:szCs w:val="20"/>
                <w:color w:val="auto"/>
              </w:rPr>
            </w:pPr>
            <w:r>
              <w:rPr>
                <w:rFonts w:ascii="Arial" w:cs="Arial" w:eastAsia="Arial" w:hAnsi="Arial"/>
                <w:sz w:val="16"/>
                <w:szCs w:val="16"/>
                <w:color w:val="auto"/>
              </w:rPr>
              <w:t>(7,548)</w:t>
            </w:r>
          </w:p>
        </w:tc>
        <w:tc>
          <w:tcPr>
            <w:tcW w:w="60" w:type="dxa"/>
            <w:vAlign w:val="bottom"/>
          </w:tcPr>
          <w:p>
            <w:pPr>
              <w:spacing w:after="0"/>
              <w:rPr>
                <w:sz w:val="17"/>
                <w:szCs w:val="17"/>
                <w:color w:val="auto"/>
              </w:rPr>
            </w:pPr>
          </w:p>
        </w:tc>
      </w:tr>
      <w:tr>
        <w:trPr>
          <w:trHeight w:val="196"/>
        </w:trPr>
        <w:tc>
          <w:tcPr>
            <w:tcW w:w="7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(Loss)/profit for the period available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(976)</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26,350</w:t>
            </w:r>
          </w:p>
        </w:tc>
        <w:tc>
          <w:tcPr>
            <w:tcW w:w="60" w:type="dxa"/>
            <w:vAlign w:val="bottom"/>
          </w:tcPr>
          <w:p>
            <w:pPr>
              <w:spacing w:after="0"/>
              <w:rPr>
                <w:sz w:val="17"/>
                <w:szCs w:val="17"/>
                <w:color w:val="auto"/>
              </w:rPr>
            </w:pPr>
          </w:p>
        </w:tc>
      </w:tr>
      <w:tr>
        <w:trPr>
          <w:trHeight w:val="19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80,605,848</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80,777,386</w:t>
            </w:r>
          </w:p>
        </w:tc>
        <w:tc>
          <w:tcPr>
            <w:tcW w:w="60" w:type="dxa"/>
            <w:vAlign w:val="bottom"/>
          </w:tcPr>
          <w:p>
            <w:pPr>
              <w:spacing w:after="0"/>
              <w:rPr>
                <w:sz w:val="17"/>
                <w:szCs w:val="17"/>
                <w:color w:val="auto"/>
              </w:rPr>
            </w:pPr>
          </w:p>
        </w:tc>
      </w:tr>
      <w:tr>
        <w:trPr>
          <w:trHeight w:val="196"/>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(loss)/earnings per share</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b w:val="1"/>
                <w:bCs w:val="1"/>
                <w:color w:val="auto"/>
              </w:rPr>
              <w:t>(0.01)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0.33</w:t>
            </w:r>
          </w:p>
        </w:tc>
        <w:tc>
          <w:tcPr>
            <w:tcW w:w="60" w:type="dxa"/>
            <w:vAlign w:val="bottom"/>
          </w:tcPr>
          <w:p>
            <w:pPr>
              <w:spacing w:after="0"/>
              <w:rPr>
                <w:sz w:val="17"/>
                <w:szCs w:val="17"/>
                <w:color w:val="auto"/>
              </w:rPr>
            </w:pPr>
          </w:p>
        </w:tc>
      </w:tr>
      <w:tr>
        <w:trPr>
          <w:trHeight w:val="183"/>
        </w:trPr>
        <w:tc>
          <w:tcPr>
            <w:tcW w:w="784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(loss)/earnings per share</w:t>
            </w: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w w:val="99"/>
              </w:rPr>
              <w:t>(Loss)/profit for the period available to owners of the Group used in the calculation of diluted (loss)/earnings per</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78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share</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(976)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26,350</w:t>
            </w:r>
          </w:p>
        </w:tc>
        <w:tc>
          <w:tcPr>
            <w:tcW w:w="60" w:type="dxa"/>
            <w:vAlign w:val="bottom"/>
          </w:tcPr>
          <w:p>
            <w:pPr>
              <w:spacing w:after="0"/>
              <w:rPr>
                <w:sz w:val="18"/>
                <w:szCs w:val="18"/>
                <w:color w:val="auto"/>
              </w:rPr>
            </w:pPr>
          </w:p>
        </w:tc>
      </w:tr>
      <w:tr>
        <w:trPr>
          <w:trHeight w:val="196"/>
        </w:trPr>
        <w:tc>
          <w:tcPr>
            <w:tcW w:w="784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80,605,848</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80,777,386</w:t>
            </w:r>
          </w:p>
        </w:tc>
        <w:tc>
          <w:tcPr>
            <w:tcW w:w="6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6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749,050</w:t>
            </w:r>
          </w:p>
        </w:tc>
        <w:tc>
          <w:tcPr>
            <w:tcW w:w="60" w:type="dxa"/>
            <w:vAlign w:val="bottom"/>
          </w:tcPr>
          <w:p>
            <w:pPr>
              <w:spacing w:after="0"/>
              <w:rPr>
                <w:sz w:val="17"/>
                <w:szCs w:val="17"/>
                <w:color w:val="auto"/>
              </w:rPr>
            </w:pPr>
          </w:p>
        </w:tc>
      </w:tr>
      <w:tr>
        <w:trPr>
          <w:trHeight w:val="19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(loss)/earnings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80,605,848</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81,526,436</w:t>
            </w:r>
          </w:p>
        </w:tc>
        <w:tc>
          <w:tcPr>
            <w:tcW w:w="60" w:type="dxa"/>
            <w:vAlign w:val="bottom"/>
          </w:tcPr>
          <w:p>
            <w:pPr>
              <w:spacing w:after="0"/>
              <w:rPr>
                <w:sz w:val="17"/>
                <w:szCs w:val="17"/>
                <w:color w:val="auto"/>
              </w:rPr>
            </w:pPr>
          </w:p>
        </w:tc>
      </w:tr>
      <w:tr>
        <w:trPr>
          <w:trHeight w:val="196"/>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(loss)/earnings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(0.01</w:t>
            </w:r>
          </w:p>
        </w:tc>
        <w:tc>
          <w:tcPr>
            <w:tcW w:w="28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w w:val="74"/>
              </w:rPr>
              <w:t>)</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0.32</w:t>
            </w:r>
          </w:p>
        </w:tc>
        <w:tc>
          <w:tcPr>
            <w:tcW w:w="60" w:type="dxa"/>
            <w:vAlign w:val="bottom"/>
          </w:tcPr>
          <w:p>
            <w:pPr>
              <w:spacing w:after="0"/>
              <w:rPr>
                <w:sz w:val="17"/>
                <w:szCs w:val="17"/>
                <w:color w:val="auto"/>
              </w:rPr>
            </w:pPr>
          </w:p>
        </w:tc>
      </w:tr>
    </w:tbl>
    <w:p>
      <w:pPr>
        <w:spacing w:after="0" w:line="206" w:lineRule="exact"/>
        <w:rPr>
          <w:sz w:val="20"/>
          <w:szCs w:val="20"/>
          <w:color w:val="auto"/>
        </w:rPr>
      </w:pPr>
    </w:p>
    <w:p>
      <w:pPr>
        <w:ind w:right="800" w:firstLine="392"/>
        <w:spacing w:after="0" w:line="293" w:lineRule="auto"/>
        <w:rPr>
          <w:sz w:val="20"/>
          <w:szCs w:val="20"/>
          <w:color w:val="auto"/>
        </w:rPr>
      </w:pPr>
      <w:r>
        <w:rPr>
          <w:rFonts w:ascii="Arial" w:cs="Arial" w:eastAsia="Arial" w:hAnsi="Arial"/>
          <w:sz w:val="16"/>
          <w:szCs w:val="16"/>
          <w:color w:val="auto"/>
        </w:rPr>
        <w:t>The Group excluded the dilutive effect of 971,911 SARs in calculating diluted EPS for the nine months ended September 30, 2018, as they were anti-dilutive (September 30, 2017: 2,130,982 SARs and 438,595 RSUs).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23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 xml:space="preserve">On October 25, 2018, GasLog Partners announced an agreement with GasLog to purchase 100% of the ownership interest in GAS-twenty seven Ltd., the entity that owns the </w:t>
      </w:r>
      <w:r>
        <w:rPr>
          <w:rFonts w:ascii="Arial" w:cs="Arial" w:eastAsia="Arial" w:hAnsi="Arial"/>
          <w:sz w:val="16"/>
          <w:szCs w:val="16"/>
          <w:i w:val="1"/>
          <w:iCs w:val="1"/>
          <w:color w:val="auto"/>
        </w:rPr>
        <w:t>Methane Becki Anne</w:t>
      </w:r>
      <w:r>
        <w:rPr>
          <w:rFonts w:ascii="Arial" w:cs="Arial" w:eastAsia="Arial" w:hAnsi="Arial"/>
          <w:sz w:val="16"/>
          <w:szCs w:val="16"/>
          <w:color w:val="auto"/>
        </w:rPr>
        <w:t>. The vessel is currently on a multi-year time charter with a subsidiary of Shell through March 2024 and Shell has a unilateral option to extend the term of the time charter for a period of either three or five years. The aggregate sale price is $207,400.</w:t>
      </w:r>
    </w:p>
    <w:p>
      <w:pPr>
        <w:spacing w:after="0" w:line="18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October 31, 2018, the board of directors declared a quarterly cash dividend of $0.15 per common share payable on November 21, 2018 to shareholders of record as of November 12, 2018.</w:t>
      </w:r>
    </w:p>
    <w:p>
      <w:pPr>
        <w:spacing w:after="0" w:line="172" w:lineRule="exact"/>
        <w:rPr>
          <w:sz w:val="20"/>
          <w:szCs w:val="20"/>
          <w:color w:val="auto"/>
        </w:rPr>
      </w:pPr>
    </w:p>
    <w:p>
      <w:pPr>
        <w:ind w:right="400" w:firstLine="383"/>
        <w:spacing w:after="0" w:line="293" w:lineRule="auto"/>
        <w:rPr>
          <w:sz w:val="20"/>
          <w:szCs w:val="20"/>
          <w:color w:val="auto"/>
        </w:rPr>
      </w:pPr>
      <w:r>
        <w:rPr>
          <w:rFonts w:ascii="Arial" w:cs="Arial" w:eastAsia="Arial" w:hAnsi="Arial"/>
          <w:sz w:val="16"/>
          <w:szCs w:val="16"/>
          <w:color w:val="auto"/>
        </w:rPr>
        <w:t>In the period from October 1, 2018 through October 29, 2018, GasLog Partners issued and received payment for an additional 259,104 common units at a weighted average price of $24.06 per unit for total net proceeds of $6,192 through its ATM Programme.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lvl>
    <w:lvl w:ilvl="1">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lowerLetter"/>
      <w:start w:val="4"/>
    </w:lvl>
  </w:abstractNum>
  <w:abstractNum w:abstractNumId="17">
    <w:nsid w:val="257130A3"/>
    <w:multiLevelType w:val="hybridMultilevel"/>
    <w:lvl w:ilvl="0">
      <w:lvlJc w:val="left"/>
      <w:lvlText w:val="(%1)"/>
      <w:numFmt w:val="lowerLetter"/>
      <w:start w:val="5"/>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2019-12-08T01:44:52Z</dcterms:created>
  <dcterms:modified xsi:type="dcterms:W3CDTF">2019-12-08T01:44:52Z</dcterms:modified>
</cp:coreProperties>
</file>