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w:t>
      </w:r>
    </w:p>
    <w:p>
      <w:pPr>
        <w:spacing w:after="0" w:line="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(Amendment No. 4)*</w:t>
      </w:r>
    </w:p>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7"/>
          <w:szCs w:val="27"/>
          <w:b w:val="1"/>
          <w:bCs w:val="1"/>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21590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(Name of Issuer)</w:t>
      </w:r>
    </w:p>
    <w:p>
      <w:pPr>
        <w:spacing w:after="0" w:line="1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16510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(Title of Class of Securities)</w:t>
      </w:r>
    </w:p>
    <w:p>
      <w:pPr>
        <w:spacing w:after="0" w:line="18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
        <w:spacing w:after="0"/>
        <w:rPr>
          <w:sz w:val="20"/>
          <w:szCs w:val="20"/>
          <w:color w:val="auto"/>
        </w:rPr>
      </w:pPr>
      <w:r>
        <w:rPr>
          <w:rFonts w:ascii="Times New Roman" w:cs="Times New Roman" w:eastAsia="Times New Roman" w:hAnsi="Times New Roman"/>
          <w:sz w:val="14"/>
          <w:szCs w:val="14"/>
          <w:color w:val="auto"/>
        </w:rPr>
        <w:t>(CUSIP Number)</w:t>
      </w:r>
    </w:p>
    <w:p>
      <w:pPr>
        <w:spacing w:after="0" w:line="1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GasLog Ltd.</w:t>
      </w:r>
    </w:p>
    <w:p>
      <w:pPr>
        <w:jc w:val="center"/>
        <w:ind w:right="-3"/>
        <w:spacing w:after="0" w:line="229" w:lineRule="auto"/>
        <w:rPr>
          <w:sz w:val="20"/>
          <w:szCs w:val="20"/>
          <w:color w:val="auto"/>
        </w:rPr>
      </w:pPr>
      <w:r>
        <w:rPr>
          <w:rFonts w:ascii="Times New Roman" w:cs="Times New Roman" w:eastAsia="Times New Roman" w:hAnsi="Times New Roman"/>
          <w:sz w:val="14"/>
          <w:szCs w:val="14"/>
          <w:b w:val="1"/>
          <w:bCs w:val="1"/>
          <w:color w:val="auto"/>
        </w:rPr>
        <w:t>c/o GasLog LNG Services Ltd.</w:t>
      </w:r>
    </w:p>
    <w:p>
      <w:pPr>
        <w:jc w:val="center"/>
        <w:ind w:right="-3"/>
        <w:spacing w:after="0" w:line="221" w:lineRule="auto"/>
        <w:rPr>
          <w:sz w:val="20"/>
          <w:szCs w:val="20"/>
          <w:color w:val="auto"/>
        </w:rPr>
      </w:pPr>
      <w:r>
        <w:rPr>
          <w:rFonts w:ascii="Times New Roman" w:cs="Times New Roman" w:eastAsia="Times New Roman" w:hAnsi="Times New Roman"/>
          <w:sz w:val="14"/>
          <w:szCs w:val="14"/>
          <w:b w:val="1"/>
          <w:bCs w:val="1"/>
          <w:color w:val="auto"/>
        </w:rPr>
        <w:t>69 Akti Miaouli</w:t>
      </w:r>
    </w:p>
    <w:p>
      <w:pPr>
        <w:jc w:val="center"/>
        <w:ind w:right="-3"/>
        <w:spacing w:after="0" w:line="222" w:lineRule="auto"/>
        <w:rPr>
          <w:sz w:val="20"/>
          <w:szCs w:val="20"/>
          <w:color w:val="auto"/>
        </w:rPr>
      </w:pPr>
      <w:r>
        <w:rPr>
          <w:rFonts w:ascii="Times New Roman" w:cs="Times New Roman" w:eastAsia="Times New Roman" w:hAnsi="Times New Roman"/>
          <w:sz w:val="14"/>
          <w:szCs w:val="14"/>
          <w:b w:val="1"/>
          <w:bCs w:val="1"/>
          <w:color w:val="auto"/>
        </w:rPr>
        <w:t>18537 Piraeus</w:t>
      </w: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Greece</w:t>
      </w:r>
    </w:p>
    <w:p>
      <w:pPr>
        <w:spacing w:after="0" w:line="1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Copy to:</w:t>
      </w:r>
    </w:p>
    <w:p>
      <w:pPr>
        <w:jc w:val="center"/>
        <w:ind w:right="-3"/>
        <w:spacing w:after="0" w:line="229" w:lineRule="auto"/>
        <w:rPr>
          <w:sz w:val="20"/>
          <w:szCs w:val="20"/>
          <w:color w:val="auto"/>
        </w:rPr>
      </w:pPr>
      <w:r>
        <w:rPr>
          <w:rFonts w:ascii="Times New Roman" w:cs="Times New Roman" w:eastAsia="Times New Roman" w:hAnsi="Times New Roman"/>
          <w:sz w:val="14"/>
          <w:szCs w:val="14"/>
          <w:b w:val="1"/>
          <w:bCs w:val="1"/>
          <w:color w:val="auto"/>
        </w:rPr>
        <w:t>Alexandros Laios, General Counsel</w:t>
      </w:r>
    </w:p>
    <w:p>
      <w:pPr>
        <w:jc w:val="center"/>
        <w:ind w:right="-3"/>
        <w:spacing w:after="0" w:line="221" w:lineRule="auto"/>
        <w:rPr>
          <w:sz w:val="20"/>
          <w:szCs w:val="20"/>
          <w:color w:val="auto"/>
        </w:rPr>
      </w:pPr>
      <w:r>
        <w:rPr>
          <w:rFonts w:ascii="Times New Roman" w:cs="Times New Roman" w:eastAsia="Times New Roman" w:hAnsi="Times New Roman"/>
          <w:sz w:val="14"/>
          <w:szCs w:val="14"/>
          <w:b w:val="1"/>
          <w:bCs w:val="1"/>
          <w:color w:val="auto"/>
        </w:rPr>
        <w:t>c/o GasLog LNG Services Ltd.</w:t>
      </w:r>
    </w:p>
    <w:p>
      <w:pPr>
        <w:jc w:val="center"/>
        <w:ind w:right="-3"/>
        <w:spacing w:after="0" w:line="222" w:lineRule="auto"/>
        <w:rPr>
          <w:sz w:val="20"/>
          <w:szCs w:val="20"/>
          <w:color w:val="auto"/>
        </w:rPr>
      </w:pPr>
      <w:r>
        <w:rPr>
          <w:rFonts w:ascii="Times New Roman" w:cs="Times New Roman" w:eastAsia="Times New Roman" w:hAnsi="Times New Roman"/>
          <w:sz w:val="14"/>
          <w:szCs w:val="14"/>
          <w:b w:val="1"/>
          <w:bCs w:val="1"/>
          <w:color w:val="auto"/>
        </w:rPr>
        <w:t>69 Akti Miaouli</w:t>
      </w:r>
    </w:p>
    <w:p>
      <w:pPr>
        <w:jc w:val="center"/>
        <w:ind w:right="-3"/>
        <w:spacing w:after="0" w:line="221" w:lineRule="auto"/>
        <w:rPr>
          <w:sz w:val="20"/>
          <w:szCs w:val="20"/>
          <w:color w:val="auto"/>
        </w:rPr>
      </w:pPr>
      <w:r>
        <w:rPr>
          <w:rFonts w:ascii="Times New Roman" w:cs="Times New Roman" w:eastAsia="Times New Roman" w:hAnsi="Times New Roman"/>
          <w:sz w:val="14"/>
          <w:szCs w:val="14"/>
          <w:b w:val="1"/>
          <w:bCs w:val="1"/>
          <w:color w:val="auto"/>
        </w:rPr>
        <w:t>18537 Piraeus</w:t>
      </w:r>
    </w:p>
    <w:p>
      <w:pPr>
        <w:jc w:val="center"/>
        <w:ind w:right="-3"/>
        <w:spacing w:after="0" w:line="222" w:lineRule="auto"/>
        <w:rPr>
          <w:sz w:val="20"/>
          <w:szCs w:val="20"/>
          <w:color w:val="auto"/>
        </w:rPr>
      </w:pPr>
      <w:r>
        <w:rPr>
          <w:rFonts w:ascii="Times New Roman" w:cs="Times New Roman" w:eastAsia="Times New Roman" w:hAnsi="Times New Roman"/>
          <w:sz w:val="14"/>
          <w:szCs w:val="14"/>
          <w:b w:val="1"/>
          <w:bCs w:val="1"/>
          <w:color w:val="auto"/>
        </w:rPr>
        <w:t>Greece</w:t>
      </w: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+30 210 459 1000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-3175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
        <w:spacing w:after="0"/>
        <w:rPr>
          <w:sz w:val="20"/>
          <w:szCs w:val="20"/>
          <w:color w:val="auto"/>
        </w:rPr>
      </w:pPr>
      <w:r>
        <w:rPr>
          <w:rFonts w:ascii="Times New Roman" w:cs="Times New Roman" w:eastAsia="Times New Roman" w:hAnsi="Times New Roman"/>
          <w:sz w:val="14"/>
          <w:szCs w:val="14"/>
          <w:color w:val="auto"/>
        </w:rPr>
        <w:t>(Name, Address and Telephone Number of Person</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Authorized to Receive Notices and Communications)</w:t>
      </w:r>
    </w:p>
    <w:p>
      <w:pPr>
        <w:spacing w:after="0" w:line="20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April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16510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(Date of Event Which Requires Filing of this Statement)</w:t>
      </w:r>
    </w:p>
    <w:p>
      <w:pPr>
        <w:spacing w:after="0" w:line="191"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4"/>
          <w:szCs w:val="14"/>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Wingdings" w:cs="Wingdings" w:eastAsia="Wingdings" w:hAnsi="Wingdings"/>
          <w:sz w:val="14"/>
          <w:szCs w:val="14"/>
          <w:b w:val="1"/>
          <w:bCs w:val="1"/>
          <w:color w:val="auto"/>
        </w:rPr>
        <w:t>o</w:t>
      </w:r>
    </w:p>
    <w:p>
      <w:pPr>
        <w:spacing w:after="0" w:line="25" w:lineRule="exact"/>
        <w:rPr>
          <w:sz w:val="24"/>
          <w:szCs w:val="24"/>
          <w:color w:val="auto"/>
        </w:rPr>
      </w:pPr>
    </w:p>
    <w:p>
      <w:pPr>
        <w:ind w:left="4" w:right="20"/>
        <w:spacing w:after="0" w:line="264" w:lineRule="auto"/>
        <w:rPr>
          <w:sz w:val="20"/>
          <w:szCs w:val="20"/>
          <w:color w:val="auto"/>
        </w:rPr>
      </w:pP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4"/>
          <w:szCs w:val="14"/>
          <w:color w:val="auto"/>
        </w:rPr>
        <w:t>: Schedules filed in paper format shall include a signed original and five copies of the schedule, including all exhibits. See §240.13d-7 for other parties to whom copies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to be sent.</w:t>
      </w:r>
    </w:p>
    <w:p>
      <w:pPr>
        <w:spacing w:after="0" w:line="39" w:lineRule="exact"/>
        <w:rPr>
          <w:sz w:val="24"/>
          <w:szCs w:val="24"/>
          <w:color w:val="auto"/>
        </w:rPr>
      </w:pPr>
    </w:p>
    <w:p>
      <w:pPr>
        <w:ind w:left="4" w:hanging="4"/>
        <w:spacing w:after="0" w:line="261" w:lineRule="auto"/>
        <w:tabs>
          <w:tab w:leader="none" w:pos="113"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1" w:lineRule="exact"/>
        <w:rPr>
          <w:sz w:val="24"/>
          <w:szCs w:val="24"/>
          <w:color w:val="auto"/>
        </w:rPr>
      </w:pPr>
    </w:p>
    <w:p>
      <w:pPr>
        <w:ind w:left="4"/>
        <w:spacing w:after="0" w:line="261" w:lineRule="auto"/>
        <w:rPr>
          <w:sz w:val="20"/>
          <w:szCs w:val="20"/>
          <w:color w:val="auto"/>
        </w:rPr>
      </w:pPr>
      <w:r>
        <w:rPr>
          <w:rFonts w:ascii="Times New Roman" w:cs="Times New Roman" w:eastAsia="Times New Roman" w:hAnsi="Times New Roman"/>
          <w:sz w:val="14"/>
          <w:szCs w:val="14"/>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409575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24"/>
          </w:cols>
          <w:pgMar w:left="976" w:top="468" w:right="99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18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CUSIP No. Y2687W108</w:t>
            </w:r>
          </w:p>
        </w:tc>
        <w:tc>
          <w:tcPr>
            <w:tcW w:w="2260" w:type="dxa"/>
            <w:vAlign w:val="bottom"/>
          </w:tcPr>
          <w:p>
            <w:pPr>
              <w:ind w:left="2000"/>
              <w:spacing w:after="0"/>
              <w:rPr>
                <w:sz w:val="20"/>
                <w:szCs w:val="20"/>
                <w:color w:val="auto"/>
              </w:rPr>
            </w:pPr>
            <w:r>
              <w:rPr>
                <w:rFonts w:ascii="Times New Roman" w:cs="Times New Roman" w:eastAsia="Times New Roman" w:hAnsi="Times New Roman"/>
                <w:sz w:val="14"/>
                <w:szCs w:val="14"/>
                <w:color w:val="auto"/>
                <w:w w:val="99"/>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ind w:left="840" w:hanging="495"/>
        <w:spacing w:after="0"/>
        <w:tabs>
          <w:tab w:leader="none" w:pos="8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of Reporting Persons</w:t>
      </w:r>
    </w:p>
    <w:p>
      <w:pPr>
        <w:spacing w:after="0" w:line="3" w:lineRule="exact"/>
        <w:rPr>
          <w:rFonts w:ascii="Times New Roman" w:cs="Times New Roman" w:eastAsia="Times New Roman" w:hAnsi="Times New Roman"/>
          <w:sz w:val="14"/>
          <w:szCs w:val="14"/>
          <w:color w:val="auto"/>
        </w:rPr>
      </w:pPr>
    </w:p>
    <w:p>
      <w:pPr>
        <w:ind w:left="840" w:right="7000"/>
        <w:spacing w:after="0" w:line="3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I.R.S. Identification Nos. of Above Persons (Entities Only) 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-8890</wp:posOffset>
            </wp:positionV>
            <wp:extent cx="6626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05" w:lineRule="exact"/>
        <w:rPr>
          <w:sz w:val="20"/>
          <w:szCs w:val="20"/>
          <w:color w:val="auto"/>
        </w:rPr>
      </w:pPr>
    </w:p>
    <w:p>
      <w:pPr>
        <w:ind w:left="840" w:hanging="495"/>
        <w:spacing w:after="0"/>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135" w:lineRule="exact"/>
        <w:rPr>
          <w:rFonts w:ascii="Times New Roman" w:cs="Times New Roman" w:eastAsia="Times New Roman" w:hAnsi="Times New Roman"/>
          <w:sz w:val="14"/>
          <w:szCs w:val="14"/>
          <w:color w:val="auto"/>
        </w:rPr>
      </w:pPr>
    </w:p>
    <w:p>
      <w:pPr>
        <w:ind w:left="1280" w:hanging="440"/>
        <w:spacing w:after="0"/>
        <w:tabs>
          <w:tab w:leader="none" w:pos="1280" w:val="left"/>
        </w:tabs>
        <w:numPr>
          <w:ilvl w:val="1"/>
          <w:numId w:val="3"/>
        </w:numPr>
        <w:rPr>
          <w:rFonts w:ascii="Times New Roman" w:cs="Times New Roman" w:eastAsia="Times New Roman" w:hAnsi="Times New Roman"/>
          <w:sz w:val="14"/>
          <w:szCs w:val="14"/>
          <w:color w:val="auto"/>
        </w:rPr>
      </w:pPr>
      <w:r>
        <w:rPr>
          <w:rFonts w:ascii="Wingdings" w:cs="Wingdings" w:eastAsia="Wingdings" w:hAnsi="Wingdings"/>
          <w:sz w:val="14"/>
          <w:szCs w:val="14"/>
          <w:b w:val="1"/>
          <w:bCs w:val="1"/>
          <w:color w:val="auto"/>
        </w:rPr>
        <w:t>o</w:t>
      </w:r>
    </w:p>
    <w:p>
      <w:pPr>
        <w:spacing w:after="0" w:line="99" w:lineRule="exact"/>
        <w:rPr>
          <w:rFonts w:ascii="Times New Roman" w:cs="Times New Roman" w:eastAsia="Times New Roman" w:hAnsi="Times New Roman"/>
          <w:sz w:val="14"/>
          <w:szCs w:val="14"/>
          <w:color w:val="auto"/>
        </w:rPr>
      </w:pPr>
    </w:p>
    <w:p>
      <w:pPr>
        <w:ind w:left="1280" w:hanging="440"/>
        <w:spacing w:after="0" w:line="161" w:lineRule="exact"/>
        <w:tabs>
          <w:tab w:leader="none" w:pos="1280" w:val="left"/>
        </w:tabs>
        <w:numPr>
          <w:ilvl w:val="1"/>
          <w:numId w:val="3"/>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-132080</wp:posOffset>
            </wp:positionV>
            <wp:extent cx="6343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64135</wp:posOffset>
            </wp:positionV>
            <wp:extent cx="6343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220" w:lineRule="exact"/>
        <w:rPr>
          <w:sz w:val="20"/>
          <w:szCs w:val="20"/>
          <w:color w:val="auto"/>
        </w:rPr>
      </w:pPr>
    </w:p>
    <w:p>
      <w:pPr>
        <w:ind w:left="840" w:hanging="495"/>
        <w:spacing w:after="0"/>
        <w:tabs>
          <w:tab w:leader="none" w:pos="8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57785</wp:posOffset>
            </wp:positionV>
            <wp:extent cx="6626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84" w:lineRule="exact"/>
        <w:rPr>
          <w:sz w:val="20"/>
          <w:szCs w:val="20"/>
          <w:color w:val="auto"/>
        </w:rPr>
      </w:pPr>
    </w:p>
    <w:p>
      <w:pPr>
        <w:ind w:left="840" w:hanging="495"/>
        <w:spacing w:after="0"/>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of Funds (See Instructions)</w:t>
      </w:r>
    </w:p>
    <w:p>
      <w:pPr>
        <w:spacing w:after="0" w:line="3" w:lineRule="exact"/>
        <w:rPr>
          <w:rFonts w:ascii="Times New Roman" w:cs="Times New Roman" w:eastAsia="Times New Roman" w:hAnsi="Times New Roman"/>
          <w:sz w:val="14"/>
          <w:szCs w:val="14"/>
          <w:color w:val="auto"/>
        </w:rPr>
      </w:pPr>
    </w:p>
    <w:p>
      <w:pPr>
        <w:ind w:left="8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47625</wp:posOffset>
            </wp:positionV>
            <wp:extent cx="6626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68" w:lineRule="exact"/>
        <w:rPr>
          <w:sz w:val="20"/>
          <w:szCs w:val="20"/>
          <w:color w:val="auto"/>
        </w:rPr>
      </w:pPr>
    </w:p>
    <w:p>
      <w:pPr>
        <w:ind w:left="840" w:right="5560" w:hanging="495"/>
        <w:spacing w:after="0" w:line="261"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if Disclosure of Legal Proceedings Is Required Pursuant to Items 2(d) or 2(e)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32385</wp:posOffset>
            </wp:positionV>
            <wp:extent cx="6626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43" w:lineRule="exact"/>
        <w:rPr>
          <w:sz w:val="20"/>
          <w:szCs w:val="20"/>
          <w:color w:val="auto"/>
        </w:rPr>
      </w:pPr>
    </w:p>
    <w:p>
      <w:pPr>
        <w:ind w:left="840" w:right="8300" w:hanging="495"/>
        <w:spacing w:after="0" w:line="261" w:lineRule="auto"/>
        <w:tabs>
          <w:tab w:leader="none" w:pos="8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Citizenship or Place of Organization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32385</wp:posOffset>
            </wp:positionV>
            <wp:extent cx="6626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9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15,621,602(1)</w:t>
            </w:r>
          </w:p>
        </w:tc>
        <w:tc>
          <w:tcPr>
            <w:tcW w:w="0" w:type="dxa"/>
            <w:vAlign w:val="bottom"/>
          </w:tcPr>
          <w:p>
            <w:pPr>
              <w:spacing w:after="0"/>
              <w:rPr>
                <w:sz w:val="1"/>
                <w:szCs w:val="1"/>
                <w:color w:val="auto"/>
              </w:rPr>
            </w:pPr>
          </w:p>
        </w:tc>
      </w:tr>
      <w:tr>
        <w:trPr>
          <w:trHeight w:val="104"/>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Number of</w:t>
            </w:r>
          </w:p>
        </w:tc>
        <w:tc>
          <w:tcPr>
            <w:tcW w:w="560" w:type="dxa"/>
            <w:vAlign w:val="bottom"/>
          </w:tcPr>
          <w:p>
            <w:pPr>
              <w:spacing w:after="0"/>
              <w:rPr>
                <w:sz w:val="9"/>
                <w:szCs w:val="9"/>
                <w:color w:val="auto"/>
              </w:rPr>
            </w:pPr>
          </w:p>
        </w:tc>
        <w:tc>
          <w:tcPr>
            <w:tcW w:w="9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8</w:t>
            </w:r>
          </w:p>
        </w:tc>
        <w:tc>
          <w:tcPr>
            <w:tcW w:w="9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39"/>
        </w:trPr>
        <w:tc>
          <w:tcPr>
            <w:tcW w:w="9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Shares</w:t>
            </w:r>
          </w:p>
        </w:tc>
        <w:tc>
          <w:tcPr>
            <w:tcW w:w="56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Beneficially</w:t>
            </w:r>
          </w:p>
        </w:tc>
        <w:tc>
          <w:tcPr>
            <w:tcW w:w="56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9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Owned by</w:t>
            </w:r>
          </w:p>
        </w:tc>
        <w:tc>
          <w:tcPr>
            <w:tcW w:w="560" w:type="dxa"/>
            <w:vAlign w:val="bottom"/>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920" w:type="dxa"/>
            <w:vAlign w:val="bottom"/>
            <w:vMerge w:val="continue"/>
          </w:tcPr>
          <w:p>
            <w:pPr>
              <w:spacing w:after="0"/>
              <w:rPr>
                <w:sz w:val="5"/>
                <w:szCs w:val="5"/>
                <w:color w:val="auto"/>
              </w:rPr>
            </w:pP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9</w:t>
            </w:r>
          </w:p>
        </w:tc>
        <w:tc>
          <w:tcPr>
            <w:tcW w:w="9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48"/>
        </w:trPr>
        <w:tc>
          <w:tcPr>
            <w:tcW w:w="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Each</w:t>
            </w:r>
          </w:p>
        </w:tc>
        <w:tc>
          <w:tcPr>
            <w:tcW w:w="560" w:type="dxa"/>
            <w:vAlign w:val="bottom"/>
            <w:vMerge w:val="continue"/>
          </w:tcPr>
          <w:p>
            <w:pPr>
              <w:spacing w:after="0"/>
              <w:rPr>
                <w:sz w:val="12"/>
                <w:szCs w:val="12"/>
                <w:color w:val="auto"/>
              </w:rPr>
            </w:pPr>
          </w:p>
        </w:tc>
        <w:tc>
          <w:tcPr>
            <w:tcW w:w="9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Reporting</w:t>
            </w:r>
          </w:p>
        </w:tc>
        <w:tc>
          <w:tcPr>
            <w:tcW w:w="560" w:type="dxa"/>
            <w:vAlign w:val="bottom"/>
          </w:tcPr>
          <w:p>
            <w:pPr>
              <w:spacing w:after="0"/>
              <w:rPr>
                <w:sz w:val="12"/>
                <w:szCs w:val="12"/>
                <w:color w:val="auto"/>
              </w:rPr>
            </w:pPr>
          </w:p>
        </w:tc>
        <w:tc>
          <w:tcPr>
            <w:tcW w:w="97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15,621,602</w:t>
            </w:r>
          </w:p>
        </w:tc>
        <w:tc>
          <w:tcPr>
            <w:tcW w:w="0" w:type="dxa"/>
            <w:vAlign w:val="bottom"/>
          </w:tcPr>
          <w:p>
            <w:pPr>
              <w:spacing w:after="0"/>
              <w:rPr>
                <w:sz w:val="1"/>
                <w:szCs w:val="1"/>
                <w:color w:val="auto"/>
              </w:rPr>
            </w:pPr>
          </w:p>
        </w:tc>
      </w:tr>
      <w:tr>
        <w:trPr>
          <w:trHeight w:val="117"/>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60" w:type="dxa"/>
            <w:vAlign w:val="bottom"/>
          </w:tcPr>
          <w:p>
            <w:pPr>
              <w:spacing w:after="0"/>
              <w:rPr>
                <w:sz w:val="10"/>
                <w:szCs w:val="10"/>
                <w:color w:val="auto"/>
              </w:rPr>
            </w:pPr>
          </w:p>
        </w:tc>
        <w:tc>
          <w:tcPr>
            <w:tcW w:w="9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920" w:type="dxa"/>
            <w:vAlign w:val="bottom"/>
            <w:vMerge w:val="continue"/>
          </w:tcPr>
          <w:p>
            <w:pPr>
              <w:spacing w:after="0"/>
              <w:rPr>
                <w:sz w:val="4"/>
                <w:szCs w:val="4"/>
                <w:color w:val="auto"/>
              </w:rPr>
            </w:pP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10</w:t>
            </w:r>
          </w:p>
        </w:tc>
        <w:tc>
          <w:tcPr>
            <w:tcW w:w="9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Shared Dispositive Power</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9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194945</wp:posOffset>
            </wp:positionV>
            <wp:extent cx="6197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399" w:lineRule="exact"/>
        <w:rPr>
          <w:sz w:val="20"/>
          <w:szCs w:val="20"/>
          <w:color w:val="auto"/>
        </w:rPr>
      </w:pPr>
    </w:p>
    <w:p>
      <w:pPr>
        <w:ind w:left="840" w:right="6560" w:hanging="495"/>
        <w:spacing w:after="0" w:line="261" w:lineRule="auto"/>
        <w:tabs>
          <w:tab w:leader="none" w:pos="8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Amount Beneficially Owned by Each Reporting Person 15,621,602</w:t>
      </w:r>
    </w:p>
    <w:p>
      <w:pPr>
        <w:spacing w:after="0" w:line="189" w:lineRule="exact"/>
        <w:rPr>
          <w:rFonts w:ascii="Times New Roman" w:cs="Times New Roman" w:eastAsia="Times New Roman" w:hAnsi="Times New Roman"/>
          <w:sz w:val="14"/>
          <w:szCs w:val="14"/>
          <w:color w:val="auto"/>
        </w:rPr>
      </w:pPr>
    </w:p>
    <w:p>
      <w:pPr>
        <w:ind w:left="840" w:right="5340" w:hanging="495"/>
        <w:spacing w:after="0" w:line="261" w:lineRule="auto"/>
        <w:tabs>
          <w:tab w:leader="none" w:pos="8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if the Aggregate Amount in Row (11) Excludes Certain Shares (See Instructions) Not Applicable</w:t>
      </w:r>
    </w:p>
    <w:p>
      <w:pPr>
        <w:spacing w:after="0" w:line="189" w:lineRule="exact"/>
        <w:rPr>
          <w:rFonts w:ascii="Times New Roman" w:cs="Times New Roman" w:eastAsia="Times New Roman" w:hAnsi="Times New Roman"/>
          <w:sz w:val="14"/>
          <w:szCs w:val="14"/>
          <w:color w:val="auto"/>
        </w:rPr>
      </w:pPr>
    </w:p>
    <w:p>
      <w:pPr>
        <w:ind w:left="840" w:hanging="495"/>
        <w:spacing w:after="0"/>
        <w:tabs>
          <w:tab w:leader="none" w:pos="8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of Class Represented by Amount in Row (11)</w:t>
      </w:r>
    </w:p>
    <w:p>
      <w:pPr>
        <w:spacing w:after="0" w:line="3" w:lineRule="exact"/>
        <w:rPr>
          <w:rFonts w:ascii="Times New Roman" w:cs="Times New Roman" w:eastAsia="Times New Roman" w:hAnsi="Times New Roman"/>
          <w:sz w:val="14"/>
          <w:szCs w:val="14"/>
          <w:color w:val="auto"/>
        </w:rPr>
      </w:pPr>
    </w:p>
    <w:p>
      <w:pPr>
        <w:ind w:left="8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30.2%(2)</w:t>
      </w:r>
    </w:p>
    <w:p>
      <w:pPr>
        <w:spacing w:after="0" w:line="214" w:lineRule="exact"/>
        <w:rPr>
          <w:rFonts w:ascii="Times New Roman" w:cs="Times New Roman" w:eastAsia="Times New Roman" w:hAnsi="Times New Roman"/>
          <w:sz w:val="14"/>
          <w:szCs w:val="14"/>
          <w:color w:val="auto"/>
        </w:rPr>
      </w:pPr>
    </w:p>
    <w:p>
      <w:pPr>
        <w:ind w:left="840" w:hanging="495"/>
        <w:spacing w:after="0"/>
        <w:tabs>
          <w:tab w:leader="none" w:pos="8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Type of Reporting Person (See Instructions)</w:t>
      </w:r>
    </w:p>
    <w:p>
      <w:pPr>
        <w:spacing w:after="0" w:line="3" w:lineRule="exact"/>
        <w:rPr>
          <w:rFonts w:ascii="Times New Roman" w:cs="Times New Roman" w:eastAsia="Times New Roman" w:hAnsi="Times New Roman"/>
          <w:sz w:val="14"/>
          <w:szCs w:val="14"/>
          <w:color w:val="auto"/>
        </w:rPr>
      </w:pPr>
    </w:p>
    <w:p>
      <w:pPr>
        <w:ind w:left="8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w:t>
      </w:r>
    </w:p>
    <w:p>
      <w:pPr>
        <w:spacing w:after="0" w:line="228" w:lineRule="exact"/>
        <w:rPr>
          <w:rFonts w:ascii="Times New Roman" w:cs="Times New Roman" w:eastAsia="Times New Roman" w:hAnsi="Times New Roman"/>
          <w:sz w:val="14"/>
          <w:szCs w:val="14"/>
          <w:color w:val="auto"/>
        </w:rPr>
      </w:pPr>
    </w:p>
    <w:p>
      <w:pPr>
        <w:ind w:right="80" w:firstLine="8"/>
        <w:spacing w:after="0" w:line="242" w:lineRule="auto"/>
        <w:tabs>
          <w:tab w:leader="none" w:pos="25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GasLog Ltd., a Bermuda exempted company (“GasLog” or the “Reporting Person”), beneficially owns 15,621,602 common units representing limited partner interests (“Common Units”) in GasLog Partners LP ( the “Issuer”). In addition, GasLog beneficially owns through its wholly owned subsidiary, GasLog Partners GP LLC, 100% of the general partner interests and 100% of the 1,245,000 Class B Units representing limited partner interests in the Issuer.</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 ownership is calculated based on an aggregate number of 51,796,759 Common Units issued and outstanding as of April 3, 2023, as reported by the Issuer to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-1520190</wp:posOffset>
            </wp:positionV>
            <wp:extent cx="66262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-1177290</wp:posOffset>
            </wp:positionV>
            <wp:extent cx="66262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-834390</wp:posOffset>
            </wp:positionV>
            <wp:extent cx="66262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-491490</wp:posOffset>
            </wp:positionV>
            <wp:extent cx="66262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80" w:firstLine="648"/>
        <w:spacing w:after="0" w:line="236" w:lineRule="auto"/>
        <w:rPr>
          <w:sz w:val="20"/>
          <w:szCs w:val="20"/>
          <w:color w:val="auto"/>
        </w:rPr>
      </w:pPr>
      <w:r>
        <w:rPr>
          <w:rFonts w:ascii="Times New Roman" w:cs="Times New Roman" w:eastAsia="Times New Roman" w:hAnsi="Times New Roman"/>
          <w:sz w:val="14"/>
          <w:szCs w:val="14"/>
          <w:color w:val="auto"/>
        </w:rPr>
        <w:t>The purpose of this Amendment No. 4 to the Schedule 13D filed by GasLog with the Securities and Exchange Commission (the “SEC”) on April 27, 2018, as amended by the Amendment No. 1 to Schedule 13D filed by GasLog with the SEC on November 27, 2018, the Amendment No. 2 to Schedule 13D filed by GasLog with the SEC on June 26, 2019 and the Amendment No. 3 to Schedule 13D filed by GasLog with the SEC on January 25, 2023 (as amended, the “Amended Schedule 13D”), is to amend certain portions of the Amended Schedule 13D as described herein. Except as set forth below, all Items in the Amended Schedule 13D remain unchanged.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Purpose of Transaction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Item 4 of the Amended Schedule 13D is hereby amended by adding the following paragraphs above the last paragraph in Item 4:</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i w:val="1"/>
          <w:iCs w:val="1"/>
          <w:color w:val="auto"/>
        </w:rPr>
        <w:t>Merger Agreement</w:t>
      </w:r>
    </w:p>
    <w:p>
      <w:pPr>
        <w:spacing w:after="0" w:line="208" w:lineRule="exact"/>
        <w:rPr>
          <w:sz w:val="20"/>
          <w:szCs w:val="20"/>
          <w:color w:val="auto"/>
        </w:rPr>
      </w:pPr>
    </w:p>
    <w:p>
      <w:pPr>
        <w:jc w:val="both"/>
        <w:ind w:right="120" w:firstLine="648"/>
        <w:spacing w:after="0" w:line="241" w:lineRule="auto"/>
        <w:rPr>
          <w:sz w:val="20"/>
          <w:szCs w:val="20"/>
          <w:color w:val="auto"/>
        </w:rPr>
      </w:pPr>
      <w:r>
        <w:rPr>
          <w:rFonts w:ascii="Times New Roman" w:cs="Times New Roman" w:eastAsia="Times New Roman" w:hAnsi="Times New Roman"/>
          <w:sz w:val="14"/>
          <w:szCs w:val="14"/>
          <w:color w:val="auto"/>
        </w:rPr>
        <w:t>On April 6, 2023, the Issuer entered into an Agreement and Plan of Merger (the “Merger Agreement”) with GasLog Partners GP LLC, the general partner of the Issuer (the “General Partner”), GasLog and Saturn Merger Sub LLC, a wholly owned subsidiary of GasLog (“Merger Sub”). Pursuant to the Merger Agreement, Merger Sub will merge with and into the Issuer, with the Issuer surviving as a direct subsidiary of GasLog (the “Merger”).</w:t>
      </w:r>
    </w:p>
    <w:p>
      <w:pPr>
        <w:spacing w:after="0" w:line="177"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14"/>
          <w:szCs w:val="14"/>
          <w:color w:val="auto"/>
        </w:rPr>
        <w:t>The conflicts committee (the “Conflicts Committee”) of the Board of Directors of the Issuer (the “Board”) has unanimously (a) determined that the Merger Agreement and the transactions contemplated thereby are fair to and in the best interests of the Issuer and the holders of Common Units (the “Common Unitholders”) other than GasLog and its affiliates (the “Unaffiliated Unitholders”), (b) approved the Merger Agreement and the transactions contemplated thereby (the foregoing constituting Special Approval (as defined in the Seventh Amended and Restated Agreement of Limited Partnership of the Issuer (the “Partnership Agreement”))) and (c) recommended to the Board that the Board (i) approve the Merger Agreement and the transactions contemplated thereby and (ii) recommend approval of the Merger Agreement and the transactions contemplated thereby to the Common Unitholders.</w:t>
      </w:r>
    </w:p>
    <w:p>
      <w:pPr>
        <w:spacing w:after="0" w:line="110"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4"/>
          <w:szCs w:val="14"/>
          <w:color w:val="auto"/>
        </w:rPr>
        <w:t>The Board, acting upon the recommendation of the Conflicts Committee, has unanimously (a) determined that the Merger Agreement and the transactions contemplated thereby are fair to and in the best interests of the Issuer and the Unaffiliated Unitholders, (b) approved the Merger Agreement and the transactions contemplated thereby, (c) directed that the Merger Agreement and the transactions contemplated thereby be submitted to a vote of the Common Unitholders and (d) resolved to recommend approval of the Merger Agreement and the transactions contemplated thereby to the Common Unitholders.</w:t>
      </w:r>
    </w:p>
    <w:p>
      <w:pPr>
        <w:spacing w:after="0" w:line="177" w:lineRule="exact"/>
        <w:rPr>
          <w:sz w:val="20"/>
          <w:szCs w:val="20"/>
          <w:color w:val="auto"/>
        </w:rPr>
      </w:pPr>
    </w:p>
    <w:p>
      <w:pPr>
        <w:ind w:right="20" w:firstLine="648"/>
        <w:spacing w:after="0" w:line="228" w:lineRule="auto"/>
        <w:rPr>
          <w:sz w:val="20"/>
          <w:szCs w:val="20"/>
          <w:color w:val="auto"/>
        </w:rPr>
      </w:pPr>
      <w:r>
        <w:rPr>
          <w:rFonts w:ascii="Times New Roman" w:cs="Times New Roman" w:eastAsia="Times New Roman" w:hAnsi="Times New Roman"/>
          <w:sz w:val="14"/>
          <w:szCs w:val="14"/>
          <w:color w:val="auto"/>
        </w:rPr>
        <w:t>Upon completion of the Merger, each Common Unit outstanding immediately prior to the effective time of the Merger (the “Effective Time”), other than those Common Units held by GasLog or its affiliates (the “Sponsor Units”), will be converted into the right to receive $5.37 per Common Unit in cash, without interest. In addition, as soon as reasonably practicable following the affirmative vote of the holders of at least a majority of the Common Units in favor of the approval of the Merger Agreement (the “Unitholder Approval”), pursuant to the terms of the Merger Agreement, the Board will declare a special distribution of $3.28 per Common Unit (with a corresponding amount distributed in respect of each General Partner Unit) (as defined in the Partnership Agreement) (the “Special Distribution”) with a record date on a business day prior to the anticipated closing date of the Merger and a payment date occurring on or prior to the closing date of the Merger. Accordingly, holders of Common Units (other than the Sponsor Units) will, assuming that such holders hold Common Units both on the record date of the Special Distribution and at the Effective Time, receive overall consideration of $8.65 per Common Unit. The Sponsor Units and the General Partner Units will remain outstanding after the Merger and will receive the Special Distribution concurrently with the Unaffiliated Unitholders.</w:t>
      </w:r>
    </w:p>
    <w:p>
      <w:pPr>
        <w:spacing w:after="0" w:line="181"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4"/>
          <w:szCs w:val="14"/>
          <w:color w:val="auto"/>
        </w:rPr>
        <w:t>The Issuer will hold a special meeting (the “Special Meeting”) of the Common Unitholders to obtain the Unitholder Approval. As described further below, pursuant to the Support Agreement (as defined below), GasLog has agreed to appear at the Special Meeting and either vote in person or by proxy to adopt and approve the Merger Agreement and transactions contemplated thereby. Unless the Merger Agreement is validly terminated in accordance with its terms, the Issuer will submit the Merger Agreement to the Common Unitholders at the Special Meeting, even if the Conflicts Committee shall have effected an Adverse Recommendation Change (as defined in the Merger Agreement).</w:t>
      </w:r>
    </w:p>
    <w:p>
      <w:pPr>
        <w:spacing w:after="0" w:line="177" w:lineRule="exact"/>
        <w:rPr>
          <w:sz w:val="20"/>
          <w:szCs w:val="20"/>
          <w:color w:val="auto"/>
        </w:rPr>
      </w:pPr>
    </w:p>
    <w:p>
      <w:pPr>
        <w:jc w:val="both"/>
        <w:ind w:right="280" w:firstLine="648"/>
        <w:spacing w:after="0" w:line="241" w:lineRule="auto"/>
        <w:rPr>
          <w:sz w:val="20"/>
          <w:szCs w:val="20"/>
          <w:color w:val="auto"/>
        </w:rPr>
      </w:pPr>
      <w:r>
        <w:rPr>
          <w:rFonts w:ascii="Times New Roman" w:cs="Times New Roman" w:eastAsia="Times New Roman" w:hAnsi="Times New Roman"/>
          <w:sz w:val="14"/>
          <w:szCs w:val="14"/>
          <w:color w:val="auto"/>
        </w:rPr>
        <w:t>The Merger Agreement contains customary representations and warranties from the parties and each party has agreed to customary covenants, including, among others, covenants relating to (a) the conduct of the Issuer’s business during the interim period between the execution of the Merger Agreement and the Effective Time and (b) the obligation of the parties to use commercially reasonable efforts to cause the Merger to be consummated.</w:t>
      </w:r>
    </w:p>
    <w:p>
      <w:pPr>
        <w:spacing w:after="0" w:line="177"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4"/>
          <w:szCs w:val="14"/>
          <w:color w:val="auto"/>
        </w:rPr>
        <w:t>Completion of the Merger is subject to certain conditions, including: (a) Unitholder Approval; (b) there being no law or injunction prohibiting consummation of the transactions contemplated under the Merger Agreement; (c) subject to specified materiality standards, the accuracy of certain representations and warranties of the other party; (d) compliance by the other party in all material respects with its covenants and obligations under the Merger Agreement and (e) the declaration by the Board of the Special Distribution and payment thereof in accordance with the Merger Agreement.</w:t>
      </w:r>
    </w:p>
    <w:p>
      <w:pPr>
        <w:spacing w:after="0" w:line="17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14"/>
          <w:szCs w:val="14"/>
          <w:color w:val="auto"/>
        </w:rPr>
        <w:t>The Merger Agreement provides for certain termination rights for both GasLog and the Issuer, including (a) by the mutual written agreement of the Issuer and GasLog (duly authorized by the Conflicts Committee and the Board of Directors of GasLog, respectively); (b) by either GasLog or the Issuer (following authorization by the Conflicts Committee) under certain circumstances, if (i) the Merger has not been consummated on or before October 6, 2023 (the “Outside Date”), (ii) the Merger is prevented by certain final and non-appealable legal restraints or a governmental agency is seeking any such legal restraints or (iii) the Unitholder Approval is not obtained; (c) by GasLog (i) if an Adverse Recommendation Change has occurred, or (ii) under certain conditions, if the Issuer materially breached any of its representations or warranties,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120"/>
        <w:spacing w:after="0" w:line="233" w:lineRule="auto"/>
        <w:rPr>
          <w:sz w:val="20"/>
          <w:szCs w:val="20"/>
          <w:color w:val="auto"/>
        </w:rPr>
      </w:pPr>
      <w:r>
        <w:rPr>
          <w:rFonts w:ascii="Times New Roman" w:cs="Times New Roman" w:eastAsia="Times New Roman" w:hAnsi="Times New Roman"/>
          <w:sz w:val="14"/>
          <w:szCs w:val="14"/>
          <w:color w:val="auto"/>
        </w:rPr>
        <w:t>failed to perform any of its covenants or agreements, set forth in the Merger Agreement (or if any of the representations or warranties of the Issuer set forth in the Merger Agreement shall fail to be true), and such breach or failure is not reasonably capable of being cured by the Outside Date or is not cured within 30 days following receipt of written notice of such breach or failure; or</w:t>
      </w:r>
    </w:p>
    <w:p>
      <w:pPr>
        <w:ind w:firstLine="8"/>
        <w:spacing w:after="0" w:line="233" w:lineRule="auto"/>
        <w:tabs>
          <w:tab w:leader="none" w:pos="20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Issuer (following authorization of the Conflicts Committee) under certain conditions, if GasLog or Merger Sub materially breached any of its representations or warranties, or failed to perform any of its covenants or agreements, set forth in the Merger Agreement (or if any of the representations or warranties of GasLog or Merger Sub set forth in the Merger Agreement shall fail to be true), and such breach or failure is not reasonably capable of being cured by the Outside Date or is not cured within 30 days following receipt of written notice of such breach or failure.</w:t>
      </w:r>
    </w:p>
    <w:p>
      <w:pPr>
        <w:spacing w:after="0" w:line="177"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4"/>
          <w:szCs w:val="14"/>
          <w:color w:val="auto"/>
        </w:rPr>
        <w:t>The foregoing description of the Merger Agreement and the transactions contemplated thereby does not purport to be complete and is subject to, and qualified in its entirety by reference to, the full text of the Merger Agreement, a copy of which is filed as Exhibit 2.1 hereto and is incorporated by reference in its entirety herein.</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Promptly after completion of the Merger and related transactions, the Common Units of the Issuer will be delisted from the New York Stock Exchange.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i w:val="1"/>
          <w:iCs w:val="1"/>
          <w:color w:val="auto"/>
        </w:rPr>
        <w:t>Support Agreement</w:t>
      </w:r>
    </w:p>
    <w:p>
      <w:pPr>
        <w:spacing w:after="0" w:line="208"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4"/>
          <w:szCs w:val="14"/>
          <w:color w:val="auto"/>
        </w:rPr>
        <w:t>On April 6, 2023, in connection with the execution of the Merger Agreement, GasLog and the Issuer entered into a Voting and Support Agreement (the “Support Agreement”), pursuant to which and subject to the terms and conditions thereof, GasLog agreed, among other things, to vote all of its Common Units in favor of the Merger Agreement and the transactions contemplated thereby at the Special Meeting. GasLog has also agreed not to transfer any Common Units it beneficially owns or purchase any additional Common Units other than in accordance with the Support Agreement.</w:t>
      </w:r>
    </w:p>
    <w:p>
      <w:pPr>
        <w:spacing w:after="0" w:line="177" w:lineRule="exact"/>
        <w:rPr>
          <w:sz w:val="20"/>
          <w:szCs w:val="20"/>
          <w:color w:val="auto"/>
        </w:rPr>
      </w:pPr>
    </w:p>
    <w:p>
      <w:pPr>
        <w:ind w:right="620" w:firstLine="648"/>
        <w:spacing w:after="0" w:line="261" w:lineRule="auto"/>
        <w:rPr>
          <w:sz w:val="20"/>
          <w:szCs w:val="20"/>
          <w:color w:val="auto"/>
        </w:rPr>
      </w:pPr>
      <w:r>
        <w:rPr>
          <w:rFonts w:ascii="Times New Roman" w:cs="Times New Roman" w:eastAsia="Times New Roman" w:hAnsi="Times New Roman"/>
          <w:sz w:val="14"/>
          <w:szCs w:val="14"/>
          <w:color w:val="auto"/>
        </w:rPr>
        <w:t>The foregoing description of the Support Agreement does not purport to be complete and is subject to, and qualified in its entirety by reference to, the full text of the Support Agreement, a copy of which is filed as Exhibit 2.2 hereto and is incorporated by reference in its entirety herein.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Contracts, Arrangements, Understandings or Relationships with Respect to Securities of the Issuer.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information provided or incorporated by reference in Items 3 and 4 are hereby incorporated by reference herein.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Materials To Be Filed as Exhibits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EE"/>
        </w:rPr>
        <w:t>Exhibit 2.1 — Agreement and Plan of Merger by and among GasLog Partners LP, GasLog Partners GP LLC, GasLog Ltd. and Saturn Merger Sub LLC, dated as of April 6,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EE"/>
        </w:rPr>
        <w:t>Exhibit 2.2 — Voting and Support Agreement by and between GasLog Ltd. and GasLog Partners LP, dated as of April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52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After reasonable inquiry and to the best of my knowledge and belief, I certify that the information set forth in this statement is true, complete and correct.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7, 2023</w:t>
      </w:r>
    </w:p>
    <w:p>
      <w:pPr>
        <w:spacing w:after="0" w:line="82" w:lineRule="exact"/>
        <w:rPr>
          <w:sz w:val="20"/>
          <w:szCs w:val="20"/>
          <w:color w:val="auto"/>
        </w:rPr>
      </w:pPr>
    </w:p>
    <w:p>
      <w:pPr>
        <w:ind w:left="5640"/>
        <w:spacing w:after="0"/>
        <w:tabs>
          <w:tab w:leader="none" w:pos="5940" w:val="left"/>
        </w:tabs>
        <w:rPr>
          <w:sz w:val="20"/>
          <w:szCs w:val="20"/>
          <w:color w:val="auto"/>
        </w:rPr>
      </w:pPr>
      <w:r>
        <w:rPr>
          <w:rFonts w:ascii="Times New Roman" w:cs="Times New Roman" w:eastAsia="Times New Roman" w:hAnsi="Times New Roman"/>
          <w:sz w:val="14"/>
          <w:szCs w:val="14"/>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4"/>
          <w:szCs w:val="14"/>
          <w:color w:val="auto"/>
        </w:rPr>
        <w:t>Name: Paolo Enoizi</w:t>
      </w:r>
    </w:p>
    <w:p>
      <w:pPr>
        <w:ind w:left="596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8"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AGREEMENT AND PLAN OF MERGER</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dated as of April 6, 2023,</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GASLOG PARTNERS LP,</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GASLOG PARTNERS GP LLC,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GASLOG LTD.</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SATURN MERGER SUB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613410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6"/>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ARTICLE I</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THE MERGER</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The Merger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Closing</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Effective Time</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Effects of the Merger</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1.5.</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Organizational Documents of the Surviving Entity</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59"/>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7"/>
              </w:rPr>
              <w:t>ARTICLE II</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EFFECT ON INTERESTS</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Effect of Merger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Payment of Merger Consideration</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Partnership Awards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Adjustments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Dissenters’ Rights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59"/>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6"/>
              </w:rPr>
              <w:t>ARTICLE III</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6"/>
              </w:rPr>
              <w:t>REPRESENTATIONS AND WARRANTIES OF THE PARTNERSHIP</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3.1.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Organization, Standing and Power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Capitalization</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Authority; Noncontravention; Voting Requirements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Governmental Approvals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3.5.</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Legal Proceedings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3.6.</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Information Supplied</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3.7.</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Opinion of Financial Advisor</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3.8.</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Brokers and Other Advisors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3.9.</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59"/>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7"/>
              </w:rPr>
              <w:t>ARTICLE IV</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7"/>
              </w:rPr>
              <w:t>REPRESENTATIONS AND WARRANTIES OF THE SPONSOR ENTITIES</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Organization, Standing and Power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Operations and Ownership of Merger Sub</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Authority; Noncontravention</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Governmental Approvals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4.5.</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Legal Proceedings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4.6.</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Debt Financing</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4.7.</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Information Supplied</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4.8.</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Ownership of Partnership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4.9.</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ADDITIONAL COVENANTS AND AGREEMENTS</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Preparation of the Proxy Statement and the Schedule 13E-3; Unitholders Meeting</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Conduct of Business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5.3.</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 Solicitation; Adverse Recommendation Change</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5.4.</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Commercially Reasonable Efforts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5.5.</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Public Announcements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5.6.</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Access to Information</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5.7.</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Debt Financing</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5.8.</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Notification of Certain Matters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5.9.</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Indemnification and Insurance</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5.10.</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Securityholder Litigation</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5.11.</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Performance by the Partnership</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Conflicts Committee</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5.13.</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Special Distribution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VI</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CONDITIONS PRECEDENT</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6.1.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Conditions to Each Party’s Obligation to Effect the Merger</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Conditions to Obligations of the Sponsor Entities to Effect the Merger</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6.3.</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Conditions to Obligations of the Partnership to Effect the Merger</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6.4.</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Frustration of Closing Conditions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VII</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TERMINATION</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Termination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7.2.</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Effect of Termination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ARTICLE VIII</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MISCELLANEOUS</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 Survival of Representations, Warranties and Covenants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Amendment or Supplement</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8.3.</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Extension of Time, Waiver, Etc</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8.4.</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Assignment</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8.5.</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Counterparts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8.6.</w:t>
            </w:r>
          </w:p>
        </w:tc>
        <w:tc>
          <w:tcPr>
            <w:tcW w:w="7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Entire Agreement; No Third-Party Beneficiaries</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8.7.</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Governing Law; Jurisdiction; Waiver of Jury Trial</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8.8.</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Specific Enforcement</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8.9.</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8.10.</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8.11.</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Fees and Expenses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8.12.</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Interpretation</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8.13.</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Non-Recourse</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8.14.</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Debt Financing Sources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8.15.</w:t>
            </w:r>
          </w:p>
        </w:tc>
        <w:tc>
          <w:tcPr>
            <w:tcW w:w="7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Definitions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AGREEMENT AND PLAN OF MERGER, dated as of April 6, 2023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among GasLog Partners LP, a Marshall Islands limited partnership (the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GasLog Partners GP LLC, a Marshall Islands limited liability company and the general partner of the Partnership (the “</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GasLog Ltd., a Bermuda exempted company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Saturn Merger Sub LLC, a Marshall Islands limited liability company and a wholly owned subsidiary of Parent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and, together with Parent and the General Partner, the “</w:t>
      </w:r>
      <w:r>
        <w:rPr>
          <w:rFonts w:ascii="Times New Roman" w:cs="Times New Roman" w:eastAsia="Times New Roman" w:hAnsi="Times New Roman"/>
          <w:sz w:val="22"/>
          <w:szCs w:val="22"/>
          <w:u w:val="single" w:color="auto"/>
          <w:color w:val="auto"/>
        </w:rPr>
        <w:t>Sponsor Entities</w:t>
      </w:r>
      <w:r>
        <w:rPr>
          <w:rFonts w:ascii="Times New Roman" w:cs="Times New Roman" w:eastAsia="Times New Roman" w:hAnsi="Times New Roman"/>
          <w:sz w:val="22"/>
          <w:szCs w:val="22"/>
          <w:color w:val="auto"/>
        </w:rPr>
        <w:t>”). Each of the Partnership, the General Partner, Parent and Merger Sub are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Capitalized terms used but not defined elsewhere in this Agreement shall have the meanings set forth in </w:t>
      </w:r>
      <w:r>
        <w:rPr>
          <w:rFonts w:ascii="Times New Roman" w:cs="Times New Roman" w:eastAsia="Times New Roman" w:hAnsi="Times New Roman"/>
          <w:sz w:val="22"/>
          <w:szCs w:val="22"/>
          <w:u w:val="single" w:color="auto"/>
          <w:color w:val="auto"/>
        </w:rPr>
        <w:t>Section 8.15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intend that, on the terms and subject to the conditions set forth in this Agreement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Marshall Islands LP Act and the Marshall Islands LLC Act, (a) Merger Sub will merge with and into the Partnership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Partnership surviving such Merger, and (b) in connection with the Merger and the other transactions contemplated by this Agreement (collectively,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each Common Unit (other than the Sponsor Units (as defined below) with respect to the Merger Consideration (as defined below)) will receive overall value of $8.65 per Common Unit in cash (the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consisting of (i) a special distribution of $3.28 per Common Unit (with a corresponding amount distributed in respect of each General Partner Unit) to be paid by the Partnership in accordance with the terms hereof (the “</w:t>
      </w:r>
      <w:r>
        <w:rPr>
          <w:rFonts w:ascii="Times New Roman" w:cs="Times New Roman" w:eastAsia="Times New Roman" w:hAnsi="Times New Roman"/>
          <w:sz w:val="22"/>
          <w:szCs w:val="22"/>
          <w:u w:val="single" w:color="auto"/>
          <w:color w:val="auto"/>
        </w:rPr>
        <w:t>Special Distribution</w:t>
      </w:r>
      <w:r>
        <w:rPr>
          <w:rFonts w:ascii="Times New Roman" w:cs="Times New Roman" w:eastAsia="Times New Roman" w:hAnsi="Times New Roman"/>
          <w:sz w:val="22"/>
          <w:szCs w:val="22"/>
          <w:color w:val="auto"/>
        </w:rPr>
        <w:t>”) and (ii) merger consideration of $5.37 per Common Unit to be paid by Parent at the Closing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in its capacity as the sole member of the General Partner, has (a) determined that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Transactions are in the best interests of the General Partner and declared it advisable to consent to and enter into this Agreement and (b) consented to and approved this Agreement and the Transactions (the “</w:t>
      </w:r>
      <w:r>
        <w:rPr>
          <w:rFonts w:ascii="Times New Roman" w:cs="Times New Roman" w:eastAsia="Times New Roman" w:hAnsi="Times New Roman"/>
          <w:sz w:val="22"/>
          <w:szCs w:val="22"/>
          <w:u w:val="single" w:color="auto"/>
          <w:color w:val="auto"/>
        </w:rPr>
        <w:t>General Partner Approval</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Conflicts Committee (the “</w:t>
      </w:r>
      <w:r>
        <w:rPr>
          <w:rFonts w:ascii="Times New Roman" w:cs="Times New Roman" w:eastAsia="Times New Roman" w:hAnsi="Times New Roman"/>
          <w:sz w:val="22"/>
          <w:szCs w:val="22"/>
          <w:u w:val="single" w:color="auto"/>
          <w:color w:val="auto"/>
        </w:rPr>
        <w:t>Conflicts Committee</w:t>
      </w:r>
      <w:r>
        <w:rPr>
          <w:rFonts w:ascii="Times New Roman" w:cs="Times New Roman" w:eastAsia="Times New Roman" w:hAnsi="Times New Roman"/>
          <w:sz w:val="22"/>
          <w:szCs w:val="22"/>
          <w:color w:val="auto"/>
        </w:rPr>
        <w:t>”) of the Board of Directors of the Partnership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Board</w:t>
      </w:r>
      <w:r>
        <w:rPr>
          <w:rFonts w:ascii="Times New Roman" w:cs="Times New Roman" w:eastAsia="Times New Roman" w:hAnsi="Times New Roman"/>
          <w:sz w:val="22"/>
          <w:szCs w:val="22"/>
          <w:color w:val="auto"/>
        </w:rPr>
        <w:t xml:space="preserve">”) has unanimously (a) determined that this Agreement and the Transactions are fair to and in the best interests of the Partnership and the Unaffiliated Unitholders, (b) approved this Agreement and the Transactions (the foregoing constituting Special Approval for all purposes under the Partnership Agreement) and (c) recommended to the Partnership Board that the Partnership Board (i) approve this Agreement and the Transactions and (ii) recommend approval of this Agreement and the Transactions to the Common Unitholders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Conflicts Committee Recommendation</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Partnership  Board,  acting  upon  the  Conflicts  Committee  Recommendation,  has  unanimously</w:t>
      </w:r>
    </w:p>
    <w:p>
      <w:pPr>
        <w:spacing w:after="0" w:line="18" w:lineRule="exact"/>
        <w:rPr>
          <w:sz w:val="20"/>
          <w:szCs w:val="20"/>
          <w:color w:val="auto"/>
        </w:rPr>
      </w:pPr>
    </w:p>
    <w:p>
      <w:pPr>
        <w:jc w:val="both"/>
        <w:ind w:firstLine="8"/>
        <w:spacing w:after="0" w:line="247" w:lineRule="auto"/>
        <w:tabs>
          <w:tab w:leader="none" w:pos="29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determined that this Agreement and the Transactions are fair to and in the best interests of the Partnership and the Unaffiliated Unitholders, (b) approved this Agreement and the Transactions, (c) directed that this Agreement and the Transactions be submitted to a vote of the Common Unitholders, and (d) resolved, subject to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to recommend approval of this Agreement and the Transactions to the Common Unitholders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Partnership Board Recommendation</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Parent (the “</w:t>
      </w:r>
      <w:r>
        <w:rPr>
          <w:rFonts w:ascii="Times New Roman" w:cs="Times New Roman" w:eastAsia="Times New Roman" w:hAnsi="Times New Roman"/>
          <w:sz w:val="22"/>
          <w:szCs w:val="22"/>
          <w:u w:val="single" w:color="auto"/>
          <w:color w:val="auto"/>
        </w:rPr>
        <w:t>Parent Board</w:t>
      </w:r>
      <w:r>
        <w:rPr>
          <w:rFonts w:ascii="Times New Roman" w:cs="Times New Roman" w:eastAsia="Times New Roman" w:hAnsi="Times New Roman"/>
          <w:sz w:val="22"/>
          <w:szCs w:val="22"/>
          <w:color w:val="auto"/>
        </w:rPr>
        <w:t>”) has unanimously (a) determined that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Support Agreement and the transactions contemplated hereby and thereby are in the best interests of Parent and (b) approved this Agreement and the Support Agreement and the transactions contemplated hereby and thereby;</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each of GEPIF III Crown Bidco L.P., a Cayman Islands exempted limited partnership (“</w:t>
      </w:r>
      <w:r>
        <w:rPr>
          <w:rFonts w:ascii="Times New Roman" w:cs="Times New Roman" w:eastAsia="Times New Roman" w:hAnsi="Times New Roman"/>
          <w:sz w:val="22"/>
          <w:szCs w:val="22"/>
          <w:u w:val="single" w:color="auto"/>
          <w:color w:val="auto"/>
        </w:rPr>
        <w:t>GEPIF</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Blenheim Holdings Ltd., a Bermuda exempted company (“</w:t>
      </w:r>
      <w:r>
        <w:rPr>
          <w:rFonts w:ascii="Times New Roman" w:cs="Times New Roman" w:eastAsia="Times New Roman" w:hAnsi="Times New Roman"/>
          <w:sz w:val="22"/>
          <w:szCs w:val="22"/>
          <w:u w:val="single" w:color="auto"/>
          <w:color w:val="auto"/>
        </w:rPr>
        <w:t>BHL</w:t>
      </w:r>
      <w:r>
        <w:rPr>
          <w:rFonts w:ascii="Times New Roman" w:cs="Times New Roman" w:eastAsia="Times New Roman" w:hAnsi="Times New Roman"/>
          <w:sz w:val="22"/>
          <w:szCs w:val="22"/>
          <w:color w:val="auto"/>
        </w:rPr>
        <w:t>”), in its capacity as a common shareholder of Parent, has consented to and approved this Agreement and the Transactions in accordance with the Shareholders’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owns 100% of the issued and outstanding limited liability company interests in Merger Sub;</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in its capacity as the sole member of Merger Sub, has (a) determined that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are in the best interests of Merger Sub and declared it advisable to enter into this Agreement and (b) approved the adoption, execution, delivery and performance of this Agreement and the Transactions; and</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simultaneously with the Parties’ entry into this Agreement, Parent and the Partnership shall enter into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voting and support agreement, dated as of the date hereof (as may be amended, the “</w:t>
      </w:r>
      <w:r>
        <w:rPr>
          <w:rFonts w:ascii="Times New Roman" w:cs="Times New Roman" w:eastAsia="Times New Roman" w:hAnsi="Times New Roman"/>
          <w:sz w:val="22"/>
          <w:szCs w:val="22"/>
          <w:u w:val="single" w:color="auto"/>
          <w:color w:val="auto"/>
        </w:rPr>
        <w:t>Support Agreement</w:t>
      </w:r>
      <w:r>
        <w:rPr>
          <w:rFonts w:ascii="Times New Roman" w:cs="Times New Roman" w:eastAsia="Times New Roman" w:hAnsi="Times New Roman"/>
          <w:sz w:val="22"/>
          <w:szCs w:val="22"/>
          <w:color w:val="auto"/>
        </w:rPr>
        <w:t>”), pursuant to which, among other things, Parent shall agree, in its capacity as a limited partner of the Partnership, to vote its Common Units in favor of this Agreement and the Transactions.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representations, warranties, covenants and agreements contained in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and intending to be legally bound, the Parties agree as follows: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MERGER</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22"/>
          <w:szCs w:val="22"/>
          <w:u w:val="single" w:color="auto"/>
          <w:color w:val="auto"/>
        </w:rPr>
        <w:t>The Merger.</w:t>
      </w:r>
      <w:r>
        <w:rPr>
          <w:rFonts w:ascii="Times New Roman" w:cs="Times New Roman" w:eastAsia="Times New Roman" w:hAnsi="Times New Roman"/>
          <w:sz w:val="22"/>
          <w:szCs w:val="22"/>
          <w:color w:val="auto"/>
        </w:rPr>
        <w:t xml:space="preserve"> Upon the terms and subject to the conditions set forth in this Agreement, and in accordance with the Marshall Islands LP Act and the Marshall Islands LLC Act, at the Effective Time, Merger Sub shall be merged with and into the Partnership, the separate limited liability company existence of Merger Sub will cease and the Partnership will continue its existence as a limited partnership under Marshall Islands Law as the surviving entity in the Merger (such surviving entity, the “</w:t>
      </w:r>
      <w:r>
        <w:rPr>
          <w:rFonts w:ascii="Times New Roman" w:cs="Times New Roman" w:eastAsia="Times New Roman" w:hAnsi="Times New Roman"/>
          <w:sz w:val="22"/>
          <w:szCs w:val="22"/>
          <w:u w:val="single" w:color="auto"/>
          <w:color w:val="auto"/>
        </w:rPr>
        <w:t>Surviving Entity</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1.2.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the closing of the Merger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take place remotely via the electronic exchange of documents and signature pages as promptly as practicable after the satisfaction or waiver of the conditions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(other than conditions that by their nature are to be satisfied at the Closing, but subject to the satisfaction or waiver of those conditions), or at such other place, date and time as the Partnership and Parent shall agree. The date on which the Closing actually occurs is referred to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1.3.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xml:space="preserve"> On the terms and subject to the conditions set forth in this Agreement, the Partnership will, on the Closing Date, duly file a certificate of merger effecting the Merger, executed in accordance with, and in such form as is required by, the relevant provisions of the Marshall Islands LP Act and the Marshall Islands LLC Act (the “</w:t>
      </w:r>
      <w:r>
        <w:rPr>
          <w:rFonts w:ascii="Times New Roman" w:cs="Times New Roman" w:eastAsia="Times New Roman" w:hAnsi="Times New Roman"/>
          <w:sz w:val="22"/>
          <w:szCs w:val="22"/>
          <w:u w:val="single" w:color="auto"/>
          <w:color w:val="auto"/>
        </w:rPr>
        <w:t>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Registrar of Corporations of the Republic of the Marshall Islands. The Merger will become effective at such time as the Certificate of Merger has been duly filed with the Registrar of Corporations of the Republic of the Marshall Islands or at such later date as may be agreed by the Partnership and Parent in writing and specified in the Certificate of Merger (the effective time of the Merger being hereinafter referred to as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20"/>
          <w:szCs w:val="20"/>
          <w:color w:val="auto"/>
        </w:rPr>
        <w:t>Section 1.4.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Effects of the Merger.</w:t>
      </w:r>
      <w:r>
        <w:rPr>
          <w:rFonts w:ascii="Times New Roman" w:cs="Times New Roman" w:eastAsia="Times New Roman" w:hAnsi="Times New Roman"/>
          <w:sz w:val="20"/>
          <w:szCs w:val="20"/>
          <w:color w:val="auto"/>
        </w:rPr>
        <w:t xml:space="preserve"> From and after the Effective Time, the Merger shall have the effects set forth herein, in the Partnership Agreement and in the applicable provisions of the Marshall Islands LP Act and the Marshall Islands LLC Act.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Organizational Documents of the Surviving Entity.</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At the Effective Time, the certificate of limited partnership of the Partnership as in effect immediately prior to the Effective Time shall remain unchanged and shall be the certificate of limited partnership of the Surviving Entity from and after the Effective Time, until duly amended in accordance with the terms of the Partnership Agreement and applicable Law.</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At the Effective Time, the Partnership Agreement as in effect immediately prior to the Effective Time shall remain unchanged and shall be the agreement of limited partnership of the Surviving Entity from and after the Effective Time, until duly amended in accordance with the terms of the Partnership Agreement and applicable Law, subject to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 ON INTERESTS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2.1.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 of Merger.</w:t>
      </w:r>
      <w:r>
        <w:rPr>
          <w:rFonts w:ascii="Times New Roman" w:cs="Times New Roman" w:eastAsia="Times New Roman" w:hAnsi="Times New Roman"/>
          <w:sz w:val="22"/>
          <w:szCs w:val="22"/>
          <w:color w:val="auto"/>
        </w:rPr>
        <w:t xml:space="preserve"> At the Effective Time, by virtue of the occurrence of the Merger, and without any action on the part of the Partnership, the General Partner, Parent, Merger Sub or any holder of any securities of the Partnership or Merger Sub:</w:t>
      </w:r>
    </w:p>
    <w:p>
      <w:pPr>
        <w:spacing w:after="0" w:line="20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Conversion of Membership Interests in Merger Sub</w:t>
      </w:r>
      <w:r>
        <w:rPr>
          <w:rFonts w:ascii="Times New Roman" w:cs="Times New Roman" w:eastAsia="Times New Roman" w:hAnsi="Times New Roman"/>
          <w:sz w:val="22"/>
          <w:szCs w:val="22"/>
          <w:color w:val="auto"/>
        </w:rPr>
        <w:t xml:space="preserve">. The limited liability company interests in Merger Sub issued and outstanding immediately prior to the Effective Time shall automatically be converted into and become a number of common units representing limited partner interests in the Surviving Entity equal to the number of Common Units converted into the right to receive the Merger Consideration pursuant to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At the Effective Time, the books and records of the Partnership (as the Surviving Entity) shall be revised to reflect that Parent is the only Common Unitholder of the Surviving Entity and the simultaneous withdrawal of all other Common Unitholders from the Partnership.</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Conversion of Certain Common Units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Sections 2.1(c)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each Common Unit issued and outstanding immediately prior to the Effective Time, other than the Sponsor Units, shall automatically be canceled and converted into and shall thereafter represent the right to receive an amount in cash equal to the Merger Consideration, without interest. As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the Effective Time, all such Common Units shall no longer be issued and outstanding and shall automatically be canceled and shall cease to exist, and each holder of any such Common Unit shall cease to have any rights with respect thereto, except the right to receive the Merger Consideration (less any applicable withholding Taxes) pertaining to such Common Units to be paid in consideration therefor, in accordance with </w:t>
      </w:r>
      <w:r>
        <w:rPr>
          <w:rFonts w:ascii="Times New Roman" w:cs="Times New Roman" w:eastAsia="Times New Roman" w:hAnsi="Times New Roman"/>
          <w:sz w:val="21"/>
          <w:szCs w:val="21"/>
          <w:u w:val="single" w:color="auto"/>
          <w:color w:val="auto"/>
        </w:rPr>
        <w:t>Section 2.2(b)</w:t>
      </w:r>
      <w:r>
        <w:rPr>
          <w:rFonts w:ascii="Times New Roman" w:cs="Times New Roman" w:eastAsia="Times New Roman" w:hAnsi="Times New Roman"/>
          <w:sz w:val="21"/>
          <w:szCs w:val="21"/>
          <w:color w:val="auto"/>
        </w:rPr>
        <w:t xml:space="preserve">, and the right to receive any distribution in accordance with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(including, for the avoidance of doubt, the Special Distribution pursuant to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in each case without interest.</w:t>
      </w:r>
    </w:p>
    <w:p>
      <w:pPr>
        <w:spacing w:after="0" w:line="19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Treatment of Parent-Owned Common Units</w:t>
      </w:r>
      <w:r>
        <w:rPr>
          <w:rFonts w:ascii="Times New Roman" w:cs="Times New Roman" w:eastAsia="Times New Roman" w:hAnsi="Times New Roman"/>
          <w:sz w:val="22"/>
          <w:szCs w:val="22"/>
          <w:color w:val="auto"/>
        </w:rPr>
        <w:t>. Each Common Unit issued and outstanding immediately prior to the Effective Time and owned (beneficially or of record) by Parent and its Affiliates (“</w:t>
      </w:r>
      <w:r>
        <w:rPr>
          <w:rFonts w:ascii="Times New Roman" w:cs="Times New Roman" w:eastAsia="Times New Roman" w:hAnsi="Times New Roman"/>
          <w:sz w:val="22"/>
          <w:szCs w:val="22"/>
          <w:u w:val="single" w:color="auto"/>
          <w:color w:val="auto"/>
        </w:rPr>
        <w:t>Sponsor Units</w:t>
      </w:r>
      <w:r>
        <w:rPr>
          <w:rFonts w:ascii="Times New Roman" w:cs="Times New Roman" w:eastAsia="Times New Roman" w:hAnsi="Times New Roman"/>
          <w:sz w:val="22"/>
          <w:szCs w:val="22"/>
          <w:color w:val="auto"/>
        </w:rPr>
        <w:t xml:space="preserve">”) shall not be canceled, shall not be converted into the right to receive the Merger Consideration and shall remain issued and outstanding as common units representing limited partner interests in the Surviving Entity. Parent shall have continued rights with respect to the Sponsor Units to receive, without interest, any distribution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(including, for the avoidance of doubt, the Special Distribution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Cancelation of Class B Units</w:t>
      </w:r>
      <w:r>
        <w:rPr>
          <w:rFonts w:ascii="Times New Roman" w:cs="Times New Roman" w:eastAsia="Times New Roman" w:hAnsi="Times New Roman"/>
          <w:sz w:val="22"/>
          <w:szCs w:val="22"/>
          <w:color w:val="auto"/>
        </w:rPr>
        <w:t>. Each Class B Unit issued and outstanding immediately prior to the Effective Time shall be canceled and shall cease to exist, and no consideration shall be delivered in respect thereof in accordance with the Partnership Agreement.</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Treatment of Preference Units</w:t>
      </w:r>
      <w:r>
        <w:rPr>
          <w:rFonts w:ascii="Times New Roman" w:cs="Times New Roman" w:eastAsia="Times New Roman" w:hAnsi="Times New Roman"/>
          <w:sz w:val="22"/>
          <w:szCs w:val="22"/>
          <w:color w:val="auto"/>
        </w:rPr>
        <w:t>. Each Preference Unit that is issued and outstanding as of immediately prior to the Effective Time will be unaffected by the Merger and shall be unchanged and remain issued and outstanding in the Surviving Entity, and no consideration shall be delivered in respect thereof in accordance with the Partnership Agreement.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Treatment of General Partner Interest</w:t>
      </w:r>
      <w:r>
        <w:rPr>
          <w:rFonts w:ascii="Times New Roman" w:cs="Times New Roman" w:eastAsia="Times New Roman" w:hAnsi="Times New Roman"/>
          <w:sz w:val="22"/>
          <w:szCs w:val="22"/>
          <w:color w:val="auto"/>
        </w:rPr>
        <w:t>. The General Partner Interest that is issued and outstanding immediately prior to the Effective Time shall remain issued and outstanding in the Surviving Entity and the General Partner shall continue as the sole general partner of the Surviving Entity and the sole record owner (and Parent shall continue as the sole beneficial owner) of the general partner interest in the Surviving Entity.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of Merger Consideration.</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Paying Agent; Deposit</w:t>
      </w:r>
      <w:r>
        <w:rPr>
          <w:rFonts w:ascii="Times New Roman" w:cs="Times New Roman" w:eastAsia="Times New Roman" w:hAnsi="Times New Roman"/>
          <w:sz w:val="22"/>
          <w:szCs w:val="22"/>
          <w:color w:val="auto"/>
        </w:rPr>
        <w:t>. Prior to the Closing Date, Parent shall designate a bank or trust company reasonably acceptable to the Partnership to act as agent (the “</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xml:space="preserve">”) for the payment and delivery of the aggregate Merger Consideration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in connection therewith, Parent shall enter into an agreement with the Paying Agent prior to the Closing Date in a form reasonably acceptable to the Partnership. At or prior to the Effective Time, Parent shall deposit or cause to be deposited with the Paying Agent an amount in cash sufficient to pay the aggregate Merger Consideration (such cash, and any amounts earned via the investment thereof pursuant to the immediately following sentence, being hereinafter referred to as “</w:t>
      </w:r>
      <w:r>
        <w:rPr>
          <w:rFonts w:ascii="Times New Roman" w:cs="Times New Roman" w:eastAsia="Times New Roman" w:hAnsi="Times New Roman"/>
          <w:sz w:val="22"/>
          <w:szCs w:val="22"/>
          <w:u w:val="single" w:color="auto"/>
          <w:color w:val="auto"/>
        </w:rPr>
        <w:t>Exchange Fund</w:t>
      </w:r>
      <w:r>
        <w:rPr>
          <w:rFonts w:ascii="Times New Roman" w:cs="Times New Roman" w:eastAsia="Times New Roman" w:hAnsi="Times New Roman"/>
          <w:sz w:val="22"/>
          <w:szCs w:val="22"/>
          <w:color w:val="auto"/>
        </w:rPr>
        <w:t xml:space="preserve">”). Pending its disbursement in accordance with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Services, Inc.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or Standard and Poor’s Ratings Services or (iv) 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Common Unitholders to receive the Merger Consideration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The Exchange Fund shall not be used for any purpose other than the payment to Common Unitholders of the Merger Consideration or payment to the Surviving Entity as contemplated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Exchange of Common Units</w:t>
      </w:r>
      <w:r>
        <w:rPr>
          <w:rFonts w:ascii="Times New Roman" w:cs="Times New Roman" w:eastAsia="Times New Roman" w:hAnsi="Times New Roman"/>
          <w:sz w:val="22"/>
          <w:szCs w:val="22"/>
          <w:color w:val="auto"/>
        </w:rPr>
        <w:t xml:space="preserve">. As soon as reasonably practicable after the Effective Time (but in no event later than three business days after the Effective Time), and without any action by any holder of record of Common Units (other than Sponsor Units), the Paying Agent shall deliver to such holder, (i) a notice of the effectiveness of the Merger and (ii) cash in an amount equal to, subject to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 xml:space="preserve">, (A) the number of Common Units held by such holder of record immediately prior to the Effective Time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Merger Consideration to which such holder is entitled under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Common Units shall forthwith be canceled. Until satisfaction of the applicable procedures contemplated by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each Common Unit (other than Sponsor Units) shall be deemed at any time after the Effective Time to represent only the right to receive the Merger Consideration and any distributions pertaining to Common Units formerly represented by such Common Unit as contemplated by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No interest shall be paid or shall accrue on the Merger Consideration payable with respect to Common Units pursuant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 of Exchange Fund</w:t>
      </w:r>
      <w:r>
        <w:rPr>
          <w:rFonts w:ascii="Times New Roman" w:cs="Times New Roman" w:eastAsia="Times New Roman" w:hAnsi="Times New Roman"/>
          <w:sz w:val="22"/>
          <w:szCs w:val="22"/>
          <w:color w:val="auto"/>
        </w:rPr>
        <w:t xml:space="preserve">. Any portion of the Exchange Fund that remains unclaimed by the holders of Common Units six months after the Effective Time shall be returned to Parent, upon demand, and thereafter such former Common Unitholders shall be entitled to look only to Parent for, and Parent shall remain liable for, payment of their claims of the Merger Consideration and any distribution pertaining to their former Common Units that such former Common Unitholders have the right to receive pursuant to the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Any Merger Consideration remaining unclaimed by such Common Unitholders immediately prior to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w:t>
      </w:r>
    </w:p>
    <w:p>
      <w:pPr>
        <w:spacing w:after="0" w:line="2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Liability</w:t>
      </w:r>
      <w:r>
        <w:rPr>
          <w:rFonts w:ascii="Times New Roman" w:cs="Times New Roman" w:eastAsia="Times New Roman" w:hAnsi="Times New Roman"/>
          <w:sz w:val="22"/>
          <w:szCs w:val="22"/>
          <w:color w:val="auto"/>
        </w:rPr>
        <w:t>. Notwithstanding any provision of this Agreement to the contrary, none of the Parties, the Surviving Entity or the Paying Agent shall be liable to any Person for any Merger Consideration delivered to a public official pursuant to any applicable state, federal or other abandoned property, escheat or similar Law.</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Transfer Books; No Further Ownership Rights in Common Units</w:t>
      </w:r>
      <w:r>
        <w:rPr>
          <w:rFonts w:ascii="Times New Roman" w:cs="Times New Roman" w:eastAsia="Times New Roman" w:hAnsi="Times New Roman"/>
          <w:sz w:val="22"/>
          <w:szCs w:val="22"/>
          <w:color w:val="auto"/>
        </w:rPr>
        <w:t xml:space="preserve">. The Merger Consideration paid in respect of each Common Unit (other than Sponsor Units) in accordance with the terms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shall be deemed to have been paid in full satisfaction of all rights pertaining to such Common Units, subject, however, to the Surviving Entity’s obligation to pay any distribution in respect of such Common Units with a record date occurring prior to the Effective Time that may have been declared by the Partnership Board not in violation of the terms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of this Agreement or prior to the date of this Agreement and which remains unpaid at the Effective Time, including, for the avoidance of doubt, the Special Distribution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At the Effective Time, the unit transfer books of the Partnership shall be closed and thereafter there shall be no further registration of transfers on the unit transfer books of the Surviving Entity of Common Units that were issued and outstanding immediately prior to the Effective Time (other than with respect to any Common Units that remain outstanding pursuant to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From and after the Effective Time, holders of Common Units (other than Sponsor Units) immediately prior to the Effective Time shall cease to have any rights with respect to such underlying Common Units, except as otherwise provided for herein or by applicable Law. If, at any time after the Effective Time, Common Units (other than Sponsor Units) are presented to the Paying Agent or Parent, they shall be canceled and exchanged as provided for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Parent, the Surviving Entity and the Paying Agent (without duplication) shall be entitled to deduct and withhold from the consideration otherwise payable pursuant to this Agreement such amounts as are required to be deducted and withheld with respect to the making of such payment under the U.S. Internal Revenue Code of 1986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Partnership Awards.</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At the Effective Time, by virtue of the occurrence of the Merger, and without any action on the part of the Partnership, the General Partner, Parent, Merger Sub or any holder of securities in the Partnership, each Partnership RCU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RCU Award as of immediately prior to the Effective Time and (B) the Merger Consideration and (ii) the amount of accrued but unpaid distributions, including for the avoidance of doubt, the Special Distribution, with respect to such Partnership RCU Award as of immediately prior to the Effective Time (collectively, the “</w:t>
      </w:r>
      <w:r>
        <w:rPr>
          <w:rFonts w:ascii="Times New Roman" w:cs="Times New Roman" w:eastAsia="Times New Roman" w:hAnsi="Times New Roman"/>
          <w:sz w:val="22"/>
          <w:szCs w:val="22"/>
          <w:u w:val="single" w:color="auto"/>
          <w:color w:val="auto"/>
        </w:rPr>
        <w:t>RCU Consideration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At the Effective Time, by virtue of the occurrence of the Merger, and without any action on the part of the Partnership, the General Partner, Parent, Merger Sub or any holder of securities in the Partnership, each Partnership PCU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PCU Award as of immediately prior to the Effective Time, determined based on actual achievement of any outstanding performance goals as of immediately prior to the Effective Time, and (B) the Merger Consideration and (ii) the amount of accrued but unpaid distributions, including for the avoidance of doubt, the Special Distribution, with respect to such Partnership PCU Award as of immediately prior to the Effective Time, determined based on actual achievement of any outstanding performance goals as of immediately prior to the Effective Time (collectively, the “</w:t>
      </w:r>
      <w:r>
        <w:rPr>
          <w:rFonts w:ascii="Times New Roman" w:cs="Times New Roman" w:eastAsia="Times New Roman" w:hAnsi="Times New Roman"/>
          <w:sz w:val="20"/>
          <w:szCs w:val="20"/>
          <w:u w:val="single" w:color="auto"/>
          <w:color w:val="auto"/>
        </w:rPr>
        <w:t>PCU Consideration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Prior to the Effective Time, the Partnership or Partnership Board (or, if appropriate, designated committee thereof administering the Partnership Long-Term Incentive Plan) shall take all actions necessary, including adopting any necessary resolutions, to provide that (i) the Partnership Awards shall be treated in accordance with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(ii) the Partnership Awards shall not be adjusted in respect of, or to reflect, the Special Distribution and (iii) the Surviving Entity shall not be required to deliver Common Units or any equity of the Partnership to any Person pursuant to, upon exercise of, or in settlement of Partnership RCU Awards or Partnership PCU Awards, as applicable, after the Effective Time.</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soon as reasonably practicable after the Effective Time (but in no event later than 15 business days after the Effective Time), Parent shall, or shall cause the Surviving Entity or one of its Subsidiaries to, pay through the payroll of Parent or the Surviving Entity or one of its Subsidiaries, as applicable, the aggregate RCU Consideration and the aggregate PCU Consideration, with such amounts paid without interest and net of any withholding Taxes required to be deducted and withheld by applicable Laws.</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2.4.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xml:space="preserve"> Notwithstanding any provision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to the contrary, if between the date of this Agreement and the Effective Time the number of outstanding Common Units shall have been changed into a different number of Common Units or a different class by reason of the occurrence or record date of any unit distribution, subdivision, reclassification, recapitalization, split, combination, exchange of units or similar transaction, the Merger Consideration shall be appropriately adjusted to reflect such unit distribution, subdivision, reclassification, recapitalization, split, combination, exchange of units or similar transaction.</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2.5.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Dissenters’ Rights.</w:t>
      </w:r>
      <w:r>
        <w:rPr>
          <w:rFonts w:ascii="Times New Roman" w:cs="Times New Roman" w:eastAsia="Times New Roman" w:hAnsi="Times New Roman"/>
          <w:sz w:val="22"/>
          <w:szCs w:val="22"/>
          <w:color w:val="auto"/>
        </w:rPr>
        <w:t xml:space="preserve"> No dissenters’ or appraisal rights shall be available with respect to the Merger or the other Transactions.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PARTNERSHIP</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Except as disclosed in the Partnership SEC Documents (but excluding any disclosure contained in any such Partnership SEC Documents under the headings “Risk Factors” or “Forward-Looking Statements” or similar headings (it being understood that this </w:t>
      </w:r>
      <w:r>
        <w:rPr>
          <w:rFonts w:ascii="Times New Roman" w:cs="Times New Roman" w:eastAsia="Times New Roman" w:hAnsi="Times New Roman"/>
          <w:sz w:val="22"/>
          <w:szCs w:val="22"/>
          <w:u w:val="single" w:color="auto"/>
          <w:color w:val="auto"/>
        </w:rPr>
        <w:t>provision</w:t>
      </w:r>
      <w:r>
        <w:rPr>
          <w:rFonts w:ascii="Times New Roman" w:cs="Times New Roman" w:eastAsia="Times New Roman" w:hAnsi="Times New Roman"/>
          <w:sz w:val="22"/>
          <w:szCs w:val="22"/>
          <w:color w:val="auto"/>
        </w:rPr>
        <w:t xml:space="preserve"> shall not be applicable to the representations and warranties set forth in </w:t>
      </w:r>
      <w:r>
        <w:rPr>
          <w:rFonts w:ascii="Times New Roman" w:cs="Times New Roman" w:eastAsia="Times New Roman" w:hAnsi="Times New Roman"/>
          <w:sz w:val="22"/>
          <w:szCs w:val="22"/>
          <w:u w:val="single" w:color="auto"/>
          <w:color w:val="auto"/>
        </w:rPr>
        <w:t>Sections 3.2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the Partnership hereby represents and warrants to Parent and Merger Sub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Organization, Standing and Power.</w:t>
      </w:r>
    </w:p>
    <w:p>
      <w:pPr>
        <w:spacing w:after="0" w:line="23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of the Partnership and its Subsidiaries has been duly formed and is validly existing and in good standing under the Laws of its respective jurisdiction of organization, with requisite corporate, partnership or limited liability company power and authority necessary to own or lease all of its properties and assets and to carry on its business as it is now being conducted, except, with respect to such Subsidiaries, where the failure to have such power and authority would not reasonably be expected to have, individually or in the aggregate, a Partnership Material Adverse Effect. Each of the Partnership and its Subsidiaries is in good standing under the Laws of each other jurisdiction which requires such qualification and is duly licensed or qualified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jc w:val="both"/>
        <w:spacing w:after="0" w:line="239" w:lineRule="auto"/>
        <w:rPr>
          <w:sz w:val="20"/>
          <w:szCs w:val="20"/>
          <w:color w:val="auto"/>
        </w:rPr>
      </w:pPr>
      <w:r>
        <w:rPr>
          <w:rFonts w:ascii="Times New Roman" w:cs="Times New Roman" w:eastAsia="Times New Roman" w:hAnsi="Times New Roman"/>
          <w:sz w:val="22"/>
          <w:szCs w:val="22"/>
          <w:color w:val="auto"/>
        </w:rPr>
        <w:t>transact business in each jurisdiction in which the nature of the business conducted by it or the character or location of the properties and assets owned or leased by it makes such licensing or qualification necessary, except where the failure to be in good standing or so licensed or qualified would not reasonably be expected to have, individually or in the aggregate, a Partnership Material Adverse Effect.</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true and complete copy of each of the Partnership Charter Documents is included in the Partnership SEC Documents. A true and complete copy of each of the Charter Documents of each of the Partnership’s Subsidiaries has been made available to Parent prior to the date hereof. The Partnership is not in violation of any of its Charter Documents, and none of its Subsidiaries are in violation of any of their respective Charter Documents in any material respect.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Capitalization.</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of the close of business on March 31, 2023 (the “</w:t>
      </w:r>
      <w:r>
        <w:rPr>
          <w:rFonts w:ascii="Times New Roman" w:cs="Times New Roman" w:eastAsia="Times New Roman" w:hAnsi="Times New Roman"/>
          <w:sz w:val="22"/>
          <w:szCs w:val="22"/>
          <w:u w:val="single" w:color="auto"/>
          <w:color w:val="auto"/>
        </w:rPr>
        <w:t>Capitalization Date</w:t>
      </w:r>
      <w:r>
        <w:rPr>
          <w:rFonts w:ascii="Times New Roman" w:cs="Times New Roman" w:eastAsia="Times New Roman" w:hAnsi="Times New Roman"/>
          <w:sz w:val="22"/>
          <w:szCs w:val="22"/>
          <w:color w:val="auto"/>
        </w:rPr>
        <w:t>”), the Partnership has (x) no partnership interests or other equity interests issued and outstanding and no Common Units held in treasury, other than (i) 51,687,865 Common Units, (ii) 1,245,000 Class B Units (comprised of (A) 415,000 Class B-4 Units, (B) 415,000 Class B-5 Units and (C) 415,000 Class B-6 Units), (iii) 13,616,022 Preference Units (comprised of (A) 5,084,984 Series A Preference Units,</w:t>
      </w:r>
    </w:p>
    <w:p>
      <w:pPr>
        <w:ind w:left="360" w:hanging="352"/>
        <w:spacing w:after="0" w:line="231" w:lineRule="auto"/>
        <w:tabs>
          <w:tab w:leader="none" w:pos="3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3,496,382 Series B Preference Units and (C) 3,061,045 Series C Preference Units) and (iv) the General Partner Interest and</w:t>
      </w:r>
    </w:p>
    <w:p>
      <w:pPr>
        <w:jc w:val="both"/>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 311,136 Common Units reserved for issuance under the Partnership Long-Term Incentive Plan as Partnership RCU Awards. All of the outstanding Partnership Interests have been duly authorized and validly issued in accordance with the Partnership Agreement, and are fully paid (to the extent required under the Partnership Agreement) and nonassessable (except (i) for the General Partner Interest, and (ii) as set forth in the Partnership Agreement or as such non-assessability may be affected by Sections 30, 41, 51 and 60 of the Marshall Islands LP Act) and, except as set forth in the Partnership Agreement, free of preemptive rights. Except (A) as set forth above in this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or (B) as otherwise expressly permitted by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as of the date of this Agreement there are not, and, as of the Effective Time there will not be, any partnership interests, voting securities or other equity interests of the Partnership issued and outstanding or any subscriptions, options, warrants, calls, convertible or exchangeable securities, rights, commitments or agreements of any character providing for the issuance of any partnership interests, voting securities or other equity interests of the Partnership, including any representing the right to purchase or otherwise receive any of the foregoing.</w:t>
      </w:r>
    </w:p>
    <w:p>
      <w:pPr>
        <w:spacing w:after="0" w:line="21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as set forth in the Partnership Agreement, as in effect as of the date of this Agreement, there are no outstanding obligations of the Partnership to repurchase, redeem or otherwise acquire any Partnership Interests or other equity interests or any options, warrants or other rights to acquire any partnership interests, shares of capital stock, voting securities or equity interests of the Partnership.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Authority; Noncontravention; Voting Requirements.</w:t>
      </w:r>
    </w:p>
    <w:p>
      <w:pPr>
        <w:spacing w:after="0" w:line="23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Partnership has all necessary partnership power and authority to execute and deliver this Agreement, to perform its obligations hereunder and, subject to obtaining the Unitholder Approval, to consummate the Transactions. The execution, delivery and performance by the Partnership of this Agreement and the consummation by the Partnership of the Transactions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have been duly authorized by the Partnership Board and approved by each of the Conflicts Committee and the Partnership Board, and the Partnership Board, acting upon the Conflicts Committee Recommendation, has unanimously (i) determined that this Agreement and the Transactions are fair to and in the best interests of the Partnership and the Unaffiliated Unitholders,</w:t>
      </w:r>
    </w:p>
    <w:p>
      <w:pPr>
        <w:jc w:val="both"/>
        <w:ind w:firstLine="8"/>
        <w:spacing w:after="0" w:line="243" w:lineRule="auto"/>
        <w:tabs>
          <w:tab w:leader="none" w:pos="32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approved this Agreement and the Transactions, (iii) directed that this Agreement and the Transactions be submitted to a vote of the Common Unitholders, and (iv) resolved, subject to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to make the Partnership Board Recommendation. As of the date of this Agreement, neither the Conflicts Committee Recommendation nor the Partnership Board Recommendation has been subsequently rescinded, modified or withdrawn in any way. Except for obtaining the Unitholder Approval, no other entity action on the part of the Partnership is necessary to authorize the execution, delivery and performance by the Partnership of this Agreement and the consummation by the Partnership of the Transactions. This Agreement has been duly and validly executed and delivered by the Partnership and, assuming due authorization, execution and delivery of this Agreement by the Sponsor Entities, constitutes the legal, valid and binding obligation of the Partnership, enforceable against the Partnership in accordance with its terms, except as such enforceability (A) may be limited by bankruptcy, insolvency, reorganization, moratorium, fraudulent conveyance, rehabilitation, conservatorship, liquidation, receivership and other similar Laws, now or hereafter in effect, of general application affecting or relating to the enforcement of creditors’ rights generally and (B) is subject to general principles of equity, whether applied in a Proceeding or at law or in equity (collectively, the “</w:t>
      </w:r>
      <w:r>
        <w:rPr>
          <w:rFonts w:ascii="Times New Roman" w:cs="Times New Roman" w:eastAsia="Times New Roman" w:hAnsi="Times New Roman"/>
          <w:sz w:val="21"/>
          <w:szCs w:val="21"/>
          <w:u w:val="single" w:color="auto"/>
          <w:color w:val="auto"/>
        </w:rPr>
        <w:t>Bankruptcy and Equity Exception</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Neither the execution and delivery of this Agreement by the Partnership, nor the consummation by the Partnership of the Transactions, nor performance or compliance by the Partnership with any of the terms or provisions of this Agreement will</w:t>
      </w:r>
    </w:p>
    <w:p>
      <w:pPr>
        <w:ind w:left="280" w:hanging="272"/>
        <w:spacing w:after="0" w:line="230" w:lineRule="auto"/>
        <w:tabs>
          <w:tab w:leader="none" w:pos="2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receipt of the Unitholder Approval and the General Partner Approval, conflict with or violate any provision of</w:t>
      </w:r>
    </w:p>
    <w:p>
      <w:pPr>
        <w:jc w:val="both"/>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 the Partnership Charter Documents or (B) any Charter Documents of the Partnership’s Subsidiaries or (ii) assuming that the Consents, filings, declarations or registrations referred to in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and the Unitholder Approval and the General Partner Approval are obtained and made, as applicable, (A) violate any Law or Judgment applicable to the Partnership or its Subsidiaries,</w:t>
      </w:r>
    </w:p>
    <w:p>
      <w:pPr>
        <w:spacing w:after="0" w:line="1" w:lineRule="exact"/>
        <w:rPr>
          <w:rFonts w:ascii="Times New Roman" w:cs="Times New Roman" w:eastAsia="Times New Roman" w:hAnsi="Times New Roman"/>
          <w:sz w:val="22"/>
          <w:szCs w:val="22"/>
          <w:color w:val="auto"/>
        </w:rPr>
      </w:pPr>
    </w:p>
    <w:p>
      <w:pPr>
        <w:jc w:val="both"/>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(B) violate or constitute a default under (with or without notice or lapse of time or both) any terms, conditions or provisions of any Contract to which the Partnership or any of its Subsidiaries is bound or give rise to any right to terminate, cancel, amend, modify or accelerate the Partnership’s or any of its Subsidiaries’ applicable rights or obligations under any such Contract, (C) give rise to any right of first refusal, preemptive right, tag-along right, transfer right or other similar right of any other party to a Contract to which the Partnership or any of its Subsidiaries is bound or (D) result in the creation of a Lien (other than Permitted Liens) on any properties or assets of the Partnership or any of its Subsidiaries, except in the case of </w:t>
      </w:r>
      <w:r>
        <w:rPr>
          <w:rFonts w:ascii="Times New Roman" w:cs="Times New Roman" w:eastAsia="Times New Roman" w:hAnsi="Times New Roman"/>
          <w:sz w:val="21"/>
          <w:szCs w:val="21"/>
          <w:u w:val="single" w:color="auto"/>
          <w:color w:val="auto"/>
        </w:rPr>
        <w:t>clauses (i)(B)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as would not reasonably be expected to have, individually or in the aggregate, a Partnership Material Adverse Effect.</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for the General Partner Approval, the affirmative vote (in person or by proxy) of the holders of at least a majority of the outstanding Common Units entitled to vote thereon, voting as a single class, at a Unitholders Meeting (the “</w:t>
      </w:r>
      <w:r>
        <w:rPr>
          <w:rFonts w:ascii="Times New Roman" w:cs="Times New Roman" w:eastAsia="Times New Roman" w:hAnsi="Times New Roman"/>
          <w:sz w:val="22"/>
          <w:szCs w:val="22"/>
          <w:u w:val="single" w:color="auto"/>
          <w:color w:val="auto"/>
        </w:rPr>
        <w:t>Unitholder Approval</w:t>
      </w:r>
      <w:r>
        <w:rPr>
          <w:rFonts w:ascii="Times New Roman" w:cs="Times New Roman" w:eastAsia="Times New Roman" w:hAnsi="Times New Roman"/>
          <w:sz w:val="22"/>
          <w:szCs w:val="22"/>
          <w:color w:val="auto"/>
        </w:rPr>
        <w:t>”) in favor of the approval of this Agreement is the only vote or approval of the holders of any class or series of partnership interests, equity interests or capital stock of the Partnership or any of its Subsidiaries that is necessary to approve this Agreement and to consummate the Transactions.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Section 3.4.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Governmental Approvals.</w:t>
      </w:r>
      <w:r>
        <w:rPr>
          <w:rFonts w:ascii="Times New Roman" w:cs="Times New Roman" w:eastAsia="Times New Roman" w:hAnsi="Times New Roman"/>
          <w:sz w:val="20"/>
          <w:szCs w:val="20"/>
          <w:color w:val="auto"/>
        </w:rPr>
        <w:t xml:space="preserve"> Except for (a) compliance with the applicable requirements of the Exchange Act, including the filing with the SEC of the Schedule 13E-3 (including the filing of a proxy statement with the SEC in connection with the Merger (the “</w:t>
      </w:r>
      <w:r>
        <w:rPr>
          <w:rFonts w:ascii="Times New Roman" w:cs="Times New Roman" w:eastAsia="Times New Roman" w:hAnsi="Times New Roman"/>
          <w:sz w:val="20"/>
          <w:szCs w:val="20"/>
          <w:u w:val="single" w:color="auto"/>
          <w:color w:val="auto"/>
        </w:rPr>
        <w:t>Proxy Statement</w:t>
      </w:r>
      <w:r>
        <w:rPr>
          <w:rFonts w:ascii="Times New Roman" w:cs="Times New Roman" w:eastAsia="Times New Roman" w:hAnsi="Times New Roman"/>
          <w:sz w:val="20"/>
          <w:szCs w:val="20"/>
          <w:color w:val="auto"/>
        </w:rPr>
        <w:t>”)), (b) 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any applicable Antitrust Laws and</w:t>
      </w:r>
    </w:p>
    <w:p>
      <w:pPr>
        <w:spacing w:after="0" w:line="3" w:lineRule="exact"/>
        <w:rPr>
          <w:sz w:val="20"/>
          <w:szCs w:val="20"/>
          <w:color w:val="auto"/>
        </w:rPr>
      </w:pPr>
    </w:p>
    <w:p>
      <w:pPr>
        <w:jc w:val="both"/>
        <w:ind w:firstLine="8"/>
        <w:spacing w:after="0" w:line="233" w:lineRule="auto"/>
        <w:tabs>
          <w:tab w:leader="none" w:pos="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any applicable state securities or blue sky laws (collectively, the “</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no Consent of, or filing, declaration or registration with, any Governmental Authority is necessary for the execution and delivery of this Agreement by the Partnership, the performance by the Partnership of its obligations hereunder and the consummation by the Partnership of the Transactions, other than such other Consents, filings, declarations or registrations that, if not obtained, made or given, would not reasonably be expected to have, individually or in the aggregate, a Partnership Material Adverse Effect.</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3.5.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xml:space="preserve"> Except as would not, individually or in the aggregate, reasonably be expected to have a Partnership Material Adverse Effect, there is no (a) pending or, to the Knowledge of the Partnership, threatened in writing, Proceeding or, to the Knowledge of the Partnership, investigation against the Partnership or any of its Subsidiaries or (b) outstanding injunction, order, judgment, ruling, decree or writ of any Governmental Authority (a “</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imposed upon the Partnership or any of its Subsidiaries or any of their respective directors or officers (in their capacities as such) or, to the Knowledge of the Partnership, any other Person for whom the Partnership or any of its Subsidiaries may be liable as an indemnifying party or otherwise, in each case, by or before any Governmental Authority.</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3.6.</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 Supplied.</w:t>
      </w:r>
      <w:r>
        <w:rPr>
          <w:rFonts w:ascii="Times New Roman" w:cs="Times New Roman" w:eastAsia="Times New Roman" w:hAnsi="Times New Roman"/>
          <w:sz w:val="22"/>
          <w:szCs w:val="22"/>
          <w:color w:val="auto"/>
        </w:rPr>
        <w:t xml:space="preserve"> None of the information supplied (or to be supplied) in writing by or on behalf of the Partnership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The Proxy Statement will comply as to form in all material respects with the applicable requirements of the Exchange Act. Notwithstanding the foregoing, the Partnership makes no representation or warranty with respect to information supplied by or on behalf of Parent or its Affiliates for inclusion or incorporation by reference in the Schedule 13E-3.</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3.7.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Opinion of Financial Advisor.</w:t>
      </w:r>
      <w:r>
        <w:rPr>
          <w:rFonts w:ascii="Times New Roman" w:cs="Times New Roman" w:eastAsia="Times New Roman" w:hAnsi="Times New Roman"/>
          <w:sz w:val="22"/>
          <w:szCs w:val="22"/>
          <w:color w:val="auto"/>
        </w:rPr>
        <w:t xml:space="preserve"> The Conflicts Committee has received the opinion of Evercore Group L.L.C. (the “</w:t>
      </w:r>
      <w:r>
        <w:rPr>
          <w:rFonts w:ascii="Times New Roman" w:cs="Times New Roman" w:eastAsia="Times New Roman" w:hAnsi="Times New Roman"/>
          <w:sz w:val="22"/>
          <w:szCs w:val="22"/>
          <w:u w:val="single" w:color="auto"/>
          <w:color w:val="auto"/>
        </w:rPr>
        <w:t>Financial Advisor</w:t>
      </w:r>
      <w:r>
        <w:rPr>
          <w:rFonts w:ascii="Times New Roman" w:cs="Times New Roman" w:eastAsia="Times New Roman" w:hAnsi="Times New Roman"/>
          <w:sz w:val="22"/>
          <w:szCs w:val="22"/>
          <w:color w:val="auto"/>
        </w:rPr>
        <w:t>”), dated the date of this Agreement, to the effect that, as of such date, and subject to the assumptions and qualifications set forth therein, the Consideration to be received by the Unaffiliated Unitholders is fair, from a financial point of view, to the Partnership and the Unaffiliated Unitholders.</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Section 3.8.</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Brokers and Other Advisors.</w:t>
      </w:r>
      <w:r>
        <w:rPr>
          <w:rFonts w:ascii="Times New Roman" w:cs="Times New Roman" w:eastAsia="Times New Roman" w:hAnsi="Times New Roman"/>
          <w:sz w:val="22"/>
          <w:szCs w:val="22"/>
          <w:color w:val="auto"/>
        </w:rPr>
        <w:t xml:space="preserve"> Except for the Financial Advisor, the fees and expenses of which will be paid by the Partnership on behalf of the Conflicts Committee, no broker,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jc w:val="both"/>
        <w:spacing w:after="0" w:line="244" w:lineRule="auto"/>
        <w:rPr>
          <w:sz w:val="20"/>
          <w:szCs w:val="20"/>
          <w:color w:val="auto"/>
        </w:rPr>
      </w:pPr>
      <w:r>
        <w:rPr>
          <w:rFonts w:ascii="Times New Roman" w:cs="Times New Roman" w:eastAsia="Times New Roman" w:hAnsi="Times New Roman"/>
          <w:sz w:val="22"/>
          <w:szCs w:val="22"/>
          <w:color w:val="auto"/>
        </w:rPr>
        <w:t>investment banker or financial advisor is entitled to any broker’s, finder’s or financial advisor’s or other similar fee or commission, or the reimbursement of expenses, in connection with the Transactions based on arrangements made by or on behalf of the Conflicts Committee.</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3.9.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xml:space="preserve"> Except for the representations and warranties set forth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neither the Partnership nor its Subsidiaries nor any other Person has made or is making any express or implied representation or warranty with respect to the Partnership or its Subsidiaries or with respect to any other information provided to Parent in connection with the Transactions. Without limiting the generality of the foregoing, neither the Partnership nor its Subsidiaries nor any other Person will have or be subject to any liability or other obligation to Parent or any other Person resulting from the distribution to Parent (including its Representatives), or Parent’s (or such Representatives’) use of any such information, including any information, documents, projections, forecasts or other materials made available to Parent in certain “data rooms” or management presentations in expectation of the Merger.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SPONSOR ENTITIES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Sponsor Entity hereby represents and warrants, jointly and severally, to the Partnership as follows:</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4.1.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Organization, Standing and Power.</w:t>
      </w:r>
      <w:r>
        <w:rPr>
          <w:rFonts w:ascii="Times New Roman" w:cs="Times New Roman" w:eastAsia="Times New Roman" w:hAnsi="Times New Roman"/>
          <w:sz w:val="22"/>
          <w:szCs w:val="22"/>
          <w:color w:val="auto"/>
        </w:rPr>
        <w:t xml:space="preserve"> Parent has been duly organized and is validly existing as an exempted company under Bermuda law. Merger Sub has been duly organized and is validly existing as a limited liability company under Marshall Islands law. The General Partner has been duly organized and is validly existing and in good standing as a limited liability company under Marshall Islands law.</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4.2.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Operations and Ownership of Merger Sub.</w:t>
      </w:r>
      <w:r>
        <w:rPr>
          <w:rFonts w:ascii="Times New Roman" w:cs="Times New Roman" w:eastAsia="Times New Roman" w:hAnsi="Times New Roman"/>
          <w:sz w:val="22"/>
          <w:szCs w:val="22"/>
          <w:color w:val="auto"/>
        </w:rPr>
        <w:t xml:space="preserve"> Parent beneficially owns all of the issued and outstanding limited liability company interests in Merger Sub. Merger Sub was formed solely for the purpose of engaging in the Merger and other Transactions and has not conducted any business other than incident to its formation and pursuant to this Agreement, the Merger and the other Transactions and the financing of such Transactions.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Authority; Noncontravention.</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Each of the Sponsor Entities has all necessary power and authority to execute and deliver this Agreement and the Support Agreement, as applicable, to perform its obligations hereunder and thereunder and to consummate the transactions contemplated hereby and thereby. The execution, delivery and performance by the Sponsor Entities of this Agreement, and the consummation of the Transactions have been unanimously authorized and approved by the Parent Board, the sole member of the General Partner and the sole member of Merger Sub.</w:t>
      </w:r>
    </w:p>
    <w:p>
      <w:pPr>
        <w:spacing w:after="0" w:line="204"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Parent Board has unanimously (i) determined that this Agreement and the Support Agreement and the transactions contemplated hereby and thereby are in the best interests of Parent and (ii) approved this Agreement and the Support Agreement and the transactions contemplated hereby and thereby. Each of GEPIF and BHL, in its capacity as a common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22"/>
          <w:szCs w:val="22"/>
          <w:color w:val="auto"/>
        </w:rPr>
        <w:t>shareholder of Parent, has consented to and approved this Agreement and the Transactions in accordance with the Shareholders’ Agreement.</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Parent, in its capacity as the sole member of Merger Sub, has (i) determined that this Agreement and the Transactions are in the best interests of Merger Sub and declared it advisable to enter into this Agreement and (ii) approved the adoption, execution, delivery and performance of this Agreement and the Transactions.</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Parent, in its capacity as the sole member of the General Partner, has (i) determined that this Agreement and the Transactions are in the best interests of the General Partner and declared it advisable to consent to and enter into this Agreement and (ii) consented to and approved this Agreement and the Transactions.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Neither the execution and delivery of this Agreement or the Support Agreement by a Sponsor Entity, nor the consummation by the Sponsor Entities of the transactions contemplated hereby or thereby, nor the performance or compliance by the Sponsor Entities with any of the terms or provisions of this Agreement or the Support Agreement, will (i) conflict with or violate any provision of the Charter Documents of the Sponsor Entities or (ii) assuming that the Consents, filings, declarations or registrations referred to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are made and obtained, as applicable, (A) violate any Law applicable to the Sponsor Entities, (B) violate or constitute a default under (with or without notice of lapse of time or both) any of the terms, conditions or provisions of any Contract to which the Sponsor Entities, as applicable, are bound or give rise to any right to terminate, cancel, amend, modify or accelerate the Sponsor Entities’ rights or obligations under any such Contract, (C) give rise to any right of first refusal, preemptive right, tag-along right, transfer right or other similar right of any other party to a Contract to which the Sponsor Entities are bound or (D) result in the creation of any Lien on any properties or assets of the Sponsor Entities (other than any Permitted Liens or Liens related to the Debt Financing), except, in the case of </w:t>
      </w:r>
      <w:r>
        <w:rPr>
          <w:rFonts w:ascii="Times New Roman" w:cs="Times New Roman" w:eastAsia="Times New Roman" w:hAnsi="Times New Roman"/>
          <w:sz w:val="20"/>
          <w:szCs w:val="20"/>
          <w:u w:val="single" w:color="auto"/>
          <w:color w:val="auto"/>
        </w:rPr>
        <w:t>clauses (i)(B)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as would not, individually or in the aggregate, reasonably be expected to prevent or materially delay, interfere with, hinder or impair the consummation by the Sponsor Entities of any of the Transactions in accordance with the terms of this Agreement.</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Simultaneously with the execution of this Agreement, Parent has executed and delivered the Support Agreement.</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Section 4.4.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Governmental Approvals.</w:t>
      </w:r>
      <w:r>
        <w:rPr>
          <w:rFonts w:ascii="Times New Roman" w:cs="Times New Roman" w:eastAsia="Times New Roman" w:hAnsi="Times New Roman"/>
          <w:sz w:val="20"/>
          <w:szCs w:val="20"/>
          <w:color w:val="auto"/>
        </w:rPr>
        <w:t xml:space="preserve"> Except for (a) compliance with the applicable requirements of the Exchange Act, including the filing with the SEC of the Schedule 13E-3 (including the Proxy Statement therein), (b) 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or the Support Agreement by the Sponsor Entities, the performance by the Sponsor Entities of their obligations hereunder and thereunder and the consummation by the Sponsor Entities of the transactions contemplated hereby and thereby, other than such Consents, filings, declarations or registrations that, if not obtained, made or given, would not, individually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22"/>
          <w:szCs w:val="22"/>
          <w:color w:val="auto"/>
        </w:rPr>
        <w:t>or in the aggregate, reasonably be expected to materially impede or delay the ability of the Sponsor Entities to consummate the Merger or comply with their respective obligations under this Agreement or the Support Agreement.</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4.5.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xml:space="preserve"> Except as would not, individually or in the aggregate, reasonably be expected to prevent or materially delay, interfere with, hinder or impair the consummation by the Sponsor Entities of any of the Transactions in accordance with the terms of this Agreement, there is no (a) pending or, to the Knowledge of Parent, threatened in writing, Proceeding or, to the Knowledge of Parent, investigation against Parent, Merger Sub or the General Partner or (b) outstanding Judgment imposed upon Parent, Merger Sub or the General Partner or any director or officer thereof (in their capacities as such) or, to the Knowledge of Parent, any other Person for whom Parent, Merger Sub or the General Partner may be liable as an indemnifying party or otherwise, in each case, by or before any Governmental Authority.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4.6.</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Financing.</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Parent has delivered to the Partnership a true and complete copy of a fully executed debt commitment letter dated as of the date hereof, together with all schedules, exhibits, annexes and term sheets attached thereto, pursuant to which the Debt Financing Sources party thereto have committed to provide to Merger Sub, subject to the terms and conditions therein, debt financing in the aggregate amount set forth therein (the “</w:t>
      </w:r>
      <w:r>
        <w:rPr>
          <w:rFonts w:ascii="Times New Roman" w:cs="Times New Roman" w:eastAsia="Times New Roman" w:hAnsi="Times New Roman"/>
          <w:sz w:val="20"/>
          <w:szCs w:val="20"/>
          <w:u w:val="single" w:color="auto"/>
          <w:color w:val="auto"/>
        </w:rPr>
        <w:t>Debt Financing</w:t>
      </w:r>
      <w:r>
        <w:rPr>
          <w:rFonts w:ascii="Times New Roman" w:cs="Times New Roman" w:eastAsia="Times New Roman" w:hAnsi="Times New Roman"/>
          <w:sz w:val="20"/>
          <w:szCs w:val="20"/>
          <w:color w:val="auto"/>
        </w:rPr>
        <w:t>”) with only fee amounts and other customary commercially sensitive terms redacted, none of which redacted provisions could affect the conditionality, enforceability, availability or aggregate principal amount of the Debt Financing (the “</w:t>
      </w:r>
      <w:r>
        <w:rPr>
          <w:rFonts w:ascii="Times New Roman" w:cs="Times New Roman" w:eastAsia="Times New Roman" w:hAnsi="Times New Roman"/>
          <w:sz w:val="20"/>
          <w:szCs w:val="20"/>
          <w:u w:val="single" w:color="auto"/>
          <w:color w:val="auto"/>
        </w:rPr>
        <w:t>Debt Commitment Letter</w:t>
      </w:r>
      <w:r>
        <w:rPr>
          <w:rFonts w:ascii="Times New Roman" w:cs="Times New Roman" w:eastAsia="Times New Roman" w:hAnsi="Times New Roman"/>
          <w:sz w:val="20"/>
          <w:szCs w:val="20"/>
          <w:color w:val="auto"/>
        </w:rPr>
        <w:t xml:space="preserve">”). As of the date of this Agreement, the Debt Commitment Letter in the form delivered to the Partnership has not been amended or modified, no such amendment or modification is contemplated and none of the obligations and commitments contained in such Debt Commitment Letter have been withdrawn, terminated or rescinded in any respect and no such withdrawal, termination or rescission is contemplated. Neither Parent, Merger Sub nor any of their Affiliates has entered into any agreement, side letter or other arrangement relating to the Debt Financing other than as set forth in the Debt Commitment Letter provided to the Partnership pursuant to this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Assuming the accuracy of the representations and warranties set forth in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and compliance by the Partnership with </w:t>
      </w:r>
      <w:r>
        <w:rPr>
          <w:rFonts w:ascii="Times New Roman" w:cs="Times New Roman" w:eastAsia="Times New Roman" w:hAnsi="Times New Roman"/>
          <w:sz w:val="20"/>
          <w:szCs w:val="20"/>
          <w:u w:val="single" w:color="auto"/>
          <w:color w:val="auto"/>
        </w:rPr>
        <w:t>Sections 5.2(b)(i)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the Debt Financing, when funded in accordance with the Debt Commitment Letter, together with cash on hand of Parent and its Subsidiaries, will provide Parent and Merger Sub with sources of immediately available funds in the aggregate sufficient for Parent and Merger Sub to pay the aggregate Merger Consideration and any other amount required to be paid by Parent or Merger Sub in connection with the consummation of the Transactions.</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Debt Commitment Letter is in full force and effect and is the legal, valid, binding and enforceable obligation of Parent and, to the Knowledge of Parent,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by Parent or any of its Subsidiaries or, to the Knowledge of Parent, any other party thereto, of any term of the Debt Commitment Letter. As of the date of this Agreement, assuming the satisfaction of the conditions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the performance by the Partnership</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jc w:val="both"/>
        <w:spacing w:after="0" w:line="233" w:lineRule="auto"/>
        <w:rPr>
          <w:sz w:val="20"/>
          <w:szCs w:val="20"/>
          <w:color w:val="auto"/>
        </w:rPr>
      </w:pPr>
      <w:r>
        <w:rPr>
          <w:rFonts w:ascii="Times New Roman" w:cs="Times New Roman" w:eastAsia="Times New Roman" w:hAnsi="Times New Roman"/>
          <w:sz w:val="22"/>
          <w:szCs w:val="22"/>
          <w:color w:val="auto"/>
        </w:rPr>
        <w:t>of its obligations under this Agreement, Parent does not have any reason to believe that any party to the Debt Commitment Letter will be unable to satisfy on a timely basis any term or condition of the Debt Commitment Letter required to be satisfied by it, that the conditions to the Debt Financing in the Debt Commitment Letter will not otherwise be satisfied or that the full amount of the Debt Financing will not be available on the Closing Date. The only conditions precedent or other contingencies related to the obligations of the Debt Financing Sources party to the Debt Commitment Letter to fund the full amount of the Debt Financing are those expressly set forth in the Debt Commitment Letter. As of the date of this Agreement, there are no side letters or other Contracts, arrangements or understandings (whether oral or written and whether or not legally binding) or commitments to enter into side letters or other Contracts, arrangements or understandings (whether oral or written and whether or not legally binding) to which Parent, Merger Sub or any of their Affiliates is a party related to the Debt Financing other than as expressly contained in the Debt Commitment Letter and delivered to the Partnership prior to the date of this Agreement. For the avoidance of doubt, in no event shall the receipt or availability of any funds or financing by or to Parent, Merger Sub or any Affiliate of Parent or Merger Sub be a condition to any obligations of the Sponsor Entities hereunder.</w:t>
      </w:r>
    </w:p>
    <w:p>
      <w:pPr>
        <w:spacing w:after="0" w:line="21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4.7.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 Supplied.</w:t>
      </w:r>
      <w:r>
        <w:rPr>
          <w:rFonts w:ascii="Times New Roman" w:cs="Times New Roman" w:eastAsia="Times New Roman" w:hAnsi="Times New Roman"/>
          <w:sz w:val="22"/>
          <w:szCs w:val="22"/>
          <w:color w:val="auto"/>
        </w:rPr>
        <w:t xml:space="preserve"> None of the information supplied (or to be supplied) in writing by or on behalf of the Sponsor Entities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Sponsor Entities make no representation or warranty with respect to information supplied by or on behalf of the Partnership for inclusion or incorporation by reference in the Schedule 13E-3.</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4.8.</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Ownership of Partnership Interests.</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of the date of this Agreement, Parent is the beneficial owner of (i) 15,621,602 Common Units and (ii) 1,245,000 Class B Units (comprised of (A) 415,000 Class B-4 Units, (B) 415,000 Class B-5 Units and (C) 415,000 Class B-6 Units), which represent all of the Common Units and Class B Units held beneficially by Parent or any of its Subsidiaries. Such Common Units and Class B Units have been duly authorized and validly issued in accordance with the Partnership Agreement; and Parent beneficially owns such Common Units and Class B Units, free and clear of all Liens (other than Permitted Liens), except for restrictions on transferability contained in the Partnership Agreement or as may be affected by Sections 30, 41, 51 and 60 of the Marshall Islands LP Act.</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General Partner is the sole general partner of the Partnership and owner of the General Partner Interest; such General Partner Interest has been duly authorized and validly issued in accordance with the Partnership Agreement; and the General Partner owns such General Partner Interest free and clear of all Liens, except for restrictions on transferability contained in the Partnership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4.9.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xml:space="preserve"> Except for the representations and warranties set forth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none of the Sponsor Entities, nor any other Person has made or is making any express or implied representation or warranty with respect to the Sponsor Entities or with respect to any other information provided to the Partnership and in connection with the Transactions. Without limiting the generality of the foregoing, none of the Sponsor Entities, nor any other Person will have or be subject to any liability or other obligation to the Partnership or any other Person resulting from the distribution to the Partnership or its Representatives, or the Partnership’s (or its Representatives’) use of any such information, including any information, documents, projections, forecasts or other materials made available to the Partnership in any “data rooms” or management presentations in expectation of the Merger.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COVENANTS AND AGREEMENTS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Preparation of the Proxy Statement and the Schedule 13E-3; Unitholders Meeting.</w:t>
      </w:r>
    </w:p>
    <w:p>
      <w:pPr>
        <w:spacing w:after="0" w:line="23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soon as practicable following the date of this Agreement, the Partnership and Parent shall prepare and file with the SEC the Proxy Statement and the Rule 13E-3 transaction statement on Schedule 13E-3 (as amended or supplemented, the “</w:t>
      </w:r>
      <w:r>
        <w:rPr>
          <w:rFonts w:ascii="Times New Roman" w:cs="Times New Roman" w:eastAsia="Times New Roman" w:hAnsi="Times New Roman"/>
          <w:sz w:val="22"/>
          <w:szCs w:val="22"/>
          <w:u w:val="single" w:color="auto"/>
          <w:color w:val="auto"/>
        </w:rPr>
        <w:t>Schedule 13E-3</w:t>
      </w:r>
      <w:r>
        <w:rPr>
          <w:rFonts w:ascii="Times New Roman" w:cs="Times New Roman" w:eastAsia="Times New Roman" w:hAnsi="Times New Roman"/>
          <w:sz w:val="22"/>
          <w:szCs w:val="22"/>
          <w:color w:val="auto"/>
        </w:rPr>
        <w:t>”). The Partnership shall use its commercially reasonable efforts to cause the Proxy Statement to be mailed to the Common Unitholders as promptly as practicable following the date of this Agreement. No filing of, or amendment or supplement to, including by incorporation by reference, the Proxy Statement or the Schedule 13E-3 will be made by any Party without providing the other Parties a reasonable opportunity to review and comment thereon. If at any time prior to the Effective Time any information relating to the Partnership or Parent, or any of their respective Affiliates, directors or officers, is discovered by the Partnership or Parent that should be set forth in an amendment or supplement to either the Proxy Statement or the Schedule 13E-3, so that any such document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Parties and an appropriate amendment or supplement describing such information shall be jointly prepared and promptly filed with the SEC and, to the extent required by Law, disseminated to the Common Unitholders. The Parties shall notify each other promptly of the receipt of any comments from the SEC or the staff of the SEC and of any request by the SEC or the staff of the SEC for amendments or supplements to either of the Proxy Statement or the Schedule 13E-3 or for additional information and shall supply each other with copies of all correspondence between it or any of its Representatives, on the one hand, and the SEC or the staff of the SEC, on the other hand, with respect to the Proxy Statement and the Schedule 13E-3 or the transactions contemplated by this Agreement.</w:t>
      </w:r>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Partnership shall, as soon as practicable following the date of this Agreement, establish a record date for, duly call, give notice of, convene and hold a special meeting of the Common Unitholders (the “</w:t>
      </w:r>
      <w:r>
        <w:rPr>
          <w:rFonts w:ascii="Times New Roman" w:cs="Times New Roman" w:eastAsia="Times New Roman" w:hAnsi="Times New Roman"/>
          <w:sz w:val="22"/>
          <w:szCs w:val="22"/>
          <w:u w:val="single" w:color="auto"/>
          <w:color w:val="auto"/>
        </w:rPr>
        <w:t>Unitholders Meeting</w:t>
      </w:r>
      <w:r>
        <w:rPr>
          <w:rFonts w:ascii="Times New Roman" w:cs="Times New Roman" w:eastAsia="Times New Roman" w:hAnsi="Times New Roman"/>
          <w:sz w:val="22"/>
          <w:szCs w:val="22"/>
          <w:color w:val="auto"/>
        </w:rPr>
        <w:t xml:space="preserve">”) for the purpose of obtaining the Unitholder Approval. Subject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the Partnership Board shall, acting upon the Conflicts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Committee Recommendation, make the Partnership Board Recommendation, and the Partnership shall use its commercially reasonable efforts to solicit from the Common Unitholders proxies in favor of the Merger and to take all other action necessary or advisable to secure the Unitholder Approval. The Proxy Statement shall include, subject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the Partnership Board Recommendation. Once the Unitholders Meeting has been called and noticed, the Partnership shall not postpone or adjourn the Unitholders Meeting without the consent of Parent (other than (i) in order to obtain a quorum of the Common Unitholders or (ii) as reasonably determined by the Partnership to comply with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Unitholders Meeting be adjourned or postponed for longer than 10 days without the prior written consent of Parent. In no event shall any matter be submitted to the Common Unitholders at the Unitholders Meeting other than the matters specifically contemplated by this Agreement without the prior written consent of Parent.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Unless this Agreement is validly terminated in accordance with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Partnership shall submit this Agreement to the Common Unitholders for approval at the Unitholders Meeting even if the Conflicts Committee shall have effected an Adverse Recommendation Change.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Conduct of Business.</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as required by applicable Law or Judgment or as expressly required by this Agreement, during the period from the date of this Agreement until the Effective Time (or such earlier date on which this Agreement is validly terminated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unless Parent otherwise expressly consents in writing (such consent not to be unreasonably withheld, conditioned or delayed), the Partnership shall, and shall cause each of its Subsidiaries to, (i) conduct its business in the ordinary course of business consistent with past practice and (ii) to the extent consistent with the foregoing, use commercially reasonable efforts to maintain and preserve intact its business organization, existing relations with key customers, suppliers and other Persons with whom the Partnership or its Subsidiaries have significant business relationships and the goodwill and reputation of the Partnership’s and its Subsidiaries’ respective businesses.</w:t>
      </w:r>
    </w:p>
    <w:p>
      <w:pPr>
        <w:spacing w:after="0" w:line="20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as required by applicable Law or Judgment or as expressly required by this Agreement, during the period from the date of this Agreement until the Effective Time (or such earlier date on which this Agreement is validly terminated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unless Parent otherwise expressly consents in writing (such consent not to be unreasonably withheld, conditioned or delayed), the Partnership shall not, and shall cause each of its Subsidiaries not to:</w:t>
      </w:r>
    </w:p>
    <w:p>
      <w:pPr>
        <w:spacing w:after="0" w:line="207" w:lineRule="exact"/>
        <w:rPr>
          <w:sz w:val="20"/>
          <w:szCs w:val="20"/>
          <w:color w:val="auto"/>
        </w:rPr>
      </w:pPr>
    </w:p>
    <w:p>
      <w:pPr>
        <w:jc w:val="both"/>
        <w:ind w:left="660" w:firstLine="648"/>
        <w:spacing w:after="0" w:line="235"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issue, sell, transfer, pledge, dispose of, grant or authorize the issuance, sale, transfer, pledge, disposition or grant of, any Common Units or other equity or voting interests in the Partnership or its Subsidiaries, as applicable, or any securities or rights convertible into, exchangeable or exercisable for, or evidencing the right to subscribe for, any Common Units or other equity or voting interests, or any rights, warrants or options to purchase any shares of its Common Units or other equity or voting interests in the Partnership or its Subsidiaries,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Partnership may issue Common Units or other securities as required pursuant to (A) the issuance of Common Units upon conversion of Class B Units in accordance with the Partnership Agreement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jc w:val="both"/>
        <w:ind w:left="4" w:hanging="4"/>
        <w:spacing w:after="0" w:line="238" w:lineRule="auto"/>
        <w:tabs>
          <w:tab w:leader="none" w:pos="37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vesting or settlement of Partnership Awards outstanding on the date of this Agreement in accordance with the terms of the applicable Partnership Award in effect on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Subsidiaries of the Partnership may make any such sales, issuances, transfers, pledges, dispositions or grants to the Partnership or a direct or indirect wholly owned Subsidiary of the Partnership;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the avoidance of doubt, the Partnership may cancel Preference Units following the redemption or repurchase of such Preference Units;</w:t>
      </w:r>
    </w:p>
    <w:p>
      <w:pPr>
        <w:spacing w:after="0" w:line="204" w:lineRule="exact"/>
        <w:rPr>
          <w:sz w:val="20"/>
          <w:szCs w:val="20"/>
          <w:color w:val="auto"/>
        </w:rPr>
      </w:pPr>
    </w:p>
    <w:p>
      <w:pPr>
        <w:jc w:val="both"/>
        <w:ind w:left="4" w:firstLine="648"/>
        <w:spacing w:after="0" w:line="236"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redeem, purchase or otherwise acquire, directly or indirectly, any outstanding Common Units or other equity or voting interests of the Partnership or its Subsidiaries or any rights, warrants or options to acquire any Common Units or other equity or voting interests of the Partnership or its Subsidiaries, except (A) pursuant to the Partnership Awards outstanding on the date of this Agreement in accordance with the terms of the applicable Partnership Award, (B) in connection with the satisfaction of Tax withholding obligations with respect to Partnership Awards or (C) that the Partnership may purchase or redeem Preference Units;</w:t>
      </w:r>
    </w:p>
    <w:p>
      <w:pPr>
        <w:spacing w:after="0" w:line="208"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establish a record date for, declare, set aside for payment or pay any dividend on, or make any other distribution in respect of, any Common Units or other equity or voting interests of, or other securities or obligations convertible (whether currently convertible or convertible only after the passage of time or the occurrence of specific events) into or exchangeable for any equity interests of the Partnership or any of its Subsidiaries, in each case, other than</w:t>
      </w:r>
    </w:p>
    <w:p>
      <w:pPr>
        <w:spacing w:after="0" w:line="3" w:lineRule="exact"/>
        <w:rPr>
          <w:sz w:val="20"/>
          <w:szCs w:val="20"/>
          <w:color w:val="auto"/>
        </w:rPr>
      </w:pPr>
    </w:p>
    <w:p>
      <w:pPr>
        <w:jc w:val="both"/>
        <w:ind w:left="4" w:hanging="4"/>
        <w:spacing w:after="0" w:line="234" w:lineRule="auto"/>
        <w:tabs>
          <w:tab w:leader="none" w:pos="38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quarterly cash distributions not to exceed $0.01 per Common Unit in each case consistent with customary declaration, record and payment dates consistent with past practice and, with respect to Preference Units, in accordance with their terms or (B) dividends or distributions from wholly owned Subsidiaries of the Partnership to other wholly owned Subsidiaries of the Partnership or to the Partnership;</w:t>
      </w:r>
    </w:p>
    <w:p>
      <w:pPr>
        <w:spacing w:after="0" w:line="204"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split, combine, subdivide or reclassify any Common Units or other equity or voting interests of the Partnership or any non-wholly owned Subsidiaries of the Partnership;</w:t>
      </w:r>
    </w:p>
    <w:p>
      <w:pPr>
        <w:spacing w:after="0" w:line="185" w:lineRule="exact"/>
        <w:rPr>
          <w:sz w:val="20"/>
          <w:szCs w:val="20"/>
          <w:color w:val="auto"/>
        </w:rPr>
      </w:pPr>
    </w:p>
    <w:p>
      <w:pPr>
        <w:jc w:val="both"/>
        <w:ind w:left="4" w:right="20" w:firstLine="648"/>
        <w:spacing w:after="0" w:line="244" w:lineRule="auto"/>
        <w:rPr>
          <w:sz w:val="20"/>
          <w:szCs w:val="20"/>
          <w:color w:val="auto"/>
        </w:rPr>
      </w:pPr>
      <w:r>
        <w:rPr>
          <w:rFonts w:ascii="Times New Roman" w:cs="Times New Roman" w:eastAsia="Times New Roman" w:hAnsi="Times New Roman"/>
          <w:sz w:val="22"/>
          <w:szCs w:val="22"/>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amend the Partnership Charter Documents or (B) amend in any material respect the comparable Charter Documents of any of the Subsidiaries of the Partnership in a manner that would reasonably be expected to prevent or to impede, interfere with, hinder or delay in any material respect the consummation of the Transactions;</w:t>
      </w:r>
    </w:p>
    <w:p>
      <w:pPr>
        <w:spacing w:after="0" w:line="200" w:lineRule="exact"/>
        <w:rPr>
          <w:sz w:val="20"/>
          <w:szCs w:val="20"/>
          <w:color w:val="auto"/>
        </w:rPr>
      </w:pPr>
    </w:p>
    <w:p>
      <w:pPr>
        <w:jc w:val="both"/>
        <w:ind w:left="4" w:firstLine="648"/>
        <w:spacing w:after="0" w:line="271" w:lineRule="auto"/>
        <w:rPr>
          <w:sz w:val="20"/>
          <w:szCs w:val="20"/>
          <w:color w:val="auto"/>
        </w:rPr>
      </w:pPr>
      <w:r>
        <w:rPr>
          <w:rFonts w:ascii="Times New Roman" w:cs="Times New Roman" w:eastAsia="Times New Roman" w:hAnsi="Times New Roman"/>
          <w:sz w:val="20"/>
          <w:szCs w:val="20"/>
          <w:color w:val="auto"/>
        </w:rPr>
        <w:t>(vi)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adopt a plan or agreement of complete or partial liquidation or dissolution, merger, amalgamation, consolidation, restructuring, recapitalization or other reorganization of the Partnership or any of its Subsidiaries (other than dormant Subsidiaries or, with respect to any merger, amalgamation or consolidation, other than among the Partnership and any wholly owned Subsidiary of the Partnership or among wholly owned Subsidiaries of the Partnership);</w:t>
      </w:r>
    </w:p>
    <w:p>
      <w:pPr>
        <w:spacing w:after="0" w:line="176"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sell, lease or dispose of any portion of its assets, business or properties other than in the ordinary course of business consistent with past practice (including</w:t>
      </w:r>
    </w:p>
    <w:p>
      <w:pPr>
        <w:spacing w:after="0" w:line="200" w:lineRule="exact"/>
        <w:rPr>
          <w:sz w:val="20"/>
          <w:szCs w:val="20"/>
          <w:color w:val="auto"/>
        </w:rPr>
      </w:pPr>
    </w:p>
    <w:p>
      <w:pPr>
        <w:spacing w:after="0" w:line="20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55" w:right="339" w:bottom="1440" w:gutter="0" w:footer="0" w:header="0"/>
        </w:sectPr>
      </w:pPr>
    </w:p>
    <w:bookmarkStart w:id="26" w:name="page27"/>
    <w:bookmarkEnd w:id="26"/>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distributions permitted under </w:t>
      </w:r>
      <w:r>
        <w:rPr>
          <w:rFonts w:ascii="Times New Roman" w:cs="Times New Roman" w:eastAsia="Times New Roman" w:hAnsi="Times New Roman"/>
          <w:sz w:val="22"/>
          <w:szCs w:val="22"/>
          <w:u w:val="single" w:color="auto"/>
          <w:color w:val="auto"/>
        </w:rPr>
        <w:t>Section 5.2(b)(iii)</w:t>
      </w:r>
      <w:r>
        <w:rPr>
          <w:rFonts w:ascii="Times New Roman" w:cs="Times New Roman" w:eastAsia="Times New Roman" w:hAnsi="Times New Roman"/>
          <w:sz w:val="22"/>
          <w:szCs w:val="22"/>
          <w:color w:val="auto"/>
        </w:rPr>
        <w:t>) or (B) acquire, by merger or otherwise, or lease any assets or all or any portion of the business or property of any other entity other than in the ordinary course of business consistent with past practice;</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(viii)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convert from a limited partnership or limited liability company (as applicable), as the case may be, to any other business entity;</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(ix)</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other than in the ordinary course of business consistent with past practice, enter into, adopt, agree to, amend, modify or terminate any collective bargaining agreement or other Contract with any labor union, works council or other labor organization;</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other than as required under the terms of any compensation or benefit plan, Contract or agreement as in effect as of the date hereof and provided to Parent (A) enter into, adopt, agree to, amend, modify or terminate any compensation or benefit plan, policy, program, Contract, agreement or arrangement, (B) grant, announce or increase, or commit to grant, announce or increase, any cash or equity or equity-based incentive, bonus, retention, severance or similar compensation or (C) accelerate or commit to accelerate the funding, payment or vesting of the benefits or compensation payable to any current or former employee, officer, director or individual independent contractor of the Partnership or any of its Subsidiaries;</w:t>
      </w:r>
    </w:p>
    <w:p>
      <w:pPr>
        <w:spacing w:after="0" w:line="21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(xi)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modify, amend, terminate or assign, or waive or assign any rights under, any Material Contract in a manner that is materially adverse to Parent and its Subsidiaries, taken as a whole, or which would have a Partnership Material Adverse Effect;</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(xii)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waive, release, assign, settle or compromise any Proceeding, including any state or federal regulatory Proceeding, seeking damages or injunction or other equitable relief, which is (A) material to the Partnership and its Subsidiaries, taken as a whole, or (B) a Proceeding relating to the Transactions;</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(xiii)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other than in the ordinary course of business consistent with past practice, (A) incur, assume, guarantee or otherwise become liable for any indebtedness (directly, contingently or otherwise), other than any borrowings under the Partnership’s credit facilities in existence as of the date of this Agreement, (B) create any Lien on its property or the property of its Subsidiaries to secure indebtedness or (C) enter into any Contract having the economic effect of any of the foregoing;</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(xiv)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change in any material respect any of its express or deemed elections relating to Taxes, including elections for any and all joint ventures, partnerships, limited liability companies or other investments where it has the capacity to make such binding election, (B) settle or compromise any material Proceeding relating to Taxes or (C) change in any material respect any of its methods of reporting income or deductions for federal income Tax purposes from those employed in the preparation of its federal income Tax Return for the most recent taxable year for which a return has been filed, except as may be required by applicable Law;</w:t>
      </w:r>
    </w:p>
    <w:p>
      <w:pPr>
        <w:spacing w:after="0" w:line="200" w:lineRule="exact"/>
        <w:rPr>
          <w:sz w:val="20"/>
          <w:szCs w:val="20"/>
          <w:color w:val="auto"/>
        </w:rPr>
      </w:pPr>
    </w:p>
    <w:p>
      <w:pPr>
        <w:spacing w:after="0" w:line="2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27" w:name="page28"/>
    <w:bookmarkEnd w:id="27"/>
    <w:p>
      <w:pPr>
        <w:jc w:val="both"/>
        <w:ind w:left="660" w:firstLine="648"/>
        <w:spacing w:after="0" w:line="239" w:lineRule="auto"/>
        <w:rPr>
          <w:sz w:val="20"/>
          <w:szCs w:val="20"/>
          <w:color w:val="auto"/>
        </w:rPr>
      </w:pPr>
      <w:r>
        <w:rPr>
          <w:rFonts w:ascii="Times New Roman" w:cs="Times New Roman" w:eastAsia="Times New Roman" w:hAnsi="Times New Roman"/>
          <w:sz w:val="22"/>
          <w:szCs w:val="22"/>
          <w:color w:val="auto"/>
        </w:rPr>
        <w:t>(xv)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knowingly take any action that is intended or is reasonably likely to result in (A) any of its representations and warranties set forth in this Agreement being or becoming untrue in any material respect at the Closing Date, (B) any of the conditions to the Closing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not being satisfied, (C) any material delay or prevention of the consummation of the Merger or (D) a material violation of any provision of this Agreement; 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(xvi)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authorize any of, or commit or agree, in writing or otherwise, to take any of, the foregoing actions.</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anything to the contrary herein, the Partnership may, and may permit or cause any Subsidiary of the Partnership to, take actions as may be reasonably necessary with respect to (i) any operational or maritime emergencies (including any piracy, marine disasters, accidents involving a Vessel, hurricanes, strong winds, ice event, fire, tornado, tsunami, flood, earthquake or other natural or manmade disaster or severe 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the Partnership shall promptly notify Parent of any such emergency situation or COVID-19 Measure to the extent it involves any immediate and material threat to the health or safety of natural Persons, property, Vessels or the environment and any actions taken in response thereto.</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anything to the contrary herein, during the period from the date of this Agreement until the Effective Time, if permitted by applicable Law, the Partnership shall declare and pay regular quarterly cash distributions to the holders of each of the Common Units, the Series A Preference Units, the Series B Preference Units and the Series C Preference Units, respectively, consistent with past practice;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regular quarterly cash distributions declared or paid by Partnership to the holders of Common Units be less than $0.01 per Common Unit.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Solicitation; Adverse Recommendation Change.</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Partnership shall not, and the Partnership shall cause its Subsidiaries and use its commercially reasonable efforts to cause its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any (A) 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thereof) or to which 20% or more of the Partnership’s revenues or earnings on a consolidated basis are attributable, (B) direct or indirect acquisition (whether in a single transaction or a series of related transactions) of beneficial ownership (within the meaning of Section 13 under the Exchange Act) of any class of equity securities of the Partnership or (C) tender offer 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 w:name="page29"/>
    <w:bookmarkEnd w:id="28"/>
    <w:p>
      <w:pPr>
        <w:jc w:val="both"/>
        <w:spacing w:after="0" w:line="244" w:lineRule="auto"/>
        <w:rPr>
          <w:sz w:val="20"/>
          <w:szCs w:val="20"/>
          <w:color w:val="auto"/>
        </w:rPr>
      </w:pPr>
      <w:r>
        <w:rPr>
          <w:rFonts w:ascii="Times New Roman" w:cs="Times New Roman" w:eastAsia="Times New Roman" w:hAnsi="Times New Roman"/>
          <w:sz w:val="22"/>
          <w:szCs w:val="22"/>
          <w:color w:val="auto"/>
        </w:rPr>
        <w:t>exchange offer that if consummated would result in any Person or “group” (as defined in Section 13(d) of the Exchange Act) beneficially owning any class of equity securities of the Partnership (each, an “</w:t>
      </w:r>
      <w:r>
        <w:rPr>
          <w:rFonts w:ascii="Times New Roman" w:cs="Times New Roman" w:eastAsia="Times New Roman" w:hAnsi="Times New Roman"/>
          <w:sz w:val="22"/>
          <w:szCs w:val="22"/>
          <w:u w:val="single" w:color="auto"/>
          <w:color w:val="auto"/>
        </w:rPr>
        <w:t>Acquisition Proposal</w:t>
      </w:r>
      <w:r>
        <w:rPr>
          <w:rFonts w:ascii="Times New Roman" w:cs="Times New Roman" w:eastAsia="Times New Roman" w:hAnsi="Times New Roman"/>
          <w:sz w:val="22"/>
          <w:szCs w:val="22"/>
          <w:color w:val="auto"/>
        </w:rPr>
        <w:t>”), other than the transactions contemplated hereby and other than in the ordinary course of business.</w:t>
      </w:r>
    </w:p>
    <w:p>
      <w:pPr>
        <w:spacing w:after="0" w:line="20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as permitted by </w:t>
      </w:r>
      <w:r>
        <w:rPr>
          <w:rFonts w:ascii="Times New Roman" w:cs="Times New Roman" w:eastAsia="Times New Roman" w:hAnsi="Times New Roman"/>
          <w:sz w:val="20"/>
          <w:szCs w:val="20"/>
          <w:u w:val="single" w:color="auto"/>
          <w:color w:val="auto"/>
        </w:rPr>
        <w:t>Section 5.3(c)</w:t>
      </w:r>
      <w:r>
        <w:rPr>
          <w:rFonts w:ascii="Times New Roman" w:cs="Times New Roman" w:eastAsia="Times New Roman" w:hAnsi="Times New Roman"/>
          <w:sz w:val="20"/>
          <w:szCs w:val="20"/>
          <w:color w:val="auto"/>
        </w:rPr>
        <w:t xml:space="preserve">, the Partnership shall not, and shall cause its Subsidiaries and use its commercially reasonable efforts to cause its Representatives not to, directly or indirectly (i) withdraw, modify or qualify, or propose publicly to withdraw, modify or qualify, in a manner adverse to Parent, the Partnership Board Recommendation or (ii) fail to include the Partnership Board Recommendation in the Proxy Statement (the taking of any action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w:t>
      </w:r>
    </w:p>
    <w:p>
      <w:pPr>
        <w:spacing w:after="0" w:line="3" w:lineRule="exact"/>
        <w:rPr>
          <w:sz w:val="20"/>
          <w:szCs w:val="20"/>
          <w:color w:val="auto"/>
        </w:rPr>
      </w:pPr>
    </w:p>
    <w:p>
      <w:pPr>
        <w:jc w:val="both"/>
        <w:ind w:firstLine="8"/>
        <w:spacing w:after="0" w:line="234" w:lineRule="auto"/>
        <w:tabs>
          <w:tab w:leader="none" w:pos="358"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being referred to as an “</w:t>
      </w:r>
      <w:r>
        <w:rPr>
          <w:rFonts w:ascii="Times New Roman" w:cs="Times New Roman" w:eastAsia="Times New Roman" w:hAnsi="Times New Roman"/>
          <w:sz w:val="22"/>
          <w:szCs w:val="22"/>
          <w:u w:val="single" w:color="auto"/>
          <w:color w:val="auto"/>
        </w:rPr>
        <w:t>Adverse Recommendation Change</w:t>
      </w:r>
      <w:r>
        <w:rPr>
          <w:rFonts w:ascii="Times New Roman" w:cs="Times New Roman" w:eastAsia="Times New Roman" w:hAnsi="Times New Roman"/>
          <w:sz w:val="22"/>
          <w:szCs w:val="22"/>
          <w:color w:val="auto"/>
        </w:rPr>
        <w:t xml:space="preserve">”). Without limiting the foregoing, it is understood that any violation of the foregoing restrictions by the Partnership’s Subsidiaries, or the Partnership’s Representatives, other than any violation caused by or at the direction of Parent or by any of its Affiliates or Representatives acting on Parent’s behalf, shall be deemed to be a breach of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by the Partnership.</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anything to the contrary in this Agreement, at any time prior to obtaining the Unitholder Approval, and subject to compliance in all material respects with this </w:t>
      </w:r>
      <w:r>
        <w:rPr>
          <w:rFonts w:ascii="Times New Roman" w:cs="Times New Roman" w:eastAsia="Times New Roman" w:hAnsi="Times New Roman"/>
          <w:sz w:val="22"/>
          <w:szCs w:val="22"/>
          <w:u w:val="single" w:color="auto"/>
          <w:color w:val="auto"/>
        </w:rPr>
        <w:t>Section 5.3(c)</w:t>
      </w:r>
      <w:r>
        <w:rPr>
          <w:rFonts w:ascii="Times New Roman" w:cs="Times New Roman" w:eastAsia="Times New Roman" w:hAnsi="Times New Roman"/>
          <w:sz w:val="22"/>
          <w:szCs w:val="22"/>
          <w:color w:val="auto"/>
        </w:rPr>
        <w:t xml:space="preserve">, the Conflicts Committee may make an Adverse Recommendation Change on behalf of the Partnership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Conflicts Committee may not effect an Adverse Recommendation Change unless:</w:t>
      </w:r>
    </w:p>
    <w:p>
      <w:pPr>
        <w:spacing w:after="0" w:line="207"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Conflicts Committee determines in good faith, after consultation with its outside legal counsel, that failure to effect an Adverse Recommendation Change would be adverse to the interests of the Unaffiliated Unitholders or would otherwise be a breach of its duties under the Partnership Agreement and applicable Law;</w:t>
      </w:r>
    </w:p>
    <w:p>
      <w:pPr>
        <w:spacing w:after="0" w:line="200" w:lineRule="exact"/>
        <w:rPr>
          <w:sz w:val="20"/>
          <w:szCs w:val="20"/>
          <w:color w:val="auto"/>
        </w:rPr>
      </w:pPr>
    </w:p>
    <w:p>
      <w:pPr>
        <w:jc w:val="both"/>
        <w:ind w:left="660" w:firstLine="648"/>
        <w:spacing w:after="0" w:line="239"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Conflicts Committee has provided prior written notice to Parent at least five days in advance of its intention to take such action, unless at the time such notice is otherwise required to be given there are less than five days prior to the Unitholders Meeting, in which case the Conflicts Committee shall provide as much notice as is practicable (the period inclusive of all such days, the “</w:t>
      </w:r>
      <w:r>
        <w:rPr>
          <w:rFonts w:ascii="Times New Roman" w:cs="Times New Roman" w:eastAsia="Times New Roman" w:hAnsi="Times New Roman"/>
          <w:sz w:val="22"/>
          <w:szCs w:val="22"/>
          <w:u w:val="single" w:color="auto"/>
          <w:color w:val="auto"/>
        </w:rPr>
        <w:t>Partnership Notice Period</w:t>
      </w:r>
      <w:r>
        <w:rPr>
          <w:rFonts w:ascii="Times New Roman" w:cs="Times New Roman" w:eastAsia="Times New Roman" w:hAnsi="Times New Roman"/>
          <w:sz w:val="22"/>
          <w:szCs w:val="22"/>
          <w:color w:val="auto"/>
        </w:rPr>
        <w:t>”); and</w:t>
      </w:r>
    </w:p>
    <w:p>
      <w:pPr>
        <w:spacing w:after="0" w:line="207" w:lineRule="exact"/>
        <w:rPr>
          <w:sz w:val="20"/>
          <w:szCs w:val="20"/>
          <w:color w:val="auto"/>
        </w:rPr>
      </w:pPr>
    </w:p>
    <w:p>
      <w:pPr>
        <w:jc w:val="both"/>
        <w:ind w:left="660" w:firstLine="648"/>
        <w:spacing w:after="0" w:line="235"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during the Partnership Notice Period, the Conflicts Committee has negotiated, and has directed its financial advisors and outside legal counsel to negotiate, with Parent in good faith (to the extent Parent desires to negotiate) to make such adjustments in the terms and conditions of this Agreement so that the failure to effect such Adverse Recommendation Change would not be adverse to the interests of the Unaffiliated Unitholders or would not otherwise be a breach of its duties under the Partnership Agreement and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Conflicts Committee shall take into account all changes to the terms of this Agreement proposed by Parent in determining whether to make an Adverse Recommendation Change.</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In addition to the other obligations of the Partnership set forth in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the Partnership shall promptly advise Parent, orally and in writing, and in no event later than forty-eight hours after receipt, if any proposal, offer, inquiry or other contact is received by, any information is requested from, or any discussions or negotiations are sought to be initiated 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 w:name="page30"/>
    <w:bookmarkEnd w:id="29"/>
    <w:p>
      <w:pPr>
        <w:jc w:val="both"/>
        <w:spacing w:after="0" w:line="234" w:lineRule="auto"/>
        <w:rPr>
          <w:sz w:val="20"/>
          <w:szCs w:val="20"/>
          <w:color w:val="auto"/>
        </w:rPr>
      </w:pPr>
      <w:r>
        <w:rPr>
          <w:rFonts w:ascii="Times New Roman" w:cs="Times New Roman" w:eastAsia="Times New Roman" w:hAnsi="Times New Roman"/>
          <w:sz w:val="22"/>
          <w:szCs w:val="22"/>
          <w:color w:val="auto"/>
        </w:rPr>
        <w:t>continued with, the Partnership in respect of any Acquisition Proposal, and shall, in any such notice to Parent, indicate the identity of the Person making such proposal, offer, inquiry or other contact and the terms and conditions of any proposals or offers or the nature of any inquiries or contacts (and shall include with such notice copies of any written materials received from or on behalf of such Person relating to such proposal, offer, inquiry or request), and thereafter shall keep Parent promptly (and in no event later than forty-eight (48) hours) informed of all material developments affecting the status and terms of any such proposals, offers, inquiries or requests (and the Partnership shall promptly (and in no event later than forty-eight (48) hours) provide Parent with copies of any additional written materials received by the Partnership or that the Partnership has delivered to any third party making an Acquisition Proposal that relate to such proposals, offers, inquiries or requests) and of the status of any such discussions or negotiations.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Commercially Reasonable Efforts.</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Subject to and upon the terms and conditions of this Agreement, each of the Parties shall cooperate with the other Parties and use (and shall cause their respective Subsidiaries to use) their respective commercially reasonable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applicable to such Party to be satisfied as promptly as reasonably practicable (and in any event no later than the Outside Date) and to consummate and make effective, in the most expeditious manner reasonably practicable, the Transactions, including (A) preparing and filing promptly and fully all documentation to effect all necessary filings, notifications, notices, petitions, statements, registrations, submissions of information, applications and other documents and (B) executing and delivering any additional instruments necessary to consummate the Transactions, (ii) obtain all Consents from any Governmental Authority or third party necessary, proper or advisable to consummate the Transactions, including any such Consents required under applicable Antitrust Laws, (iii) take all steps that are necessary, proper or advisable to avoid any Proceeding by any Governmental Authorities with respect to this Agreement or the Transactions and (iv) defend or contest in good faith any Proceeding by any third party, whether judicial or administrative, challenging this Agreement or that could otherwise prevent or impede, interfere with, hinder or delay in any material respect the consummation of the Transactions.</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Subject to and upon the terms and conditions of this Agreement, the Partnership and Parent shall each use its commercially reasonable efforts to (i) take all action necessary to ensure that no “fair price”, “moratorium”, “control share acquisition” or other similar anti-takeover statute or similar statute or regulation (each, a “</w:t>
      </w:r>
      <w:r>
        <w:rPr>
          <w:rFonts w:ascii="Times New Roman" w:cs="Times New Roman" w:eastAsia="Times New Roman" w:hAnsi="Times New Roman"/>
          <w:sz w:val="22"/>
          <w:szCs w:val="22"/>
          <w:u w:val="single" w:color="auto"/>
          <w:color w:val="auto"/>
        </w:rPr>
        <w:t>Takeover Law</w:t>
      </w:r>
      <w:r>
        <w:rPr>
          <w:rFonts w:ascii="Times New Roman" w:cs="Times New Roman" w:eastAsia="Times New Roman" w:hAnsi="Times New Roman"/>
          <w:sz w:val="22"/>
          <w:szCs w:val="22"/>
          <w:color w:val="auto"/>
        </w:rPr>
        <w:t>”) is or becomes applicable to any of the Transactions or this Agreement and refrain from taking any actions that would cause the applicability of such Laws and (ii) if the restrictions of any Takeover Law become applicable to any of such Transactions, take all action necessary to ensure that such Transactions may be consummated as promptly as practicable on the terms contemplated by this Agreement and otherwise lawfully minimize the effect of such Takeover Law on such Transactions.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5.5.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xml:space="preserve"> The Sponsor Entities and the Partnership shall consult with each other before issuing, and give each other the reasonable opportunity to review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 w:name="page31"/>
    <w:bookmarkEnd w:id="30"/>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or to the extent related to any actual or contemplated litigation between or among the Parties. The Parties agree that the initial press release to be issued with respect to the Transactions following execution of this Agreement shall be in a form reasonably agreed to by the Parties. Notwithstanding the foregoing, the Sponsor Entities and the Partnership may make any oral or written public announcements, releases or statements without complying with the foregoing requirements if the substance of such announcements, releases or statements, was publicly disclosed and previously subject to the foregoing requirements.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5.6.</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Access to Information.</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Upon reasonable notice and subject to applicable Laws relating to the exchange of information, the Partnership shall, and shall cause each of its Subsidiaries to, afford to Parent and its Representatives reasonable access during normal business hours (and, with respect to books and records, the right to copy) to all of its and its Subsidiaries’ properties, commitments, books, Contracts, records and correspondence (in each case, whether in physical or electronic form), officers, employees, accountants, counsel, financial advisors and other Representatives. Each Party shall furnish promptly to each other Party a copy of each report, schedule and other document filed or submitted by it pursuant to the requirements of federal or state securities Laws and a copy of any communication (including “comment letters”) received by such Party from the SEC concerning compliance with securities Laws.</w:t>
      </w:r>
    </w:p>
    <w:p>
      <w:pPr>
        <w:spacing w:after="0" w:line="20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shall not require either Party to permit any access, or to disclose any information, that in the reasonable, good-faith judgment (after consultation with counsel) of such Party would reasonably be expected to result in (i) any violation of any contract or Law to which such Party or its Subsidiaries is a party or is subject or cause any privilege (including attorney-client privilege) that such Party or any of its Subsidiaries would be entitled to assert to be undermined with respect to such information and such undermining of such privilege could in such Party’s good-faith judgment (after consultation with counsel) adversely affect in any material respect such Party’s position in any pending or, what such Party believes in good faith (after consultation with counsel) could be, future litigation, or (ii) if such Party or any of its Subsidiaries, on the one hand, and each other Party or any of their Subsidiaries, on the other hand, are adverse parties in a litigation, such information being reasonably pertinent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the Parties shall cooperate in seeking to find a way to allow disclosure of such information (including by entering into a joint-defense or similar agreement) to the extent doing so (A) would not (in the good-faith belief of the Party being requested to disclose the information (after consultation with counsel)) reasonably be likely to result in the violation of any such contract or Law or reasonably be likely to cause such privilege to be undermined with respect to such information or (B) could reasonably (in the good-faith belief of the Party being requested to disclose the information (after consultation with counsel)) be managed through the use of customary “clean-room” arrangements pursuant to which appropriately designated Representatives of each other Party shall be provided access to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 w:name="page32"/>
    <w:bookmarkEnd w:id="31"/>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that the Party being requested to disclose the information shall (1) notify each other Party that such disclosures are reasonably likely to violate its or its Subsidiaries’ obligations under any such contract or Law or are reasonably likely to cause such privilege to be undermined, (2) communicate to each other Party in reasonable detail the facts giving rise to such notification and the subject matter of such information (to the extent it is able to do so in accordance with the first proviso in this </w:t>
      </w:r>
      <w:r>
        <w:rPr>
          <w:rFonts w:ascii="Times New Roman" w:cs="Times New Roman" w:eastAsia="Times New Roman" w:hAnsi="Times New Roman"/>
          <w:sz w:val="21"/>
          <w:szCs w:val="21"/>
          <w:u w:val="single" w:color="auto"/>
          <w:color w:val="auto"/>
        </w:rPr>
        <w:t>Section 5.6(b)</w:t>
      </w:r>
      <w:r>
        <w:rPr>
          <w:rFonts w:ascii="Times New Roman" w:cs="Times New Roman" w:eastAsia="Times New Roman" w:hAnsi="Times New Roman"/>
          <w:sz w:val="21"/>
          <w:szCs w:val="21"/>
          <w:color w:val="auto"/>
        </w:rPr>
        <w:t>), and</w:t>
      </w:r>
    </w:p>
    <w:p>
      <w:pPr>
        <w:spacing w:after="0" w:line="2" w:lineRule="exact"/>
        <w:rPr>
          <w:sz w:val="20"/>
          <w:szCs w:val="20"/>
          <w:color w:val="auto"/>
        </w:rPr>
      </w:pPr>
    </w:p>
    <w:p>
      <w:pPr>
        <w:jc w:val="both"/>
        <w:ind w:right="20" w:firstLine="8"/>
        <w:spacing w:after="0" w:line="235" w:lineRule="auto"/>
        <w:tabs>
          <w:tab w:leader="none" w:pos="31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where such disclosures are reasonably likely to violate its or its Subsidiaries’ obligations under any Contract, use commercially reasonable efforts to seek consent from the applicable third party to any such contract with respect to the disclosures prohibited thereby (to the extent not otherwise expressly prohibited by the terms of such Contract).</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 investigation, or information received, pursuant to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will modify any of the representations and warranties of the Parties.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Financing.</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Subject to the terms and conditions of this Agreement, each of Parent and Merger Sub will not, without the prior written consent of the Partnership (such consent not to be unreasonably withheld, delayed or conditioned), effect or permit any amendment or modification to be made to, or any waiver of any provision or remedy pursuant to, the Debt Commitment Letter if such amendment, modification or waiver would (i) reduce the aggregate amount of the Debt Financing to an amount that is less than the amount that would be required, when taken together with cash on hand of Parent and its Subsidiaries and other sources of funds available to Parent and Merger Sub on the Closing Date (including any amounts to be received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to pay the aggregate Merger Consideration and any other amount required to be paid by Parent or Merger Sub in connection with the consummation of the Transactions, (ii) impose additional conditions or otherwise expand, amend or modify any of the conditions to the receipt of the Debt Financing or any other terms to the Debt Financing in a manner that would reasonably be expected to prevent or materially delay the Closing Date or (iii) adversely impact the ability of Parent to enforce its rights against the Debt Financing Sources under the Debt Commitment Letter.</w:t>
      </w:r>
    </w:p>
    <w:p>
      <w:pPr>
        <w:spacing w:after="0" w:line="21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Subject to the terms and conditions set forth herein, prior to the Effective Time, Parent shall use, or cause Merger Sub to use, its commercially reasonable efforts to take, or cause to be taken, all actions and to do, or cause to be done, all things necessary, proper and advisable to consummate and obtain the Debt Financing on the terms and conditions described in the Debt Commitment Letter, including using its commercially reasonable efforts to (i) maintain in effect the Debt Commitment Letter, (ii) satisfy on a timely basis all conditions to funding that are applicable to Parent and Merger Sub in the Debt Commitment Letter that are within its control, (iii) consummate the Debt Financing at or prior to the Closing, (iv) comply with its obligations pursuant to the Debt Commitment Letter and (v) enforce its rights pursuant to the Debt Commitment Letter.</w:t>
      </w:r>
    </w:p>
    <w:p>
      <w:pPr>
        <w:spacing w:after="0" w:line="18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In the event that any portion of the Debt Financing becomes unavailable, Parent shall (i) promptly notify the Partnership in writing of such unavailability and the reason therefor and (ii) use its commercially reasonable efforts to (A) obtain as promptly as practicable debt financing from alternative sources (the “</w:t>
      </w:r>
      <w:r>
        <w:rPr>
          <w:rFonts w:ascii="Times New Roman" w:cs="Times New Roman" w:eastAsia="Times New Roman" w:hAnsi="Times New Roman"/>
          <w:sz w:val="22"/>
          <w:szCs w:val="22"/>
          <w:u w:val="single" w:color="auto"/>
          <w:color w:val="auto"/>
        </w:rPr>
        <w:t>Alternative Debt Financing</w:t>
      </w:r>
      <w:r>
        <w:rPr>
          <w:rFonts w:ascii="Times New Roman" w:cs="Times New Roman" w:eastAsia="Times New Roman" w:hAnsi="Times New Roman"/>
          <w:sz w:val="22"/>
          <w:szCs w:val="22"/>
          <w:color w:val="auto"/>
        </w:rPr>
        <w:t>”) in an amount sufficient, when taken together with cash on hand of Parent and its Subsidiaries and other sources of funds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available to Parent and Merger Sub on the Closing Date (including any amounts to be received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to pay the aggregate Merger Consideration and any other amount required to be paid by Parent or Merger Sub in connection with the consummation of the Transactions and that do not include any conditions to the consummation of such alternative debt financing that are more onerous than the conditions set forth in the Debt Commitment Letter and (B) obtain, and, when obtained, provide the Partnership with a copy of, a new financing commitment that provides for such Alternative Debt Financing (the “</w:t>
      </w:r>
      <w:r>
        <w:rPr>
          <w:rFonts w:ascii="Times New Roman" w:cs="Times New Roman" w:eastAsia="Times New Roman" w:hAnsi="Times New Roman"/>
          <w:sz w:val="22"/>
          <w:szCs w:val="22"/>
          <w:u w:val="single" w:color="auto"/>
          <w:color w:val="auto"/>
        </w:rPr>
        <w:t>Alternative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Commitment Letter</w:t>
      </w:r>
      <w:r>
        <w:rPr>
          <w:rFonts w:ascii="Times New Roman" w:cs="Times New Roman" w:eastAsia="Times New Roman" w:hAnsi="Times New Roman"/>
          <w:sz w:val="22"/>
          <w:szCs w:val="22"/>
          <w:color w:val="auto"/>
        </w:rPr>
        <w:t>”). If applicable, any reference in this Agreement to the term “Debt Commitment Letter” shall be deemed to include any such Alternative Debt Commitment Letter and any fee letter referred to in such Alternative Debt Commitment Letter and any reference in this Agreement to the term “Debt Financing” shall be deemed to include any such Alternative Debt Financing.</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Partnership shall, and shall cause its Subsidiaries to, and shall use its commercially reasonable efforts to cause its and its Subsidiaries’ respective Representatives to, cooperate with Parent as necessary in connection with the arrangement, syndication and consummation of the Debt Financing as may be reasonably requested by Parent, including: (i) participation by members of management and other Representatives of the Partnership in a reasonable number of meetings, conference calls, presentations and due diligence sessions in connection with the Debt Financing; (ii) assisting Parent and the Debt Financing Sources in the preparation of customary bank information memoranda (including, to the extent reasonably requested, an additional bank information memorandum that does not include material non-public information), lender presentations or other marketing and syndication documents and materials customarily used to arrange financings of the type contemplated by the Debt Commitment Letter and otherwise reasonably cooperating with the marketing efforts of Parent and the Debt Financing Sources for any portion of the Debt Financing; (iii) delivering customary representation and authorization letters with respect to information in respect of the Partnership and its Subsidiaries contained in the bank information memoranda and other similar documents; (iv) using commercially reasonable efforts to ensure that the Debt Financing Sources benefit materially from the existing lending relationships of the Partnership and its Subsidiaries; (v) furnishing Parent as promptly as practicable with any financial and other information regarding the Partnership and its Subsidiaries as is reasonably requested by Parent or the Debt Financing Sources in connection with the Debt Financing; (vi) assisting in the preparation of, and executing and delivering, certificates and other documents as may be necessary in connection with the definitive agreements for the Debt Financing; (vii) furnishing Parent and the Debt Financing Sources with all documentation and information regarding the Partnership and its Subsidiaries that any Debt Financing Source reasonably determines is required under applicable “know your customer” and anti-money laundering rules and regulations; (viii) facilitating the pledging of collateral, as contemplated by the Debt Commitment Letter, substantially concurrently with the Closing and (ix) cooperating with the Debt Financing Sources’ requests for due diligence to the extent customary and reasonable;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in this this </w:t>
      </w:r>
      <w:r>
        <w:rPr>
          <w:rFonts w:ascii="Times New Roman" w:cs="Times New Roman" w:eastAsia="Times New Roman" w:hAnsi="Times New Roman"/>
          <w:sz w:val="20"/>
          <w:szCs w:val="20"/>
          <w:u w:val="single" w:color="auto"/>
          <w:color w:val="auto"/>
        </w:rPr>
        <w:t>Section 5.7(d)</w:t>
      </w:r>
      <w:r>
        <w:rPr>
          <w:rFonts w:ascii="Times New Roman" w:cs="Times New Roman" w:eastAsia="Times New Roman" w:hAnsi="Times New Roman"/>
          <w:sz w:val="20"/>
          <w:szCs w:val="20"/>
          <w:color w:val="auto"/>
        </w:rPr>
        <w:t xml:space="preserve"> will require any such cooperation to the extent that it would (A) require the Partnership to pay any fees or reimburse any expenses with respect to or in connection with the Debt Financing prior to the Closing for which it has not received prior reimbursement, (B) require the Partnership to approve or enter into any certificate, agreement, arrangement, document or instrument with respect to or in connection with the Debt Financing that would be effective prior to the Closing (except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 w:name="page34"/>
    <w:bookmarkEnd w:id="3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representation and authorization letters referred to in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above), (C) unreasonably interfere with the ongoing business operations of the Partnership and its Subsidiaries, (D) cause any Representative of the Partnership or any of its Subsidiaries to incur any personal liability, (E) provide access to or disclose information if the Partnership reasonably determines that providing such access to or disclosing such information would result in a loss of the ability of the Partnership to successfully assert a claim of privilege (including, without limitation, the attorney-client and work product privileges);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under any circumstance described in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the Partnership shall cooperate with Parent to implement a solution to permit the access to the applicable information generally contemplated by this </w:t>
      </w:r>
      <w:r>
        <w:rPr>
          <w:rFonts w:ascii="Times New Roman" w:cs="Times New Roman" w:eastAsia="Times New Roman" w:hAnsi="Times New Roman"/>
          <w:sz w:val="22"/>
          <w:szCs w:val="22"/>
          <w:u w:val="single" w:color="auto"/>
          <w:color w:val="auto"/>
        </w:rPr>
        <w:t>Section 5.7(d)</w:t>
      </w:r>
      <w:r>
        <w:rPr>
          <w:rFonts w:ascii="Times New Roman" w:cs="Times New Roman" w:eastAsia="Times New Roman" w:hAnsi="Times New Roman"/>
          <w:sz w:val="22"/>
          <w:szCs w:val="22"/>
          <w:color w:val="auto"/>
        </w:rPr>
        <w:t xml:space="preserve">, (F) include any actions that the Partnership reasonably believes would (1) result in a violation of any organizational document of the Partnership or any of its Subsidiaries, any Material Contract or any Law or (2) cause any representation, warranty, covenant or other obligation in this Agreement to be breached or any condition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to fail to be satisfied or (G) require the Partnership to prepare any financial statement or information that is not available to it and is not prepared in the ordinary course of its financial reporting practice. The Partnership hereby consents to the use of the Partnership’s logos in connection with the Debt 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logos are used solely in a manner that is not intended, or reasonably likely, to harm or disparage the Partnership or any of its Subsidiaries or the reputation or the goodwill of the Partnership or any of its Subsidiaries.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Section 5.8.</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Notification of Certain Matters.</w:t>
      </w:r>
      <w:r>
        <w:rPr>
          <w:rFonts w:ascii="Times New Roman" w:cs="Times New Roman" w:eastAsia="Times New Roman" w:hAnsi="Times New Roman"/>
          <w:sz w:val="20"/>
          <w:szCs w:val="20"/>
          <w:color w:val="auto"/>
        </w:rPr>
        <w:t xml:space="preserve"> The Partnership shall give prompt notice to Parent, and Parent shall give prompt notice to the Partnership, of (a) any notice or other communication received by such Party from any Governmental Authority in connection with the Transactions or from any Person alleging that the consent of such Person is or may be required in connection with the transactions contemplated hereby, if the subject matter of such communication or the failure of such Party to obtain such consent is reasonably likely to be material to the Partnership or Parent, (b) any Proceedings commenced or, to such Party’s Knowledge, threatened against, relating to or involving or otherwise affecting such Party or any of its Subsidiaries and that relate to the Transactions, (c) the discovery of any fact or circumstance that, or the occurrence or non-occurrence of any event the occurrence or nonoccurrence of which, would result in the failure to be satisfied of any of the conditions to the Closing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(d) any material failure of such Party to comply with or satisfy any covenant or agreement to be complied with or satisfied by it hereby which would result in the failure to be satisfied of any of the conditions to the Closing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the failure to comply with this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shall not result in the failure to be satisfied of any of the conditions to the Closing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give rise to any right to terminate this Agreement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if the underlying fact, circumstance, event or failure would not in and of itself give rise to such failure or right.</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Indemnification and Insurance.</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means any Person who is now, or has been or becomes at any time prior to the Effective Time, an officer or director of the Partnership or any of its Subsidiaries, and also with respect to any such Indemnified Person, in his or her capacity as a director, officer, employee, member, trustee or fiduciary of another corporation, foundation, partnership, joint venture, trust, pension or other employee benefit plan or enterprise (whether or not such other entity or enterprise is affiliated with the Partnership)</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22"/>
          <w:szCs w:val="22"/>
          <w:color w:val="auto"/>
        </w:rPr>
        <w:t>serving at the request of or on behalf of the Partnership or any of its Subsidiaries, together with such Indemnified Person’s heirs, executors or administrators.</w:t>
      </w:r>
    </w:p>
    <w:p>
      <w:pPr>
        <w:spacing w:after="0" w:line="18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From and after the Effective Time, to the fullest extent that the Partnership (as the Surviving Entity) or any applicable Subsidiary thereof would be permitted to indemnify an Indemnified Person, Parent shall, or shall cause the Surviving Entity to, (i) indemnify and hold harmless against any cost or expenses (including attorneys’ fees), judgments, fines, losses, claims, damages or liabilities and amounts paid in settlement (including all interest, assessments and other charges paid or payable in connection with or in respect of any thereof) in connection with any Proceeding based on or arising out of (i) the fact that an Indemnified Person is or was a director or officer of the Partnership or any of its Subsidiaries or (ii) acts or omissions by an Indemnified Person in the Indemnified Person’s capacity as a director or officer of the Partnership or any of its Subsidiaries or taken at the request of the Partnership or nay of its Subsidiaries, in each case under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at or any time prior to the Effective Time, and provide advancement promptly, and in any event within 10 days after any written request, of expenses with respect to each of the foregoing to, all Indemnified Persons to the fullest extent permitted under applicable Law and (ii) honor the provisions regarding elimination of liability of directors, indemnification of officers and directors and advancement of expenses contained in the Partnership Agreement and the Charter Documents of any applicable Subsidiary thereof immediately prior to the Effective Time and ensure that the organizational documents of the Surviving Entity and its Subsidiaries shall, for a period of six years following the Effective Time, contain provisions no less favorable with respect to indemnification, advancement of expenses and exculpation of present and former directors and officers of the Partnership, and its Subsidiaries than are presently set forth in the Partnership Agreement and such other Charter Documents. Any right of indemnification of an Indemnified Person pursuant to this </w:t>
      </w:r>
      <w:r>
        <w:rPr>
          <w:rFonts w:ascii="Times New Roman" w:cs="Times New Roman" w:eastAsia="Times New Roman" w:hAnsi="Times New Roman"/>
          <w:sz w:val="22"/>
          <w:szCs w:val="22"/>
          <w:u w:val="single" w:color="auto"/>
          <w:color w:val="auto"/>
        </w:rPr>
        <w:t>Section 5.9(b)</w:t>
      </w:r>
      <w:r>
        <w:rPr>
          <w:rFonts w:ascii="Times New Roman" w:cs="Times New Roman" w:eastAsia="Times New Roman" w:hAnsi="Times New Roman"/>
          <w:sz w:val="22"/>
          <w:szCs w:val="22"/>
          <w:color w:val="auto"/>
        </w:rPr>
        <w:t xml:space="preserve"> shall not be amended, repealed or otherwise modified at any time in a manner that would adversely affect the rights of such Indemnified Person as provided herein.</w:t>
      </w:r>
    </w:p>
    <w:p>
      <w:pPr>
        <w:spacing w:after="0" w:line="21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Surviving Entity shall maintain in effect for three years from the Effective Time (the “</w:t>
      </w:r>
      <w:r>
        <w:rPr>
          <w:rFonts w:ascii="Times New Roman" w:cs="Times New Roman" w:eastAsia="Times New Roman" w:hAnsi="Times New Roman"/>
          <w:sz w:val="22"/>
          <w:szCs w:val="22"/>
          <w:u w:val="single" w:color="auto"/>
          <w:color w:val="auto"/>
        </w:rPr>
        <w:t>Initial Coverage Period</w:t>
      </w:r>
      <w:r>
        <w:rPr>
          <w:rFonts w:ascii="Times New Roman" w:cs="Times New Roman" w:eastAsia="Times New Roman" w:hAnsi="Times New Roman"/>
          <w:sz w:val="22"/>
          <w:szCs w:val="22"/>
          <w:color w:val="auto"/>
        </w:rPr>
        <w:t>”) the Partnership’s current directors’ and officers’ liability insurance policies covering acts or omissions occurring at or prior to the Effective Time with respect to Indemnified Persons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the written consent of Parent obtained prior to the Effective Time, the Surviving Entity may substitute therefor policies with reputable carriers of at least the same coverage containing terms and conditions that are no less favorable to the Indemnified Persons);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no event shall the Surviving Entity be required to expend pursuant to the first sentence of this </w:t>
      </w:r>
      <w:r>
        <w:rPr>
          <w:rFonts w:ascii="Times New Roman" w:cs="Times New Roman" w:eastAsia="Times New Roman" w:hAnsi="Times New Roman"/>
          <w:sz w:val="22"/>
          <w:szCs w:val="22"/>
          <w:u w:val="single" w:color="auto"/>
          <w:color w:val="auto"/>
        </w:rPr>
        <w:t>Section 5.9(c)</w:t>
      </w:r>
      <w:r>
        <w:rPr>
          <w:rFonts w:ascii="Times New Roman" w:cs="Times New Roman" w:eastAsia="Times New Roman" w:hAnsi="Times New Roman"/>
          <w:sz w:val="22"/>
          <w:szCs w:val="22"/>
          <w:color w:val="auto"/>
        </w:rPr>
        <w:t xml:space="preserve"> more than an amount per year equal to 200% of current annual premiums paid by the Partnership for such insurance (the “</w:t>
      </w:r>
      <w:r>
        <w:rPr>
          <w:rFonts w:ascii="Times New Roman" w:cs="Times New Roman" w:eastAsia="Times New Roman" w:hAnsi="Times New Roman"/>
          <w:sz w:val="22"/>
          <w:szCs w:val="22"/>
          <w:u w:val="single" w:color="auto"/>
          <w:color w:val="auto"/>
        </w:rPr>
        <w:t>Maximum Amount</w:t>
      </w:r>
      <w:r>
        <w:rPr>
          <w:rFonts w:ascii="Times New Roman" w:cs="Times New Roman" w:eastAsia="Times New Roman" w:hAnsi="Times New Roman"/>
          <w:sz w:val="22"/>
          <w:szCs w:val="22"/>
          <w:color w:val="auto"/>
        </w:rPr>
        <w:t xml:space="preserve">”). In the event that, but for the proviso to the immediately preceding sentence, the Surviving Entity would be required to expend more than the Maximum Amount, the Surviving Entity shall obtain the maximum amount of such insurance as is available for the Maximum Amount. If the Partnership elects, then, in lieu of the obligations of the Surviving Entity under the first sentence of this Section 5.9(c), the Partnership may, prior to the Effective Time, purchase a “tail policy” with respect to acts or omissions occurring or alleged to have occurred prior to the Effective Time that were committed or alleged to have been committed by such Indemnified Persons in their capacity as such;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cost of the “tail policy” shall be borne by the Surviving Entity and in no event shall the cost of such policy exceed the Maximum Amount.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jc w:val="both"/>
        <w:spacing w:after="0" w:line="238" w:lineRule="auto"/>
        <w:rPr>
          <w:sz w:val="20"/>
          <w:szCs w:val="20"/>
          <w:color w:val="auto"/>
        </w:rPr>
      </w:pPr>
      <w:r>
        <w:rPr>
          <w:rFonts w:ascii="Times New Roman" w:cs="Times New Roman" w:eastAsia="Times New Roman" w:hAnsi="Times New Roman"/>
          <w:sz w:val="22"/>
          <w:szCs w:val="22"/>
          <w:color w:val="auto"/>
        </w:rPr>
        <w:t>addition, the Surviving Entity shall maintain in effect for three years following the Initial Coverage Period directors’ and officers’ liability insurance policies, covering acts or omissions occurring at or prior to the Effective Time with respect to Indemnified Persons, with reputable carriers and with coverage containing terms and conditions that are no less favorable to the Indemnified Persons than the directors’ and officers’ liability insurance policies then-maintained for the directors and officers of Parent (and in any event providing for not less than $40,000,000 of coverage).</w:t>
      </w:r>
    </w:p>
    <w:p>
      <w:pPr>
        <w:spacing w:after="0" w:line="2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rights of any Indemnified Person under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shall be in addition to any other rights such Indemnified Person may have under the Partnership Agreement, the Charter Documents of any Subsidiary of the Partnership, the Marshall Islands LP Act or the Marshall Islands LLC Act. The provisions of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shall survive the consummation of the Transactions for a period of six years and are expressly intended to benefit each of the Indemnified Persons and their respective heirs and representatives;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event that any claim or claims for indemnification or advancement set forth in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are asserted or made within such six-year period, all rights to indemnification and advancement in respect of any such claim or claims shall continue until disposition of all such claims. If the Surviving Entity (i) consolidates with or merges into any other Person or (ii) transfers or conveys all or substantially all of its businesses or assets to any other Person, then, in each such case, to the extent necessary, a proper provision shall be made so that the successors and assigns of the Surviving Entity shall assume the obligations of the Surviving Entity set forth in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5.10.</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Securityholder Litigation.</w:t>
      </w:r>
      <w:r>
        <w:rPr>
          <w:rFonts w:ascii="Times New Roman" w:cs="Times New Roman" w:eastAsia="Times New Roman" w:hAnsi="Times New Roman"/>
          <w:sz w:val="22"/>
          <w:szCs w:val="22"/>
          <w:color w:val="auto"/>
        </w:rPr>
        <w:t xml:space="preserve"> The Partnership shall give Parent prompt notice and the opportunity to lead the joint defense or settlement of any securityholder litigation against the Partnership, the General Partner or their respective officers and/or directors relating to the Merger and the other Transactions, and no such settlement shall be agreed to without the prior written consent of Parent, which consent shall not be unreasonably withheld, conditioned or delayed.</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5.11.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by the Partnership.</w:t>
      </w:r>
      <w:r>
        <w:rPr>
          <w:rFonts w:ascii="Times New Roman" w:cs="Times New Roman" w:eastAsia="Times New Roman" w:hAnsi="Times New Roman"/>
          <w:sz w:val="22"/>
          <w:szCs w:val="22"/>
          <w:color w:val="auto"/>
        </w:rPr>
        <w:t xml:space="preserve"> Parent shall cause the Partnership and its Subsidiaries to comply with the provisions of this Agreement. Notwithstanding the foregoing, it is understood and agreed that actions or inactions by the Partnership and its Subsidiaries shall not be deemed to be breaches or violations or failures to perform by the Partnership and its Subsidiaries of any of the provisions of this Agreement if such action or inaction was or was not taken, as applicable, at the direction of Parent or its duly authorized Representatives.</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5.12.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Conflicts Committee.</w:t>
      </w:r>
      <w:r>
        <w:rPr>
          <w:rFonts w:ascii="Times New Roman" w:cs="Times New Roman" w:eastAsia="Times New Roman" w:hAnsi="Times New Roman"/>
          <w:sz w:val="22"/>
          <w:szCs w:val="22"/>
          <w:color w:val="auto"/>
        </w:rPr>
        <w:t xml:space="preserve"> Prior to the Effective Time, neither the General Partner nor Parent nor their Representatives shall, without the consent of the Conflicts Committee, cause or take any action that would cause the elimination of the Conflicts Committee, or revoke or diminish the authority of the Conflicts Committee or remove or cause the removal of any director of the Partnership Board that is a member of the Conflicts Committee either as a member of the Partnership Board or the Conflicts Committee, without the affirmative vote of the Conflicts Committee. For the avoidance of doubt, this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shall not apply to the filling of any vacancies caused by the death, incapacity or resignation of any director in accordance with the provisions of the Partnership Agreement.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5.13.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Special Distribution.</w:t>
      </w:r>
      <w:r>
        <w:rPr>
          <w:rFonts w:ascii="Times New Roman" w:cs="Times New Roman" w:eastAsia="Times New Roman" w:hAnsi="Times New Roman"/>
          <w:sz w:val="22"/>
          <w:szCs w:val="22"/>
          <w:color w:val="auto"/>
        </w:rPr>
        <w:t xml:space="preserve"> As soon as reasonably practicable after receipt of the Unitholder Approval, and in any event no less than two business days prior to the Closing Date, the Partnership Board shall (and Parent shall cause its Representatives on the Partnership Board to) declare the Special Distribution with a record date on a business day prior to the Closing Date and a payment date occurring on or prior to the Closing Date, in each case in accordance with, and subject to the requirements of, the Partnership Agreement and applicable Law, and which dates shall be reasonably agreed among the Parties. The Special Distribution shall be allocated as contemplated by Section 6.3 of the Partnership Agreement and paid to Common Unitholders and the General Partner prior to the Effective Time.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Conditions to Each Party’s Obligation to Effect the Merger.</w:t>
      </w:r>
      <w:r>
        <w:rPr>
          <w:rFonts w:ascii="Times New Roman" w:cs="Times New Roman" w:eastAsia="Times New Roman" w:hAnsi="Times New Roman"/>
          <w:sz w:val="22"/>
          <w:szCs w:val="22"/>
          <w:color w:val="auto"/>
        </w:rPr>
        <w:t xml:space="preserve"> The respective obligations of each Party to effect the Merger shall be subject to the satisfaction (or waiver, if permissible under applicable Law) on or prior to the Closing Date of the following conditions:</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Unitholder Approval</w:t>
      </w:r>
      <w:r>
        <w:rPr>
          <w:rFonts w:ascii="Times New Roman" w:cs="Times New Roman" w:eastAsia="Times New Roman" w:hAnsi="Times New Roman"/>
          <w:sz w:val="22"/>
          <w:szCs w:val="22"/>
          <w:color w:val="auto"/>
        </w:rPr>
        <w:t>. The Unitholder Approval shall have been obtained in accordance with applicable Law and the Partnership Agreement.</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Injunctions or Restraints</w:t>
      </w:r>
      <w:r>
        <w:rPr>
          <w:rFonts w:ascii="Times New Roman" w:cs="Times New Roman" w:eastAsia="Times New Roman" w:hAnsi="Times New Roman"/>
          <w:sz w:val="22"/>
          <w:szCs w:val="22"/>
          <w:color w:val="auto"/>
        </w:rPr>
        <w:t>. No Judgment enacted, promulgated, issued, entered, amended or enforced by any Governmental Authority of competent jurisdiction (collectively, “</w:t>
      </w:r>
      <w:r>
        <w:rPr>
          <w:rFonts w:ascii="Times New Roman" w:cs="Times New Roman" w:eastAsia="Times New Roman" w:hAnsi="Times New Roman"/>
          <w:sz w:val="22"/>
          <w:szCs w:val="22"/>
          <w:u w:val="single" w:color="auto"/>
          <w:color w:val="auto"/>
        </w:rPr>
        <w:t>Restraints</w:t>
      </w:r>
      <w:r>
        <w:rPr>
          <w:rFonts w:ascii="Times New Roman" w:cs="Times New Roman" w:eastAsia="Times New Roman" w:hAnsi="Times New Roman"/>
          <w:sz w:val="22"/>
          <w:szCs w:val="22"/>
          <w:color w:val="auto"/>
        </w:rPr>
        <w:t>”) shall be in effect enjoining, restraining, or otherwise making illegal, preventing or prohibiting the consummation of the Merger.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Special Distribution</w:t>
      </w:r>
      <w:r>
        <w:rPr>
          <w:rFonts w:ascii="Times New Roman" w:cs="Times New Roman" w:eastAsia="Times New Roman" w:hAnsi="Times New Roman"/>
          <w:sz w:val="20"/>
          <w:szCs w:val="20"/>
          <w:color w:val="auto"/>
        </w:rPr>
        <w:t xml:space="preserve">. The Special Distribution shall have been declared and paid in accordance with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Conditions to Obligations of the Sponsor Entities to Effect the Merger.</w:t>
      </w:r>
      <w:r>
        <w:rPr>
          <w:rFonts w:ascii="Times New Roman" w:cs="Times New Roman" w:eastAsia="Times New Roman" w:hAnsi="Times New Roman"/>
          <w:sz w:val="22"/>
          <w:szCs w:val="22"/>
          <w:color w:val="auto"/>
        </w:rPr>
        <w:t xml:space="preserve"> The obligations of the Sponsor Entities to effect the Merger are further subject to the satisfaction (or waiver, if permissible under applicable Law) on or prior to the Closing Date of the following conditions:</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the Partnership (i) set forth in </w:t>
      </w:r>
      <w:r>
        <w:rPr>
          <w:rFonts w:ascii="Times New Roman" w:cs="Times New Roman" w:eastAsia="Times New Roman" w:hAnsi="Times New Roman"/>
          <w:sz w:val="22"/>
          <w:szCs w:val="22"/>
          <w:u w:val="single" w:color="auto"/>
          <w:color w:val="auto"/>
        </w:rPr>
        <w:t>Sections 3.3(a)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3.3(c)</w:t>
      </w:r>
      <w:r>
        <w:rPr>
          <w:rFonts w:ascii="Times New Roman" w:cs="Times New Roman" w:eastAsia="Times New Roman" w:hAnsi="Times New Roman"/>
          <w:sz w:val="22"/>
          <w:szCs w:val="22"/>
          <w:color w:val="auto"/>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(ii)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shall be true and correct in all but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respects, in each case both when made and at and as of the Closing Date with the same effect as though made on and as of such date (except to the extent expressly made as of an earlier date, in which case as of such earlier date) (iii)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Sections 3.2(a)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3.3(c)</w:t>
      </w:r>
      <w:r>
        <w:rPr>
          <w:rFonts w:ascii="Times New Roman" w:cs="Times New Roman" w:eastAsia="Times New Roman" w:hAnsi="Times New Roman"/>
          <w:sz w:val="22"/>
          <w:szCs w:val="22"/>
          <w:color w:val="auto"/>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where the failure of such representations and warranties to be so true and correct (without giving effect to any qualification or limitation as to “materiality”, “Partnership Material Adverse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22"/>
          <w:szCs w:val="22"/>
          <w:color w:val="auto"/>
        </w:rPr>
        <w:t>Effect” or words of similar import set forth therein) does not have, and would not reasonably be expected to have, individually or in the aggregate, a Partnership Material Adverse Effect.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of Obligations of the Partnership</w:t>
      </w:r>
      <w:r>
        <w:rPr>
          <w:rFonts w:ascii="Times New Roman" w:cs="Times New Roman" w:eastAsia="Times New Roman" w:hAnsi="Times New Roman"/>
          <w:sz w:val="22"/>
          <w:szCs w:val="22"/>
          <w:color w:val="auto"/>
        </w:rPr>
        <w:t>. The Partnership shall have performed in all material respects all obligations required to be performed by it under this Agreement at or prior to the Closing Date.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Partnership Material Adverse Effect</w:t>
      </w:r>
      <w:r>
        <w:rPr>
          <w:rFonts w:ascii="Times New Roman" w:cs="Times New Roman" w:eastAsia="Times New Roman" w:hAnsi="Times New Roman"/>
          <w:sz w:val="22"/>
          <w:szCs w:val="22"/>
          <w:color w:val="auto"/>
        </w:rPr>
        <w:t>. Since the date of this Agreement there shall not have been any Partnership Material Adverse Effect.</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xml:space="preserve">. The Partnership shall have delivered to Parent a certificate of an authorized officer of the Partnership, dated as of the Closing Date, in form and substance reasonably acceptable to Parent, to the effect that the conditions specified in </w:t>
      </w:r>
      <w:r>
        <w:rPr>
          <w:rFonts w:ascii="Times New Roman" w:cs="Times New Roman" w:eastAsia="Times New Roman" w:hAnsi="Times New Roman"/>
          <w:sz w:val="22"/>
          <w:szCs w:val="22"/>
          <w:u w:val="single" w:color="auto"/>
          <w:color w:val="auto"/>
        </w:rPr>
        <w:t>Sections 6.2(a)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6.2(c)</w:t>
      </w:r>
      <w:r>
        <w:rPr>
          <w:rFonts w:ascii="Times New Roman" w:cs="Times New Roman" w:eastAsia="Times New Roman" w:hAnsi="Times New Roman"/>
          <w:sz w:val="22"/>
          <w:szCs w:val="22"/>
          <w:color w:val="auto"/>
        </w:rPr>
        <w:t xml:space="preserve"> have been satisfied.</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Conditions to Obligations of the Partnership to Effect the Merger.</w:t>
      </w:r>
      <w:r>
        <w:rPr>
          <w:rFonts w:ascii="Times New Roman" w:cs="Times New Roman" w:eastAsia="Times New Roman" w:hAnsi="Times New Roman"/>
          <w:sz w:val="22"/>
          <w:szCs w:val="22"/>
          <w:color w:val="auto"/>
        </w:rPr>
        <w:t xml:space="preserve"> The obligations of the Partnership to effect the Merger are further subject to the satisfaction (or waiver, if permissible under applicable Law) on or prior to the Closing Date of the following conditions:</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the Sponsor Entities (i) set forth in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and (ii)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where the failure of such representations and warranties to be so true and correct (without giving effect to any qualification or limitation as to “materiality” or words of similar import set forth therein) does not, and would not reasonably be expected to, individually or in the aggregate, prevent or materially impede, interfere with or hinder the consummation of the Transactions.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of Obligations of the Sponsor Entities</w:t>
      </w:r>
      <w:r>
        <w:rPr>
          <w:rFonts w:ascii="Times New Roman" w:cs="Times New Roman" w:eastAsia="Times New Roman" w:hAnsi="Times New Roman"/>
          <w:sz w:val="22"/>
          <w:szCs w:val="22"/>
          <w:color w:val="auto"/>
        </w:rPr>
        <w:t>. The Sponsor Entities shall have performed in all material respects all obligations required to be performed by them under this Agreement at or prior to the Closing Date.</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xml:space="preserve">. Parent shall have delivered to the Partnership a certificate of an authorized officer of Parent, dated as of the Closing Date, in form and substance reasonably acceptable to the Partnership, to the effect that the conditions specified in </w:t>
      </w:r>
      <w:r>
        <w:rPr>
          <w:rFonts w:ascii="Times New Roman" w:cs="Times New Roman" w:eastAsia="Times New Roman" w:hAnsi="Times New Roman"/>
          <w:sz w:val="22"/>
          <w:szCs w:val="22"/>
          <w:u w:val="single" w:color="auto"/>
          <w:color w:val="auto"/>
        </w:rPr>
        <w:t>Sections 6.3(a)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6.3(b)</w:t>
      </w:r>
      <w:r>
        <w:rPr>
          <w:rFonts w:ascii="Times New Roman" w:cs="Times New Roman" w:eastAsia="Times New Roman" w:hAnsi="Times New Roman"/>
          <w:sz w:val="22"/>
          <w:szCs w:val="22"/>
          <w:color w:val="auto"/>
        </w:rPr>
        <w:t xml:space="preserve"> have been satisfied.</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6.4.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Frustration of Closing Conditions.</w:t>
      </w:r>
      <w:r>
        <w:rPr>
          <w:rFonts w:ascii="Times New Roman" w:cs="Times New Roman" w:eastAsia="Times New Roman" w:hAnsi="Times New Roman"/>
          <w:sz w:val="22"/>
          <w:szCs w:val="22"/>
          <w:color w:val="auto"/>
        </w:rPr>
        <w:t xml:space="preserve"> The Partnership may not rely on the failure of any condition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6.3</w:t>
      </w:r>
      <w:r>
        <w:rPr>
          <w:rFonts w:ascii="Times New Roman" w:cs="Times New Roman" w:eastAsia="Times New Roman" w:hAnsi="Times New Roman"/>
          <w:sz w:val="22"/>
          <w:szCs w:val="22"/>
          <w:color w:val="auto"/>
        </w:rPr>
        <w:t xml:space="preserve"> to be satisfied if the failure of the Partnership to perform in all material respects any of its obligations under this Agreement, including to use its commercially reasonable efforts to consummate the Transactions, as required by and subject to the terms of this Agreement, was the primary cause of or primarily resulted in the failure of such condition to be satisfied. The Sponsor Entities may not rely on the failure of any condition set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w:t>
      </w:r>
      <w:r>
        <w:rPr>
          <w:rFonts w:ascii="Times New Roman" w:cs="Times New Roman" w:eastAsia="Times New Roman" w:hAnsi="Times New Roman"/>
          <w:sz w:val="22"/>
          <w:szCs w:val="22"/>
          <w:color w:val="auto"/>
        </w:rPr>
        <w:t xml:space="preserve"> to be satisfied if the failure of a Sponsor Entity to perform in all material respects any of its obligations under this Agreement, including to use its commercially reasonable efforts to consummate the Transactions, as required by and subject to the terms and conditions of this Agreement, was the primary cause of or primarily resulted in the failure of such condition to be satisfied.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This Agreement may be terminated and the Transactions abandoned at any time prior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Time:</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by the mutual written consent of the Partnership and Parent duly authorized by each of the Conflicts Committee and the Parent Board,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by either of Parent or, following authorization by the Conflicts Committee, the Partnership:</w:t>
      </w:r>
    </w:p>
    <w:p>
      <w:pPr>
        <w:spacing w:after="0" w:line="23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Closing shall not have been consummated on or before October 6, 2023 (the “</w:t>
      </w:r>
      <w:r>
        <w:rPr>
          <w:rFonts w:ascii="Times New Roman" w:cs="Times New Roman" w:eastAsia="Times New Roman" w:hAnsi="Times New Roman"/>
          <w:sz w:val="20"/>
          <w:szCs w:val="20"/>
          <w:u w:val="single" w:color="auto"/>
          <w:color w:val="auto"/>
        </w:rPr>
        <w:t>Outside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right to terminate this Agreement under this </w:t>
      </w:r>
      <w:r>
        <w:rPr>
          <w:rFonts w:ascii="Times New Roman" w:cs="Times New Roman" w:eastAsia="Times New Roman" w:hAnsi="Times New Roman"/>
          <w:sz w:val="20"/>
          <w:szCs w:val="20"/>
          <w:u w:val="single" w:color="auto"/>
          <w:color w:val="auto"/>
        </w:rPr>
        <w:t>Section 7.1(b)(i)</w:t>
      </w:r>
      <w:r>
        <w:rPr>
          <w:rFonts w:ascii="Times New Roman" w:cs="Times New Roman" w:eastAsia="Times New Roman" w:hAnsi="Times New Roman"/>
          <w:sz w:val="20"/>
          <w:szCs w:val="20"/>
          <w:color w:val="auto"/>
        </w:rPr>
        <w:t xml:space="preserve"> shall not be available to a Party (A) if the breach by such Party of its representations and warranties set forth in this Agreement or the failure of such Party to perform any of its obligations under this Agreement, its failure to act in good faith or its failure to use its commercially reasonable efforts to consummate the Transactions, including to the extent required by and subject to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has been a principal cause of or resulted in the failure of the Merger to be consummated on or prior to such date (it being understood that Parent, Merger Sub and the General Partner shall be deemed a single party for purposes of the foregoing proviso) or (B) if any other Party has filed (and is then pursuing) an action seeking specific performance as permitted by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660" w:firstLine="648"/>
        <w:spacing w:after="0" w:line="238"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if any Restraint having the effect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shall be in effect and shall have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Party seeking to terminate this Agreement under this </w:t>
      </w:r>
      <w:r>
        <w:rPr>
          <w:rFonts w:ascii="Times New Roman" w:cs="Times New Roman" w:eastAsia="Times New Roman" w:hAnsi="Times New Roman"/>
          <w:sz w:val="22"/>
          <w:szCs w:val="22"/>
          <w:u w:val="single" w:color="auto"/>
          <w:color w:val="auto"/>
        </w:rPr>
        <w:t>Section 7.1(b)(ii)</w:t>
      </w:r>
      <w:r>
        <w:rPr>
          <w:rFonts w:ascii="Times New Roman" w:cs="Times New Roman" w:eastAsia="Times New Roman" w:hAnsi="Times New Roman"/>
          <w:sz w:val="22"/>
          <w:szCs w:val="22"/>
          <w:color w:val="auto"/>
        </w:rPr>
        <w:t xml:space="preserve"> shall have performed in all material respects its obligations under this Agreement, acted in good faith and used commercially reasonable efforts to prevent the entry of and to remove such Restraint in accordance with its obligations under this Agreement; or</w:t>
      </w:r>
    </w:p>
    <w:p>
      <w:pPr>
        <w:spacing w:after="0" w:line="204" w:lineRule="exact"/>
        <w:rPr>
          <w:sz w:val="20"/>
          <w:szCs w:val="20"/>
          <w:color w:val="auto"/>
        </w:rPr>
      </w:pPr>
    </w:p>
    <w:p>
      <w:pPr>
        <w:jc w:val="both"/>
        <w:ind w:left="660" w:firstLine="648"/>
        <w:spacing w:after="0" w:line="280"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Unitholders Meeting at which the vote was taken shall have concluded and the Unitholder Approval shall not have been obtained;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Party seeking to terminate this Agreement under this </w:t>
      </w:r>
      <w:r>
        <w:rPr>
          <w:rFonts w:ascii="Times New Roman" w:cs="Times New Roman" w:eastAsia="Times New Roman" w:hAnsi="Times New Roman"/>
          <w:sz w:val="20"/>
          <w:szCs w:val="20"/>
          <w:u w:val="single" w:color="auto"/>
          <w:color w:val="auto"/>
        </w:rPr>
        <w:t>Section 7.1(b)(iii)</w:t>
      </w:r>
      <w:r>
        <w:rPr>
          <w:rFonts w:ascii="Times New Roman" w:cs="Times New Roman" w:eastAsia="Times New Roman" w:hAnsi="Times New Roman"/>
          <w:sz w:val="20"/>
          <w:szCs w:val="20"/>
          <w:color w:val="auto"/>
        </w:rPr>
        <w:t xml:space="preserve"> shall have performed in all material respects its obligations under this Agreement with respect thereto;</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by Parent: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if an Adverse Recommendation Change shall have occurred; or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 w:name="page40"/>
    <w:bookmarkEnd w:id="39"/>
    <w:p>
      <w:pPr>
        <w:jc w:val="both"/>
        <w:ind w:left="660" w:firstLine="648"/>
        <w:spacing w:after="0" w:line="235"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if the Partnership shall have breached any of its representations or warranties or failed to perform any of its obligations or agreements set forth in this Agreement, which breach or failure to perform (A) would give rise to the failure of a condition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6.2(b)</w:t>
      </w:r>
      <w:r>
        <w:rPr>
          <w:rFonts w:ascii="Times New Roman" w:cs="Times New Roman" w:eastAsia="Times New Roman" w:hAnsi="Times New Roman"/>
          <w:sz w:val="22"/>
          <w:szCs w:val="22"/>
          <w:color w:val="auto"/>
        </w:rPr>
        <w:t xml:space="preserve"> and (B) is not reasonably capable of being cured prior to the Outside Date or has not been cured by the Partnership within 30 days following receipt of written notice from Parent of such breach or failure to perform stating Parent’s intention to terminate this Agreement pursuant to this </w:t>
      </w:r>
      <w:r>
        <w:rPr>
          <w:rFonts w:ascii="Times New Roman" w:cs="Times New Roman" w:eastAsia="Times New Roman" w:hAnsi="Times New Roman"/>
          <w:sz w:val="22"/>
          <w:szCs w:val="22"/>
          <w:u w:val="single" w:color="auto"/>
          <w:color w:val="auto"/>
        </w:rPr>
        <w:t>Section 7.1(c)(ii)</w:t>
      </w:r>
      <w:r>
        <w:rPr>
          <w:rFonts w:ascii="Times New Roman" w:cs="Times New Roman" w:eastAsia="Times New Roman" w:hAnsi="Times New Roman"/>
          <w:sz w:val="22"/>
          <w:szCs w:val="22"/>
          <w:color w:val="auto"/>
        </w:rPr>
        <w:t xml:space="preserve"> (or in any event, has not been cured by 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Parent shall not have the right to terminate this Agreement pursuant to this </w:t>
      </w:r>
      <w:r>
        <w:rPr>
          <w:rFonts w:ascii="Times New Roman" w:cs="Times New Roman" w:eastAsia="Times New Roman" w:hAnsi="Times New Roman"/>
          <w:sz w:val="22"/>
          <w:szCs w:val="22"/>
          <w:u w:val="single" w:color="auto"/>
          <w:color w:val="auto"/>
        </w:rPr>
        <w:t>Section 7.1(c)(ii)</w:t>
      </w:r>
      <w:r>
        <w:rPr>
          <w:rFonts w:ascii="Times New Roman" w:cs="Times New Roman" w:eastAsia="Times New Roman" w:hAnsi="Times New Roman"/>
          <w:sz w:val="22"/>
          <w:szCs w:val="22"/>
          <w:color w:val="auto"/>
        </w:rPr>
        <w:t xml:space="preserve"> if any of the Sponsor Entities is then in material breach of any of its representations, warranties, obligations or agreements hereunder;</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by the Partnership if a Sponsor Entity shall have breached any of its representations or warranties or failed to perform any of its obligations or agreements set forth in this Agreement, which breach or failure to perform (A) would give rise to the failure of a condition set forth in </w:t>
      </w:r>
      <w:r>
        <w:rPr>
          <w:rFonts w:ascii="Times New Roman" w:cs="Times New Roman" w:eastAsia="Times New Roman" w:hAnsi="Times New Roman"/>
          <w:sz w:val="20"/>
          <w:szCs w:val="20"/>
          <w:u w:val="single" w:color="auto"/>
          <w:color w:val="auto"/>
        </w:rPr>
        <w:t>Section 6.3(a)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6.3(b)</w:t>
      </w:r>
      <w:r>
        <w:rPr>
          <w:rFonts w:ascii="Times New Roman" w:cs="Times New Roman" w:eastAsia="Times New Roman" w:hAnsi="Times New Roman"/>
          <w:sz w:val="20"/>
          <w:szCs w:val="20"/>
          <w:color w:val="auto"/>
        </w:rPr>
        <w:t xml:space="preserve"> and (B) is not reasonably capable of being cured prior to the Outside Date or has not been cured by the applicable Sponsor Entity within 30 days following receipt of written notice from the Partnership of such breach or failure to perform stating the Partnership’s intention to terminate this Agreement pursuant this </w:t>
      </w:r>
      <w:r>
        <w:rPr>
          <w:rFonts w:ascii="Times New Roman" w:cs="Times New Roman" w:eastAsia="Times New Roman" w:hAnsi="Times New Roman"/>
          <w:sz w:val="20"/>
          <w:szCs w:val="20"/>
          <w:u w:val="single" w:color="auto"/>
          <w:color w:val="auto"/>
        </w:rPr>
        <w:t>Section 7.1(d)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Partnership shall not have the right to terminate this Agreement pursuant to this </w:t>
      </w:r>
      <w:r>
        <w:rPr>
          <w:rFonts w:ascii="Times New Roman" w:cs="Times New Roman" w:eastAsia="Times New Roman" w:hAnsi="Times New Roman"/>
          <w:sz w:val="20"/>
          <w:szCs w:val="20"/>
          <w:u w:val="single" w:color="auto"/>
          <w:color w:val="auto"/>
        </w:rPr>
        <w:t>Section 7.1(d)</w:t>
      </w:r>
    </w:p>
    <w:p>
      <w:pPr>
        <w:spacing w:after="0" w:line="4"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Partnership is then in material breach of any of its representations, warranties, obligations or agreements hereunder and</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such termination first being authorized by the Conflicts Committee.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 of Termination.</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In the event of the termination of this Agreement as provided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written notice thereof shall be given to the other Party or Parties, specifying the provision of this Agreement pursuant to which such termination is made, and this Agreement shall forthwith become null and void (other than the provisions in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all of which shall survive termination of this Agreement), and there shall be no liability on the part of Parent, Merger Sub, the General Partner, the Partnership, any Debt Financing Source or their respective directors, officers and Affiliates, except (i) as liability may exist pursuant to the provisions specified in the immediately preceding parenthetical that survive such termination and (ii) that no such termination shall relieve any Party from liability for fraud or any Willful Breach.</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Section 7.2(a) or anything else to the contrary in this Agreement, in the event this Agreement is terminated (i)(A) by either of Parent or, following authorization by the Conflicts Committee, the Partnership pursuant to Section 7.1(b)(i) or Section 7.1(b)(iii) at a time when this Agreement was terminable by Parent pursuant to Section 7.1(c)(i) or (B) by Parent pursuant to Section 7.1(c)(i) or Section 7.1(c)(ii), the Partnership shall pay Parent the reasonable and documented out-of-pocket costs and expenses of the Sponsor Entities (including outside attorney’s fees and disbursements) incurred in connection with this Agreement, the Support Agreement and the Debt Commitment Letter and the transactions contemplated hereby and thereby or (ii) by the Partnership pursuant to Section 7.1(d), Parent shall pay the Partnership its reasonable and documented out-of-pocket costs and expenses (including outside attorney’s fees and disbursements) incurred in connection with this Agreement, the Support Agreement and the Debt Commitment Letter and the transactions contemplated hereby and thereby; provided that in no event shall the Partnership or Parent, as applicable, be required to provide reimbursement pursuant to this Section 7.2(b) in an aggregate amount in excess of $5,000,000.</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8.1.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Survival of Representations, Warranties and Covenants.</w:t>
      </w:r>
      <w:r>
        <w:rPr>
          <w:rFonts w:ascii="Times New Roman" w:cs="Times New Roman" w:eastAsia="Times New Roman" w:hAnsi="Times New Roman"/>
          <w:sz w:val="22"/>
          <w:szCs w:val="22"/>
          <w:color w:val="auto"/>
        </w:rPr>
        <w:t xml:space="preserve"> None of the representations, warranties, covenants and agreements in this Agreement or in any document or instrument delivered pursuant to or in connection with this Agreement shall survive the Effective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shall not limit any covenant or agreement contained in this Agreement or in any document or instrument delivered pursuant to or in connection with this Agreement that by its terms applies in whole or in part after the Effective Time.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8.2.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or Supplement.</w:t>
      </w:r>
      <w:r>
        <w:rPr>
          <w:rFonts w:ascii="Times New Roman" w:cs="Times New Roman" w:eastAsia="Times New Roman" w:hAnsi="Times New Roman"/>
          <w:sz w:val="22"/>
          <w:szCs w:val="22"/>
          <w:color w:val="auto"/>
        </w:rPr>
        <w:t xml:space="preserve"> Subject to compliance with applicable Law, at any time prior to the Effective Time, this Agreement may be amended, modified or supplemented in any and all respects, whether before or after receipt of the Unitholder Approval, only by written agreement of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following receipt of the Unitholder Approval, there shall be no amendment or change to the provisions of this Agreement which by applicable Law would require further approval by the Common Unitholders without such approval having first been obtained and (b) the Partnership may not, without the prior written approval of the Conflicts Committee, agree to any amendment or modification of this Agreement. Unless otherwise expressly set forth in this Agreement, whenever a determination, decision, approval or consent of the Partnership is required pursuant to this Agreement, such determination, decision, approval or consent must be authorized by the Conflicts Committee.</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8.3.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Extension of Time, Waiver, Etc.</w:t>
      </w:r>
      <w:r>
        <w:rPr>
          <w:rFonts w:ascii="Times New Roman" w:cs="Times New Roman" w:eastAsia="Times New Roman" w:hAnsi="Times New Roman"/>
          <w:sz w:val="22"/>
          <w:szCs w:val="22"/>
          <w:color w:val="auto"/>
        </w:rPr>
        <w:t xml:space="preserve"> At any time prior to the Effective Time, any Party may, subject to applicable Law, (a) waive any inaccuracies in the representations and warranties of any other Party, (b) extend the time for the performance of any of the obligations or acts of any other Party or (c) subject to the requirements of applicable Law, waive compliance by any other Party with any of the agreements contained herein or, except as otherwise provided herein, waive any of such Party’s conditions (it being understood that the Sponsor Entities shall be deemed a single party for purposes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the Partnership may not make or authorize any such waiver or extension without the prior approval of the Conflicts Committee and (ii) following receipt of the Unitholder Approval, there shall be no waiver or extension which by applicable Law would require further approval by the Common Unitholders without such approval having first been obtained. Notwithstanding the foregoing, no failure or delay by any Party in exercising any right hereunder shall operate as a waiver thereof nor shall any single or partial exercise thereof preclude any other or further exercise thereof or the exercise of any other right hereunder. Any agreement on the part of a Party to any such extension or waiver shall be valid only if set forth in an instrument in writing signed on behalf of such Party.</w:t>
      </w:r>
    </w:p>
    <w:p>
      <w:pPr>
        <w:spacing w:after="0" w:line="21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8.4.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Neither this Agreement nor any of the rights, interests or obligations hereunder shall be assigned, in whole or in part, by operation of Law or otherwise, by any of the Parties without the prior written consent of the other Parties. No assignment by any Party shall relieve such Party of any of its obligations hereunder. Subject to the immediately preceding two sentences, this Agreement shall be binding upon, inure to the benefit of, and be enforceable by, the Parties and their respective successors and permitted assigns. Any purported assignment not permitted under this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shall be null and void.</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8.5.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and delivered to the other Parties.</w:t>
      </w:r>
    </w:p>
    <w:p>
      <w:pPr>
        <w:spacing w:after="0" w:line="20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Section 8.6.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Entire Agreement; No Third-Party Beneficiaries.</w:t>
      </w:r>
      <w:r>
        <w:rPr>
          <w:rFonts w:ascii="Times New Roman" w:cs="Times New Roman" w:eastAsia="Times New Roman" w:hAnsi="Times New Roman"/>
          <w:sz w:val="20"/>
          <w:szCs w:val="20"/>
          <w:color w:val="auto"/>
        </w:rPr>
        <w:t xml:space="preserve"> This Agreement, together with the Exhibits attached hereto, the Support Agreement and the Debt Commitment Letter, constitutes the entire agreement, and supersedes all other prior agreements and understandings, both written and oral, among the Parties and their Affiliates, or any of them, with respect to the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 w:name="page42"/>
    <w:bookmarkEnd w:id="41"/>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subject matter hereof and thereof. This Agreement is not intended to and shall not confer upon any Person other than the Parties any rights or remedies hereunder, except for (i) if the Effective Time occurs, the right of the Common Unitholders to receive the Merger Consideration and any distribution (including the Special Distribution) payable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(ii) the rights of the Indemnified Persons set forth in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and (iii) the rights of the Related Parties set forth in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xml:space="preserve">, which in each case are intended for the benefit of, and shall be enforceable by, such Persons referred to respectively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Governing Law; Jurisdiction; Waiver of Jury Trial.</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the Marshall Islands are mandatorily applicable to the Merger.</w:t>
      </w:r>
    </w:p>
    <w:p>
      <w:pPr>
        <w:spacing w:after="0" w:line="20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Parties or their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any of the Transactions in any court other than the aforesaid courts. Each of the Parties hereby irrevocably waives, and agrees not to assert as a defense, counterclaim or otherwise, in any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Proceeding in such court is brought in an inconvenient forum, (B) the venue of such Proceeding is improper or (C) this Agreement, or the subject matter hereof, may not be enforced in or by such courts. The Parties hereby consent to and grant any such court jurisdiction over the person of such Parties solely for such purpose and over the subject matter of such dispute and, to the fullest extent permitted by Law, agree that mailing of process or other papers in connection with any such Proceeding in the manner provided in </w:t>
      </w:r>
      <w:r>
        <w:rPr>
          <w:rFonts w:ascii="Times New Roman" w:cs="Times New Roman" w:eastAsia="Times New Roman" w:hAnsi="Times New Roman"/>
          <w:sz w:val="22"/>
          <w:szCs w:val="22"/>
          <w:u w:val="single" w:color="auto"/>
          <w:color w:val="auto"/>
        </w:rPr>
        <w:t>Section 8.9</w:t>
      </w:r>
      <w:r>
        <w:rPr>
          <w:rFonts w:ascii="Times New Roman" w:cs="Times New Roman" w:eastAsia="Times New Roman" w:hAnsi="Times New Roman"/>
          <w:sz w:val="22"/>
          <w:szCs w:val="22"/>
          <w:color w:val="auto"/>
        </w:rPr>
        <w:t xml:space="preserve"> or in such other manner as may be permitted by applicable Laws shall be valid and sufficient service thereof.</w:t>
      </w:r>
    </w:p>
    <w:p>
      <w:pPr>
        <w:spacing w:after="0" w:line="21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EACH PARTY HEREBY IRREVOCABLY WAIVES ALL RIGHT TO TRIAL BY JURY IN ANY PROCEEDING OR COUNTERCLAIM (WHETHER BASED ON CONTRACT, TORT OR OTHERWISE) ARISING OUT OF OR RELATING TO THIS AGREEMENT OR THE TRANSACTIONS OR THE ACTIONS OF ANY PARTY IN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22"/>
          <w:szCs w:val="22"/>
          <w:color w:val="auto"/>
        </w:rPr>
        <w:t>NEGOTIATION, ADMINISTRATION, PERFORMANCE AND ENFORCEMENT OF THIS AGREEMENT AND THE TRANSACTIONS.</w:t>
      </w:r>
    </w:p>
    <w:p>
      <w:pPr>
        <w:spacing w:after="0" w:line="18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8.8.</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Specific Enforcement.</w:t>
      </w:r>
      <w:r>
        <w:rPr>
          <w:rFonts w:ascii="Times New Roman" w:cs="Times New Roman" w:eastAsia="Times New Roman" w:hAnsi="Times New Roman"/>
          <w:sz w:val="22"/>
          <w:szCs w:val="22"/>
          <w:color w:val="auto"/>
        </w:rPr>
        <w:t xml:space="preserve"> The Parties agree that irreparable damage for which monetary relief, even if available, would not be an adequate remedy, would occur in the event that any provision of this Agreement is not performed in accordance with its specific terms or is otherwise breached, including if the Parties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22"/>
          <w:szCs w:val="22"/>
          <w:u w:val="single" w:color="auto"/>
          <w:color w:val="auto"/>
        </w:rPr>
        <w:t>Section 8.7(b)</w:t>
      </w:r>
      <w:r>
        <w:rPr>
          <w:rFonts w:ascii="Times New Roman" w:cs="Times New Roman" w:eastAsia="Times New Roman" w:hAnsi="Times New Roman"/>
          <w:sz w:val="22"/>
          <w:szCs w:val="22"/>
          <w:color w:val="auto"/>
        </w:rPr>
        <w:t xml:space="preserve"> without proof of damages or otherwise, this being in addition to any other remedy to which they are entitled under this Agreement and (b) the right of specific enforcement is an integral part of the Transactions and without that right, none of the Parties would have entered into this Agreement. Each Party agrees that, prior to the valid termination of this Agreement in accordance with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it will not assert that a remedy of specific enforcement is unenforceable, invalid, contrary to Law or inequitable for any reason, and not assert that a remedy of monetary damages would provide an adequate remedy or that such Party otherwise has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shall not be required to provide any bond or other security in connection with any such order or injunction.</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8.9.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Parent, Merger Sub or the General Partner,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GasLog Ltd.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GasLog LNG Services Ltd.</w:t>
      </w:r>
    </w:p>
    <w:p>
      <w:pPr>
        <w:ind w:left="130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130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1300"/>
        <w:spacing w:after="0"/>
        <w:rPr>
          <w:sz w:val="20"/>
          <w:szCs w:val="20"/>
          <w:color w:val="auto"/>
        </w:rPr>
      </w:pPr>
      <w:r>
        <w:rPr>
          <w:rFonts w:ascii="Times New Roman" w:cs="Times New Roman" w:eastAsia="Times New Roman" w:hAnsi="Times New Roman"/>
          <w:sz w:val="22"/>
          <w:szCs w:val="22"/>
          <w:color w:val="auto"/>
        </w:rPr>
        <w:t>Greece</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Alexandros Laios, General Counsel</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alaios@gaslogltd.com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Cravath, Swaine &amp; Moore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Worldwide Plaza</w:t>
      </w:r>
    </w:p>
    <w:p>
      <w:pPr>
        <w:ind w:left="1300"/>
        <w:spacing w:after="0"/>
        <w:rPr>
          <w:sz w:val="20"/>
          <w:szCs w:val="20"/>
          <w:color w:val="auto"/>
        </w:rPr>
      </w:pPr>
      <w:r>
        <w:rPr>
          <w:rFonts w:ascii="Times New Roman" w:cs="Times New Roman" w:eastAsia="Times New Roman" w:hAnsi="Times New Roman"/>
          <w:sz w:val="22"/>
          <w:szCs w:val="22"/>
          <w:color w:val="auto"/>
        </w:rPr>
        <w:t>825 Eighth Avenue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D. Scott Bennett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Andrew C. Elken</w:t>
      </w:r>
    </w:p>
    <w:p>
      <w:pPr>
        <w:ind w:left="1300"/>
        <w:spacing w:after="0" w:line="230" w:lineRule="auto"/>
        <w:rPr>
          <w:sz w:val="20"/>
          <w:szCs w:val="20"/>
          <w:color w:val="auto"/>
        </w:rPr>
      </w:pPr>
      <w:r>
        <w:rPr>
          <w:rFonts w:ascii="Times New Roman" w:cs="Times New Roman" w:eastAsia="Times New Roman" w:hAnsi="Times New Roman"/>
          <w:sz w:val="22"/>
          <w:szCs w:val="22"/>
          <w:color w:val="auto"/>
        </w:rPr>
        <w:t>                        Jin-Kyu Baek</w:t>
      </w:r>
    </w:p>
    <w:p>
      <w:pPr>
        <w:ind w:left="1300"/>
        <w:spacing w:after="0" w:line="231" w:lineRule="auto"/>
        <w:rPr>
          <w:sz w:val="20"/>
          <w:szCs w:val="20"/>
          <w:color w:val="auto"/>
        </w:rPr>
      </w:pPr>
      <w:r>
        <w:rPr>
          <w:rFonts w:ascii="Times New Roman" w:cs="Times New Roman" w:eastAsia="Times New Roman" w:hAnsi="Times New Roman"/>
          <w:sz w:val="22"/>
          <w:szCs w:val="22"/>
          <w:color w:val="auto"/>
        </w:rPr>
        <w:t>Email:           sbennett@cravath.com</w:t>
      </w:r>
    </w:p>
    <w:p>
      <w:pPr>
        <w:ind w:left="1300"/>
        <w:spacing w:after="0" w:line="230" w:lineRule="auto"/>
        <w:rPr>
          <w:sz w:val="20"/>
          <w:szCs w:val="20"/>
          <w:color w:val="auto"/>
        </w:rPr>
      </w:pPr>
      <w:r>
        <w:rPr>
          <w:rFonts w:ascii="Times New Roman" w:cs="Times New Roman" w:eastAsia="Times New Roman" w:hAnsi="Times New Roman"/>
          <w:sz w:val="22"/>
          <w:szCs w:val="22"/>
          <w:color w:val="auto"/>
        </w:rPr>
        <w:t>                        aelken@cravath.com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jbaek@cravath.com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Partnership,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GasLog Partners 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GasLog LNG Services Ltd.</w:t>
      </w:r>
    </w:p>
    <w:p>
      <w:pPr>
        <w:ind w:left="130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130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1300"/>
        <w:spacing w:after="0"/>
        <w:rPr>
          <w:sz w:val="20"/>
          <w:szCs w:val="20"/>
          <w:color w:val="auto"/>
        </w:rPr>
      </w:pPr>
      <w:r>
        <w:rPr>
          <w:rFonts w:ascii="Times New Roman" w:cs="Times New Roman" w:eastAsia="Times New Roman" w:hAnsi="Times New Roman"/>
          <w:sz w:val="22"/>
          <w:szCs w:val="22"/>
          <w:color w:val="auto"/>
        </w:rPr>
        <w:t>Greece</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Alexandros Laios, General Counsel</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alaios@gaslogltd.com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 each of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Richards, Layton &amp; Finger, P.A.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Rodney Square, 920 North King Street</w:t>
      </w:r>
    </w:p>
    <w:p>
      <w:pPr>
        <w:ind w:left="1300"/>
        <w:spacing w:after="0"/>
        <w:rPr>
          <w:sz w:val="20"/>
          <w:szCs w:val="20"/>
          <w:color w:val="auto"/>
        </w:rPr>
      </w:pPr>
      <w:r>
        <w:rPr>
          <w:rFonts w:ascii="Times New Roman" w:cs="Times New Roman" w:eastAsia="Times New Roman" w:hAnsi="Times New Roman"/>
          <w:sz w:val="22"/>
          <w:szCs w:val="22"/>
          <w:color w:val="auto"/>
        </w:rPr>
        <w:t>Wilmington, Delaware 19801</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Srinivas M. Raju</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Kenneth Jackman</w:t>
      </w:r>
    </w:p>
    <w:p>
      <w:pPr>
        <w:ind w:left="1300"/>
        <w:spacing w:after="0" w:line="230" w:lineRule="auto"/>
        <w:rPr>
          <w:sz w:val="20"/>
          <w:szCs w:val="20"/>
          <w:color w:val="auto"/>
        </w:rPr>
      </w:pPr>
      <w:r>
        <w:rPr>
          <w:rFonts w:ascii="Times New Roman" w:cs="Times New Roman" w:eastAsia="Times New Roman" w:hAnsi="Times New Roman"/>
          <w:sz w:val="22"/>
          <w:szCs w:val="22"/>
          <w:color w:val="auto"/>
        </w:rPr>
        <w:t>Email:           raju@rlf.com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jackman@rlf.com</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8.10.</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 to any Party or such Party waives its rights under this </w:t>
      </w:r>
      <w:r>
        <w:rPr>
          <w:rFonts w:ascii="Times New Roman" w:cs="Times New Roman" w:eastAsia="Times New Roman" w:hAnsi="Times New Roman"/>
          <w:sz w:val="22"/>
          <w:szCs w:val="22"/>
          <w:u w:val="single" w:color="auto"/>
          <w:color w:val="auto"/>
        </w:rPr>
        <w:t>Section 8.10</w:t>
      </w:r>
      <w:r>
        <w:rPr>
          <w:rFonts w:ascii="Times New Roman" w:cs="Times New Roman" w:eastAsia="Times New Roman" w:hAnsi="Times New Roman"/>
          <w:sz w:val="22"/>
          <w:szCs w:val="22"/>
          <w:color w:val="auto"/>
        </w:rPr>
        <w:t xml:space="preserve"> with respect thereto. Upon such determination that any term, condition or other provision is invalid, illegal or incapable of being enforced, the Parties shall negotiate in good faith to modify this Agreement so as to effect the original intent of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Parties as closely as possible to the fullest extent permitted by applicable Law in an acceptable manner to the end that the Transactions are fulfilled to the extent possible.</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8.11.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xml:space="preserve"> Except as otherwise set forth in this Agreement, whether or not the Transactions are consummated, all fees and expenses incurred in connection with this Agreement, the Merger and the other Transactions shall be paid by the Party incurring or required to incur such fees or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expenses relating to the preparation, printing, filing and mailing of the Proxy Statement and the solicitation of the Unitholder Approval shall be paid 50% by Parent and 50% by the Partnership.</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8.12.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Interpretation.</w:t>
      </w:r>
    </w:p>
    <w:p>
      <w:pPr>
        <w:spacing w:after="0" w:line="2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delivered in person or electronically to Parent, Merger Sub or their respective Representatives prior to the entry into this Agreement. All accounting 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shall refer to the lawful money of the United States. References to a Person are also to its permitted assigns and successors.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Parties have participated jointly in the negotiation and drafting of this Agreement with the assistance of counsel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 w:name="page46"/>
    <w:bookmarkEnd w:id="45"/>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8.13.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Non-Recourse.</w:t>
      </w:r>
      <w:r>
        <w:rPr>
          <w:rFonts w:ascii="Times New Roman" w:cs="Times New Roman" w:eastAsia="Times New Roman" w:hAnsi="Times New Roman"/>
          <w:sz w:val="22"/>
          <w:szCs w:val="22"/>
          <w:color w:val="auto"/>
        </w:rPr>
        <w:t xml:space="preserve"> No past, present or future director, officer, employee, incorporator, member, partner, stockholder, agent, attorney, representative or Affiliate of any Party or any of their respective successors or assigns or past, present or future directors, officers, employees, incorporators, members, partners, stockholders, agents, attorneys, representatives or Affiliates of the Parties (in each case, other than any Affiliate that is expressly a Party) (collectively, the “</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xml:space="preserve">”) shall have any liability (whether at law, in equity, in contract, in tort or otherwise) for any obligations or liabilities of the Parties arising under, in connection with or related to this Agreement or for any claim based on, in respect of, or by reason of, the Transactions or in respect of any oral representations made or alleged to be made in connection 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xml:space="preserve"> shall limit any liability of the Parties or the parties to the Support Agreement for breaches of the terms and conditions of this Agreement and the Support Agreement, as applicable.</w:t>
      </w:r>
    </w:p>
    <w:p>
      <w:pPr>
        <w:spacing w:after="0" w:line="21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Section 8.14.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Financing Sources.</w:t>
      </w:r>
      <w:r>
        <w:rPr>
          <w:rFonts w:ascii="Times New Roman" w:cs="Times New Roman" w:eastAsia="Times New Roman" w:hAnsi="Times New Roman"/>
          <w:sz w:val="22"/>
          <w:szCs w:val="22"/>
          <w:color w:val="auto"/>
        </w:rPr>
        <w:t xml:space="preserve"> Notwithstanding anything in this Agreement to the contrary (but subject to the proviso at the end of this paragraph), each Party, on behalf of itself, its Subsidiaries, its controlled Affiliates and the Representatives of each of the foregoing, hereby: (a) agrees that any Proceeding involving a Debt Financing Source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Proceeding to the exclusive jurisdiction of such court, (b) agrees that any such Proceeding (except to the extent relating to the interpretation of any provisions in this Agreement (including any provision in any documentation related to the Debt Financing that expressly specifies that the interpretation of such provisions shall be governed by and construed in accordance with the Laws of the State of Delaware)) shall be governed by the Laws of the State of New York (without giving effect to any conflicts of law principles that would result in the application of the laws of another jurisdiction), (c) agrees not to bring or support any Proceeding of any kind or description, whether in law or in equity, whether in contract or in tort or otherwise, against any Debt Financing Source in any way arising out of or relating to this Agreement, the Debt Financing, the Debt Commitment Letter or any of the agreements entered into in connection with the Debt Financing or the Debt Commitment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Letter or any of the transactions contemplated hereby or thereby or the performance of any services thereunder in any forum other than any federal or state court in the Borough of Manhattan, New York, New York, (d) irrevocably waives, to the fullest extent that it may effectively do so, the defense of an inconvenient forum to the maintenance of any such Proceeding in any such court, (e) knowingly, intentionally and voluntarily waives to the fullest extent permitted by applicable Law all rights of trial by jury in any Proceeding brought against any Debt Financing Source in any way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(f) agrees that no Debt Financing Source shall be subject to any special, consequential, punitive or indirect damages or damages of a tortious nature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(g) agrees that this Agreement may not be enforced against any Debt Financing Source and agrees that no Debt Financing Source will have any liability to the Partnership, any of its Subsidiaries or any of their respective Representatives, and hereby knowingly, intentionally and voluntarily waives to the fullest extent permitted by applicable Law any rights or claims against any Debt Financing Source,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whether in law or in equity, whether in contract or in tort or otherwise, (h) agrees that the Debt Financing Sources are express third party beneficiaries of, and may enforce, and shall be entitled to rely on, this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xml:space="preserve"> and (i) agrees that </w:t>
      </w:r>
      <w:r>
        <w:rPr>
          <w:rFonts w:ascii="Times New Roman" w:cs="Times New Roman" w:eastAsia="Times New Roman" w:hAnsi="Times New Roman"/>
          <w:sz w:val="21"/>
          <w:szCs w:val="21"/>
          <w:u w:val="single" w:color="auto"/>
          <w:color w:val="auto"/>
        </w:rPr>
        <w:t>Sections 7.2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8.13</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xml:space="preserve"> and the definition of “Debt Financing Sources” (and any other provision or definition in this Agreement to the extent an amendment, modification, waiver or termination of such provision or definition would modify the substance of any of the foregoing provisions or definitions) may not be amended, modified, waived or terminated in any way adverse to the Debt Financing Sources without the prior written consent of the Debt Financing Sources party to the Debt Commitment Letter;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the foregoing, nothing in this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xml:space="preserve"> shall in any way limit or modify the obligations of any Debt Financing Source to the Parent or any of its Subsidiaries, or the rights of the Parent or any its Subsidiaries against any Debt Financing Source, in each case under the Debt Commitment Letter or the definitive agreements executed in connection with the Debt Financing.</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8.15.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As used in this Agreement, the following terms have the meanings ascribed thereto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 Proposal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Adverse Recommendation Change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to any Person, any other Person that, directly or indirectly, controls, or is controlled by, or is under common control with such Person. For this purpose,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its correlative meanings,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xml:space="preserve">”)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Agreement, unless expressly provided otherwise, the Partnership and its Subsidiaries shall not be considered Affiliates of Parent or any of Parent’s other Affiliates, nor shall Parent or any of Parent’s Affiliates be considered Affiliates of the Partnership or its Subsidiaries.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Debt Commitment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Debt Financing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means all applicable antitrust and competition Laws and all other applicable Laws issued by a Governmental Authority that are designed or intended to prohibit,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22"/>
          <w:szCs w:val="22"/>
          <w:color w:val="auto"/>
        </w:rPr>
        <w:t>restrict or regulate actions having the purpose or effect of monopolization or restraint of trade or lessening of competition through merger or acquisition.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and Equity Exception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BHL</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 day except a Saturday, a Sunday or other day on which the SEC or banks in the City of New York, Bermuda or the Marshall Islands are authorized or required by Law to be closed;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day that the Registrar or Deputy Registrar of Corporations of the Republic of the Marshall Islands is not accepting filings shall not be a “business day” for purposes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Charter Documents</w:t>
      </w:r>
      <w:r>
        <w:rPr>
          <w:rFonts w:ascii="Times New Roman" w:cs="Times New Roman" w:eastAsia="Times New Roman" w:hAnsi="Times New Roman"/>
          <w:sz w:val="22"/>
          <w:szCs w:val="22"/>
          <w:color w:val="auto"/>
        </w:rPr>
        <w:t>” means, with respect to any entity at any time, in each case as amended, modified and supplemented at that time, (a) the articles and, where relevant, the memorandum of association or certificate of formation, incorporation, partnership or organization (or the equivalent organizational documents) of that entity, (b) the bylaws, partnership agreement or limited liability company agreement or regulations (or the equivalent governing documents) of that entity, and (c) each document setting forth the designation, amount and relative rights, limitations and preferences of any class or series of that entity’s equity interests or of any rights in respect of that entity’s equity interests.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Units</w:t>
      </w:r>
      <w:r>
        <w:rPr>
          <w:rFonts w:ascii="Times New Roman" w:cs="Times New Roman" w:eastAsia="Times New Roman" w:hAnsi="Times New Roman"/>
          <w:sz w:val="22"/>
          <w:szCs w:val="22"/>
          <w:color w:val="auto"/>
        </w:rPr>
        <w:t>” means Class B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B-4 Units</w:t>
      </w:r>
      <w:r>
        <w:rPr>
          <w:rFonts w:ascii="Times New Roman" w:cs="Times New Roman" w:eastAsia="Times New Roman" w:hAnsi="Times New Roman"/>
          <w:sz w:val="22"/>
          <w:szCs w:val="22"/>
          <w:color w:val="auto"/>
        </w:rPr>
        <w:t>” means Class B-4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B-5 Units</w:t>
      </w:r>
      <w:r>
        <w:rPr>
          <w:rFonts w:ascii="Times New Roman" w:cs="Times New Roman" w:eastAsia="Times New Roman" w:hAnsi="Times New Roman"/>
          <w:sz w:val="22"/>
          <w:szCs w:val="22"/>
          <w:color w:val="auto"/>
        </w:rPr>
        <w:t>” means Class B-5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B-6 Units</w:t>
      </w:r>
      <w:r>
        <w:rPr>
          <w:rFonts w:ascii="Times New Roman" w:cs="Times New Roman" w:eastAsia="Times New Roman" w:hAnsi="Times New Roman"/>
          <w:sz w:val="22"/>
          <w:szCs w:val="22"/>
          <w:color w:val="auto"/>
        </w:rPr>
        <w:t>” means Class B-6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w:t>
      </w:r>
      <w:r>
        <w:rPr>
          <w:rFonts w:ascii="Times New Roman" w:cs="Times New Roman" w:eastAsia="Times New Roman" w:hAnsi="Times New Roman"/>
          <w:sz w:val="22"/>
          <w:szCs w:val="22"/>
          <w:color w:val="auto"/>
        </w:rPr>
        <w:t>” means a Common Unit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Unitholders</w:t>
      </w:r>
      <w:r>
        <w:rPr>
          <w:rFonts w:ascii="Times New Roman" w:cs="Times New Roman" w:eastAsia="Times New Roman" w:hAnsi="Times New Roman"/>
          <w:sz w:val="22"/>
          <w:szCs w:val="22"/>
          <w:color w:val="auto"/>
        </w:rPr>
        <w:t>” mean the holders of the Common Units.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Conflicts Committee</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Conflicts Committee Recommendation</w:t>
      </w:r>
      <w:r>
        <w:rPr>
          <w:rFonts w:ascii="Times New Roman" w:cs="Times New Roman" w:eastAsia="Times New Roman" w:hAnsi="Times New Roman"/>
          <w:sz w:val="22"/>
          <w:szCs w:val="22"/>
          <w:color w:val="auto"/>
        </w:rPr>
        <w:t>” has the meaning set forth in the Recitals.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any consent, waiver, approval, clearance, order, license, Permit, order, non-objection, non-action, expiration of waiting periods or authorization.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binding loan or credit agreement, debenture, note, bond, mortgage, indenture, deed of trust, lease, capital lease, sale-leaseback, sublease, license, contract or other agreement, instrument, obligation or arrangement.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COVID-19</w:t>
      </w:r>
      <w:r>
        <w:rPr>
          <w:rFonts w:ascii="Times New Roman" w:cs="Times New Roman" w:eastAsia="Times New Roman" w:hAnsi="Times New Roman"/>
          <w:sz w:val="22"/>
          <w:szCs w:val="22"/>
          <w:color w:val="auto"/>
        </w:rPr>
        <w:t>” means SARS-CoV-2 or COVID-19, and any variants, evolutions, mutations or additional waves thereof or related or associated epidemics, pandemics or disease outbreaks.</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COVID-19 Measure</w:t>
      </w:r>
      <w:r>
        <w:rPr>
          <w:rFonts w:ascii="Times New Roman" w:cs="Times New Roman" w:eastAsia="Times New Roman" w:hAnsi="Times New Roman"/>
          <w:sz w:val="22"/>
          <w:szCs w:val="22"/>
          <w:color w:val="auto"/>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Commitment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 Sources</w:t>
      </w:r>
      <w:r>
        <w:rPr>
          <w:rFonts w:ascii="Times New Roman" w:cs="Times New Roman" w:eastAsia="Times New Roman" w:hAnsi="Times New Roman"/>
          <w:sz w:val="22"/>
          <w:szCs w:val="22"/>
          <w:color w:val="auto"/>
        </w:rPr>
        <w:t>” means the Persons that have committed or commit prior to the Closing Date to provide or arrange the Debt Financing in connection with the Transactions, including the parties to any commitment letters, engagement letters, joinder agreements or credit agreements entered pursuant thereto or relating thereto, together with their respective former, current and future direct or indirect Affiliates, and the respective equityholders, members, general or limited partners, managers, investment vehicles, officers, directors, employees, attorneys, advisors, agents and Representatives of the foregoing and their respective permitted successors and assigns.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(together with the rules and regulations promulgated thereunder).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Fund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Advisor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 Approval</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 Interest</w:t>
      </w:r>
      <w:r>
        <w:rPr>
          <w:rFonts w:ascii="Times New Roman" w:cs="Times New Roman" w:eastAsia="Times New Roman" w:hAnsi="Times New Roman"/>
          <w:sz w:val="22"/>
          <w:szCs w:val="22"/>
          <w:color w:val="auto"/>
        </w:rPr>
        <w:t>” has the meaning set forth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 Unit</w:t>
      </w:r>
      <w:r>
        <w:rPr>
          <w:rFonts w:ascii="Times New Roman" w:cs="Times New Roman" w:eastAsia="Times New Roman" w:hAnsi="Times New Roman"/>
          <w:sz w:val="22"/>
          <w:szCs w:val="22"/>
          <w:color w:val="auto"/>
        </w:rPr>
        <w:t>” has the meaning set forth in the Partnership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GEPIF</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state or local, domestic, tribal, foreign, national, provincial or multinational.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the International Financial Reporting Standards, as issued by the International Accounting Standards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5.9(a)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Coverage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5.9(c)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means, (a) with respect to the Partnership, the actual knowledge of the Partnership's Chief Executive Officer, Chief Financial Officer and General Counsel, after due inquiry of their direct reports and (b) with respect to Parent, the actual knowledge of Parent’s Chief Executive Officer, Chief Financial Officer and General Counsel, after due inquiry of their direct reports.</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federal, state, local or foreign, national, provincial or multinational law, statute, tariff, ordinance, rule, regulation, judgment, order, injunction, writ, stipulation, determination, award or decree or agency requirement of or undertaking to any Governmental Authority, including common law.</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Marshall Islands LLC Act</w:t>
      </w:r>
      <w:r>
        <w:rPr>
          <w:rFonts w:ascii="Times New Roman" w:cs="Times New Roman" w:eastAsia="Times New Roman" w:hAnsi="Times New Roman"/>
          <w:sz w:val="22"/>
          <w:szCs w:val="22"/>
          <w:color w:val="auto"/>
        </w:rPr>
        <w:t>” means the Marshall Islands Limited Liability Company Act of 1996,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Marshall Islands LP Act</w:t>
      </w:r>
      <w:r>
        <w:rPr>
          <w:rFonts w:ascii="Times New Roman" w:cs="Times New Roman" w:eastAsia="Times New Roman" w:hAnsi="Times New Roman"/>
          <w:sz w:val="22"/>
          <w:szCs w:val="22"/>
          <w:color w:val="auto"/>
        </w:rPr>
        <w:t>” means the Marshall Islands Limited Partnership Act, as amended.</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means any Contract that would be required to be filed by the Partnership as a “material contract” pursuant to Item 601(b)(10) of Regulation S-K under the Securities Act.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Consideration</w:t>
      </w:r>
      <w:r>
        <w:rPr>
          <w:rFonts w:ascii="Times New Roman" w:cs="Times New Roman" w:eastAsia="Times New Roman" w:hAnsi="Times New Roman"/>
          <w:sz w:val="22"/>
          <w:szCs w:val="22"/>
          <w:color w:val="auto"/>
        </w:rPr>
        <w:t>” has the meaning set forth in the Recitals.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Outside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Board</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Agreement</w:t>
      </w:r>
      <w:r>
        <w:rPr>
          <w:rFonts w:ascii="Times New Roman" w:cs="Times New Roman" w:eastAsia="Times New Roman" w:hAnsi="Times New Roman"/>
          <w:sz w:val="22"/>
          <w:szCs w:val="22"/>
          <w:color w:val="auto"/>
        </w:rPr>
        <w:t>” means the Seventh Amended and Restated Agreement of Limited Partnership of GasLog Partners LP, as amended or supplemented from time to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Award</w:t>
      </w:r>
      <w:r>
        <w:rPr>
          <w:rFonts w:ascii="Times New Roman" w:cs="Times New Roman" w:eastAsia="Times New Roman" w:hAnsi="Times New Roman"/>
          <w:sz w:val="22"/>
          <w:szCs w:val="22"/>
          <w:color w:val="auto"/>
        </w:rPr>
        <w:t>” means a Partnership PCU Award or Partnership RCU Award, as applicable.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Board</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Board Recommendation</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Charter Documents</w:t>
      </w:r>
      <w:r>
        <w:rPr>
          <w:rFonts w:ascii="Times New Roman" w:cs="Times New Roman" w:eastAsia="Times New Roman" w:hAnsi="Times New Roman"/>
          <w:sz w:val="22"/>
          <w:szCs w:val="22"/>
          <w:color w:val="auto"/>
        </w:rPr>
        <w:t>” means (a) the Certificate of Limited Partnership of the Partnership, dated as of January 23, 2014, and (b) the Partnership Agreement.</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 Financial Statements</w:t>
      </w:r>
      <w:r>
        <w:rPr>
          <w:rFonts w:ascii="Times New Roman" w:cs="Times New Roman" w:eastAsia="Times New Roman" w:hAnsi="Times New Roman"/>
          <w:sz w:val="21"/>
          <w:szCs w:val="21"/>
          <w:color w:val="auto"/>
        </w:rPr>
        <w:t>” means, collectively, (a) the Partnership’s audited consolidated (i) statements of financial position as of December 31, 2020 and 2021, (ii) statements of profit or loss for the years ended December 31, 2019, 2020 and 2021, (iii) statements of changes in equity for the years ended December 31, 2019, 2020 and 2021 and (iv) statements of cash flows for the years ended December 31, 2019, 2020 and 2021, in each case, contained in the Partnership’s Form 20-F filed by the Partnership with the SEC on March 1, 2022 and (b) the Partnership’s unaudited condensed consolidated (i) statements of financial position as of December 31, 2021 and 2022, (ii) statements of profits or loss for the three months and years ended December 31, 2021 and 2022 (iii) statements of cash flows for the years ended December 31, 2021 and 2022, in each case, contained in the Report of Foreign Private Issuer on Form 6-K filed by the Partnership with the SEC on January 26, 2023.</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Interest</w:t>
      </w:r>
      <w:r>
        <w:rPr>
          <w:rFonts w:ascii="Times New Roman" w:cs="Times New Roman" w:eastAsia="Times New Roman" w:hAnsi="Times New Roman"/>
          <w:sz w:val="22"/>
          <w:szCs w:val="22"/>
          <w:color w:val="auto"/>
        </w:rPr>
        <w:t>” has the meaning set forth in the Partnership Agreement.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Long-Term Incentive Plan</w:t>
      </w:r>
      <w:r>
        <w:rPr>
          <w:rFonts w:ascii="Times New Roman" w:cs="Times New Roman" w:eastAsia="Times New Roman" w:hAnsi="Times New Roman"/>
          <w:sz w:val="22"/>
          <w:szCs w:val="22"/>
          <w:color w:val="auto"/>
        </w:rPr>
        <w:t>” means the GasLog Partners LP 2015 Long-Term Incentive Plan, as amended from time to time and including any successor or replacement plan or plans.</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Material Adverse Effect</w:t>
      </w:r>
      <w:r>
        <w:rPr>
          <w:rFonts w:ascii="Times New Roman" w:cs="Times New Roman" w:eastAsia="Times New Roman" w:hAnsi="Times New Roman"/>
          <w:sz w:val="22"/>
          <w:szCs w:val="22"/>
          <w:color w:val="auto"/>
        </w:rPr>
        <w:t xml:space="preserve">” means any fact, circumstance, effect, change, event or development that, individually or in the aggregate, with all other facts, circumstances, effects, changes, events or developments, (a) would prevent or materially delay, interfere with, hinder or impair the consummation by the Partnership of any of the Transactions in accordance with the terms of this Agreement or (b) has had or would reasonably be expected to have a material adverse effect on the business, properties, assets, liabilities, condition (financial or otherwise) or results of operations of the Partnership and its Subsidiaries,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no fact, circumstance, effect, change, event or development resulting from or arising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out of any of the following, individually or in the aggregate, shall constitute or be taken into account in determining whether a Partnership Material Adverse Effect has occurred, is continuing or would reasonably be expected to occur: (i) any change or condition affecting any industry in which the Partnership or any of its Subsidiaries operates; (ii) any economic, legislative or political condition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Partnership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Partnership Material Adverse Effect); (iv) the announcement or the pendency of the Merger (other than for purposes of the representations and warranties contained in </w:t>
      </w:r>
      <w:r>
        <w:rPr>
          <w:rFonts w:ascii="Times New Roman" w:cs="Times New Roman" w:eastAsia="Times New Roman" w:hAnsi="Times New Roman"/>
          <w:sz w:val="21"/>
          <w:szCs w:val="21"/>
          <w:u w:val="single" w:color="auto"/>
          <w:color w:val="auto"/>
        </w:rPr>
        <w:t>Section 3.3(b)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6.2(a)</w:t>
      </w:r>
      <w:r>
        <w:rPr>
          <w:rFonts w:ascii="Times New Roman" w:cs="Times New Roman" w:eastAsia="Times New Roman" w:hAnsi="Times New Roman"/>
          <w:sz w:val="21"/>
          <w:szCs w:val="21"/>
          <w:color w:val="auto"/>
        </w:rPr>
        <w:t xml:space="preserve"> to the extent related to such representations and warranties), including any unitholder litigation arising out of or related to this Agreement; (v) any change in and of itself in the market price, credit rating or trading volume of Common Units on the New York Stock Exchange or any change affecting the ratings or the ratings outlook for the Partnership or any of its Subsidiaries (it being understood that the underlying facts or occurrences giving rise to or contributing to such failure may be deemed to constitute, or be taken into account in determining whether there has or will be, a Partnership Material Adverse Effect);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 Agreement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fact, circumstance, effect, change, event or development set forth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21"/>
          <w:szCs w:val="21"/>
          <w:color w:val="auto"/>
        </w:rPr>
        <w:t xml:space="preserve"> above may be taken into account in determining whether a Partnership Material Adverse Effect has occurred to the extent such fact, circumstance, effect, change, event or development has a disproportionate adverse effect on the Partnership and its Subsidiaries, taken as a whole, as compared to other companies operating in the industries in which the Partnership and its Subsidiaries operate.</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Notice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PCU Award</w:t>
      </w:r>
      <w:r>
        <w:rPr>
          <w:rFonts w:ascii="Times New Roman" w:cs="Times New Roman" w:eastAsia="Times New Roman" w:hAnsi="Times New Roman"/>
          <w:sz w:val="22"/>
          <w:szCs w:val="22"/>
          <w:color w:val="auto"/>
        </w:rPr>
        <w:t>” means a restricted common unit award with respect to a Common Unit that remains subject to performance-based vesting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RCU Award</w:t>
      </w:r>
      <w:r>
        <w:rPr>
          <w:rFonts w:ascii="Times New Roman" w:cs="Times New Roman" w:eastAsia="Times New Roman" w:hAnsi="Times New Roman"/>
          <w:sz w:val="22"/>
          <w:szCs w:val="22"/>
          <w:color w:val="auto"/>
        </w:rPr>
        <w:t>” means a restricted common unit award with respect to a Common Unit that is not a Partnership PCU Award.</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SEC Documents</w:t>
      </w:r>
      <w:r>
        <w:rPr>
          <w:rFonts w:ascii="Times New Roman" w:cs="Times New Roman" w:eastAsia="Times New Roman" w:hAnsi="Times New Roman"/>
          <w:sz w:val="22"/>
          <w:szCs w:val="22"/>
          <w:color w:val="auto"/>
        </w:rPr>
        <w:t>” means, collectively, all reports, schedules, forms, statements or other documents filed with, or furnished to, the SEC on or after January 1, 2022, and prior to the date of this Agreement by the Partnership and its Subsidiaries and publicly available prior to the date of this Agreement, including all exhibits and schedules thereto and documents incorporated by reference therein.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PCU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franchises, tariffs, grants, authorizations, licenses, permits, easements, variances, exceptions, consents, certificates, approvals, registrations and orders of any Governmental Authority.</w:t>
      </w:r>
    </w:p>
    <w:p>
      <w:pPr>
        <w:spacing w:after="0" w:line="18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Partnership Financial Statements in accordance with IFRS, (b) mechanics’, materialmen’s, carriers’, workmen’s, warehouseman’s, repairmen’s, landlords’ and similar Liens granted or which arise in the ordinary course of business, (c) Liens securing payment, or any obligation, of the Partnership or its Subsidiaries with respect to outstanding indebtedness so long as there is no default under such indebtedness, (d) pledges or deposits by the Partnership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Partnership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Preference Units</w:t>
      </w:r>
      <w:r>
        <w:rPr>
          <w:rFonts w:ascii="Times New Roman" w:cs="Times New Roman" w:eastAsia="Times New Roman" w:hAnsi="Times New Roman"/>
          <w:sz w:val="22"/>
          <w:szCs w:val="22"/>
          <w:color w:val="auto"/>
        </w:rPr>
        <w:t>” means Preference Units as defined in the Partnership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actual or threatened claim (including a claim of a violation of Law), action, audit, demand, suit, proceeding, investigation or other proceeding at law or in equity or order or ruling, in each case, whether, civil, criminal, administrative, investigative, or otherwise, and whether or not such claim, action, audit, demand, suit, proceeding, investigation or other proceeding results in a formal civil or criminal litigation or other action.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Proxy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RCU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its officers, directors, equityholders, employees, agents, financial advisors, investment bankers, attorneys, accountants, consultants and other advisors and representatives.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Restraints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13E-3</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(together with the rules and regulations promulgated thereunder).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 Preference Units</w:t>
      </w:r>
      <w:r>
        <w:rPr>
          <w:rFonts w:ascii="Times New Roman" w:cs="Times New Roman" w:eastAsia="Times New Roman" w:hAnsi="Times New Roman"/>
          <w:sz w:val="22"/>
          <w:szCs w:val="22"/>
          <w:color w:val="auto"/>
        </w:rPr>
        <w:t>” means Series A Preference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B Preference Units</w:t>
      </w:r>
      <w:r>
        <w:rPr>
          <w:rFonts w:ascii="Times New Roman" w:cs="Times New Roman" w:eastAsia="Times New Roman" w:hAnsi="Times New Roman"/>
          <w:sz w:val="22"/>
          <w:szCs w:val="22"/>
          <w:color w:val="auto"/>
        </w:rPr>
        <w:t>” means Series B Preference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C Preference Units</w:t>
      </w:r>
      <w:r>
        <w:rPr>
          <w:rFonts w:ascii="Times New Roman" w:cs="Times New Roman" w:eastAsia="Times New Roman" w:hAnsi="Times New Roman"/>
          <w:sz w:val="22"/>
          <w:szCs w:val="22"/>
          <w:color w:val="auto"/>
        </w:rPr>
        <w:t>” means Series C Preference Units as defined in the Partnership Agreement.</w:t>
      </w:r>
    </w:p>
    <w:p>
      <w:pPr>
        <w:spacing w:after="0" w:line="23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Agreement</w:t>
      </w:r>
      <w:r>
        <w:rPr>
          <w:rFonts w:ascii="Times New Roman" w:cs="Times New Roman" w:eastAsia="Times New Roman" w:hAnsi="Times New Roman"/>
          <w:sz w:val="22"/>
          <w:szCs w:val="22"/>
          <w:color w:val="auto"/>
        </w:rPr>
        <w:t xml:space="preserve"> ” means the Shareholders’ Agreement, dated as of June 9, 2021, among Parent, GEPIF and each of those existing shareholders of Parent that are listed on Schedule I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Approval</w:t>
      </w:r>
      <w:r>
        <w:rPr>
          <w:rFonts w:ascii="Times New Roman" w:cs="Times New Roman" w:eastAsia="Times New Roman" w:hAnsi="Times New Roman"/>
          <w:sz w:val="22"/>
          <w:szCs w:val="22"/>
          <w:color w:val="auto"/>
        </w:rPr>
        <w:t>” means Special Approval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Distribution</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Sponsor Entities</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Sponsor Units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when used with respect to any Person, means any corporation, limited liability company, partnership, association, trust or other entity of which securities or other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jc w:val="both"/>
        <w:spacing w:after="0" w:line="238" w:lineRule="auto"/>
        <w:rPr>
          <w:sz w:val="20"/>
          <w:szCs w:val="20"/>
          <w:color w:val="auto"/>
        </w:rPr>
      </w:pPr>
      <w:r>
        <w:rPr>
          <w:rFonts w:ascii="Times New Roman" w:cs="Times New Roman" w:eastAsia="Times New Roman" w:hAnsi="Times New Roman"/>
          <w:sz w:val="22"/>
          <w:szCs w:val="22"/>
          <w:color w:val="auto"/>
        </w:rPr>
        <w:t>ownership interests representing more than 50% of the equity or more than 50% of the ordinary voting power (or, in the case of a partnership, more than 50% of the general partnership interests) are, as of such date, owned by such Person or one or more Subsidiaries of such Person or by such Person and one or more Subsidiaries of such Person. When used with respect to the Sponsor Entities, the term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not include the Partnership or its Subsidiaries unless otherwise specifically provided in this Agreement.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 Agreement</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Surviving Entity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Takeover Law</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xml:space="preserve">” means all U.S. and non-U.S. federal, national, provincial, state or local taxes, charges, fees, levies or other similar assessments or liabilities, in each case in the nature of taxes, including income, gross receipts, </w:t>
      </w:r>
      <w:r>
        <w:rPr>
          <w:rFonts w:ascii="Times New Roman" w:cs="Times New Roman" w:eastAsia="Times New Roman" w:hAnsi="Times New Roman"/>
          <w:sz w:val="21"/>
          <w:szCs w:val="21"/>
          <w:i w:val="1"/>
          <w:iCs w:val="1"/>
          <w:color w:val="auto"/>
        </w:rPr>
        <w:t>ad valorem</w:t>
      </w:r>
      <w:r>
        <w:rPr>
          <w:rFonts w:ascii="Times New Roman" w:cs="Times New Roman" w:eastAsia="Times New Roman" w:hAnsi="Times New Roman"/>
          <w:sz w:val="21"/>
          <w:szCs w:val="21"/>
          <w:color w:val="auto"/>
        </w:rPr>
        <w:t>, value-added, excise, real property, personal property, sales, use, transfer, withholding, employment, license, payroll, severance, stamp, occupation, premium, windfall profits, environmental, customs, duties, capital stock, profits, social security (or similar),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spacing w:after="0" w:line="19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means all reports, returns, declarations, claims for refunds, statements or other information supplied or required to be supplied to a Governmental Authority relating to Taxes or any amendment thereof or schedule or attachment thereto.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Unaffiliated Unitholders</w:t>
      </w:r>
      <w:r>
        <w:rPr>
          <w:rFonts w:ascii="Times New Roman" w:cs="Times New Roman" w:eastAsia="Times New Roman" w:hAnsi="Times New Roman"/>
          <w:sz w:val="22"/>
          <w:szCs w:val="22"/>
          <w:color w:val="auto"/>
        </w:rPr>
        <w:t>” means Common Unitholders other than Parent and its Affiliates.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Unitholder Approval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Unitholders Meeting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Vessels</w:t>
      </w:r>
      <w:r>
        <w:rPr>
          <w:rFonts w:ascii="Times New Roman" w:cs="Times New Roman" w:eastAsia="Times New Roman" w:hAnsi="Times New Roman"/>
          <w:sz w:val="22"/>
          <w:szCs w:val="22"/>
          <w:color w:val="auto"/>
        </w:rPr>
        <w:t>” means, collectively, all vessels wholly owned by the Partnership or any of its Subsidiaries, all vessels chartered-in by the Partnership or any of its Subsidiaries pursuant to charter arrangements and any other vessels in which the Partnership or any of its Subsidiaries have an ownership interest.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ind w:left="3440" w:right="739" w:hanging="4551"/>
        <w:spacing w:after="0" w:line="489" w:lineRule="auto"/>
        <w:rPr>
          <w:sz w:val="20"/>
          <w:szCs w:val="20"/>
          <w:color w:val="auto"/>
        </w:rPr>
      </w:pPr>
      <w:r>
        <w:rPr>
          <w:rFonts w:ascii="Times New Roman" w:cs="Times New Roman" w:eastAsia="Times New Roman" w:hAnsi="Times New Roman"/>
          <w:sz w:val="22"/>
          <w:szCs w:val="22"/>
          <w:color w:val="auto"/>
        </w:rPr>
        <w:t>reasonably be expected to, result in or constitute a breach of or failure of performance under this Agreement. [</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6" w:name="page57"/>
    <w:bookmarkEnd w:id="56"/>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and delivered as of the date first above written.</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GASLOG LTD.</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SATURN MERGER SUB LLC</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THE PARTNERSHIP</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GASLOG PARTNERS LP</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 &amp; Chief Executive Officer</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GASLOG PARTNERS GP LLC</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VOTING AND SUPPORT AGREEMENT</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This VOTING AND SUPPORT AGREEMENT, dated as of April 6, 2023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GasLog Ltd., a Bermuda exempted company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GasLog Partners LP, a Marshall Islands limited partnership (the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Each of Parent and the Partnership are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Agreement, the Partnership, GasLog Partners GP LLC, a Marshall Islands limited liability company and the general partner of the Partnership (the “</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Parent and Saturn Merger Sub LLC, a Marshall Islands limited liability company and a wholly owned subsidiary of Parent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have entered into an Agreement and Plan of Merger, dated as of the date hereof (as may be amended, restated, supplemented or otherwise modified from time to time,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pursuant to which, upon the terms and subject to the conditions set forth therein, among other things, Merger Sub will merge with and into the Partnership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Partnership surviving the Merger as a Subsidiary of Parent;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as of the date hereof, Parent is the Beneficial Owner (as defined below) of 15,621,602 Common Units (the “</w:t>
      </w:r>
      <w:r>
        <w:rPr>
          <w:rFonts w:ascii="Times New Roman" w:cs="Times New Roman" w:eastAsia="Times New Roman" w:hAnsi="Times New Roman"/>
          <w:sz w:val="22"/>
          <w:szCs w:val="22"/>
          <w:u w:val="single" w:color="auto"/>
          <w:color w:val="auto"/>
        </w:rPr>
        <w:t>Subject Common Units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WHEREAS, concurrently with the execution and delivery of the Merger Agreement, and as a condition and an inducement to Partnership entering into the Merger Agreement, Parent is entering into this Agreement with respect to the Subject Common Units; and</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WHEREAS, Parent is willing, subject to the limitations herein, not to Transfer (as defined below) any of the Subject Common Units, and to vote the Subject Common Units in a manner to facilitate consummation of the Merger and the other transactions contemplated by the Merger Agreement.</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representations, warranties and agreements contained herein, and intending to be legally bound hereby, the Parties agree as follows:</w:t>
      </w:r>
    </w:p>
    <w:p>
      <w:pPr>
        <w:spacing w:after="0" w:line="15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1.1       </w:t>
      </w:r>
      <w:r>
        <w:rPr>
          <w:rFonts w:ascii="Times New Roman" w:cs="Times New Roman" w:eastAsia="Times New Roman" w:hAnsi="Times New Roman"/>
          <w:sz w:val="22"/>
          <w:szCs w:val="22"/>
          <w:u w:val="single" w:color="auto"/>
          <w:color w:val="auto"/>
        </w:rPr>
        <w:t>  Definitions.</w:t>
      </w:r>
      <w:r>
        <w:rPr>
          <w:rFonts w:ascii="Times New Roman" w:cs="Times New Roman" w:eastAsia="Times New Roman" w:hAnsi="Times New Roman"/>
          <w:sz w:val="22"/>
          <w:szCs w:val="22"/>
          <w:color w:val="auto"/>
        </w:rPr>
        <w:t> This Agreement is the “Support Agreement” as defined in the Merger Agreement.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but not defined herein shall have the respective meanings set forth in the Merger Agreement.</w:t>
      </w:r>
    </w:p>
    <w:p>
      <w:pPr>
        <w:spacing w:after="0" w:line="18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Beneficially Own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avoidance of doubt, Beneficially Own and Beneficial Ownership shall also include record ownership of securities.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w:t>
      </w:r>
      <w:r>
        <w:rPr>
          <w:rFonts w:ascii="Times New Roman" w:cs="Times New Roman" w:eastAsia="Times New Roman" w:hAnsi="Times New Roman"/>
          <w:sz w:val="22"/>
          <w:szCs w:val="22"/>
          <w:color w:val="auto"/>
        </w:rPr>
        <w:t>” shall mean Persons who Beneficially Own the referenced securities.</w:t>
      </w:r>
    </w:p>
    <w:p>
      <w:pPr>
        <w:spacing w:after="0" w:line="20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16"/>
          <w:szCs w:val="16"/>
          <w:color w:val="auto"/>
        </w:rPr>
        <w:t>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means any direct or indirect offer, sale, assignment, pledge, disposition or other similar transfer (by operation of law or otherwise), either voluntary or involuntary, or entry into any Contract, option or other arrangement or understanding with respect to any offer, sale, assignment, pledge, disposition or other transfer (by operation of law or otherwise), of any Subject Common Units, including in each case through the Transfer of any Person or any interest in any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TO RETAIN COMMON UNITS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2.1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Transfer and Encumbrance of Common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16"/>
          <w:szCs w:val="16"/>
          <w:color w:val="auto"/>
        </w:rPr>
        <w:t>             </w:t>
      </w:r>
      <w:r>
        <w:rPr>
          <w:rFonts w:ascii="Times New Roman" w:cs="Times New Roman" w:eastAsia="Times New Roman" w:hAnsi="Times New Roman"/>
          <w:sz w:val="21"/>
          <w:szCs w:val="21"/>
          <w:color w:val="auto"/>
        </w:rPr>
        <w:t>From the date of this Agreement until the earliest of (i) the Unitholder Approval being obtained, (ii) the termination of the Merger Agreement pursuant to and in accordance with the terms thereof or (iii) the termination of this Agreement by the mutual written consent of Parent and the Partnership (in the case of the Partnership, duly authorized by the Conflicts Committee) (such earliest date,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Parent shall not, with respect to any Subject Common Units,</w:t>
      </w:r>
    </w:p>
    <w:p>
      <w:pPr>
        <w:spacing w:after="0" w:line="2" w:lineRule="exact"/>
        <w:rPr>
          <w:sz w:val="20"/>
          <w:szCs w:val="20"/>
          <w:color w:val="auto"/>
        </w:rPr>
      </w:pPr>
    </w:p>
    <w:p>
      <w:pPr>
        <w:jc w:val="both"/>
        <w:ind w:firstLine="8"/>
        <w:spacing w:after="0" w:line="235" w:lineRule="auto"/>
        <w:tabs>
          <w:tab w:leader="none" w:pos="36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any such Subject Common Units (except as otherwise provided herein) or (B) deposit any such Subject Common Units into a voting trust or enter into a voting agreement or arrangement with respect to such Subject Common Units or grant any proxy (except as otherwise provided herein) or power of attorney with respect thereto.</w:t>
      </w:r>
    </w:p>
    <w:p>
      <w:pPr>
        <w:spacing w:after="0" w:line="17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Parent may Transfer any Subject Common Units to any Person that (i) is a party to an agreement with the Partnership with substantially similar terms as this Agreement or (ii) as a condition to such Transfer, agrees in a writing, reasonably satisfactory in form and substance to the Partnership, to be bound by this Agreement, and delivers a copy of such executed written agreement to the Partnership prior to the consummation of such Transfer.</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Nothing in this Agreement shall restrict direct or indirect Transfers of equity or other interests in Parent (it being understood that Parent shall remain bound by this Agreement).</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Section 2.2</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Additional Common Units</w:t>
      </w:r>
      <w:r>
        <w:rPr>
          <w:rFonts w:ascii="Times New Roman" w:cs="Times New Roman" w:eastAsia="Times New Roman" w:hAnsi="Times New Roman"/>
          <w:sz w:val="22"/>
          <w:szCs w:val="22"/>
          <w:color w:val="auto"/>
        </w:rPr>
        <w:t>. From the date of this Agreement until the Termination Date, except for Common Units issued to Parent upon conversion of Class B Units in accordance with the Partnership Agreement, Parent agrees that it will not purchase or otherwise acquire or become the Beneficial Owner of any additional Common Units other than the Subject Common Units of which it is the Beneficial Owner as of the date hereof. From the date of this Agreement until the Termination Date, if Parent becomes the Beneficial Owner of any Common Units as a result of the issuance of Common Units upon conversion of Class B Units in accordance with the Partnership Agreement, such Common Units shall, without further action of the Parties,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be deemed “Subject Common Units” and be subject to all of the restrictions, liabilities and rights under this Agreement, which shall continue in full force and effect until the valid termination of this Agreement in accordance with its terms.</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Section 2.3</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Unpermitted Transfers; Involuntary Transfers</w:t>
      </w:r>
      <w:r>
        <w:rPr>
          <w:rFonts w:ascii="Times New Roman" w:cs="Times New Roman" w:eastAsia="Times New Roman" w:hAnsi="Times New Roman"/>
          <w:sz w:val="22"/>
          <w:szCs w:val="22"/>
          <w:color w:val="auto"/>
        </w:rPr>
        <w:t xml:space="preserve">. Any Transfer or attempted Transfer of any Subject Common Units in violation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shall, to the fullest extent permitted by applicable Law,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If any involuntary Transfer of any Subject Common Units shall occur, the transferee (which term, as used herein, shall include any and all transferees and subsequent transferees of the initial transferee) shall take and hold such Subject Common Units subject to all of the restrictions, liabilities and rights under this Agreement, which shall continue in full force and effect until the valid termination of this Agreement in accordance with its terms.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TO VOTE</w:t>
      </w:r>
    </w:p>
    <w:p>
      <w:pPr>
        <w:spacing w:after="0" w:line="182"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3.1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Agreement to Vote</w:t>
      </w:r>
      <w:r>
        <w:rPr>
          <w:rFonts w:ascii="Times New Roman" w:cs="Times New Roman" w:eastAsia="Times New Roman" w:hAnsi="Times New Roman"/>
          <w:sz w:val="22"/>
          <w:szCs w:val="22"/>
          <w:color w:val="auto"/>
        </w:rPr>
        <w:t>. Prior to the Termination Date, Parent irrevocably and unconditionally agrees that it shall, at any Unitholders Meeting (whether annual or special and whether or not an adjourned or postponed meeting), however called, appear at such meeting or otherwise cause the Subject Common Units to be counted as present at such meeting for purpose of establishing a quorum and vote, or cause to be voted at such meeting, all the Subject Common Units: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in favor of the Merger Agreement and the transactions contemplated thereby; and</w:t>
      </w:r>
    </w:p>
    <w:p>
      <w:pPr>
        <w:spacing w:after="0" w:line="206" w:lineRule="exact"/>
        <w:rPr>
          <w:sz w:val="20"/>
          <w:szCs w:val="20"/>
          <w:color w:val="auto"/>
        </w:rPr>
      </w:pPr>
    </w:p>
    <w:p>
      <w:pPr>
        <w:jc w:val="both"/>
        <w:ind w:left="660" w:firstLine="64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against (i) any agreement, transaction or proposal that relates to any other transaction, proposal, agreement or action made in opposition to adoption of the Merger Agreement or inconsistent with the Merger or matters contemplated by the Merger Agreement; (ii) any action or agreement that would result in a breach of any covenant, representation or warranty or any other obligation or agreement of Parent or any of its Subsidiaries contained in the Merger Agreement; (iii) any action or agreement that would result in any condition to the consummation of the Merger or the transactions contemplated by the Merger Agreement set forth in Article VI of the Merger Agreement not being fulfilled; and (iv) any other action that would, individually or in the aggregate, reasonably be expected to materially delay, interfere with, hinder or impair the consummation of the transactions contemplated by the Merger Agreement or this Agreement in accordance with the terms thereof or hereof.</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Any attempt by Parent to vote, (or otherwise to utilize the voting power of) the Subject Common Units in contravention of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Notwithstanding anything to the contrary in this Agreement, Parent shall remain free to vote (or execute consents or proxies with respect to) the Subject Common Units with respect to any matter other than as set forth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in any manner Parent deems appropriate.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Section 3.2</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Proxy</w:t>
      </w:r>
      <w:r>
        <w:rPr>
          <w:rFonts w:ascii="Times New Roman" w:cs="Times New Roman" w:eastAsia="Times New Roman" w:hAnsi="Times New Roman"/>
          <w:sz w:val="22"/>
          <w:szCs w:val="22"/>
          <w:color w:val="auto"/>
        </w:rPr>
        <w:t xml:space="preserve">. Parent hereby irrevocably appoints as its proxy and attorney-in-fact, the chair of the Conflicts Committee and any Person designated in writing by the chair of the Conflicts Committee, each of such Persons individually, with full power of substitution and resubstitution, to vote the Subject Common Units as indicated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Parent intends this proxy to be irrevocable and unconditional during the term of this Agreement and coupled with an interest and will take such further action or execute such other instruments as may be reasonably necessary to effect the intent of this proxy, and hereby revokes any proxy previously granted by Parent with respect to the Subject Common Units. The proxy granted by Parent (a) shall be automatically revoked upon the occurrence of the Termination Date and (b) may be terminated at any time by the Partnership (with the prior written approval of the Conflicts Committee) by written notice provided to Parent.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 OF PARENT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4.1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Parent hereby represents and warrants as follows:</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xml:space="preserve">. Parent has, with respect to the Subject Common Units, and at all times during the term of this Agreement will continue to have, Beneficial Ownership of, good and valid title to and full and exclusive power to vote, issue instructions with respect to the matters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agree to all of the matters set forth in this Agreement and to Transfer the Subject Common Units. The Subject Common Units constitute all of the Common Units owned of record or beneficially by Parent as of the date of this Agreement.</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Parent has full corporate power and authority and is duly authorized to make, enter into and carry out the terms of this Agreement and to perform its obligations hereunder. This Agreement has been duly and validly executed and delivered by Parent and (assuming due authorization, execution and delivery by the Partnership) constitutes a valid and binding agreement of Parent, enforceable against Parent in accordance with its terms (except in all cases as such enforceability may be limited by and subject to the Bankruptcy and Equity Exception), and no other action is necessary to authorize the execution and delivery by Parent or the performance of Parent’s obligations hereunder.</w:t>
      </w:r>
    </w:p>
    <w:p>
      <w:pPr>
        <w:spacing w:after="0" w:line="18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execution, delivery and performance by Parent of this Agreement will not (i) violate any provision of any Law applicable to Parent, (ii) violate any Judgment applicable to Parent or (iii) conflict with, or result in a breach or default under, any agreement or instrument to which Parent is a party or any term or condition of Parent’s Charter Documents, except where such conflict, breach or default would not, individually or in the aggregate, reasonably be expected to prevent the performance by Parent of its obligations under this Agreement.</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Consents and Approvals</w:t>
      </w:r>
      <w:r>
        <w:rPr>
          <w:rFonts w:ascii="Times New Roman" w:cs="Times New Roman" w:eastAsia="Times New Roman" w:hAnsi="Times New Roman"/>
          <w:sz w:val="22"/>
          <w:szCs w:val="22"/>
          <w:color w:val="auto"/>
        </w:rPr>
        <w:t>. The execution and delivery by Parent of this Agreement and the performance of Parent’s obligations hereunder do not require Parent to obtain any Consent of, or to make any filing with or notification to, any Governmental Authority, except for any such Consent, filing or notification as may be required under the Exchange Act.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Absence of Litigation</w:t>
      </w:r>
      <w:r>
        <w:rPr>
          <w:rFonts w:ascii="Times New Roman" w:cs="Times New Roman" w:eastAsia="Times New Roman" w:hAnsi="Times New Roman"/>
          <w:sz w:val="22"/>
          <w:szCs w:val="22"/>
          <w:color w:val="auto"/>
        </w:rPr>
        <w:t>. To the Knowledge of Parent, as of the date of this Agreement, there is no Proceeding pending against, or threatened in writing against Parent that would, individually or in the aggregate, reasonably be expected to prevent (or, if successful, would prevent) the performance by Parent of its obligations under this Agreement.</w:t>
      </w:r>
    </w:p>
    <w:p>
      <w:pPr>
        <w:spacing w:after="0" w:line="17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Section 4.2</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  </w:t>
      </w:r>
      <w:r>
        <w:rPr>
          <w:rFonts w:ascii="Times New Roman" w:cs="Times New Roman" w:eastAsia="Times New Roman" w:hAnsi="Times New Roman"/>
          <w:sz w:val="21"/>
          <w:szCs w:val="21"/>
          <w:u w:val="single" w:color="auto"/>
          <w:color w:val="auto"/>
        </w:rPr>
        <w:t>Waiver of Litigation</w:t>
      </w:r>
      <w:r>
        <w:rPr>
          <w:rFonts w:ascii="Times New Roman" w:cs="Times New Roman" w:eastAsia="Times New Roman" w:hAnsi="Times New Roman"/>
          <w:sz w:val="21"/>
          <w:szCs w:val="21"/>
          <w:color w:val="auto"/>
        </w:rPr>
        <w:t>. Parent agrees not to commence or join in, and agrees to take all actions necessary to opt out of any class in any class action with respect to, any claim, derivative or otherwise, against the Partnership or any of its affiliates and each of their successors or directors relating to the negotiation, execution or delivery of this Agreement or the Merger Agreement or the consummation of the transactions contemplated hereby or thereby, including any claim</w:t>
      </w:r>
    </w:p>
    <w:p>
      <w:pPr>
        <w:spacing w:after="0" w:line="2" w:lineRule="exact"/>
        <w:rPr>
          <w:sz w:val="20"/>
          <w:szCs w:val="20"/>
          <w:color w:val="auto"/>
        </w:rPr>
      </w:pPr>
    </w:p>
    <w:p>
      <w:pPr>
        <w:jc w:val="both"/>
        <w:ind w:firstLine="8"/>
        <w:spacing w:after="0" w:line="233" w:lineRule="auto"/>
        <w:tabs>
          <w:tab w:leader="none" w:pos="30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challenging the validity of, or seeking to enjoin the operation of, any provision of this Agreement or the Merger Agreement (including any claim seeking to enjoin or delay the Closing) or (b) alleging a breach of any fiduciary duty of the Partnership Board (or the Conflicts Committee) in connection with the negotiation and entry into this Agreement, the Merger Agreement or the transactions contemplated hereby or thereby, and hereby irrevocably waives any claim or rights whatsoever with respect to any of the foregoing.</w:t>
      </w:r>
    </w:p>
    <w:p>
      <w:pPr>
        <w:spacing w:after="0" w:line="17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Section 4.3</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Parent agrees that from and after the date of this Agreement and until the Termination Date, it shall take no action that would reasonably be likely to adversely affect or delay the ability to perform its covenants and agreements under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Section 5.1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This Agreement shall terminate on the Termination Date. Neither the provisions of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nor the termination of this Agreement shall relieve (x) any Party from any liability of such Party to the other Party incurred prior to such termination or (y) any Party from any liability to the other Party arising out of or in connection with a breach of this Agreement. Nothing in the Merger Agreement shall relieve Parent from any liability arising out of or in connection with a breach of this Agreement.</w:t>
      </w:r>
    </w:p>
    <w:p>
      <w:pPr>
        <w:spacing w:after="0" w:line="17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5.2</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if to Parent to:</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GasLog Ltd.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 GasLog LNG Services Ltd.</w:t>
      </w:r>
    </w:p>
    <w:p>
      <w:pPr>
        <w:ind w:left="98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98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980"/>
        <w:spacing w:after="0"/>
        <w:rPr>
          <w:sz w:val="20"/>
          <w:szCs w:val="20"/>
          <w:color w:val="auto"/>
        </w:rPr>
      </w:pPr>
      <w:r>
        <w:rPr>
          <w:rFonts w:ascii="Times New Roman" w:cs="Times New Roman" w:eastAsia="Times New Roman" w:hAnsi="Times New Roman"/>
          <w:sz w:val="22"/>
          <w:szCs w:val="22"/>
          <w:color w:val="auto"/>
        </w:rPr>
        <w:t>Greece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ind w:left="980"/>
        <w:spacing w:after="0"/>
        <w:rPr>
          <w:sz w:val="20"/>
          <w:szCs w:val="20"/>
          <w:color w:val="auto"/>
        </w:rPr>
      </w:pPr>
      <w:r>
        <w:rPr>
          <w:rFonts w:ascii="Times New Roman" w:cs="Times New Roman" w:eastAsia="Times New Roman" w:hAnsi="Times New Roman"/>
          <w:sz w:val="22"/>
          <w:szCs w:val="22"/>
          <w:color w:val="auto"/>
        </w:rPr>
        <w:t>Attention: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Alexandros Laios, General Counsel</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Email:</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alaios@gaslogltd.com</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Cravath, Swaine &amp; Moore LLP</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Worldwide Plaza</w:t>
      </w:r>
    </w:p>
    <w:p>
      <w:pPr>
        <w:ind w:left="980"/>
        <w:spacing w:after="0" w:line="230" w:lineRule="auto"/>
        <w:rPr>
          <w:sz w:val="20"/>
          <w:szCs w:val="20"/>
          <w:color w:val="auto"/>
        </w:rPr>
      </w:pPr>
      <w:r>
        <w:rPr>
          <w:rFonts w:ascii="Times New Roman" w:cs="Times New Roman" w:eastAsia="Times New Roman" w:hAnsi="Times New Roman"/>
          <w:sz w:val="22"/>
          <w:szCs w:val="22"/>
          <w:color w:val="auto"/>
        </w:rPr>
        <w:t>825 Eighth Avenue</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Attention: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D. Scott Bennett</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Andrew C. Elken</w:t>
      </w:r>
    </w:p>
    <w:p>
      <w:pPr>
        <w:ind w:left="1960"/>
        <w:spacing w:after="0" w:line="230" w:lineRule="auto"/>
        <w:rPr>
          <w:sz w:val="20"/>
          <w:szCs w:val="20"/>
          <w:color w:val="auto"/>
        </w:rPr>
      </w:pPr>
      <w:r>
        <w:rPr>
          <w:rFonts w:ascii="Times New Roman" w:cs="Times New Roman" w:eastAsia="Times New Roman" w:hAnsi="Times New Roman"/>
          <w:sz w:val="22"/>
          <w:szCs w:val="22"/>
          <w:color w:val="auto"/>
        </w:rPr>
        <w:t> Jin-Kyu Baek</w:t>
      </w:r>
    </w:p>
    <w:p>
      <w:pPr>
        <w:ind w:left="980"/>
        <w:spacing w:after="0" w:line="231" w:lineRule="auto"/>
        <w:rPr>
          <w:sz w:val="20"/>
          <w:szCs w:val="20"/>
          <w:color w:val="auto"/>
        </w:rPr>
      </w:pPr>
      <w:r>
        <w:rPr>
          <w:rFonts w:ascii="Times New Roman" w:cs="Times New Roman" w:eastAsia="Times New Roman" w:hAnsi="Times New Roman"/>
          <w:sz w:val="22"/>
          <w:szCs w:val="22"/>
          <w:color w:val="auto"/>
        </w:rPr>
        <w:t>Email:</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sbennett@cravath.com</w:t>
      </w:r>
    </w:p>
    <w:p>
      <w:pPr>
        <w:ind w:left="19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21"/>
          <w:szCs w:val="21"/>
          <w:color w:val="auto"/>
        </w:rPr>
        <w:t>aelken@cravath.com</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jbaek@cravath.com;</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if to the Partnership, to:</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GasLog Partners LP</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 GasLog LNG Services Ltd.</w:t>
      </w:r>
    </w:p>
    <w:p>
      <w:pPr>
        <w:ind w:left="98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98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980"/>
        <w:spacing w:after="0"/>
        <w:rPr>
          <w:sz w:val="20"/>
          <w:szCs w:val="20"/>
          <w:color w:val="auto"/>
        </w:rPr>
      </w:pPr>
      <w:r>
        <w:rPr>
          <w:rFonts w:ascii="Times New Roman" w:cs="Times New Roman" w:eastAsia="Times New Roman" w:hAnsi="Times New Roman"/>
          <w:sz w:val="22"/>
          <w:szCs w:val="22"/>
          <w:color w:val="auto"/>
        </w:rPr>
        <w:t>Greece</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Attention: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Alexandros Laios, General Counsel</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Email:</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alaios@gaslogltd.com</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Richards, Layton &amp; Finger, P.A.</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One Rodney Square, 920 North King Street</w:t>
      </w:r>
    </w:p>
    <w:p>
      <w:pPr>
        <w:ind w:left="980"/>
        <w:spacing w:after="0"/>
        <w:rPr>
          <w:sz w:val="20"/>
          <w:szCs w:val="20"/>
          <w:color w:val="auto"/>
        </w:rPr>
      </w:pPr>
      <w:r>
        <w:rPr>
          <w:rFonts w:ascii="Times New Roman" w:cs="Times New Roman" w:eastAsia="Times New Roman" w:hAnsi="Times New Roman"/>
          <w:sz w:val="22"/>
          <w:szCs w:val="22"/>
          <w:color w:val="auto"/>
        </w:rPr>
        <w:t>Wilmington, Delaware 19801</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Attention: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Srinivas M. Raju</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Kenneth Jackman</w:t>
      </w:r>
    </w:p>
    <w:p>
      <w:pPr>
        <w:ind w:left="980"/>
        <w:spacing w:after="0" w:line="230" w:lineRule="auto"/>
        <w:rPr>
          <w:sz w:val="20"/>
          <w:szCs w:val="20"/>
          <w:color w:val="auto"/>
        </w:rPr>
      </w:pPr>
      <w:r>
        <w:rPr>
          <w:rFonts w:ascii="Times New Roman" w:cs="Times New Roman" w:eastAsia="Times New Roman" w:hAnsi="Times New Roman"/>
          <w:sz w:val="22"/>
          <w:szCs w:val="22"/>
          <w:color w:val="auto"/>
        </w:rPr>
        <w:t>Email:</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raju@rlf.com</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jackman@rlf.com</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320" w:top="895" w:right="67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22"/>
          <w:szCs w:val="22"/>
          <w:color w:val="auto"/>
        </w:rPr>
        <w:t>Section 5.3</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 xml:space="preserve">This Agreement shall not be amended or modified except by written instrument duly executed by each of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Partnership may not, without the prior written approval of the Conflicts Committee, agree to any amendment, modification or waiver of this Agreement.</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7"/>
          <w:szCs w:val="17"/>
          <w:color w:val="auto"/>
        </w:rPr>
        <w:t>             </w:t>
      </w:r>
      <w:r>
        <w:rPr>
          <w:rFonts w:ascii="Times New Roman" w:cs="Times New Roman" w:eastAsia="Times New Roman" w:hAnsi="Times New Roman"/>
          <w:sz w:val="22"/>
          <w:szCs w:val="22"/>
          <w:color w:val="auto"/>
        </w:rPr>
        <w:t>No waiver of any term or provision of this Agreement shall be effective unless in writing, signed by the Party against whom enforcement of the same is sought. The grant of a waiver in one instance does not constitute a continuing waiver in any other instances. No failure by any Party to exercise, and no delay by any Party in exercising, any right, remedy, power or privilege hereunder shall operate as a waiver thereof.</w:t>
      </w:r>
    </w:p>
    <w:p>
      <w:pPr>
        <w:spacing w:after="0" w:line="18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Section 5.4</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Assignment and Binding Effect</w:t>
      </w:r>
      <w:r>
        <w:rPr>
          <w:rFonts w:ascii="Times New Roman" w:cs="Times New Roman" w:eastAsia="Times New Roman" w:hAnsi="Times New Roman"/>
          <w:sz w:val="22"/>
          <w:szCs w:val="22"/>
          <w:color w:val="auto"/>
        </w:rPr>
        <w:t xml:space="preserve">. Except in connection with a permitted Transfer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no Party may assign, delegate or otherwise transfer this Agreement or any of its rights or obligations hereunder, by operation of law or otherwise, without the prior written consent of the other Party, and any such attempted assignment, delegation or transfer shall be void. Subject to the preceding sentence, this Agreement will be binding upon, inure to the benefit of and be enforceable by the Parties and their respective successors, permitted transferees and permitted assigns. Except as expressly set forth in the prior sentence, (a) none of the provisions of this Agreement shall be for the benefit of or enforceable by any third party, including any creditor of any Party or any of their Affiliates, and (b) no such third party shall obtain any right under any provision of this Agreement or shall by reasons of any such provision make any claim in respect of any liability (or otherwise) against any other Party.</w:t>
      </w:r>
    </w:p>
    <w:p>
      <w:pPr>
        <w:spacing w:after="0" w:line="18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5.5</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with respect to the subject matter hereof and thereof and supersedes all previous agreements, negotiations, discussions, understandings, writings, commitments and conversations between the Parties with respect to such subject matter. No agreements or understandings exist among the Parties other than those set forth or referred to herein or therein.</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5.6</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No Partnership, Agency or Joint Venture</w:t>
      </w:r>
      <w:r>
        <w:rPr>
          <w:rFonts w:ascii="Times New Roman" w:cs="Times New Roman" w:eastAsia="Times New Roman" w:hAnsi="Times New Roman"/>
          <w:sz w:val="22"/>
          <w:szCs w:val="22"/>
          <w:color w:val="auto"/>
        </w:rPr>
        <w:t>. This Agreement is intended to create, and creates, a contractual relationship and is not intended to create, and does not create, any agency, partnership, joint venture, any like relationship between the Parties or a presumption that the Parties are in any way acting in concert or as a group with respect to the obligations or the transactions contemplated by this Agreement.</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Section 5.7</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All fees and expenses incurred in connection with this Agreement and the transactions contemplated hereby shall be paid by the Party incurring or required to incur such fees or expenses, whether or not the transactions contemplated by the Merger Agreement and this Agreement are consummated.</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5.8</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No Ownership Interest</w:t>
      </w:r>
      <w:r>
        <w:rPr>
          <w:rFonts w:ascii="Times New Roman" w:cs="Times New Roman" w:eastAsia="Times New Roman" w:hAnsi="Times New Roman"/>
          <w:sz w:val="22"/>
          <w:szCs w:val="22"/>
          <w:color w:val="auto"/>
        </w:rPr>
        <w:t>. Nothing contained in this Agreement shall be deemed to vest in the Partnership any direct or indirect ownership or incidence of ownership of or with respect to the Subject Common Units. All rights, ownership and economic benefits of and relating to the Subject Common Units shall remain vested in and belong to Parent, and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jc w:val="both"/>
        <w:spacing w:after="0" w:line="244" w:lineRule="auto"/>
        <w:rPr>
          <w:sz w:val="20"/>
          <w:szCs w:val="20"/>
          <w:color w:val="auto"/>
        </w:rPr>
      </w:pPr>
      <w:r>
        <w:rPr>
          <w:rFonts w:ascii="Times New Roman" w:cs="Times New Roman" w:eastAsia="Times New Roman" w:hAnsi="Times New Roman"/>
          <w:sz w:val="22"/>
          <w:szCs w:val="22"/>
          <w:color w:val="auto"/>
        </w:rPr>
        <w:t>Partnership shall not have any authority to manage, direct, restrict, regulate, govern or administer any of the policies or operations of Parent or exercise any power or authority over Parent in the voting or disposition of any Subject Common Units, except as otherwise expressly provided herein.</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5.9</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Parent consents to and authorizes the publication and disclosure by the Partnership of the terms of this Agreement (including, for avoidance of doubt, the disclosure of this Agreement), in the Schedule 13E-3 (including the Proxy Statement contained therein) and any other announcement or disclosure required by the SEC in connection with the Merger Agreement and the transactions contemplated by thereby.</w:t>
      </w:r>
    </w:p>
    <w:p>
      <w:pPr>
        <w:spacing w:after="0" w:line="180"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Section 5.10</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Parties have participated jointly in negotiating and drafting this Agreement with the assistance of counsel.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 When a reference is made in this Agreement to Articles or Sections, such reference shall be to an Article or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assigns and successors.</w:t>
      </w:r>
    </w:p>
    <w:p>
      <w:pPr>
        <w:spacing w:after="0" w:line="187" w:lineRule="exact"/>
        <w:rPr>
          <w:sz w:val="20"/>
          <w:szCs w:val="20"/>
          <w:color w:val="auto"/>
        </w:rPr>
      </w:pPr>
    </w:p>
    <w:p>
      <w:pPr>
        <w:jc w:val="both"/>
        <w:ind w:right="620" w:firstLine="1296"/>
        <w:spacing w:after="0" w:line="244" w:lineRule="auto"/>
        <w:rPr>
          <w:sz w:val="20"/>
          <w:szCs w:val="20"/>
          <w:color w:val="auto"/>
        </w:rPr>
      </w:pPr>
      <w:r>
        <w:rPr>
          <w:rFonts w:ascii="Times New Roman" w:cs="Times New Roman" w:eastAsia="Times New Roman" w:hAnsi="Times New Roman"/>
          <w:sz w:val="22"/>
          <w:szCs w:val="22"/>
          <w:color w:val="auto"/>
        </w:rPr>
        <w:t>Section 5.11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22"/>
          <w:szCs w:val="22"/>
          <w:u w:val="single" w:color="auto"/>
          <w:color w:val="auto"/>
        </w:rPr>
        <w:t>Other Miscellaneous Provisions</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Sections 8.5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8.13</w:t>
      </w:r>
      <w:r>
        <w:rPr>
          <w:rFonts w:ascii="Times New Roman" w:cs="Times New Roman" w:eastAsia="Times New Roman" w:hAnsi="Times New Roman"/>
          <w:sz w:val="22"/>
          <w:szCs w:val="22"/>
          <w:color w:val="auto"/>
        </w:rPr>
        <w:t xml:space="preserve"> of the Merger Agreement shall be incorporated into this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except for such changes as are required to comply with applicable Law.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Parties, intending to be legally bound hereby, have executed or caused this Agreement to be executed in counterparts, all as of the day and year first above written.</w:t>
      </w:r>
    </w:p>
    <w:p>
      <w:pPr>
        <w:spacing w:after="0" w:line="200" w:lineRule="exact"/>
        <w:rPr>
          <w:sz w:val="20"/>
          <w:szCs w:val="20"/>
          <w:color w:val="auto"/>
        </w:rPr>
      </w:pPr>
    </w:p>
    <w:p>
      <w:pPr>
        <w:spacing w:after="0" w:line="3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GASLOG LTD.</w:t>
      </w: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22"/>
          <w:szCs w:val="22"/>
          <w:color w:val="auto"/>
        </w:rPr>
        <w:t>Name:   Paolo Enoizi</w:t>
      </w:r>
    </w:p>
    <w:p>
      <w:pPr>
        <w:ind w:left="60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18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320" w:top="895" w:right="1119" w:bottom="1440" w:gutter="0" w:footer="0" w:header="0"/>
        </w:sectPr>
      </w:pPr>
    </w:p>
    <w:bookmarkStart w:id="66" w:name="page67"/>
    <w:bookmarkEnd w:id="66"/>
    <w:p>
      <w:pPr>
        <w:ind w:left="4520"/>
        <w:spacing w:after="0"/>
        <w:rPr>
          <w:sz w:val="20"/>
          <w:szCs w:val="20"/>
          <w:color w:val="auto"/>
        </w:rPr>
      </w:pPr>
      <w:r>
        <w:rPr>
          <w:rFonts w:ascii="Times New Roman" w:cs="Times New Roman" w:eastAsia="Times New Roman" w:hAnsi="Times New Roman"/>
          <w:sz w:val="22"/>
          <w:szCs w:val="22"/>
          <w:b w:val="1"/>
          <w:bCs w:val="1"/>
          <w:color w:val="auto"/>
        </w:rPr>
        <w:t>GASLOG PARTNERS LP</w:t>
      </w: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10795</wp:posOffset>
            </wp:positionV>
            <wp:extent cx="32746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22"/>
          <w:szCs w:val="22"/>
          <w:color w:val="auto"/>
        </w:rPr>
        <w:t>Name:   Paolo Enoizi</w:t>
      </w:r>
    </w:p>
    <w:p>
      <w:pPr>
        <w:ind w:left="4960"/>
        <w:spacing w:after="0"/>
        <w:rPr>
          <w:sz w:val="20"/>
          <w:szCs w:val="20"/>
          <w:color w:val="auto"/>
        </w:rPr>
      </w:pPr>
      <w:r>
        <w:rPr>
          <w:rFonts w:ascii="Times New Roman" w:cs="Times New Roman" w:eastAsia="Times New Roman" w:hAnsi="Times New Roman"/>
          <w:sz w:val="21"/>
          <w:szCs w:val="21"/>
          <w:color w:val="auto"/>
        </w:rPr>
        <w:t>Title:      Director &amp; Chief Executive Officer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Voting and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8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bullet"/>
      <w:start w:val="1"/>
    </w:lvl>
  </w:abstractNum>
  <w:abstractNum w:abstractNumId="2">
    <w:nsid w:val="140E0F76"/>
    <w:multiLevelType w:val="hybridMultilevel"/>
    <w:lvl w:ilvl="0">
      <w:lvlJc w:val="left"/>
      <w:lvlText w:val="2"/>
      <w:numFmt w:val="bullet"/>
      <w:start w:val="1"/>
    </w:lvl>
    <w:lvl w:ilvl="1">
      <w:lvlJc w:val="left"/>
      <w:lvlText w:val="(%2)"/>
      <w:numFmt w:val="lowerLetter"/>
      <w:start w:val="1"/>
    </w:lvl>
  </w:abstractNum>
  <w:abstractNum w:abstractNumId="3">
    <w:nsid w:val="3352255A"/>
    <w:multiLevelType w:val="hybridMultilevel"/>
    <w:lvl w:ilvl="0">
      <w:lvlJc w:val="left"/>
      <w:lvlText w:val="3"/>
      <w:numFmt w:val="bullet"/>
      <w:start w:val="1"/>
    </w:lvl>
  </w:abstractNum>
  <w:abstractNum w:abstractNumId="4">
    <w:nsid w:val="109CF92E"/>
    <w:multiLevelType w:val="hybridMultilevel"/>
    <w:lvl w:ilvl="0">
      <w:lvlJc w:val="left"/>
      <w:lvlText w:val="4"/>
      <w:numFmt w:val="bullet"/>
      <w:start w:val="1"/>
    </w:lvl>
  </w:abstractNum>
  <w:abstractNum w:abstractNumId="5">
    <w:nsid w:val="DED7263"/>
    <w:multiLevelType w:val="hybridMultilevel"/>
    <w:lvl w:ilvl="0">
      <w:lvlJc w:val="left"/>
      <w:lvlText w:val="5"/>
      <w:numFmt w:val="bullet"/>
      <w:start w:val="1"/>
    </w:lvl>
  </w:abstractNum>
  <w:abstractNum w:abstractNumId="6">
    <w:nsid w:val="7FDCC233"/>
    <w:multiLevelType w:val="hybridMultilevel"/>
    <w:lvl w:ilvl="0">
      <w:lvlJc w:val="left"/>
      <w:lvlText w:val="6"/>
      <w:numFmt w:val="bullet"/>
      <w:start w:val="1"/>
    </w:lvl>
  </w:abstractNum>
  <w:abstractNum w:abstractNumId="7">
    <w:nsid w:val="1BEFD79F"/>
    <w:multiLevelType w:val="hybridMultilevel"/>
    <w:lvl w:ilvl="0">
      <w:lvlJc w:val="left"/>
      <w:lvlText w:val="%1"/>
      <w:numFmt w:val="decimal"/>
      <w:start w:val="1"/>
    </w:lvl>
    <w:lvl w:ilvl="1">
      <w:lvlJc w:val="left"/>
      <w:lvlText w:val="%2"/>
      <w:numFmt w:val="decimal"/>
      <w:start w:val="11"/>
    </w:lvl>
  </w:abstractNum>
  <w:abstractNum w:abstractNumId="8">
    <w:nsid w:val="41A7C4C9"/>
    <w:multiLevelType w:val="hybridMultilevel"/>
    <w:lvl w:ilvl="0">
      <w:lvlJc w:val="left"/>
      <w:lvlText w:val="(%1)"/>
      <w:numFmt w:val="decimal"/>
      <w:start w:val="1"/>
    </w:lvl>
    <w:lvl w:ilvl="1">
      <w:lvlJc w:val="left"/>
      <w:lvlText w:val="%2"/>
      <w:numFmt w:val="decimal"/>
      <w:start w:val="1"/>
    </w:lvl>
  </w:abstractNum>
  <w:abstractNum w:abstractNumId="9">
    <w:nsid w:val="6B68079A"/>
    <w:multiLevelType w:val="hybridMultilevel"/>
    <w:lvl w:ilvl="0">
      <w:lvlJc w:val="left"/>
      <w:lvlText w:val="(%1)"/>
      <w:numFmt w:val="lowerLetter"/>
      <w:start w:val="4"/>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upperLetter"/>
      <w:start w:val="2"/>
    </w:lvl>
  </w:abstractNum>
  <w:abstractNum w:abstractNumId="12">
    <w:nsid w:val="519B500D"/>
    <w:multiLevelType w:val="hybridMultilevel"/>
    <w:lvl w:ilvl="0">
      <w:lvlJc w:val="left"/>
      <w:lvlText w:val="(%1)"/>
      <w:numFmt w:val="lowerRoman"/>
      <w:start w:val="2"/>
    </w:lvl>
  </w:abstractNum>
  <w:abstractNum w:abstractNumId="13">
    <w:nsid w:val="431BD7B7"/>
    <w:multiLevelType w:val="hybridMultilevel"/>
    <w:lvl w:ilvl="0">
      <w:lvlJc w:val="left"/>
      <w:lvlText w:val="(%1)"/>
      <w:numFmt w:val="lowerRoman"/>
      <w:start w:val="1"/>
    </w:lvl>
  </w:abstractNum>
  <w:abstractNum w:abstractNumId="14">
    <w:nsid w:val="3F2DBA31"/>
    <w:multiLevelType w:val="hybridMultilevel"/>
    <w:lvl w:ilvl="0">
      <w:lvlJc w:val="left"/>
      <w:lvlText w:val="(%1)"/>
      <w:numFmt w:val="lowerLetter"/>
      <w:start w:val="5"/>
    </w:lvl>
  </w:abstractNum>
  <w:abstractNum w:abstractNumId="15">
    <w:nsid w:val="7C83E458"/>
    <w:multiLevelType w:val="hybridMultilevel"/>
    <w:lvl w:ilvl="0">
      <w:lvlJc w:val="left"/>
      <w:lvlText w:val="(%1)"/>
      <w:numFmt w:val="upperLetter"/>
      <w:start w:val="2"/>
    </w:lvl>
  </w:abstractNum>
  <w:abstractNum w:abstractNumId="16">
    <w:nsid w:val="257130A3"/>
    <w:multiLevelType w:val="hybridMultilevel"/>
    <w:lvl w:ilvl="0">
      <w:lvlJc w:val="left"/>
      <w:lvlText w:val="(%1)"/>
      <w:numFmt w:val="upperLetter"/>
      <w:start w:val="1"/>
    </w:lvl>
  </w:abstractNum>
  <w:abstractNum w:abstractNumId="17">
    <w:nsid w:val="62BBD95A"/>
    <w:multiLevelType w:val="hybridMultilevel"/>
    <w:lvl w:ilvl="0">
      <w:lvlJc w:val="left"/>
      <w:lvlText w:val="(%1)"/>
      <w:numFmt w:val="lowerRoman"/>
      <w:start w:val="2"/>
    </w:lvl>
  </w:abstractNum>
  <w:abstractNum w:abstractNumId="18">
    <w:nsid w:val="436C6125"/>
    <w:multiLevelType w:val="hybridMultilevel"/>
    <w:lvl w:ilvl="0">
      <w:lvlJc w:val="left"/>
      <w:lvlText w:val="(%1)"/>
      <w:numFmt w:val="decimal"/>
      <w:start w:val="3"/>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upp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2023-04-07T07:31:25Z</dcterms:created>
  <dcterms:modified xsi:type="dcterms:W3CDTF">2023-04-07T07:31:25Z</dcterms:modified>
</cp:coreProperties>
</file>