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1000" w:right="46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For the month of August 2022</w:t>
            </w:r>
          </w:p>
        </w:tc>
        <w:tc>
          <w:tcPr>
            <w:tcW w:w="660" w:type="dxa"/>
            <w:vAlign w:val="bottom"/>
          </w:tcPr>
          <w:p>
            <w:pPr>
              <w:spacing w:after="0"/>
              <w:rPr>
                <w:sz w:val="20"/>
                <w:szCs w:val="20"/>
                <w:color w:val="auto"/>
              </w:rPr>
            </w:pP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660" w:type="dxa"/>
            <w:vAlign w:val="bottom"/>
          </w:tcPr>
          <w:p>
            <w:pPr>
              <w:spacing w:after="0"/>
              <w:rPr>
                <w:sz w:val="24"/>
                <w:szCs w:val="24"/>
                <w:color w:val="auto"/>
              </w:rPr>
            </w:pPr>
          </w:p>
        </w:tc>
      </w:tr>
      <w:tr>
        <w:trPr>
          <w:trHeight w:val="418"/>
        </w:trPr>
        <w:tc>
          <w:tcPr>
            <w:tcW w:w="926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GasLog Ltd.</w:t>
            </w:r>
          </w:p>
        </w:tc>
        <w:tc>
          <w:tcPr>
            <w:tcW w:w="660" w:type="dxa"/>
            <w:vAlign w:val="bottom"/>
          </w:tcPr>
          <w:p>
            <w:pPr>
              <w:spacing w:after="0"/>
              <w:rPr>
                <w:sz w:val="24"/>
                <w:szCs w:val="24"/>
                <w:color w:val="auto"/>
              </w:rPr>
            </w:pPr>
          </w:p>
        </w:tc>
      </w:tr>
      <w:tr>
        <w:trPr>
          <w:trHeight w:val="230"/>
        </w:trPr>
        <w:tc>
          <w:tcPr>
            <w:tcW w:w="9260" w:type="dxa"/>
            <w:vAlign w:val="bottom"/>
          </w:tcPr>
          <w:p>
            <w:pPr>
              <w:jc w:val="center"/>
              <w:ind w:left="570"/>
              <w:spacing w:after="0"/>
              <w:rPr>
                <w:sz w:val="20"/>
                <w:szCs w:val="20"/>
                <w:color w:val="auto"/>
              </w:rPr>
            </w:pPr>
            <w:r>
              <w:rPr>
                <w:rFonts w:ascii="Arial" w:cs="Arial" w:eastAsia="Arial" w:hAnsi="Arial"/>
                <w:sz w:val="18"/>
                <w:szCs w:val="18"/>
                <w:color w:val="auto"/>
                <w:w w:val="91"/>
              </w:rPr>
              <w:t>(Translation of registrant’s name into English)</w:t>
            </w:r>
          </w:p>
        </w:tc>
        <w:tc>
          <w:tcPr>
            <w:tcW w:w="660" w:type="dxa"/>
            <w:vAlign w:val="bottom"/>
          </w:tcPr>
          <w:p>
            <w:pPr>
              <w:spacing w:after="0"/>
              <w:rPr>
                <w:sz w:val="20"/>
                <w:szCs w:val="20"/>
                <w:color w:val="auto"/>
              </w:rPr>
            </w:pPr>
          </w:p>
        </w:tc>
      </w:tr>
      <w:tr>
        <w:trPr>
          <w:trHeight w:val="418"/>
        </w:trPr>
        <w:tc>
          <w:tcPr>
            <w:tcW w:w="9260" w:type="dxa"/>
            <w:vAlign w:val="bottom"/>
          </w:tcPr>
          <w:p>
            <w:pPr>
              <w:jc w:val="center"/>
              <w:ind w:left="570"/>
              <w:spacing w:after="0"/>
              <w:rPr>
                <w:sz w:val="20"/>
                <w:szCs w:val="20"/>
                <w:color w:val="auto"/>
              </w:rPr>
            </w:pPr>
            <w:r>
              <w:rPr>
                <w:rFonts w:ascii="Arial" w:cs="Arial" w:eastAsia="Arial" w:hAnsi="Arial"/>
                <w:sz w:val="18"/>
                <w:szCs w:val="18"/>
                <w:color w:val="auto"/>
                <w:w w:val="92"/>
              </w:rPr>
              <w:t>c/o GasLog LNG Services Ltd.</w:t>
            </w:r>
          </w:p>
        </w:tc>
        <w:tc>
          <w:tcPr>
            <w:tcW w:w="660" w:type="dxa"/>
            <w:vAlign w:val="bottom"/>
          </w:tcPr>
          <w:p>
            <w:pPr>
              <w:spacing w:after="0"/>
              <w:rPr>
                <w:sz w:val="24"/>
                <w:szCs w:val="24"/>
                <w:color w:val="auto"/>
              </w:rPr>
            </w:pPr>
          </w:p>
        </w:tc>
      </w:tr>
      <w:tr>
        <w:trPr>
          <w:trHeight w:val="216"/>
        </w:trPr>
        <w:tc>
          <w:tcPr>
            <w:tcW w:w="9260" w:type="dxa"/>
            <w:vAlign w:val="bottom"/>
          </w:tcPr>
          <w:p>
            <w:pPr>
              <w:jc w:val="center"/>
              <w:ind w:left="590"/>
              <w:spacing w:after="0"/>
              <w:rPr>
                <w:sz w:val="20"/>
                <w:szCs w:val="20"/>
                <w:color w:val="auto"/>
              </w:rPr>
            </w:pPr>
            <w:r>
              <w:rPr>
                <w:rFonts w:ascii="Arial" w:cs="Arial" w:eastAsia="Arial" w:hAnsi="Arial"/>
                <w:sz w:val="18"/>
                <w:szCs w:val="18"/>
                <w:color w:val="auto"/>
                <w:w w:val="95"/>
              </w:rPr>
              <w:t>69 Akti Miaouli, 18537</w:t>
            </w:r>
          </w:p>
        </w:tc>
        <w:tc>
          <w:tcPr>
            <w:tcW w:w="660" w:type="dxa"/>
            <w:vAlign w:val="bottom"/>
          </w:tcPr>
          <w:p>
            <w:pPr>
              <w:spacing w:after="0"/>
              <w:rPr>
                <w:sz w:val="18"/>
                <w:szCs w:val="18"/>
                <w:color w:val="auto"/>
              </w:rPr>
            </w:pPr>
          </w:p>
        </w:tc>
      </w:tr>
      <w:tr>
        <w:trPr>
          <w:trHeight w:val="216"/>
        </w:trPr>
        <w:tc>
          <w:tcPr>
            <w:tcW w:w="9260" w:type="dxa"/>
            <w:vAlign w:val="bottom"/>
          </w:tcPr>
          <w:p>
            <w:pPr>
              <w:jc w:val="center"/>
              <w:ind w:left="570"/>
              <w:spacing w:after="0"/>
              <w:rPr>
                <w:sz w:val="20"/>
                <w:szCs w:val="20"/>
                <w:color w:val="auto"/>
              </w:rPr>
            </w:pPr>
            <w:r>
              <w:rPr>
                <w:rFonts w:ascii="Arial" w:cs="Arial" w:eastAsia="Arial" w:hAnsi="Arial"/>
                <w:sz w:val="18"/>
                <w:szCs w:val="18"/>
                <w:color w:val="auto"/>
                <w:w w:val="86"/>
              </w:rPr>
              <w:t>Piraeus, Greece</w:t>
            </w:r>
          </w:p>
        </w:tc>
        <w:tc>
          <w:tcPr>
            <w:tcW w:w="660" w:type="dxa"/>
            <w:vAlign w:val="bottom"/>
          </w:tcPr>
          <w:p>
            <w:pPr>
              <w:spacing w:after="0"/>
              <w:rPr>
                <w:sz w:val="18"/>
                <w:szCs w:val="18"/>
                <w:color w:val="auto"/>
              </w:rPr>
            </w:pPr>
          </w:p>
        </w:tc>
      </w:tr>
      <w:tr>
        <w:trPr>
          <w:trHeight w:val="230"/>
        </w:trPr>
        <w:tc>
          <w:tcPr>
            <w:tcW w:w="9260" w:type="dxa"/>
            <w:vAlign w:val="bottom"/>
          </w:tcPr>
          <w:p>
            <w:pPr>
              <w:jc w:val="center"/>
              <w:ind w:left="590"/>
              <w:spacing w:after="0"/>
              <w:rPr>
                <w:sz w:val="20"/>
                <w:szCs w:val="20"/>
                <w:color w:val="auto"/>
              </w:rPr>
            </w:pPr>
            <w:r>
              <w:rPr>
                <w:rFonts w:ascii="Arial" w:cs="Arial" w:eastAsia="Arial" w:hAnsi="Arial"/>
                <w:sz w:val="18"/>
                <w:szCs w:val="18"/>
                <w:color w:val="auto"/>
                <w:w w:val="92"/>
              </w:rPr>
              <w:t>(Address of principal executive office)</w:t>
            </w:r>
          </w:p>
        </w:tc>
        <w:tc>
          <w:tcPr>
            <w:tcW w:w="660" w:type="dxa"/>
            <w:vAlign w:val="bottom"/>
          </w:tcPr>
          <w:p>
            <w:pPr>
              <w:spacing w:after="0"/>
              <w:rPr>
                <w:sz w:val="20"/>
                <w:szCs w:val="20"/>
                <w:color w:val="auto"/>
              </w:rPr>
            </w:pP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660" w:type="dxa"/>
            <w:vAlign w:val="bottom"/>
          </w:tcPr>
          <w:p>
            <w:pPr>
              <w:spacing w:after="0"/>
              <w:rPr>
                <w:sz w:val="24"/>
                <w:szCs w:val="24"/>
                <w:color w:val="auto"/>
              </w:rPr>
            </w:pPr>
          </w:p>
        </w:tc>
      </w:tr>
      <w:tr>
        <w:trPr>
          <w:trHeight w:val="452"/>
        </w:trPr>
        <w:tc>
          <w:tcPr>
            <w:tcW w:w="926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w w:val="95"/>
              </w:rPr>
              <w:t>Indicate by check mark if the registrant is submitting the Form 6-K in paper as permitted by Regulation S-T Rule 101(b)(1):</w:t>
            </w:r>
          </w:p>
        </w:tc>
        <w:tc>
          <w:tcPr>
            <w:tcW w:w="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260" w:type="dxa"/>
            <w:vAlign w:val="bottom"/>
          </w:tcPr>
          <w:p>
            <w:pPr>
              <w:spacing w:after="0"/>
              <w:rPr>
                <w:sz w:val="20"/>
                <w:szCs w:val="20"/>
                <w:color w:val="auto"/>
              </w:rPr>
            </w:pPr>
            <w:r>
              <w:rPr>
                <w:rFonts w:ascii="Arial" w:cs="Arial" w:eastAsia="Arial" w:hAnsi="Arial"/>
                <w:sz w:val="18"/>
                <w:szCs w:val="18"/>
                <w:color w:val="auto"/>
                <w:w w:val="95"/>
              </w:rPr>
              <w:t>Indicate by check mark if the registrant is submitting the Form 6-K in paper as permitted by Regulation S-T Rule 101(b)(7):</w:t>
            </w:r>
          </w:p>
        </w:tc>
        <w:tc>
          <w:tcPr>
            <w:tcW w:w="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9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09"/>
        </w:trPr>
        <w:tc>
          <w:tcPr>
            <w:tcW w:w="9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776"/>
        </w:trPr>
        <w:tc>
          <w:tcPr>
            <w:tcW w:w="9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91" w:right="999" w:bottom="1440" w:gutter="0" w:footer="0" w:header="0"/>
        </w:sectPr>
      </w:pPr>
    </w:p>
    <w:bookmarkStart w:id="1" w:name="page2"/>
    <w:bookmarkEnd w:id="1"/>
    <w:p>
      <w:pPr>
        <w:ind w:firstLine="324"/>
        <w:spacing w:after="0" w:line="277" w:lineRule="auto"/>
        <w:rPr>
          <w:sz w:val="20"/>
          <w:szCs w:val="20"/>
          <w:color w:val="auto"/>
        </w:rPr>
      </w:pPr>
      <w:r>
        <w:rPr>
          <w:rFonts w:ascii="Arial" w:cs="Arial" w:eastAsia="Arial" w:hAnsi="Arial"/>
          <w:sz w:val="18"/>
          <w:szCs w:val="18"/>
          <w:color w:val="auto"/>
        </w:rPr>
        <w:t>The press release issued by GasLog Ltd. on August 4, 2022, relating to its results for the three month period ended June 30, 2022 and the related financial statements are attached hereto as Exhibits 99.1 and 99.2,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100" w:type="dxa"/>
            <w:vAlign w:val="bottom"/>
            <w:gridSpan w:val="2"/>
          </w:tcPr>
          <w:p>
            <w:pPr>
              <w:ind w:left="960"/>
              <w:spacing w:after="0"/>
              <w:rPr>
                <w:sz w:val="20"/>
                <w:szCs w:val="20"/>
                <w:color w:val="auto"/>
              </w:rPr>
            </w:pPr>
            <w:r>
              <w:rPr>
                <w:rFonts w:ascii="Arial" w:cs="Arial" w:eastAsia="Arial" w:hAnsi="Arial"/>
                <w:sz w:val="18"/>
                <w:szCs w:val="18"/>
                <w:color w:val="auto"/>
                <w:w w:val="99"/>
              </w:rPr>
              <w:t>EXHIBIT LIST</w:t>
            </w:r>
          </w:p>
        </w:tc>
      </w:tr>
      <w:tr>
        <w:trPr>
          <w:trHeight w:val="446"/>
        </w:trPr>
        <w:tc>
          <w:tcPr>
            <w:tcW w:w="880" w:type="dxa"/>
            <w:vAlign w:val="bottom"/>
          </w:tcPr>
          <w:p>
            <w:pPr>
              <w:spacing w:after="0"/>
              <w:rPr>
                <w:sz w:val="20"/>
                <w:szCs w:val="20"/>
                <w:color w:val="auto"/>
              </w:rPr>
            </w:pPr>
            <w:r>
              <w:rPr>
                <w:rFonts w:ascii="Arial" w:cs="Arial" w:eastAsia="Arial" w:hAnsi="Arial"/>
                <w:sz w:val="18"/>
                <w:szCs w:val="18"/>
                <w:color w:val="auto"/>
              </w:rPr>
              <w:t>Exhibit</w:t>
            </w:r>
          </w:p>
        </w:tc>
        <w:tc>
          <w:tcPr>
            <w:tcW w:w="466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6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August 4, 2022</w:t>
              </w:r>
            </w:hyperlink>
          </w:p>
        </w:tc>
      </w:tr>
      <w:tr>
        <w:trPr>
          <w:trHeight w:val="20"/>
        </w:trPr>
        <w:tc>
          <w:tcPr>
            <w:tcW w:w="8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41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Unaudited Condensed Consolidated Financial Statements</w:t>
              </w:r>
            </w:hyperlink>
          </w:p>
        </w:tc>
        <w:tc>
          <w:tcPr>
            <w:tcW w:w="520" w:type="dxa"/>
            <w:vAlign w:val="bottom"/>
          </w:tcPr>
          <w:p>
            <w:pPr>
              <w:spacing w:after="0"/>
              <w:rPr>
                <w:sz w:val="24"/>
                <w:szCs w:val="24"/>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466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466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4660" w:type="dxa"/>
            <w:vAlign w:val="bottom"/>
            <w:gridSpan w:val="3"/>
          </w:tcPr>
          <w:p>
            <w:pPr>
              <w:spacing w:after="0"/>
              <w:rPr>
                <w:sz w:val="20"/>
                <w:szCs w:val="20"/>
                <w:color w:val="auto"/>
              </w:rPr>
            </w:pPr>
            <w:r>
              <w:rPr>
                <w:rFonts w:ascii="Arial" w:cs="Arial" w:eastAsia="Arial" w:hAnsi="Arial"/>
                <w:sz w:val="18"/>
                <w:szCs w:val="18"/>
                <w:color w:val="auto"/>
              </w:rPr>
              <w:t>XBRL Taxonomy Extension Scheme Calculation Linkbase</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4660" w:type="dxa"/>
            <w:vAlign w:val="bottom"/>
            <w:gridSpan w:val="3"/>
          </w:tcPr>
          <w:p>
            <w:pPr>
              <w:spacing w:after="0"/>
              <w:rPr>
                <w:sz w:val="20"/>
                <w:szCs w:val="20"/>
                <w:color w:val="auto"/>
              </w:rPr>
            </w:pPr>
            <w:r>
              <w:rPr>
                <w:rFonts w:ascii="Arial" w:cs="Arial" w:eastAsia="Arial" w:hAnsi="Arial"/>
                <w:sz w:val="18"/>
                <w:szCs w:val="18"/>
                <w:color w:val="auto"/>
              </w:rPr>
              <w:t>XBRL Taxonomy Extension Scheme Definition Linkbase</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4660" w:type="dxa"/>
            <w:vAlign w:val="bottom"/>
            <w:gridSpan w:val="3"/>
          </w:tcPr>
          <w:p>
            <w:pPr>
              <w:spacing w:after="0"/>
              <w:rPr>
                <w:sz w:val="20"/>
                <w:szCs w:val="20"/>
                <w:color w:val="auto"/>
              </w:rPr>
            </w:pPr>
            <w:r>
              <w:rPr>
                <w:rFonts w:ascii="Arial" w:cs="Arial" w:eastAsia="Arial" w:hAnsi="Arial"/>
                <w:sz w:val="18"/>
                <w:szCs w:val="18"/>
                <w:color w:val="auto"/>
              </w:rPr>
              <w:t>XBRL Taxonomy Extension Scheme Label Linkbase</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4660" w:type="dxa"/>
            <w:vAlign w:val="bottom"/>
            <w:gridSpan w:val="3"/>
          </w:tcPr>
          <w:p>
            <w:pPr>
              <w:spacing w:after="0"/>
              <w:rPr>
                <w:sz w:val="20"/>
                <w:szCs w:val="20"/>
                <w:color w:val="auto"/>
              </w:rPr>
            </w:pPr>
            <w:r>
              <w:rPr>
                <w:rFonts w:ascii="Arial" w:cs="Arial" w:eastAsia="Arial" w:hAnsi="Arial"/>
                <w:sz w:val="18"/>
                <w:szCs w:val="18"/>
                <w:color w:val="auto"/>
                <w:w w:val="97"/>
              </w:rPr>
              <w:t>XBRL Taxonomy Extension Scheme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40"/>
          </w:cols>
          <w:pgMar w:left="980" w:top="125" w:right="12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2931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20"/>
          </w:cols>
          <w:pgMar w:left="980" w:top="125"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Three-Month Period Ended June 30, 2022</w:t>
      </w:r>
    </w:p>
    <w:p>
      <w:pPr>
        <w:spacing w:after="0" w:line="154"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b w:val="1"/>
          <w:bCs w:val="1"/>
          <w:color w:val="auto"/>
        </w:rPr>
        <w:t>Hamilton, Bermuda, August 4, 2022, GasLog Ltd. and its subsidiaries (“GasLog”, “Group” or “Company”) (NYSE: GLOG-PA)</w:t>
      </w:r>
      <w:r>
        <w:rPr>
          <w:rFonts w:ascii="Arial" w:cs="Arial" w:eastAsia="Arial" w:hAnsi="Arial"/>
          <w:sz w:val="16"/>
          <w:szCs w:val="16"/>
          <w:color w:val="auto"/>
        </w:rPr>
        <w:t>, an</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owner, operator and manager of liquefied natural gas (“LNG”) carriers, today reported its financial results for the quarter ended June 30, 2022.</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Sale of Vessels</w:t>
      </w:r>
    </w:p>
    <w:p>
      <w:pPr>
        <w:spacing w:after="0" w:line="158" w:lineRule="exact"/>
        <w:rPr>
          <w:sz w:val="20"/>
          <w:szCs w:val="20"/>
          <w:color w:val="auto"/>
        </w:rPr>
      </w:pPr>
    </w:p>
    <w:p>
      <w:pPr>
        <w:ind w:right="140" w:firstLine="324"/>
        <w:spacing w:after="0" w:line="271" w:lineRule="auto"/>
        <w:rPr>
          <w:sz w:val="20"/>
          <w:szCs w:val="20"/>
          <w:color w:val="auto"/>
        </w:rPr>
      </w:pPr>
      <w:r>
        <w:rPr>
          <w:rFonts w:ascii="Arial" w:cs="Arial" w:eastAsia="Arial" w:hAnsi="Arial"/>
          <w:sz w:val="16"/>
          <w:szCs w:val="16"/>
          <w:color w:val="auto"/>
        </w:rPr>
        <w:t xml:space="preserve">In June 2022, GasLog Partners LP (“GasLog Partners” or the “Partnership”) entered into an agreement to sell, subject to customary and other closing conditions,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a 145,000 cubic meter (“cbm”) steam turbine propulsion (“Steam”) LNG carrier built in 2007, to an unrelated third party for a gross sale price of approximately $54.0 million, resulting in the reclassification of the vessel as held for sale and the recognition of an impairment loss of $14.7 million as of June 30, 2022. The transaction is expected to be completed in the third quarter of 2022, upon redelivery of the vessel from its current charterer.</w:t>
      </w:r>
    </w:p>
    <w:p>
      <w:pPr>
        <w:spacing w:after="0" w:line="122" w:lineRule="exact"/>
        <w:rPr>
          <w:sz w:val="20"/>
          <w:szCs w:val="20"/>
          <w:color w:val="auto"/>
        </w:rPr>
      </w:pPr>
    </w:p>
    <w:p>
      <w:pPr>
        <w:ind w:right="60" w:firstLine="324"/>
        <w:spacing w:after="0" w:line="305" w:lineRule="auto"/>
        <w:rPr>
          <w:sz w:val="20"/>
          <w:szCs w:val="20"/>
          <w:color w:val="auto"/>
        </w:rPr>
      </w:pPr>
      <w:r>
        <w:rPr>
          <w:rFonts w:ascii="Arial" w:cs="Arial" w:eastAsia="Arial" w:hAnsi="Arial"/>
          <w:sz w:val="15"/>
          <w:szCs w:val="15"/>
          <w:color w:val="auto"/>
        </w:rPr>
        <w:t>In addition, as of June 30, 2022, the Partnership had been pursuing an agreement for the sale and lease-back of another Steam vessel, resulting in the reclassification of that vessel as held for sale and the recognition of an impairment loss of $13.3 million. While no definitive agreement has yet been reached, the agreement is expected to be executed, and the sale expected to be completed, within the next 12 months.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Newbuilding Facility with CMB Financial Leasing Co., Ltd. (“CMBFL”)</w:t>
      </w:r>
    </w:p>
    <w:p>
      <w:pPr>
        <w:spacing w:after="0" w:line="1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6"/>
          <w:szCs w:val="16"/>
          <w:color w:val="auto"/>
        </w:rPr>
        <w:t>On July 6, 2022, the Group entered into four sale and lease-back agreements that provide for the financing of our four LNG carriers on order at Daewoo Shipbuilding and Marine Engineering Co. Ltd. (“Daewoo”) with CMBFL. The Group will sell the aforementioned newbuildings for a total amount of up to $762.6 million, raising 92.5% of the newbuilding contract price in form of pre- and post- delivery financing and will lease the newbuildings back for a period of ten years (under a 20-year profile) from each delivery date. GasLog has the option to repurchase the vessels no earlier than the third anniversary of each delivery date. The interest on the outstanding capital is calculated on a daily compounded Secured Overnight Financing Rate (“SOFR”) plus a margin. On July 15, 2022, the amount of $20.6 million was drawn under these agreements to partially finance installments already paid by the Company to the shipyard. All future installments (including the delivery installment) will be financed by CMBFL. The delivery installment is subject to a fair market value test.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Charter Agreements</w:t>
      </w:r>
    </w:p>
    <w:p>
      <w:pPr>
        <w:spacing w:after="0" w:line="171" w:lineRule="exact"/>
        <w:rPr>
          <w:sz w:val="20"/>
          <w:szCs w:val="20"/>
          <w:color w:val="auto"/>
        </w:rPr>
      </w:pPr>
    </w:p>
    <w:p>
      <w:pPr>
        <w:ind w:right="160" w:firstLine="324"/>
        <w:spacing w:after="0" w:line="269" w:lineRule="auto"/>
        <w:rPr>
          <w:sz w:val="20"/>
          <w:szCs w:val="20"/>
          <w:color w:val="auto"/>
        </w:rPr>
      </w:pPr>
      <w:r>
        <w:rPr>
          <w:rFonts w:ascii="Arial" w:cs="Arial" w:eastAsia="Arial" w:hAnsi="Arial"/>
          <w:sz w:val="16"/>
          <w:szCs w:val="16"/>
          <w:color w:val="auto"/>
        </w:rPr>
        <w:t xml:space="preserve">During the second quarter of 2022, GasLog was awarded a one-year time charter agreement by the Hellenic Gas Transmission System Operator (DESFA) S.A. (“DESFA”) for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a 145,000 cbm Steam LNG carrier built in 2006. In addition, in April 2022, with respect to the Group’s newbuilding orders, a new time charter party agreement was signed for a period of seven years, commencing upon delivery of the vessel, currently expected to be during the third quarter of 2024, and a new multi-month time charter party agreement was signed for the </w:t>
      </w:r>
      <w:r>
        <w:rPr>
          <w:rFonts w:ascii="Arial" w:cs="Arial" w:eastAsia="Arial" w:hAnsi="Arial"/>
          <w:sz w:val="16"/>
          <w:szCs w:val="16"/>
          <w:i w:val="1"/>
          <w:iCs w:val="1"/>
          <w:color w:val="auto"/>
        </w:rPr>
        <w:t>GasLog Savannah</w:t>
      </w:r>
      <w:r>
        <w:rPr>
          <w:rFonts w:ascii="Arial" w:cs="Arial" w:eastAsia="Arial" w:hAnsi="Arial"/>
          <w:sz w:val="16"/>
          <w:szCs w:val="16"/>
          <w:color w:val="auto"/>
        </w:rPr>
        <w:t>, a 155,000 cbm tri-fuel diesel electric (“TFDE”) LNG carrier built in 2010, currently expected to commence in the third quarter of 2022, both with a multinational oil and gas company.</w:t>
      </w:r>
    </w:p>
    <w:p>
      <w:pPr>
        <w:spacing w:after="0" w:line="113" w:lineRule="exact"/>
        <w:rPr>
          <w:sz w:val="20"/>
          <w:szCs w:val="20"/>
          <w:color w:val="auto"/>
        </w:rPr>
      </w:pPr>
    </w:p>
    <w:p>
      <w:pPr>
        <w:jc w:val="both"/>
        <w:ind w:right="180" w:firstLine="324"/>
        <w:spacing w:after="0" w:line="273" w:lineRule="auto"/>
        <w:rPr>
          <w:sz w:val="20"/>
          <w:szCs w:val="20"/>
          <w:color w:val="auto"/>
        </w:rPr>
      </w:pPr>
      <w:r>
        <w:rPr>
          <w:rFonts w:ascii="Arial" w:cs="Arial" w:eastAsia="Arial" w:hAnsi="Arial"/>
          <w:sz w:val="16"/>
          <w:szCs w:val="16"/>
          <w:color w:val="auto"/>
        </w:rPr>
        <w:t xml:space="preserve">The Partnership also signed a new multi-month time charter agreement with a major trading house for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 155,000 cbm TFDE LNG carrier built in 2013. In addition, the Partnership rechartered the </w:t>
      </w:r>
      <w:r>
        <w:rPr>
          <w:rFonts w:ascii="Arial" w:cs="Arial" w:eastAsia="Arial" w:hAnsi="Arial"/>
          <w:sz w:val="16"/>
          <w:szCs w:val="16"/>
          <w:i w:val="1"/>
          <w:iCs w:val="1"/>
          <w:color w:val="auto"/>
        </w:rPr>
        <w:t>Methane Rita Andrea</w:t>
      </w:r>
      <w:r>
        <w:rPr>
          <w:rFonts w:ascii="Arial" w:cs="Arial" w:eastAsia="Arial" w:hAnsi="Arial"/>
          <w:sz w:val="16"/>
          <w:szCs w:val="16"/>
          <w:color w:val="auto"/>
        </w:rPr>
        <w:t>, a 145,000 cbm Steam LNG carrier built in 2006 with an energy major for one year, which will commence after the expiration of the current time charter agreement with a wholly owned subsidiary of Gunvor Group Ltd. (“Gunvor”).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Declarations</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On August 3, 2022, the board of directors declared a quarterly cash dividend of $0.15 per common share, or $14.3 million in the aggregate, payable on August 5, 2022, to shareholders of record as of August 4, 2022.</w:t>
      </w:r>
    </w:p>
    <w:p>
      <w:pPr>
        <w:spacing w:after="0" w:line="91"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On August 3, 2022, the board of directors declared a dividend on the Series A Preference Shares of $0.546875 per share, or $2.5 million in the aggregate, payable on October 3, 2022, to holders of record as of September 30, 2022.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220" w:type="dxa"/>
            <w:vAlign w:val="bottom"/>
          </w:tcPr>
          <w:p>
            <w:pPr>
              <w:spacing w:after="0"/>
              <w:rPr>
                <w:sz w:val="17"/>
                <w:szCs w:val="17"/>
                <w:color w:val="auto"/>
              </w:rPr>
            </w:pPr>
          </w:p>
        </w:tc>
        <w:tc>
          <w:tcPr>
            <w:tcW w:w="326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6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9"/>
              </w:rPr>
              <w:t>June 30, 2021</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2022</w:t>
            </w:r>
          </w:p>
        </w:tc>
      </w:tr>
      <w:tr>
        <w:trPr>
          <w:trHeight w:val="199"/>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173,010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216,096</w:t>
            </w:r>
          </w:p>
        </w:tc>
      </w:tr>
      <w:tr>
        <w:trPr>
          <w:trHeight w:val="203"/>
        </w:trPr>
        <w:tc>
          <w:tcPr>
            <w:tcW w:w="6440" w:type="dxa"/>
            <w:vAlign w:val="bottom"/>
          </w:tcPr>
          <w:p>
            <w:pPr>
              <w:spacing w:after="0"/>
              <w:rPr>
                <w:sz w:val="20"/>
                <w:szCs w:val="20"/>
                <w:color w:val="auto"/>
              </w:rPr>
            </w:pPr>
            <w:r>
              <w:rPr>
                <w:rFonts w:ascii="Arial" w:cs="Arial" w:eastAsia="Arial" w:hAnsi="Arial"/>
                <w:sz w:val="16"/>
                <w:szCs w:val="16"/>
                <w:color w:val="auto"/>
              </w:rPr>
              <w:t>Profit for the period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7,711</w:t>
            </w:r>
          </w:p>
        </w:tc>
        <w:tc>
          <w:tcPr>
            <w:tcW w:w="4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48,369</w:t>
            </w:r>
          </w:p>
        </w:tc>
      </w:tr>
      <w:tr>
        <w:trPr>
          <w:trHeight w:val="203"/>
        </w:trPr>
        <w:tc>
          <w:tcPr>
            <w:tcW w:w="64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Adjusted EBITDA</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119,236</w:t>
            </w:r>
          </w:p>
        </w:tc>
        <w:tc>
          <w:tcPr>
            <w:tcW w:w="44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165,510</w:t>
            </w:r>
          </w:p>
        </w:tc>
      </w:tr>
      <w:tr>
        <w:trPr>
          <w:trHeight w:val="198"/>
        </w:trPr>
        <w:tc>
          <w:tcPr>
            <w:tcW w:w="6440" w:type="dxa"/>
            <w:vAlign w:val="bottom"/>
          </w:tcPr>
          <w:p>
            <w:pPr>
              <w:spacing w:after="0" w:line="199" w:lineRule="exact"/>
              <w:rPr>
                <w:sz w:val="20"/>
                <w:szCs w:val="20"/>
                <w:color w:val="auto"/>
              </w:rPr>
            </w:pPr>
            <w:r>
              <w:rPr>
                <w:rFonts w:ascii="Arial" w:cs="Arial" w:eastAsia="Arial" w:hAnsi="Arial"/>
                <w:sz w:val="15"/>
                <w:szCs w:val="15"/>
                <w:color w:val="auto"/>
              </w:rPr>
              <w:t>Adjusted Profit</w:t>
            </w:r>
            <w:r>
              <w:rPr>
                <w:rFonts w:ascii="Arial" w:cs="Arial" w:eastAsia="Arial" w:hAnsi="Arial"/>
                <w:sz w:val="22"/>
                <w:szCs w:val="22"/>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26,476</w:t>
            </w:r>
          </w:p>
        </w:tc>
        <w:tc>
          <w:tcPr>
            <w:tcW w:w="4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62,452</w:t>
            </w:r>
          </w:p>
        </w:tc>
      </w:tr>
    </w:tbl>
    <w:p>
      <w:pPr>
        <w:ind w:right="300" w:firstLine="8"/>
        <w:spacing w:after="0" w:line="230" w:lineRule="auto"/>
        <w:tabs>
          <w:tab w:leader="none" w:pos="71" w:val="left"/>
        </w:tabs>
        <w:numPr>
          <w:ilvl w:val="0"/>
          <w:numId w:val="1"/>
        </w:numPr>
        <w:rPr>
          <w:rFonts w:ascii="Arial" w:cs="Arial" w:eastAsia="Arial" w:hAnsi="Arial"/>
          <w:sz w:val="16"/>
          <w:szCs w:val="16"/>
          <w:color w:val="auto"/>
          <w:vertAlign w:val="superscript"/>
        </w:rPr>
      </w:pPr>
      <w:r>
        <w:rPr>
          <w:rFonts w:ascii="Arial" w:cs="Arial" w:eastAsia="Arial" w:hAnsi="Arial"/>
          <w:sz w:val="11"/>
          <w:szCs w:val="11"/>
          <w:color w:val="auto"/>
        </w:rPr>
        <w:t>Adjusted EBITDA and Adjusted Profit are non-GAAP financial measures and should not be used in isolation or as substitutes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4" w:name="page5"/>
    <w:bookmarkEnd w:id="4"/>
    <w:p>
      <w:pPr>
        <w:ind w:left="340"/>
        <w:spacing w:after="0"/>
        <w:rPr>
          <w:sz w:val="20"/>
          <w:szCs w:val="20"/>
          <w:color w:val="auto"/>
        </w:rPr>
      </w:pPr>
      <w:r>
        <w:rPr>
          <w:rFonts w:ascii="Arial" w:cs="Arial" w:eastAsia="Arial" w:hAnsi="Arial"/>
          <w:sz w:val="14"/>
          <w:szCs w:val="14"/>
          <w:color w:val="auto"/>
        </w:rPr>
        <w:t>There were 3,175 available days for the quarter ended June 30, 2022, as compared to 2,864 available days for the quarter ended June 30, 2021.</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Available days represent total calendar days in the period after deducting off-hire days where vessels are undergoing dry-dockings and unavailable days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(for example, days before and after a dry-docking where the vessel has limited practical ability for chartering opportunities). The increase in</w:t>
      </w:r>
    </w:p>
    <w:p>
      <w:pPr>
        <w:spacing w:after="0"/>
        <w:rPr>
          <w:sz w:val="20"/>
          <w:szCs w:val="20"/>
          <w:color w:val="auto"/>
        </w:rPr>
      </w:pPr>
      <w:r>
        <w:rPr>
          <w:rFonts w:ascii="Arial" w:cs="Arial" w:eastAsia="Arial" w:hAnsi="Arial"/>
          <w:sz w:val="14"/>
          <w:szCs w:val="14"/>
          <w:color w:val="auto"/>
        </w:rPr>
        <w:t xml:space="preserve">available days was mainly driven by the deliveries of the GasLog wholly owned vessels, the </w:t>
      </w:r>
      <w:r>
        <w:rPr>
          <w:rFonts w:ascii="Arial" w:cs="Arial" w:eastAsia="Arial" w:hAnsi="Arial"/>
          <w:sz w:val="14"/>
          <w:szCs w:val="14"/>
          <w:i w:val="1"/>
          <w:iCs w:val="1"/>
          <w:color w:val="auto"/>
        </w:rPr>
        <w:t>GasLog Wellington</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Winchester</w:t>
      </w:r>
      <w:r>
        <w:rPr>
          <w:rFonts w:ascii="Arial" w:cs="Arial" w:eastAsia="Arial" w:hAnsi="Arial"/>
          <w:sz w:val="14"/>
          <w:szCs w:val="14"/>
          <w:color w:val="auto"/>
        </w:rPr>
        <w:t xml:space="preserve"> on June 15,</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2021 and August 24, 2021, respectively and the decrease in off-hire days for scheduled dry-dockings (154 dry-docking off-hire days in the three-month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period ended June 30, 2021 compared to nil dry-docking off-hire days in the three-month period ended June 30, 2022).</w:t>
      </w:r>
    </w:p>
    <w:p>
      <w:pPr>
        <w:spacing w:after="0" w:line="126" w:lineRule="exact"/>
        <w:rPr>
          <w:sz w:val="20"/>
          <w:szCs w:val="20"/>
          <w:color w:val="auto"/>
        </w:rPr>
      </w:pPr>
    </w:p>
    <w:p>
      <w:pPr>
        <w:ind w:right="140" w:firstLine="324"/>
        <w:spacing w:after="0" w:line="284" w:lineRule="auto"/>
        <w:rPr>
          <w:sz w:val="20"/>
          <w:szCs w:val="20"/>
          <w:color w:val="auto"/>
        </w:rPr>
      </w:pPr>
      <w:r>
        <w:rPr>
          <w:rFonts w:ascii="Arial" w:cs="Arial" w:eastAsia="Arial" w:hAnsi="Arial"/>
          <w:sz w:val="14"/>
          <w:szCs w:val="14"/>
          <w:color w:val="auto"/>
        </w:rPr>
        <w:t>Revenues were $216.1 million for the quarter ended June 30, 2022 ($173.0 million for the quarter ended June 30, 2021). The increase in revenues is mainly attributable to our vessels operating in the spot market in the second quarter of 2022, in line with the improvement of the LNG shipping spot and term market. There was also an increase from the aforementioned deliveries of the GasLog wholly-owned vessels, combined with less 154 off-hire days due to the scheduled dry-dockings of four of our vessels in the second quarter of 2021 (compared to nil in the same period in 2022).</w:t>
      </w:r>
    </w:p>
    <w:p>
      <w:pPr>
        <w:spacing w:after="0" w:line="75" w:lineRule="exact"/>
        <w:rPr>
          <w:sz w:val="20"/>
          <w:szCs w:val="20"/>
          <w:color w:val="auto"/>
        </w:rPr>
      </w:pPr>
    </w:p>
    <w:p>
      <w:pPr>
        <w:ind w:firstLine="324"/>
        <w:spacing w:after="0" w:line="233" w:lineRule="auto"/>
        <w:rPr>
          <w:sz w:val="20"/>
          <w:szCs w:val="20"/>
          <w:color w:val="auto"/>
        </w:rPr>
      </w:pPr>
      <w:r>
        <w:rPr>
          <w:rFonts w:ascii="Arial" w:cs="Arial" w:eastAsia="Arial" w:hAnsi="Arial"/>
          <w:sz w:val="16"/>
          <w:szCs w:val="16"/>
          <w:color w:val="auto"/>
        </w:rPr>
        <w:t>Profit for the period was $48.4 million for the quarter ended June 30, 2022 ($7.7 million for the quarter ended June 30, 2021). The increase in profit is mainly attributable to the increase in revenues, as discussed above and the decrease in general and administrative expenses (mainly affected by the decrease in legal costs and the net decrease in amortization of share-based and cash compensation associated with the take-private transaction with BlackRock’s Global Energy &amp; Power Infrastructure team (the “Transaction”), the favorable movement of the Euro (“EUR”)/U.S. Dollar (“USD”) exchange rate and reduced employee costs), partially offset by the impairment loss recognized and the increased depreciation due to the increased fleet from the newbuilding deliveries and sale and lease-back transactions. The increase in profit was further impacted by an increase in gain on derivatives, mainly due to the increase in the mark-to-market valuation of derivatives held for trading which were carried at fair value through profit or loss and the decrease in financing fees associated with the amendment of the credit facilities as a result of the costs relating to the Transaction (such costs, the “Transaction Costs”).</w:t>
      </w:r>
    </w:p>
    <w:p>
      <w:pPr>
        <w:spacing w:after="0" w:line="120" w:lineRule="exact"/>
        <w:rPr>
          <w:sz w:val="20"/>
          <w:szCs w:val="20"/>
          <w:color w:val="auto"/>
        </w:rPr>
      </w:pPr>
    </w:p>
    <w:p>
      <w:pPr>
        <w:ind w:right="20" w:firstLine="324"/>
        <w:spacing w:after="0" w:line="233" w:lineRule="auto"/>
        <w:rPr>
          <w:sz w:val="20"/>
          <w:szCs w:val="20"/>
          <w:color w:val="auto"/>
        </w:rPr>
      </w:pPr>
      <w:r>
        <w:rPr>
          <w:rFonts w:ascii="Arial" w:cs="Arial" w:eastAsia="Arial" w:hAnsi="Arial"/>
          <w:sz w:val="16"/>
          <w:szCs w:val="16"/>
          <w:color w:val="auto"/>
        </w:rPr>
        <w:t xml:space="preserve">Adjusted EBITDA was $165.5 million for the quarter ended June 30, 2022 ($119.2 million for the quarter ended June 30, 2021). The increase in Adjusted EBITDA is mainly attributable to the increase in revenues of $43.1 million, as discussed above and the decrease of $3.7 million in voyage expenses mainly due to the increased utilization of the Group’s vessels, partially offset by an increase of $1.7 million in vessel operating and supervision costs. The increase in vessel operating and supervision costs is mainly due to the increased fleet from the newbuilding deliveries, the increase in crew costs following our enhanced COVID-19 protocols, including crew extension bonuses to support our seafarers, travelling and extended quarantine days for seafarers prior to embarkation and to the in-house management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(after her redelivery into our managed fleet on April 6, 2022), partially offset by the favorable movement of the EUR/USD exchange rate in the three-month period ended June 30, 2022 as compared to the same period ended June 30, 2021.</w:t>
      </w:r>
    </w:p>
    <w:p>
      <w:pPr>
        <w:spacing w:after="0" w:line="124" w:lineRule="exact"/>
        <w:rPr>
          <w:sz w:val="20"/>
          <w:szCs w:val="20"/>
          <w:color w:val="auto"/>
        </w:rPr>
      </w:pPr>
    </w:p>
    <w:p>
      <w:pPr>
        <w:jc w:val="both"/>
        <w:ind w:right="620" w:firstLine="324"/>
        <w:spacing w:after="0" w:line="243" w:lineRule="auto"/>
        <w:rPr>
          <w:sz w:val="20"/>
          <w:szCs w:val="20"/>
          <w:color w:val="auto"/>
        </w:rPr>
      </w:pPr>
      <w:r>
        <w:rPr>
          <w:rFonts w:ascii="Arial" w:cs="Arial" w:eastAsia="Arial" w:hAnsi="Arial"/>
          <w:sz w:val="16"/>
          <w:szCs w:val="16"/>
          <w:color w:val="auto"/>
        </w:rPr>
        <w:t>Adjusted Profit was $62.5 million for the quarter ended June 30, 2022 ($26.5 million for the quarter ended June 30, 2021). The increase in Adjusted Profit is mainly attributable to the increase in Adjusted EBITDA as discussed above partially offset by the increase in depreciation as discussed above.</w:t>
      </w:r>
    </w:p>
    <w:p>
      <w:pPr>
        <w:spacing w:after="0" w:line="103" w:lineRule="exact"/>
        <w:rPr>
          <w:sz w:val="20"/>
          <w:szCs w:val="20"/>
          <w:color w:val="auto"/>
        </w:rPr>
      </w:pPr>
    </w:p>
    <w:p>
      <w:pPr>
        <w:ind w:right="500" w:firstLine="324"/>
        <w:spacing w:after="0" w:line="258" w:lineRule="auto"/>
        <w:rPr>
          <w:sz w:val="20"/>
          <w:szCs w:val="20"/>
          <w:color w:val="auto"/>
        </w:rPr>
      </w:pPr>
      <w:r>
        <w:rPr>
          <w:rFonts w:ascii="Arial" w:cs="Arial" w:eastAsia="Arial" w:hAnsi="Arial"/>
          <w:sz w:val="16"/>
          <w:szCs w:val="16"/>
          <w:color w:val="auto"/>
        </w:rPr>
        <w:t>As of June 30, 2022, GasLog had $271.8 million of cash and cash equivalents. An amount of $10.0 million of time deposits with an original duration greater than three months was classified under short-term cash deposits.</w:t>
      </w:r>
    </w:p>
    <w:p>
      <w:pPr>
        <w:spacing w:after="0" w:line="104" w:lineRule="exact"/>
        <w:rPr>
          <w:sz w:val="20"/>
          <w:szCs w:val="20"/>
          <w:color w:val="auto"/>
        </w:rPr>
      </w:pPr>
    </w:p>
    <w:p>
      <w:pPr>
        <w:ind w:right="60" w:firstLine="324"/>
        <w:spacing w:after="0" w:line="236" w:lineRule="auto"/>
        <w:rPr>
          <w:sz w:val="20"/>
          <w:szCs w:val="20"/>
          <w:color w:val="auto"/>
        </w:rPr>
      </w:pPr>
      <w:r>
        <w:rPr>
          <w:rFonts w:ascii="Arial" w:cs="Arial" w:eastAsia="Arial" w:hAnsi="Arial"/>
          <w:sz w:val="16"/>
          <w:szCs w:val="16"/>
          <w:color w:val="auto"/>
        </w:rPr>
        <w:t xml:space="preserve">As of June 30, 2022, GasLog had an aggregate of $3.4 billion of indebtedness outstanding under its credit facilities and bond agreements, of which $291.9 million is repayable within one year. Current bank borrowings include an amount of $69.1 million with respect to the associated debt of two Steam vessels classified as held for sale as of June 30, 2022. Furthermore, as of June 30, 2022, we also had an aggregate of $342.3 million of lease liabilities mainly related to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of which $41.8 million is payable within one year.</w:t>
      </w:r>
    </w:p>
    <w:p>
      <w:pPr>
        <w:spacing w:after="0" w:line="121" w:lineRule="exact"/>
        <w:rPr>
          <w:sz w:val="20"/>
          <w:szCs w:val="20"/>
          <w:color w:val="auto"/>
        </w:rPr>
      </w:pPr>
    </w:p>
    <w:p>
      <w:pPr>
        <w:ind w:right="40" w:firstLine="324"/>
        <w:spacing w:after="0" w:line="267" w:lineRule="auto"/>
        <w:rPr>
          <w:sz w:val="20"/>
          <w:szCs w:val="20"/>
          <w:color w:val="auto"/>
        </w:rPr>
      </w:pPr>
      <w:r>
        <w:rPr>
          <w:rFonts w:ascii="Arial" w:cs="Arial" w:eastAsia="Arial" w:hAnsi="Arial"/>
          <w:sz w:val="15"/>
          <w:szCs w:val="15"/>
          <w:color w:val="auto"/>
        </w:rPr>
        <w:t>As of June 30, 2022, GasLog’s current assets totaled $450.7 million, while current liabilities totaled $511.8 million, resulting in a negative working capital position of $61.1 million. Current liabilities include $72.9 million of unearned revenue in relation to hires received in advance of June 30, 2022 (which represents a non-cash liability that will be recognized as revenue in July 2022 as the services are rendered).</w:t>
      </w:r>
    </w:p>
    <w:p>
      <w:pPr>
        <w:spacing w:after="0" w:line="86" w:lineRule="exact"/>
        <w:rPr>
          <w:sz w:val="20"/>
          <w:szCs w:val="20"/>
          <w:color w:val="auto"/>
        </w:rPr>
      </w:pPr>
    </w:p>
    <w:p>
      <w:pPr>
        <w:ind w:firstLine="324"/>
        <w:spacing w:after="0" w:line="235" w:lineRule="auto"/>
        <w:rPr>
          <w:sz w:val="20"/>
          <w:szCs w:val="20"/>
          <w:color w:val="auto"/>
        </w:rPr>
      </w:pPr>
      <w:r>
        <w:rPr>
          <w:rFonts w:ascii="Arial" w:cs="Arial" w:eastAsia="Arial" w:hAnsi="Arial"/>
          <w:sz w:val="16"/>
          <w:szCs w:val="16"/>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for at least twelve months from the date of this report will be available cash, cash from operations, existing and future borrowings and future sale and lease-back transactions. We believe that these anticipated sources of funds will be sufficient to meet our liquidity needs and to comply with our financial covenants for at least twelve months from the date of this report and therefore it is appropriate to prepare the financial statements on a going concern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Preference Unit Repurchase Programme</w:t>
      </w:r>
    </w:p>
    <w:p>
      <w:pPr>
        <w:spacing w:after="0" w:line="144" w:lineRule="exact"/>
        <w:rPr>
          <w:sz w:val="20"/>
          <w:szCs w:val="20"/>
          <w:color w:val="auto"/>
        </w:rPr>
      </w:pPr>
    </w:p>
    <w:p>
      <w:pPr>
        <w:ind w:right="80" w:firstLine="324"/>
        <w:spacing w:after="0" w:line="255" w:lineRule="auto"/>
        <w:rPr>
          <w:sz w:val="20"/>
          <w:szCs w:val="20"/>
          <w:color w:val="auto"/>
        </w:rPr>
      </w:pPr>
      <w:r>
        <w:rPr>
          <w:rFonts w:ascii="Arial" w:cs="Arial" w:eastAsia="Arial" w:hAnsi="Arial"/>
          <w:sz w:val="15"/>
          <w:szCs w:val="15"/>
          <w:color w:val="auto"/>
        </w:rPr>
        <w:t>In the quarter ended June 30, 2022, under the GasLog Partners’ preference unit repurchase programme (the “Repurchase Programme”) established in March 2021, GasLog Partners repurchased and cancelled 72,762 8.625% Series A Cumulative Redeemable Perpetual Fixed to Floating Rate Preference Units (the “Series A Preference Units”), 140,201 8.200% Series B Cumulative Redeemable Perpetual Fixed to Floating Rate Preference Units (the “Series B Preference Units”) and 132,715 8.500% Series C Cumulative Redeemable Perpetual Fixed to Floating Rate Preference Units (the “Series C Preference Units”), for an aggregate amount of $8.7 million, including commissions.</w:t>
      </w:r>
    </w:p>
    <w:p>
      <w:pPr>
        <w:spacing w:after="0" w:line="96" w:lineRule="exact"/>
        <w:rPr>
          <w:sz w:val="20"/>
          <w:szCs w:val="20"/>
          <w:color w:val="auto"/>
        </w:rPr>
      </w:pPr>
    </w:p>
    <w:p>
      <w:pPr>
        <w:ind w:right="60" w:firstLine="324"/>
        <w:spacing w:after="0" w:line="243" w:lineRule="auto"/>
        <w:rPr>
          <w:sz w:val="20"/>
          <w:szCs w:val="20"/>
          <w:color w:val="auto"/>
        </w:rPr>
      </w:pPr>
      <w:r>
        <w:rPr>
          <w:rFonts w:ascii="Arial" w:cs="Arial" w:eastAsia="Arial" w:hAnsi="Arial"/>
          <w:sz w:val="16"/>
          <w:szCs w:val="16"/>
          <w:color w:val="auto"/>
        </w:rPr>
        <w:t>Since the inception of the Repurchase Programme in March 2021, and up to June 30, 2022, GasLog Partners has repurchased and cancelled 80,600 Series A Preference Units, 777,220 Series B Preference Units and 615,599 Series C Preference Units, for an aggregate amount of $37.1 million, including commissions.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t>Fleet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August 4, 2022, our wholly owned fleet consisted of the following vessels: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Cargo</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Charterer (for</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Charter</w:t>
            </w: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0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Vessel Name</w:t>
            </w: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Capacity</w:t>
            </w: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contracts of more</w:t>
            </w:r>
          </w:p>
        </w:tc>
        <w:tc>
          <w:tcPr>
            <w:tcW w:w="1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Propulsion</w:t>
            </w:r>
          </w:p>
        </w:tc>
        <w:tc>
          <w:tcPr>
            <w:tcW w:w="112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Built</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(cbm)</w:t>
            </w: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than six months)</w:t>
            </w:r>
          </w:p>
        </w:tc>
        <w:tc>
          <w:tcPr>
            <w:tcW w:w="1840" w:type="dxa"/>
            <w:vAlign w:val="bottom"/>
            <w:gridSpan w:val="2"/>
            <w:vMerge w:val="continue"/>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Expiration</w:t>
            </w:r>
            <w:r>
              <w:rPr>
                <w:rFonts w:ascii="Arial" w:cs="Arial" w:eastAsia="Arial" w:hAnsi="Arial"/>
                <w:sz w:val="10"/>
                <w:szCs w:val="10"/>
                <w:b w:val="1"/>
                <w:bCs w:val="1"/>
                <w:color w:val="auto"/>
                <w:w w:val="96"/>
              </w:rPr>
              <w:t>(1)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r>
              <w:rPr>
                <w:rFonts w:ascii="Arial" w:cs="Arial" w:eastAsia="Arial" w:hAnsi="Arial"/>
                <w:sz w:val="10"/>
                <w:szCs w:val="10"/>
                <w:b w:val="1"/>
                <w:bCs w:val="1"/>
                <w:color w:val="auto"/>
                <w:w w:val="96"/>
              </w:rPr>
              <w:t>(2)</w:t>
            </w:r>
          </w:p>
        </w:tc>
        <w:tc>
          <w:tcPr>
            <w:tcW w:w="0" w:type="dxa"/>
            <w:vAlign w:val="bottom"/>
          </w:tcPr>
          <w:p>
            <w:pPr>
              <w:spacing w:after="0"/>
              <w:rPr>
                <w:sz w:val="1"/>
                <w:szCs w:val="1"/>
                <w:color w:val="auto"/>
              </w:rPr>
            </w:pPr>
          </w:p>
        </w:tc>
      </w:tr>
      <w:tr>
        <w:trPr>
          <w:trHeight w:val="142"/>
        </w:trPr>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1</w:t>
            </w:r>
          </w:p>
        </w:tc>
        <w:tc>
          <w:tcPr>
            <w:tcW w:w="186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i w:val="1"/>
                <w:iCs w:val="1"/>
                <w:color w:val="auto"/>
              </w:rPr>
              <w:t xml:space="preserve">GasLog Chelsea </w:t>
            </w:r>
            <w:r>
              <w:rPr>
                <w:rFonts w:ascii="Arial" w:cs="Arial" w:eastAsia="Arial" w:hAnsi="Arial"/>
                <w:sz w:val="10"/>
                <w:szCs w:val="10"/>
                <w:color w:val="auto"/>
              </w:rPr>
              <w:t>(3)</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rPr>
              <w:t>2010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153,600</w:t>
            </w:r>
          </w:p>
        </w:tc>
        <w:tc>
          <w:tcPr>
            <w:tcW w:w="14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Spot Market</w:t>
            </w:r>
          </w:p>
        </w:tc>
        <w:tc>
          <w:tcPr>
            <w:tcW w:w="16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TFDE</w:t>
            </w: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340" w:type="dxa"/>
            <w:vAlign w:val="bottom"/>
          </w:tcPr>
          <w:p>
            <w:pPr>
              <w:spacing w:after="0" w:line="149" w:lineRule="exact"/>
              <w:rPr>
                <w:sz w:val="20"/>
                <w:szCs w:val="20"/>
                <w:color w:val="auto"/>
              </w:rPr>
            </w:pPr>
            <w:r>
              <w:rPr>
                <w:rFonts w:ascii="Arial" w:cs="Arial" w:eastAsia="Arial" w:hAnsi="Arial"/>
                <w:sz w:val="14"/>
                <w:szCs w:val="14"/>
                <w:b w:val="1"/>
                <w:bCs w:val="1"/>
                <w:color w:val="auto"/>
              </w:rPr>
              <w:t>2</w:t>
            </w:r>
          </w:p>
        </w:tc>
        <w:tc>
          <w:tcPr>
            <w:tcW w:w="2000" w:type="dxa"/>
            <w:vAlign w:val="bottom"/>
            <w:gridSpan w:val="2"/>
          </w:tcPr>
          <w:p>
            <w:pPr>
              <w:ind w:left="180"/>
              <w:spacing w:after="0" w:line="149" w:lineRule="exact"/>
              <w:rPr>
                <w:sz w:val="20"/>
                <w:szCs w:val="20"/>
                <w:color w:val="auto"/>
              </w:rPr>
            </w:pPr>
            <w:r>
              <w:rPr>
                <w:rFonts w:ascii="Arial" w:cs="Arial" w:eastAsia="Arial" w:hAnsi="Arial"/>
                <w:sz w:val="14"/>
                <w:szCs w:val="14"/>
                <w:i w:val="1"/>
                <w:iCs w:val="1"/>
                <w:color w:val="auto"/>
              </w:rPr>
              <w:t xml:space="preserve">GasLog Singapore </w:t>
            </w:r>
            <w:r>
              <w:rPr>
                <w:rFonts w:ascii="Arial" w:cs="Arial" w:eastAsia="Arial" w:hAnsi="Arial"/>
                <w:sz w:val="10"/>
                <w:szCs w:val="10"/>
                <w:color w:val="auto"/>
              </w:rPr>
              <w:t>(4)</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2010</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4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Singapore LNG Corporation</w:t>
            </w: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TFDE</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March 2023</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3</w:t>
            </w:r>
          </w:p>
        </w:tc>
        <w:tc>
          <w:tcPr>
            <w:tcW w:w="20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Methane Lydon Volney</w:t>
            </w:r>
          </w:p>
        </w:tc>
        <w:tc>
          <w:tcPr>
            <w:tcW w:w="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2006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5"/>
              </w:rPr>
              <w:t xml:space="preserve">DESFA </w:t>
            </w:r>
            <w:r>
              <w:rPr>
                <w:rFonts w:ascii="Arial" w:cs="Arial" w:eastAsia="Arial" w:hAnsi="Arial"/>
                <w:sz w:val="10"/>
                <w:szCs w:val="10"/>
                <w:color w:val="auto"/>
                <w:w w:val="95"/>
              </w:rPr>
              <w:t>(5)</w:t>
            </w: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Steam</w:t>
            </w:r>
          </w:p>
        </w:tc>
        <w:tc>
          <w:tcPr>
            <w:tcW w:w="11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June 2023</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 xml:space="preserve">2023 </w:t>
            </w:r>
            <w:r>
              <w:rPr>
                <w:rFonts w:ascii="Arial" w:cs="Arial" w:eastAsia="Arial" w:hAnsi="Arial"/>
                <w:sz w:val="10"/>
                <w:szCs w:val="10"/>
                <w:color w:val="auto"/>
                <w:w w:val="97"/>
              </w:rPr>
              <w:t>(5)</w:t>
            </w:r>
          </w:p>
        </w:tc>
        <w:tc>
          <w:tcPr>
            <w:tcW w:w="0" w:type="dxa"/>
            <w:vAlign w:val="bottom"/>
          </w:tcPr>
          <w:p>
            <w:pPr>
              <w:spacing w:after="0"/>
              <w:rPr>
                <w:sz w:val="1"/>
                <w:szCs w:val="1"/>
                <w:color w:val="auto"/>
              </w:rPr>
            </w:pPr>
          </w:p>
        </w:tc>
      </w:tr>
      <w:tr>
        <w:trPr>
          <w:trHeight w:val="130"/>
        </w:trPr>
        <w:tc>
          <w:tcPr>
            <w:tcW w:w="340" w:type="dxa"/>
            <w:vAlign w:val="bottom"/>
          </w:tcPr>
          <w:p>
            <w:pPr>
              <w:spacing w:after="0" w:line="130" w:lineRule="exact"/>
              <w:rPr>
                <w:sz w:val="20"/>
                <w:szCs w:val="20"/>
                <w:color w:val="auto"/>
              </w:rPr>
            </w:pPr>
            <w:r>
              <w:rPr>
                <w:rFonts w:ascii="Arial" w:cs="Arial" w:eastAsia="Arial" w:hAnsi="Arial"/>
                <w:sz w:val="14"/>
                <w:szCs w:val="14"/>
                <w:b w:val="1"/>
                <w:bCs w:val="1"/>
                <w:color w:val="auto"/>
              </w:rPr>
              <w:t>4</w:t>
            </w:r>
          </w:p>
        </w:tc>
        <w:tc>
          <w:tcPr>
            <w:tcW w:w="2000" w:type="dxa"/>
            <w:vAlign w:val="bottom"/>
            <w:gridSpan w:val="2"/>
          </w:tcPr>
          <w:p>
            <w:pPr>
              <w:ind w:left="180"/>
              <w:spacing w:after="0" w:line="130" w:lineRule="exact"/>
              <w:rPr>
                <w:sz w:val="20"/>
                <w:szCs w:val="20"/>
                <w:color w:val="auto"/>
              </w:rPr>
            </w:pPr>
            <w:r>
              <w:rPr>
                <w:rFonts w:ascii="Arial" w:cs="Arial" w:eastAsia="Arial" w:hAnsi="Arial"/>
                <w:sz w:val="14"/>
                <w:szCs w:val="14"/>
                <w:i w:val="1"/>
                <w:iCs w:val="1"/>
                <w:color w:val="auto"/>
              </w:rPr>
              <w:t>GasLog Savannah</w:t>
            </w:r>
          </w:p>
        </w:tc>
        <w:tc>
          <w:tcPr>
            <w:tcW w:w="820" w:type="dxa"/>
            <w:vAlign w:val="bottom"/>
          </w:tcPr>
          <w:p>
            <w:pPr>
              <w:ind w:left="260"/>
              <w:spacing w:after="0" w:line="130" w:lineRule="exact"/>
              <w:rPr>
                <w:sz w:val="20"/>
                <w:szCs w:val="20"/>
                <w:color w:val="auto"/>
              </w:rPr>
            </w:pPr>
            <w:r>
              <w:rPr>
                <w:rFonts w:ascii="Arial" w:cs="Arial" w:eastAsia="Arial" w:hAnsi="Arial"/>
                <w:sz w:val="14"/>
                <w:szCs w:val="14"/>
                <w:color w:val="auto"/>
              </w:rPr>
              <w:t>2010</w:t>
            </w:r>
          </w:p>
        </w:tc>
        <w:tc>
          <w:tcPr>
            <w:tcW w:w="14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0"/>
              </w:rPr>
              <w:t>155,000</w:t>
            </w:r>
          </w:p>
        </w:tc>
        <w:tc>
          <w:tcPr>
            <w:tcW w:w="140" w:type="dxa"/>
            <w:vAlign w:val="bottom"/>
          </w:tcPr>
          <w:p>
            <w:pPr>
              <w:spacing w:after="0"/>
              <w:rPr>
                <w:sz w:val="11"/>
                <w:szCs w:val="11"/>
                <w:color w:val="auto"/>
              </w:rPr>
            </w:pPr>
          </w:p>
        </w:tc>
        <w:tc>
          <w:tcPr>
            <w:tcW w:w="18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5"/>
              </w:rPr>
              <w:t>Spot Market</w:t>
            </w:r>
          </w:p>
        </w:tc>
        <w:tc>
          <w:tcPr>
            <w:tcW w:w="18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8"/>
              </w:rPr>
              <w:t>TFDE</w:t>
            </w:r>
          </w:p>
        </w:tc>
        <w:tc>
          <w:tcPr>
            <w:tcW w:w="112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Multinational Oil and</w:t>
            </w: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 xml:space="preserve">Gas Company </w:t>
            </w:r>
            <w:r>
              <w:rPr>
                <w:rFonts w:ascii="Arial" w:cs="Arial" w:eastAsia="Arial" w:hAnsi="Arial"/>
                <w:sz w:val="10"/>
                <w:szCs w:val="10"/>
                <w:color w:val="auto"/>
                <w:w w:val="90"/>
              </w:rPr>
              <w:t>(6)</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July 2024</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 xml:space="preserve">2025 </w:t>
            </w:r>
            <w:r>
              <w:rPr>
                <w:rFonts w:ascii="Arial" w:cs="Arial" w:eastAsia="Arial" w:hAnsi="Arial"/>
                <w:sz w:val="10"/>
                <w:szCs w:val="10"/>
                <w:color w:val="auto"/>
                <w:w w:val="93"/>
              </w:rPr>
              <w:t>(6)</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5</w:t>
            </w:r>
          </w:p>
        </w:tc>
        <w:tc>
          <w:tcPr>
            <w:tcW w:w="20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GasLog Saratoga</w:t>
            </w:r>
          </w:p>
        </w:tc>
        <w:tc>
          <w:tcPr>
            <w:tcW w:w="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2014</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8"/>
              </w:rPr>
              <w:t xml:space="preserve">Mitsui </w:t>
            </w:r>
            <w:r>
              <w:rPr>
                <w:rFonts w:ascii="Arial" w:cs="Arial" w:eastAsia="Arial" w:hAnsi="Arial"/>
                <w:sz w:val="10"/>
                <w:szCs w:val="10"/>
                <w:color w:val="auto"/>
                <w:w w:val="98"/>
              </w:rPr>
              <w:t>(7)</w:t>
            </w: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8"/>
              </w:rPr>
              <w:t>TFDE</w:t>
            </w:r>
          </w:p>
        </w:tc>
        <w:tc>
          <w:tcPr>
            <w:tcW w:w="11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September 2024</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rPr>
              <w:t>6</w:t>
            </w:r>
          </w:p>
        </w:tc>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3"/>
              </w:rPr>
              <w:t>Dual-fuel medium speed</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vMerge w:val="continue"/>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Arial" w:cs="Arial" w:eastAsia="Arial" w:hAnsi="Arial"/>
                <w:sz w:val="14"/>
                <w:szCs w:val="14"/>
                <w:i w:val="1"/>
                <w:iCs w:val="1"/>
                <w:color w:val="auto"/>
              </w:rPr>
              <w:t>GasLog Genoa</w:t>
            </w:r>
          </w:p>
        </w:tc>
        <w:tc>
          <w:tcPr>
            <w:tcW w:w="820" w:type="dxa"/>
            <w:vAlign w:val="bottom"/>
          </w:tcPr>
          <w:p>
            <w:pPr>
              <w:ind w:left="260"/>
              <w:spacing w:after="0"/>
              <w:rPr>
                <w:sz w:val="20"/>
                <w:szCs w:val="20"/>
                <w:color w:val="auto"/>
              </w:rPr>
            </w:pPr>
            <w:r>
              <w:rPr>
                <w:rFonts w:ascii="Arial" w:cs="Arial" w:eastAsia="Arial" w:hAnsi="Arial"/>
                <w:sz w:val="14"/>
                <w:szCs w:val="14"/>
                <w:color w:val="auto"/>
              </w:rPr>
              <w:t>2018</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174,000</w:t>
            </w:r>
          </w:p>
        </w:tc>
        <w:tc>
          <w:tcPr>
            <w:tcW w:w="140" w:type="dxa"/>
            <w:vAlign w:val="bottom"/>
          </w:tcPr>
          <w:p>
            <w:pPr>
              <w:spacing w:after="0"/>
              <w:rPr>
                <w:sz w:val="14"/>
                <w:szCs w:val="14"/>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 xml:space="preserve">Shell </w:t>
            </w:r>
            <w:r>
              <w:rPr>
                <w:rFonts w:ascii="Arial" w:cs="Arial" w:eastAsia="Arial" w:hAnsi="Arial"/>
                <w:sz w:val="10"/>
                <w:szCs w:val="10"/>
                <w:color w:val="auto"/>
                <w:w w:val="93"/>
              </w:rPr>
              <w:t>(8)</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color w:val="auto"/>
              </w:rPr>
              <w:t>propulsion (“X-DF”)</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March 2027</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 xml:space="preserve">2030-2033 </w:t>
            </w:r>
            <w:r>
              <w:rPr>
                <w:rFonts w:ascii="Arial" w:cs="Arial" w:eastAsia="Arial" w:hAnsi="Arial"/>
                <w:sz w:val="10"/>
                <w:szCs w:val="10"/>
                <w:color w:val="auto"/>
                <w:w w:val="93"/>
              </w:rPr>
              <w:t>(8)</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7</w:t>
            </w:r>
          </w:p>
        </w:tc>
        <w:tc>
          <w:tcPr>
            <w:tcW w:w="20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GasLog Windsor</w:t>
            </w:r>
          </w:p>
        </w:tc>
        <w:tc>
          <w:tcPr>
            <w:tcW w:w="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2020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180,000</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 xml:space="preserve">Centrica </w:t>
            </w:r>
            <w:r>
              <w:rPr>
                <w:rFonts w:ascii="Arial" w:cs="Arial" w:eastAsia="Arial" w:hAnsi="Arial"/>
                <w:sz w:val="10"/>
                <w:szCs w:val="10"/>
                <w:color w:val="auto"/>
                <w:w w:val="93"/>
              </w:rPr>
              <w:t>(9)</w:t>
            </w:r>
          </w:p>
        </w:tc>
        <w:tc>
          <w:tcPr>
            <w:tcW w:w="1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X-DF</w:t>
            </w:r>
          </w:p>
        </w:tc>
        <w:tc>
          <w:tcPr>
            <w:tcW w:w="11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8"/>
              </w:rPr>
              <w:t>April 2027</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xml:space="preserve">2029-2033 </w:t>
            </w:r>
            <w:r>
              <w:rPr>
                <w:rFonts w:ascii="Arial" w:cs="Arial" w:eastAsia="Arial" w:hAnsi="Arial"/>
                <w:sz w:val="10"/>
                <w:szCs w:val="10"/>
                <w:color w:val="auto"/>
                <w:w w:val="93"/>
              </w:rPr>
              <w:t>(9)</w:t>
            </w:r>
          </w:p>
        </w:tc>
        <w:tc>
          <w:tcPr>
            <w:tcW w:w="0" w:type="dxa"/>
            <w:vAlign w:val="bottom"/>
          </w:tcPr>
          <w:p>
            <w:pPr>
              <w:spacing w:after="0"/>
              <w:rPr>
                <w:sz w:val="1"/>
                <w:szCs w:val="1"/>
                <w:color w:val="auto"/>
              </w:rPr>
            </w:pPr>
          </w:p>
        </w:tc>
      </w:tr>
      <w:tr>
        <w:trPr>
          <w:trHeight w:val="148"/>
        </w:trPr>
        <w:tc>
          <w:tcPr>
            <w:tcW w:w="340" w:type="dxa"/>
            <w:vAlign w:val="bottom"/>
          </w:tcPr>
          <w:p>
            <w:pPr>
              <w:spacing w:after="0" w:line="149" w:lineRule="exact"/>
              <w:rPr>
                <w:sz w:val="20"/>
                <w:szCs w:val="20"/>
                <w:color w:val="auto"/>
              </w:rPr>
            </w:pPr>
            <w:r>
              <w:rPr>
                <w:rFonts w:ascii="Arial" w:cs="Arial" w:eastAsia="Arial" w:hAnsi="Arial"/>
                <w:sz w:val="14"/>
                <w:szCs w:val="14"/>
                <w:b w:val="1"/>
                <w:bCs w:val="1"/>
                <w:color w:val="auto"/>
              </w:rPr>
              <w:t>8</w:t>
            </w:r>
          </w:p>
        </w:tc>
        <w:tc>
          <w:tcPr>
            <w:tcW w:w="2000" w:type="dxa"/>
            <w:vAlign w:val="bottom"/>
            <w:gridSpan w:val="2"/>
          </w:tcPr>
          <w:p>
            <w:pPr>
              <w:ind w:left="180"/>
              <w:spacing w:after="0" w:line="149" w:lineRule="exact"/>
              <w:rPr>
                <w:sz w:val="20"/>
                <w:szCs w:val="20"/>
                <w:color w:val="auto"/>
              </w:rPr>
            </w:pPr>
            <w:r>
              <w:rPr>
                <w:rFonts w:ascii="Arial" w:cs="Arial" w:eastAsia="Arial" w:hAnsi="Arial"/>
                <w:sz w:val="14"/>
                <w:szCs w:val="14"/>
                <w:i w:val="1"/>
                <w:iCs w:val="1"/>
                <w:color w:val="auto"/>
              </w:rPr>
              <w:t>GasLog Westminster</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2020</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180,000</w:t>
            </w:r>
          </w:p>
        </w:tc>
        <w:tc>
          <w:tcPr>
            <w:tcW w:w="14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Centrica</w:t>
            </w:r>
          </w:p>
        </w:tc>
        <w:tc>
          <w:tcPr>
            <w:tcW w:w="1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X-DF</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July 2027</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2029-2033 </w:t>
            </w:r>
            <w:r>
              <w:rPr>
                <w:rFonts w:ascii="Arial" w:cs="Arial" w:eastAsia="Arial" w:hAnsi="Arial"/>
                <w:sz w:val="10"/>
                <w:szCs w:val="10"/>
                <w:color w:val="auto"/>
                <w:w w:val="93"/>
              </w:rPr>
              <w:t>(9)</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9</w:t>
            </w:r>
          </w:p>
        </w:tc>
        <w:tc>
          <w:tcPr>
            <w:tcW w:w="20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GasLog Georgetown</w:t>
            </w:r>
          </w:p>
        </w:tc>
        <w:tc>
          <w:tcPr>
            <w:tcW w:w="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2020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 xml:space="preserve">Cheniere </w:t>
            </w:r>
            <w:r>
              <w:rPr>
                <w:rFonts w:ascii="Arial" w:cs="Arial" w:eastAsia="Arial" w:hAnsi="Arial"/>
                <w:sz w:val="10"/>
                <w:szCs w:val="10"/>
                <w:color w:val="auto"/>
                <w:w w:val="91"/>
              </w:rPr>
              <w:t>(10)</w:t>
            </w:r>
          </w:p>
        </w:tc>
        <w:tc>
          <w:tcPr>
            <w:tcW w:w="1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X-DF</w:t>
            </w:r>
          </w:p>
        </w:tc>
        <w:tc>
          <w:tcPr>
            <w:tcW w:w="11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November 2027</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 xml:space="preserve">2030-2034 </w:t>
            </w:r>
            <w:r>
              <w:rPr>
                <w:rFonts w:ascii="Arial" w:cs="Arial" w:eastAsia="Arial" w:hAnsi="Arial"/>
                <w:sz w:val="10"/>
                <w:szCs w:val="10"/>
                <w:color w:val="auto"/>
                <w:w w:val="94"/>
              </w:rPr>
              <w:t>(10)</w:t>
            </w:r>
          </w:p>
        </w:tc>
        <w:tc>
          <w:tcPr>
            <w:tcW w:w="0" w:type="dxa"/>
            <w:vAlign w:val="bottom"/>
          </w:tcPr>
          <w:p>
            <w:pPr>
              <w:spacing w:after="0"/>
              <w:rPr>
                <w:sz w:val="1"/>
                <w:szCs w:val="1"/>
                <w:color w:val="auto"/>
              </w:rPr>
            </w:pPr>
          </w:p>
        </w:tc>
      </w:tr>
      <w:tr>
        <w:trPr>
          <w:trHeight w:val="148"/>
        </w:trPr>
        <w:tc>
          <w:tcPr>
            <w:tcW w:w="340" w:type="dxa"/>
            <w:vAlign w:val="bottom"/>
          </w:tcPr>
          <w:p>
            <w:pPr>
              <w:spacing w:after="0" w:line="149" w:lineRule="exact"/>
              <w:rPr>
                <w:sz w:val="20"/>
                <w:szCs w:val="20"/>
                <w:color w:val="auto"/>
              </w:rPr>
            </w:pPr>
            <w:r>
              <w:rPr>
                <w:rFonts w:ascii="Arial" w:cs="Arial" w:eastAsia="Arial" w:hAnsi="Arial"/>
                <w:sz w:val="14"/>
                <w:szCs w:val="14"/>
                <w:b w:val="1"/>
                <w:bCs w:val="1"/>
                <w:color w:val="auto"/>
              </w:rPr>
              <w:t>10</w:t>
            </w:r>
          </w:p>
        </w:tc>
        <w:tc>
          <w:tcPr>
            <w:tcW w:w="2000" w:type="dxa"/>
            <w:vAlign w:val="bottom"/>
            <w:gridSpan w:val="2"/>
          </w:tcPr>
          <w:p>
            <w:pPr>
              <w:ind w:left="180"/>
              <w:spacing w:after="0" w:line="149" w:lineRule="exact"/>
              <w:rPr>
                <w:sz w:val="20"/>
                <w:szCs w:val="20"/>
                <w:color w:val="auto"/>
              </w:rPr>
            </w:pPr>
            <w:r>
              <w:rPr>
                <w:rFonts w:ascii="Arial" w:cs="Arial" w:eastAsia="Arial" w:hAnsi="Arial"/>
                <w:sz w:val="14"/>
                <w:szCs w:val="14"/>
                <w:i w:val="1"/>
                <w:iCs w:val="1"/>
                <w:color w:val="auto"/>
              </w:rPr>
              <w:t>GasLog Galveston</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2021</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4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Cheniere</w:t>
            </w:r>
          </w:p>
        </w:tc>
        <w:tc>
          <w:tcPr>
            <w:tcW w:w="1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X-DF</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January 2028</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4"/>
              </w:rPr>
              <w:t xml:space="preserve">2031-2035 </w:t>
            </w:r>
            <w:r>
              <w:rPr>
                <w:rFonts w:ascii="Arial" w:cs="Arial" w:eastAsia="Arial" w:hAnsi="Arial"/>
                <w:sz w:val="10"/>
                <w:szCs w:val="10"/>
                <w:color w:val="auto"/>
                <w:w w:val="94"/>
              </w:rPr>
              <w:t>(10)</w:t>
            </w: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11</w:t>
            </w:r>
          </w:p>
        </w:tc>
        <w:tc>
          <w:tcPr>
            <w:tcW w:w="20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GasLog Wellington</w:t>
            </w:r>
          </w:p>
        </w:tc>
        <w:tc>
          <w:tcPr>
            <w:tcW w:w="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2021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180,000</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Cheniere</w:t>
            </w:r>
          </w:p>
        </w:tc>
        <w:tc>
          <w:tcPr>
            <w:tcW w:w="1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X-DF</w:t>
            </w:r>
          </w:p>
        </w:tc>
        <w:tc>
          <w:tcPr>
            <w:tcW w:w="11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June 2028</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 xml:space="preserve">2031-2035 </w:t>
            </w:r>
            <w:r>
              <w:rPr>
                <w:rFonts w:ascii="Arial" w:cs="Arial" w:eastAsia="Arial" w:hAnsi="Arial"/>
                <w:sz w:val="10"/>
                <w:szCs w:val="10"/>
                <w:color w:val="auto"/>
                <w:w w:val="94"/>
              </w:rPr>
              <w:t>(10)</w:t>
            </w:r>
          </w:p>
        </w:tc>
        <w:tc>
          <w:tcPr>
            <w:tcW w:w="0" w:type="dxa"/>
            <w:vAlign w:val="bottom"/>
          </w:tcPr>
          <w:p>
            <w:pPr>
              <w:spacing w:after="0"/>
              <w:rPr>
                <w:sz w:val="1"/>
                <w:szCs w:val="1"/>
                <w:color w:val="auto"/>
              </w:rPr>
            </w:pPr>
          </w:p>
        </w:tc>
      </w:tr>
      <w:tr>
        <w:trPr>
          <w:trHeight w:val="148"/>
        </w:trPr>
        <w:tc>
          <w:tcPr>
            <w:tcW w:w="340" w:type="dxa"/>
            <w:vAlign w:val="bottom"/>
          </w:tcPr>
          <w:p>
            <w:pPr>
              <w:spacing w:after="0" w:line="149" w:lineRule="exact"/>
              <w:rPr>
                <w:sz w:val="20"/>
                <w:szCs w:val="20"/>
                <w:color w:val="auto"/>
              </w:rPr>
            </w:pPr>
            <w:r>
              <w:rPr>
                <w:rFonts w:ascii="Arial" w:cs="Arial" w:eastAsia="Arial" w:hAnsi="Arial"/>
                <w:sz w:val="14"/>
                <w:szCs w:val="14"/>
                <w:b w:val="1"/>
                <w:bCs w:val="1"/>
                <w:color w:val="auto"/>
              </w:rPr>
              <w:t>12</w:t>
            </w:r>
          </w:p>
        </w:tc>
        <w:tc>
          <w:tcPr>
            <w:tcW w:w="2000" w:type="dxa"/>
            <w:vAlign w:val="bottom"/>
            <w:gridSpan w:val="2"/>
          </w:tcPr>
          <w:p>
            <w:pPr>
              <w:ind w:left="180"/>
              <w:spacing w:after="0" w:line="149" w:lineRule="exact"/>
              <w:rPr>
                <w:sz w:val="20"/>
                <w:szCs w:val="20"/>
                <w:color w:val="auto"/>
              </w:rPr>
            </w:pPr>
            <w:r>
              <w:rPr>
                <w:rFonts w:ascii="Arial" w:cs="Arial" w:eastAsia="Arial" w:hAnsi="Arial"/>
                <w:sz w:val="14"/>
                <w:szCs w:val="14"/>
                <w:i w:val="1"/>
                <w:iCs w:val="1"/>
                <w:color w:val="auto"/>
              </w:rPr>
              <w:t>GasLog Winchester</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2021</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180,000</w:t>
            </w:r>
          </w:p>
        </w:tc>
        <w:tc>
          <w:tcPr>
            <w:tcW w:w="14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Cheniere</w:t>
            </w:r>
          </w:p>
        </w:tc>
        <w:tc>
          <w:tcPr>
            <w:tcW w:w="1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X-DF</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August 2028</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4"/>
              </w:rPr>
              <w:t xml:space="preserve">2031-2035 </w:t>
            </w:r>
            <w:r>
              <w:rPr>
                <w:rFonts w:ascii="Arial" w:cs="Arial" w:eastAsia="Arial" w:hAnsi="Arial"/>
                <w:sz w:val="10"/>
                <w:szCs w:val="10"/>
                <w:color w:val="auto"/>
                <w:w w:val="94"/>
              </w:rPr>
              <w:t>(10)</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13</w:t>
            </w:r>
          </w:p>
        </w:tc>
        <w:tc>
          <w:tcPr>
            <w:tcW w:w="20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GasLog Gladstone</w:t>
            </w:r>
          </w:p>
        </w:tc>
        <w:tc>
          <w:tcPr>
            <w:tcW w:w="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2019</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Shell</w:t>
            </w:r>
          </w:p>
        </w:tc>
        <w:tc>
          <w:tcPr>
            <w:tcW w:w="1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X-DF</w:t>
            </w:r>
          </w:p>
        </w:tc>
        <w:tc>
          <w:tcPr>
            <w:tcW w:w="11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January 2029</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xml:space="preserve">2032-2035 </w:t>
            </w:r>
            <w:r>
              <w:rPr>
                <w:rFonts w:ascii="Arial" w:cs="Arial" w:eastAsia="Arial" w:hAnsi="Arial"/>
                <w:sz w:val="10"/>
                <w:szCs w:val="10"/>
                <w:color w:val="auto"/>
                <w:w w:val="93"/>
              </w:rPr>
              <w:t>(8)</w:t>
            </w:r>
          </w:p>
        </w:tc>
        <w:tc>
          <w:tcPr>
            <w:tcW w:w="0" w:type="dxa"/>
            <w:vAlign w:val="bottom"/>
          </w:tcPr>
          <w:p>
            <w:pPr>
              <w:spacing w:after="0"/>
              <w:rPr>
                <w:sz w:val="1"/>
                <w:szCs w:val="1"/>
                <w:color w:val="auto"/>
              </w:rPr>
            </w:pPr>
          </w:p>
        </w:tc>
      </w:tr>
      <w:tr>
        <w:trPr>
          <w:trHeight w:val="148"/>
        </w:trPr>
        <w:tc>
          <w:tcPr>
            <w:tcW w:w="340" w:type="dxa"/>
            <w:vAlign w:val="bottom"/>
          </w:tcPr>
          <w:p>
            <w:pPr>
              <w:spacing w:after="0" w:line="149" w:lineRule="exact"/>
              <w:rPr>
                <w:sz w:val="20"/>
                <w:szCs w:val="20"/>
                <w:color w:val="auto"/>
              </w:rPr>
            </w:pPr>
            <w:r>
              <w:rPr>
                <w:rFonts w:ascii="Arial" w:cs="Arial" w:eastAsia="Arial" w:hAnsi="Arial"/>
                <w:sz w:val="14"/>
                <w:szCs w:val="14"/>
                <w:b w:val="1"/>
                <w:bCs w:val="1"/>
                <w:color w:val="auto"/>
              </w:rPr>
              <w:t>14</w:t>
            </w:r>
          </w:p>
        </w:tc>
        <w:tc>
          <w:tcPr>
            <w:tcW w:w="2000" w:type="dxa"/>
            <w:vAlign w:val="bottom"/>
            <w:gridSpan w:val="2"/>
          </w:tcPr>
          <w:p>
            <w:pPr>
              <w:ind w:left="180"/>
              <w:spacing w:after="0" w:line="149" w:lineRule="exact"/>
              <w:rPr>
                <w:sz w:val="20"/>
                <w:szCs w:val="20"/>
                <w:color w:val="auto"/>
              </w:rPr>
            </w:pPr>
            <w:r>
              <w:rPr>
                <w:rFonts w:ascii="Arial" w:cs="Arial" w:eastAsia="Arial" w:hAnsi="Arial"/>
                <w:sz w:val="14"/>
                <w:szCs w:val="14"/>
                <w:i w:val="1"/>
                <w:iCs w:val="1"/>
                <w:color w:val="auto"/>
              </w:rPr>
              <w:t>GasLog Warsaw</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2019</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180,000</w:t>
            </w:r>
          </w:p>
        </w:tc>
        <w:tc>
          <w:tcPr>
            <w:tcW w:w="14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 xml:space="preserve">Endesa </w:t>
            </w:r>
            <w:r>
              <w:rPr>
                <w:rFonts w:ascii="Arial" w:cs="Arial" w:eastAsia="Arial" w:hAnsi="Arial"/>
                <w:sz w:val="10"/>
                <w:szCs w:val="10"/>
                <w:color w:val="auto"/>
                <w:w w:val="92"/>
              </w:rPr>
              <w:t>(11)</w:t>
            </w:r>
          </w:p>
        </w:tc>
        <w:tc>
          <w:tcPr>
            <w:tcW w:w="1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X-DF</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May 2029</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4"/>
              </w:rPr>
              <w:t xml:space="preserve">2035-2041 </w:t>
            </w:r>
            <w:r>
              <w:rPr>
                <w:rFonts w:ascii="Arial" w:cs="Arial" w:eastAsia="Arial" w:hAnsi="Arial"/>
                <w:sz w:val="10"/>
                <w:szCs w:val="10"/>
                <w:color w:val="auto"/>
                <w:w w:val="94"/>
              </w:rPr>
              <w:t>(11)</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15</w:t>
            </w:r>
          </w:p>
        </w:tc>
        <w:tc>
          <w:tcPr>
            <w:tcW w:w="20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GasLog Wales</w:t>
            </w:r>
          </w:p>
        </w:tc>
        <w:tc>
          <w:tcPr>
            <w:tcW w:w="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2020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180,000</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7"/>
                <w:szCs w:val="17"/>
                <w:color w:val="auto"/>
                <w:vertAlign w:val="subscript"/>
              </w:rPr>
              <w:t>Jera</w:t>
            </w:r>
            <w:r>
              <w:rPr>
                <w:rFonts w:ascii="Arial" w:cs="Arial" w:eastAsia="Arial" w:hAnsi="Arial"/>
                <w:sz w:val="8"/>
                <w:szCs w:val="8"/>
                <w:color w:val="auto"/>
              </w:rPr>
              <w:t xml:space="preserve"> (12)</w:t>
            </w:r>
          </w:p>
        </w:tc>
        <w:tc>
          <w:tcPr>
            <w:tcW w:w="1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rPr>
              <w:t>X-DF</w:t>
            </w:r>
          </w:p>
        </w:tc>
        <w:tc>
          <w:tcPr>
            <w:tcW w:w="11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March 2032</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 xml:space="preserve">2035-2038 </w:t>
            </w:r>
            <w:r>
              <w:rPr>
                <w:rFonts w:ascii="Arial" w:cs="Arial" w:eastAsia="Arial" w:hAnsi="Arial"/>
                <w:sz w:val="10"/>
                <w:szCs w:val="10"/>
                <w:color w:val="auto"/>
                <w:w w:val="94"/>
              </w:rPr>
              <w:t>(12)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August 4, 2022, the Partnership’s owned fleet consisted of the following vessels: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Cargo</w:t>
            </w: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Charterer (for</w:t>
            </w: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Charter</w:t>
            </w: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0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Vessel Name</w:t>
            </w: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Capacity</w:t>
            </w: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contracts of more</w:t>
            </w:r>
          </w:p>
        </w:tc>
        <w:tc>
          <w:tcPr>
            <w:tcW w:w="1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Propulsion</w:t>
            </w:r>
          </w:p>
        </w:tc>
        <w:tc>
          <w:tcPr>
            <w:tcW w:w="110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Built</w:t>
            </w:r>
          </w:p>
        </w:tc>
        <w:tc>
          <w:tcPr>
            <w:tcW w:w="960" w:type="dxa"/>
            <w:vAlign w:val="bottom"/>
            <w:gridSpan w:val="2"/>
          </w:tcPr>
          <w:p>
            <w:pPr>
              <w:ind w:left="260"/>
              <w:spacing w:after="0"/>
              <w:rPr>
                <w:sz w:val="20"/>
                <w:szCs w:val="20"/>
                <w:color w:val="auto"/>
              </w:rPr>
            </w:pPr>
            <w:r>
              <w:rPr>
                <w:rFonts w:ascii="Arial" w:cs="Arial" w:eastAsia="Arial" w:hAnsi="Arial"/>
                <w:sz w:val="14"/>
                <w:szCs w:val="14"/>
                <w:b w:val="1"/>
                <w:bCs w:val="1"/>
                <w:color w:val="auto"/>
              </w:rPr>
              <w:t>(cbm)</w:t>
            </w: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than six months)</w:t>
            </w:r>
          </w:p>
        </w:tc>
        <w:tc>
          <w:tcPr>
            <w:tcW w:w="1840" w:type="dxa"/>
            <w:vAlign w:val="bottom"/>
            <w:gridSpan w:val="2"/>
            <w:vMerge w:val="continue"/>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Expiration</w:t>
            </w:r>
            <w:r>
              <w:rPr>
                <w:rFonts w:ascii="Arial" w:cs="Arial" w:eastAsia="Arial" w:hAnsi="Arial"/>
                <w:sz w:val="10"/>
                <w:szCs w:val="10"/>
                <w:b w:val="1"/>
                <w:bCs w:val="1"/>
                <w:color w:val="auto"/>
                <w:w w:val="99"/>
              </w:rPr>
              <w:t>(1)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r>
              <w:rPr>
                <w:rFonts w:ascii="Arial" w:cs="Arial" w:eastAsia="Arial" w:hAnsi="Arial"/>
                <w:sz w:val="10"/>
                <w:szCs w:val="10"/>
                <w:b w:val="1"/>
                <w:bCs w:val="1"/>
                <w:color w:val="auto"/>
                <w:w w:val="96"/>
              </w:rPr>
              <w:t>(2)</w:t>
            </w:r>
          </w:p>
        </w:tc>
        <w:tc>
          <w:tcPr>
            <w:tcW w:w="0" w:type="dxa"/>
            <w:vAlign w:val="bottom"/>
          </w:tcPr>
          <w:p>
            <w:pPr>
              <w:spacing w:after="0"/>
              <w:rPr>
                <w:sz w:val="1"/>
                <w:szCs w:val="1"/>
                <w:color w:val="auto"/>
              </w:rPr>
            </w:pPr>
          </w:p>
        </w:tc>
      </w:tr>
      <w:tr>
        <w:trPr>
          <w:trHeight w:val="142"/>
        </w:trPr>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1</w:t>
            </w:r>
          </w:p>
        </w:tc>
        <w:tc>
          <w:tcPr>
            <w:tcW w:w="184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i w:val="1"/>
                <w:iCs w:val="1"/>
                <w:color w:val="auto"/>
              </w:rPr>
              <w:t>Solaris</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rPr>
              <w:t>2014</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155,000</w:t>
            </w:r>
          </w:p>
        </w:tc>
        <w:tc>
          <w:tcPr>
            <w:tcW w:w="14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Spot Market</w:t>
            </w:r>
          </w:p>
        </w:tc>
        <w:tc>
          <w:tcPr>
            <w:tcW w:w="14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TFDE</w:t>
            </w:r>
          </w:p>
        </w:tc>
        <w:tc>
          <w:tcPr>
            <w:tcW w:w="1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340" w:type="dxa"/>
            <w:vAlign w:val="bottom"/>
          </w:tcPr>
          <w:p>
            <w:pPr>
              <w:spacing w:after="0" w:line="149" w:lineRule="exact"/>
              <w:rPr>
                <w:sz w:val="20"/>
                <w:szCs w:val="20"/>
                <w:color w:val="auto"/>
              </w:rPr>
            </w:pPr>
            <w:r>
              <w:rPr>
                <w:rFonts w:ascii="Arial" w:cs="Arial" w:eastAsia="Arial" w:hAnsi="Arial"/>
                <w:sz w:val="14"/>
                <w:szCs w:val="14"/>
                <w:b w:val="1"/>
                <w:bCs w:val="1"/>
                <w:color w:val="auto"/>
              </w:rPr>
              <w:t>2</w:t>
            </w:r>
          </w:p>
        </w:tc>
        <w:tc>
          <w:tcPr>
            <w:tcW w:w="200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Methane Heather Sally</w:t>
            </w:r>
          </w:p>
        </w:tc>
        <w:tc>
          <w:tcPr>
            <w:tcW w:w="800" w:type="dxa"/>
            <w:vAlign w:val="bottom"/>
          </w:tcPr>
          <w:p>
            <w:pPr>
              <w:ind w:left="260"/>
              <w:spacing w:after="0" w:line="149" w:lineRule="exact"/>
              <w:rPr>
                <w:sz w:val="20"/>
                <w:szCs w:val="20"/>
                <w:color w:val="auto"/>
              </w:rPr>
            </w:pPr>
            <w:r>
              <w:rPr>
                <w:rFonts w:ascii="Arial" w:cs="Arial" w:eastAsia="Arial" w:hAnsi="Arial"/>
                <w:sz w:val="14"/>
                <w:szCs w:val="14"/>
                <w:color w:val="auto"/>
              </w:rPr>
              <w:t>2007</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4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Spot Market</w:t>
            </w: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Steam</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9"/>
        </w:trPr>
        <w:tc>
          <w:tcPr>
            <w:tcW w:w="3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3</w:t>
            </w:r>
          </w:p>
        </w:tc>
        <w:tc>
          <w:tcPr>
            <w:tcW w:w="2000" w:type="dxa"/>
            <w:vAlign w:val="bottom"/>
            <w:gridSpan w:val="2"/>
            <w:shd w:val="clear" w:color="auto" w:fill="CCEEFF"/>
          </w:tcPr>
          <w:p>
            <w:pPr>
              <w:ind w:left="160"/>
              <w:spacing w:after="0" w:line="139" w:lineRule="exact"/>
              <w:rPr>
                <w:sz w:val="20"/>
                <w:szCs w:val="20"/>
                <w:color w:val="auto"/>
              </w:rPr>
            </w:pPr>
            <w:r>
              <w:rPr>
                <w:rFonts w:ascii="Arial" w:cs="Arial" w:eastAsia="Arial" w:hAnsi="Arial"/>
                <w:sz w:val="14"/>
                <w:szCs w:val="14"/>
                <w:i w:val="1"/>
                <w:iCs w:val="1"/>
                <w:color w:val="auto"/>
              </w:rPr>
              <w:t>Methane Shirley Elisabeth</w:t>
            </w:r>
          </w:p>
        </w:tc>
        <w:tc>
          <w:tcPr>
            <w:tcW w:w="8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rPr>
              <w:t>2007</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145,000</w:t>
            </w:r>
          </w:p>
        </w:tc>
        <w:tc>
          <w:tcPr>
            <w:tcW w:w="14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6"/>
              </w:rPr>
              <w:t xml:space="preserve">JOVO </w:t>
            </w:r>
            <w:r>
              <w:rPr>
                <w:rFonts w:ascii="Arial" w:cs="Arial" w:eastAsia="Arial" w:hAnsi="Arial"/>
                <w:sz w:val="10"/>
                <w:szCs w:val="10"/>
                <w:color w:val="auto"/>
                <w:w w:val="96"/>
              </w:rPr>
              <w:t>(14)</w:t>
            </w:r>
          </w:p>
        </w:tc>
        <w:tc>
          <w:tcPr>
            <w:tcW w:w="184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4"/>
                <w:szCs w:val="14"/>
                <w:color w:val="auto"/>
                <w:w w:val="88"/>
              </w:rPr>
              <w:t>Steam</w:t>
            </w:r>
          </w:p>
        </w:tc>
        <w:tc>
          <w:tcPr>
            <w:tcW w:w="11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1"/>
              </w:rPr>
              <w:t>August 2022</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1"/>
        </w:trPr>
        <w:tc>
          <w:tcPr>
            <w:tcW w:w="340" w:type="dxa"/>
            <w:vAlign w:val="bottom"/>
            <w:vMerge w:val="continue"/>
            <w:shd w:val="clear" w:color="auto" w:fill="CCEEFF"/>
          </w:tcPr>
          <w:p>
            <w:pPr>
              <w:spacing w:after="0"/>
              <w:rPr>
                <w:sz w:val="11"/>
                <w:szCs w:val="11"/>
                <w:color w:val="auto"/>
              </w:rPr>
            </w:pPr>
          </w:p>
        </w:tc>
        <w:tc>
          <w:tcPr>
            <w:tcW w:w="18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(13)</w:t>
            </w:r>
          </w:p>
        </w:tc>
        <w:tc>
          <w:tcPr>
            <w:tcW w:w="16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40" w:type="dxa"/>
            <w:vAlign w:val="bottom"/>
            <w:gridSpan w:val="2"/>
            <w:vMerge w:val="continue"/>
            <w:shd w:val="clear" w:color="auto" w:fill="CCEEFF"/>
          </w:tcPr>
          <w:p>
            <w:pPr>
              <w:spacing w:after="0"/>
              <w:rPr>
                <w:sz w:val="11"/>
                <w:szCs w:val="11"/>
                <w:color w:val="auto"/>
              </w:rPr>
            </w:pPr>
          </w:p>
        </w:tc>
        <w:tc>
          <w:tcPr>
            <w:tcW w:w="1840" w:type="dxa"/>
            <w:vAlign w:val="bottom"/>
            <w:gridSpan w:val="2"/>
            <w:vMerge w:val="continue"/>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line="149" w:lineRule="exact"/>
              <w:rPr>
                <w:sz w:val="20"/>
                <w:szCs w:val="20"/>
                <w:color w:val="auto"/>
              </w:rPr>
            </w:pPr>
            <w:r>
              <w:rPr>
                <w:rFonts w:ascii="Arial" w:cs="Arial" w:eastAsia="Arial" w:hAnsi="Arial"/>
                <w:sz w:val="14"/>
                <w:szCs w:val="14"/>
                <w:b w:val="1"/>
                <w:bCs w:val="1"/>
                <w:color w:val="auto"/>
              </w:rPr>
              <w:t>4</w:t>
            </w:r>
          </w:p>
        </w:tc>
        <w:tc>
          <w:tcPr>
            <w:tcW w:w="200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GasLog Santiago</w:t>
            </w:r>
          </w:p>
        </w:tc>
        <w:tc>
          <w:tcPr>
            <w:tcW w:w="800" w:type="dxa"/>
            <w:vAlign w:val="bottom"/>
          </w:tcPr>
          <w:p>
            <w:pPr>
              <w:ind w:left="260"/>
              <w:spacing w:after="0" w:line="149" w:lineRule="exact"/>
              <w:rPr>
                <w:sz w:val="20"/>
                <w:szCs w:val="20"/>
                <w:color w:val="auto"/>
              </w:rPr>
            </w:pPr>
            <w:r>
              <w:rPr>
                <w:rFonts w:ascii="Arial" w:cs="Arial" w:eastAsia="Arial" w:hAnsi="Arial"/>
                <w:sz w:val="14"/>
                <w:szCs w:val="14"/>
                <w:color w:val="auto"/>
              </w:rPr>
              <w:t>2013</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40" w:type="dxa"/>
            <w:vAlign w:val="bottom"/>
          </w:tcPr>
          <w:p>
            <w:pPr>
              <w:spacing w:after="0"/>
              <w:rPr>
                <w:sz w:val="12"/>
                <w:szCs w:val="12"/>
                <w:color w:val="auto"/>
              </w:rPr>
            </w:pP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 xml:space="preserve">Trafigura </w:t>
            </w:r>
            <w:r>
              <w:rPr>
                <w:rFonts w:ascii="Arial" w:cs="Arial" w:eastAsia="Arial" w:hAnsi="Arial"/>
                <w:sz w:val="10"/>
                <w:szCs w:val="10"/>
                <w:color w:val="auto"/>
                <w:w w:val="95"/>
              </w:rPr>
              <w:t>(15)</w:t>
            </w: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TFDE</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December 2022</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2023–2028 </w:t>
            </w:r>
            <w:r>
              <w:rPr>
                <w:rFonts w:ascii="Arial" w:cs="Arial" w:eastAsia="Arial" w:hAnsi="Arial"/>
                <w:sz w:val="10"/>
                <w:szCs w:val="10"/>
                <w:color w:val="auto"/>
                <w:w w:val="93"/>
              </w:rPr>
              <w:t>(15)</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5</w:t>
            </w:r>
          </w:p>
        </w:tc>
        <w:tc>
          <w:tcPr>
            <w:tcW w:w="20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Methane Jane Elizabeth</w:t>
            </w: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2006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Cheniere</w:t>
            </w: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Steam</w:t>
            </w:r>
          </w:p>
        </w:tc>
        <w:tc>
          <w:tcPr>
            <w:tcW w:w="110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March 2023</w:t>
            </w: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 xml:space="preserve">2024-2025 </w:t>
            </w:r>
            <w:r>
              <w:rPr>
                <w:rFonts w:ascii="Arial" w:cs="Arial" w:eastAsia="Arial" w:hAnsi="Arial"/>
                <w:sz w:val="10"/>
                <w:szCs w:val="10"/>
                <w:color w:val="auto"/>
                <w:w w:val="94"/>
              </w:rPr>
              <w:t>(10)</w:t>
            </w:r>
          </w:p>
        </w:tc>
        <w:tc>
          <w:tcPr>
            <w:tcW w:w="0" w:type="dxa"/>
            <w:vAlign w:val="bottom"/>
          </w:tcPr>
          <w:p>
            <w:pPr>
              <w:spacing w:after="0"/>
              <w:rPr>
                <w:sz w:val="1"/>
                <w:szCs w:val="1"/>
                <w:color w:val="auto"/>
              </w:rPr>
            </w:pPr>
          </w:p>
        </w:tc>
      </w:tr>
      <w:tr>
        <w:trPr>
          <w:trHeight w:val="149"/>
        </w:trPr>
        <w:tc>
          <w:tcPr>
            <w:tcW w:w="340" w:type="dxa"/>
            <w:vAlign w:val="bottom"/>
          </w:tcPr>
          <w:p>
            <w:pPr>
              <w:spacing w:after="0" w:line="149" w:lineRule="exact"/>
              <w:rPr>
                <w:sz w:val="20"/>
                <w:szCs w:val="20"/>
                <w:color w:val="auto"/>
              </w:rPr>
            </w:pPr>
            <w:r>
              <w:rPr>
                <w:rFonts w:ascii="Arial" w:cs="Arial" w:eastAsia="Arial" w:hAnsi="Arial"/>
                <w:sz w:val="14"/>
                <w:szCs w:val="14"/>
                <w:b w:val="1"/>
                <w:bCs w:val="1"/>
                <w:color w:val="auto"/>
              </w:rPr>
              <w:t>6</w:t>
            </w:r>
          </w:p>
        </w:tc>
        <w:tc>
          <w:tcPr>
            <w:tcW w:w="200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GasLog Seattle</w:t>
            </w:r>
          </w:p>
        </w:tc>
        <w:tc>
          <w:tcPr>
            <w:tcW w:w="800" w:type="dxa"/>
            <w:vAlign w:val="bottom"/>
          </w:tcPr>
          <w:p>
            <w:pPr>
              <w:ind w:left="260"/>
              <w:spacing w:after="0" w:line="149" w:lineRule="exact"/>
              <w:rPr>
                <w:sz w:val="20"/>
                <w:szCs w:val="20"/>
                <w:color w:val="auto"/>
              </w:rPr>
            </w:pPr>
            <w:r>
              <w:rPr>
                <w:rFonts w:ascii="Arial" w:cs="Arial" w:eastAsia="Arial" w:hAnsi="Arial"/>
                <w:sz w:val="14"/>
                <w:szCs w:val="14"/>
                <w:color w:val="auto"/>
              </w:rPr>
              <w:t>2013</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4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Major Trading House</w:t>
            </w: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TFDE</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March 2023</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7</w:t>
            </w:r>
          </w:p>
        </w:tc>
        <w:tc>
          <w:tcPr>
            <w:tcW w:w="20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GasLog Sydney</w:t>
            </w: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2013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8"/>
              </w:rPr>
              <w:t xml:space="preserve">Naturgy </w:t>
            </w:r>
            <w:r>
              <w:rPr>
                <w:rFonts w:ascii="Arial" w:cs="Arial" w:eastAsia="Arial" w:hAnsi="Arial"/>
                <w:sz w:val="10"/>
                <w:szCs w:val="10"/>
                <w:color w:val="auto"/>
                <w:w w:val="98"/>
              </w:rPr>
              <w:t>(16)</w:t>
            </w: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8"/>
              </w:rPr>
              <w:t>TFDE</w:t>
            </w:r>
          </w:p>
        </w:tc>
        <w:tc>
          <w:tcPr>
            <w:tcW w:w="110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rPr>
              <w:t>April 2023</w:t>
            </w: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3"/>
        </w:trPr>
        <w:tc>
          <w:tcPr>
            <w:tcW w:w="340" w:type="dxa"/>
            <w:vAlign w:val="bottom"/>
          </w:tcPr>
          <w:p>
            <w:pPr>
              <w:spacing w:after="0" w:line="143" w:lineRule="exact"/>
              <w:rPr>
                <w:sz w:val="20"/>
                <w:szCs w:val="20"/>
                <w:color w:val="auto"/>
              </w:rPr>
            </w:pPr>
            <w:r>
              <w:rPr>
                <w:rFonts w:ascii="Arial" w:cs="Arial" w:eastAsia="Arial" w:hAnsi="Arial"/>
                <w:sz w:val="14"/>
                <w:szCs w:val="14"/>
                <w:b w:val="1"/>
                <w:bCs w:val="1"/>
                <w:color w:val="auto"/>
              </w:rPr>
              <w:t>8</w:t>
            </w:r>
          </w:p>
        </w:tc>
        <w:tc>
          <w:tcPr>
            <w:tcW w:w="2000" w:type="dxa"/>
            <w:vAlign w:val="bottom"/>
            <w:gridSpan w:val="2"/>
          </w:tcPr>
          <w:p>
            <w:pPr>
              <w:ind w:left="160"/>
              <w:spacing w:after="0" w:line="143" w:lineRule="exact"/>
              <w:rPr>
                <w:sz w:val="20"/>
                <w:szCs w:val="20"/>
                <w:color w:val="auto"/>
              </w:rPr>
            </w:pPr>
            <w:r>
              <w:rPr>
                <w:rFonts w:ascii="Arial" w:cs="Arial" w:eastAsia="Arial" w:hAnsi="Arial"/>
                <w:sz w:val="14"/>
                <w:szCs w:val="14"/>
                <w:i w:val="1"/>
                <w:iCs w:val="1"/>
                <w:color w:val="auto"/>
              </w:rPr>
              <w:t>Methane Rita Andrea</w:t>
            </w:r>
          </w:p>
        </w:tc>
        <w:tc>
          <w:tcPr>
            <w:tcW w:w="800" w:type="dxa"/>
            <w:vAlign w:val="bottom"/>
          </w:tcPr>
          <w:p>
            <w:pPr>
              <w:ind w:left="260"/>
              <w:spacing w:after="0" w:line="143" w:lineRule="exact"/>
              <w:rPr>
                <w:sz w:val="20"/>
                <w:szCs w:val="20"/>
                <w:color w:val="auto"/>
              </w:rPr>
            </w:pPr>
            <w:r>
              <w:rPr>
                <w:rFonts w:ascii="Arial" w:cs="Arial" w:eastAsia="Arial" w:hAnsi="Arial"/>
                <w:sz w:val="14"/>
                <w:szCs w:val="14"/>
                <w:color w:val="auto"/>
              </w:rPr>
              <w:t>2006</w:t>
            </w:r>
          </w:p>
        </w:tc>
        <w:tc>
          <w:tcPr>
            <w:tcW w:w="1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4"/>
                <w:szCs w:val="14"/>
                <w:color w:val="auto"/>
                <w:w w:val="90"/>
              </w:rPr>
              <w:t>145,000</w:t>
            </w:r>
          </w:p>
        </w:tc>
        <w:tc>
          <w:tcPr>
            <w:tcW w:w="140" w:type="dxa"/>
            <w:vAlign w:val="bottom"/>
          </w:tcPr>
          <w:p>
            <w:pPr>
              <w:spacing w:after="0"/>
              <w:rPr>
                <w:sz w:val="12"/>
                <w:szCs w:val="12"/>
                <w:color w:val="auto"/>
              </w:rPr>
            </w:pPr>
          </w:p>
        </w:tc>
        <w:tc>
          <w:tcPr>
            <w:tcW w:w="1840" w:type="dxa"/>
            <w:vAlign w:val="bottom"/>
            <w:gridSpan w:val="2"/>
          </w:tcPr>
          <w:p>
            <w:pPr>
              <w:jc w:val="center"/>
              <w:ind w:right="140"/>
              <w:spacing w:after="0" w:line="143" w:lineRule="exact"/>
              <w:rPr>
                <w:sz w:val="20"/>
                <w:szCs w:val="20"/>
                <w:color w:val="auto"/>
              </w:rPr>
            </w:pPr>
            <w:r>
              <w:rPr>
                <w:rFonts w:ascii="Arial" w:cs="Arial" w:eastAsia="Arial" w:hAnsi="Arial"/>
                <w:sz w:val="14"/>
                <w:szCs w:val="14"/>
                <w:color w:val="auto"/>
                <w:w w:val="97"/>
              </w:rPr>
              <w:t xml:space="preserve">Gunvor </w:t>
            </w:r>
            <w:r>
              <w:rPr>
                <w:rFonts w:ascii="Arial" w:cs="Arial" w:eastAsia="Arial" w:hAnsi="Arial"/>
                <w:sz w:val="10"/>
                <w:szCs w:val="10"/>
                <w:color w:val="auto"/>
                <w:w w:val="97"/>
              </w:rPr>
              <w:t>(17)</w:t>
            </w:r>
          </w:p>
        </w:tc>
        <w:tc>
          <w:tcPr>
            <w:tcW w:w="1840" w:type="dxa"/>
            <w:vAlign w:val="bottom"/>
            <w:gridSpan w:val="2"/>
          </w:tcPr>
          <w:p>
            <w:pPr>
              <w:jc w:val="center"/>
              <w:ind w:right="160"/>
              <w:spacing w:after="0" w:line="143" w:lineRule="exact"/>
              <w:rPr>
                <w:sz w:val="20"/>
                <w:szCs w:val="20"/>
                <w:color w:val="auto"/>
              </w:rPr>
            </w:pPr>
            <w:r>
              <w:rPr>
                <w:rFonts w:ascii="Arial" w:cs="Arial" w:eastAsia="Arial" w:hAnsi="Arial"/>
                <w:sz w:val="14"/>
                <w:szCs w:val="14"/>
                <w:color w:val="auto"/>
                <w:w w:val="88"/>
              </w:rPr>
              <w:t>Steam</w:t>
            </w:r>
          </w:p>
        </w:tc>
        <w:tc>
          <w:tcPr>
            <w:tcW w:w="1100" w:type="dxa"/>
            <w:vAlign w:val="bottom"/>
            <w:gridSpan w:val="2"/>
          </w:tcPr>
          <w:p>
            <w:pPr>
              <w:jc w:val="center"/>
              <w:ind w:right="140"/>
              <w:spacing w:after="0" w:line="143" w:lineRule="exact"/>
              <w:rPr>
                <w:sz w:val="20"/>
                <w:szCs w:val="20"/>
                <w:color w:val="auto"/>
              </w:rPr>
            </w:pPr>
            <w:r>
              <w:rPr>
                <w:rFonts w:ascii="Arial" w:cs="Arial" w:eastAsia="Arial" w:hAnsi="Arial"/>
                <w:sz w:val="14"/>
                <w:szCs w:val="14"/>
                <w:color w:val="auto"/>
                <w:w w:val="94"/>
              </w:rPr>
              <w:t>October 2022</w:t>
            </w:r>
          </w:p>
        </w:tc>
        <w:tc>
          <w:tcPr>
            <w:tcW w:w="900" w:type="dxa"/>
            <w:vAlign w:val="bottom"/>
          </w:tcPr>
          <w:p>
            <w:pPr>
              <w:jc w:val="center"/>
              <w:spacing w:after="0" w:line="14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 xml:space="preserve">Energy Major </w:t>
            </w:r>
            <w:r>
              <w:rPr>
                <w:rFonts w:ascii="Arial" w:cs="Arial" w:eastAsia="Arial" w:hAnsi="Arial"/>
                <w:sz w:val="10"/>
                <w:szCs w:val="10"/>
                <w:color w:val="auto"/>
                <w:w w:val="97"/>
              </w:rPr>
              <w:t>(18)</w:t>
            </w: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October 2023</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9</w:t>
            </w:r>
          </w:p>
        </w:tc>
        <w:tc>
          <w:tcPr>
            <w:tcW w:w="20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GasLog Geneva</w:t>
            </w: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2016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6"/>
              </w:rPr>
              <w:t>Shell</w:t>
            </w: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8"/>
              </w:rPr>
              <w:t>TFDE</w:t>
            </w:r>
          </w:p>
        </w:tc>
        <w:tc>
          <w:tcPr>
            <w:tcW w:w="110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8"/>
              </w:rPr>
              <w:t>September 2023</w:t>
            </w: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xml:space="preserve">2028-2031 </w:t>
            </w:r>
            <w:r>
              <w:rPr>
                <w:rFonts w:ascii="Arial" w:cs="Arial" w:eastAsia="Arial" w:hAnsi="Arial"/>
                <w:sz w:val="10"/>
                <w:szCs w:val="10"/>
                <w:color w:val="auto"/>
                <w:w w:val="93"/>
              </w:rPr>
              <w:t>(8)</w:t>
            </w:r>
          </w:p>
        </w:tc>
        <w:tc>
          <w:tcPr>
            <w:tcW w:w="0" w:type="dxa"/>
            <w:vAlign w:val="bottom"/>
          </w:tcPr>
          <w:p>
            <w:pPr>
              <w:spacing w:after="0"/>
              <w:rPr>
                <w:sz w:val="1"/>
                <w:szCs w:val="1"/>
                <w:color w:val="auto"/>
              </w:rPr>
            </w:pPr>
          </w:p>
        </w:tc>
      </w:tr>
      <w:tr>
        <w:trPr>
          <w:trHeight w:val="148"/>
        </w:trPr>
        <w:tc>
          <w:tcPr>
            <w:tcW w:w="340" w:type="dxa"/>
            <w:vAlign w:val="bottom"/>
          </w:tcPr>
          <w:p>
            <w:pPr>
              <w:spacing w:after="0" w:line="149" w:lineRule="exact"/>
              <w:rPr>
                <w:sz w:val="20"/>
                <w:szCs w:val="20"/>
                <w:color w:val="auto"/>
              </w:rPr>
            </w:pPr>
            <w:r>
              <w:rPr>
                <w:rFonts w:ascii="Arial" w:cs="Arial" w:eastAsia="Arial" w:hAnsi="Arial"/>
                <w:sz w:val="14"/>
                <w:szCs w:val="14"/>
                <w:b w:val="1"/>
                <w:bCs w:val="1"/>
                <w:color w:val="auto"/>
              </w:rPr>
              <w:t>10</w:t>
            </w:r>
          </w:p>
        </w:tc>
        <w:tc>
          <w:tcPr>
            <w:tcW w:w="200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Methane Alison Victoria</w:t>
            </w:r>
          </w:p>
        </w:tc>
        <w:tc>
          <w:tcPr>
            <w:tcW w:w="800" w:type="dxa"/>
            <w:vAlign w:val="bottom"/>
          </w:tcPr>
          <w:p>
            <w:pPr>
              <w:ind w:left="260"/>
              <w:spacing w:after="0" w:line="149" w:lineRule="exact"/>
              <w:rPr>
                <w:sz w:val="20"/>
                <w:szCs w:val="20"/>
                <w:color w:val="auto"/>
              </w:rPr>
            </w:pPr>
            <w:r>
              <w:rPr>
                <w:rFonts w:ascii="Arial" w:cs="Arial" w:eastAsia="Arial" w:hAnsi="Arial"/>
                <w:sz w:val="14"/>
                <w:szCs w:val="14"/>
                <w:color w:val="auto"/>
              </w:rPr>
              <w:t>2007</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40" w:type="dxa"/>
            <w:vAlign w:val="bottom"/>
          </w:tcPr>
          <w:p>
            <w:pPr>
              <w:spacing w:after="0"/>
              <w:rPr>
                <w:sz w:val="12"/>
                <w:szCs w:val="12"/>
                <w:color w:val="auto"/>
              </w:rPr>
            </w:pP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7"/>
              </w:rPr>
              <w:t xml:space="preserve">CNTIC VPower </w:t>
            </w:r>
            <w:r>
              <w:rPr>
                <w:rFonts w:ascii="Arial" w:cs="Arial" w:eastAsia="Arial" w:hAnsi="Arial"/>
                <w:sz w:val="10"/>
                <w:szCs w:val="10"/>
                <w:color w:val="auto"/>
                <w:w w:val="97"/>
              </w:rPr>
              <w:t>(19)</w:t>
            </w: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Steam</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October 2023</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 xml:space="preserve">2024-2025 </w:t>
            </w:r>
            <w:r>
              <w:rPr>
                <w:rFonts w:ascii="Arial" w:cs="Arial" w:eastAsia="Arial" w:hAnsi="Arial"/>
                <w:sz w:val="10"/>
                <w:szCs w:val="10"/>
                <w:color w:val="auto"/>
                <w:w w:val="94"/>
              </w:rPr>
              <w:t>(19)</w:t>
            </w: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11</w:t>
            </w:r>
          </w:p>
        </w:tc>
        <w:tc>
          <w:tcPr>
            <w:tcW w:w="20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GasLog Gibraltar</w:t>
            </w: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2016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6"/>
              </w:rPr>
              <w:t>Shell</w:t>
            </w: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8"/>
              </w:rPr>
              <w:t>TFDE</w:t>
            </w:r>
          </w:p>
        </w:tc>
        <w:tc>
          <w:tcPr>
            <w:tcW w:w="110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4"/>
              </w:rPr>
              <w:t>October 2023</w:t>
            </w: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xml:space="preserve">2028-2031 </w:t>
            </w:r>
            <w:r>
              <w:rPr>
                <w:rFonts w:ascii="Arial" w:cs="Arial" w:eastAsia="Arial" w:hAnsi="Arial"/>
                <w:sz w:val="10"/>
                <w:szCs w:val="10"/>
                <w:color w:val="auto"/>
                <w:w w:val="93"/>
              </w:rPr>
              <w:t>(8)</w:t>
            </w:r>
          </w:p>
        </w:tc>
        <w:tc>
          <w:tcPr>
            <w:tcW w:w="0" w:type="dxa"/>
            <w:vAlign w:val="bottom"/>
          </w:tcPr>
          <w:p>
            <w:pPr>
              <w:spacing w:after="0"/>
              <w:rPr>
                <w:sz w:val="1"/>
                <w:szCs w:val="1"/>
                <w:color w:val="auto"/>
              </w:rPr>
            </w:pPr>
          </w:p>
        </w:tc>
      </w:tr>
      <w:tr>
        <w:trPr>
          <w:trHeight w:val="148"/>
        </w:trPr>
        <w:tc>
          <w:tcPr>
            <w:tcW w:w="340" w:type="dxa"/>
            <w:vAlign w:val="bottom"/>
          </w:tcPr>
          <w:p>
            <w:pPr>
              <w:spacing w:after="0" w:line="149" w:lineRule="exact"/>
              <w:rPr>
                <w:sz w:val="20"/>
                <w:szCs w:val="20"/>
                <w:color w:val="auto"/>
              </w:rPr>
            </w:pPr>
            <w:r>
              <w:rPr>
                <w:rFonts w:ascii="Arial" w:cs="Arial" w:eastAsia="Arial" w:hAnsi="Arial"/>
                <w:sz w:val="14"/>
                <w:szCs w:val="14"/>
                <w:b w:val="1"/>
                <w:bCs w:val="1"/>
                <w:color w:val="auto"/>
              </w:rPr>
              <w:t>12</w:t>
            </w:r>
          </w:p>
        </w:tc>
        <w:tc>
          <w:tcPr>
            <w:tcW w:w="200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Methane Becki Anne</w:t>
            </w:r>
          </w:p>
        </w:tc>
        <w:tc>
          <w:tcPr>
            <w:tcW w:w="800" w:type="dxa"/>
            <w:vAlign w:val="bottom"/>
          </w:tcPr>
          <w:p>
            <w:pPr>
              <w:ind w:left="260"/>
              <w:spacing w:after="0" w:line="149" w:lineRule="exact"/>
              <w:rPr>
                <w:sz w:val="20"/>
                <w:szCs w:val="20"/>
                <w:color w:val="auto"/>
              </w:rPr>
            </w:pPr>
            <w:r>
              <w:rPr>
                <w:rFonts w:ascii="Arial" w:cs="Arial" w:eastAsia="Arial" w:hAnsi="Arial"/>
                <w:sz w:val="14"/>
                <w:szCs w:val="14"/>
                <w:color w:val="auto"/>
              </w:rPr>
              <w:t>2010</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170,000</w:t>
            </w:r>
          </w:p>
        </w:tc>
        <w:tc>
          <w:tcPr>
            <w:tcW w:w="140" w:type="dxa"/>
            <w:vAlign w:val="bottom"/>
          </w:tcPr>
          <w:p>
            <w:pPr>
              <w:spacing w:after="0"/>
              <w:rPr>
                <w:sz w:val="12"/>
                <w:szCs w:val="12"/>
                <w:color w:val="auto"/>
              </w:rPr>
            </w:pP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Shell</w:t>
            </w: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TFDE</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March 2024</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2027-2029 </w:t>
            </w:r>
            <w:r>
              <w:rPr>
                <w:rFonts w:ascii="Arial" w:cs="Arial" w:eastAsia="Arial" w:hAnsi="Arial"/>
                <w:sz w:val="10"/>
                <w:szCs w:val="10"/>
                <w:color w:val="auto"/>
                <w:w w:val="93"/>
              </w:rPr>
              <w:t>(8)</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13</w:t>
            </w:r>
          </w:p>
        </w:tc>
        <w:tc>
          <w:tcPr>
            <w:tcW w:w="20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GasLog Greece</w:t>
            </w: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2016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4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6"/>
              </w:rPr>
              <w:t>Shell</w:t>
            </w: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8"/>
              </w:rPr>
              <w:t>TFDE</w:t>
            </w:r>
          </w:p>
        </w:tc>
        <w:tc>
          <w:tcPr>
            <w:tcW w:w="110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March 2026</w:t>
            </w: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 xml:space="preserve">2031 </w:t>
            </w:r>
            <w:r>
              <w:rPr>
                <w:rFonts w:ascii="Arial" w:cs="Arial" w:eastAsia="Arial" w:hAnsi="Arial"/>
                <w:sz w:val="10"/>
                <w:szCs w:val="10"/>
                <w:color w:val="auto"/>
                <w:w w:val="97"/>
              </w:rPr>
              <w:t>(8)</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20"/>
                <w:szCs w:val="20"/>
                <w:color w:val="auto"/>
              </w:rPr>
            </w:pPr>
            <w:r>
              <w:rPr>
                <w:rFonts w:ascii="Arial" w:cs="Arial" w:eastAsia="Arial" w:hAnsi="Arial"/>
                <w:sz w:val="14"/>
                <w:szCs w:val="14"/>
                <w:b w:val="1"/>
                <w:bCs w:val="1"/>
                <w:color w:val="auto"/>
              </w:rPr>
              <w:t>14</w:t>
            </w:r>
          </w:p>
        </w:tc>
        <w:tc>
          <w:tcPr>
            <w:tcW w:w="2000" w:type="dxa"/>
            <w:vAlign w:val="bottom"/>
            <w:gridSpan w:val="2"/>
          </w:tcPr>
          <w:p>
            <w:pPr>
              <w:ind w:left="160"/>
              <w:spacing w:after="0"/>
              <w:rPr>
                <w:sz w:val="20"/>
                <w:szCs w:val="20"/>
                <w:color w:val="auto"/>
              </w:rPr>
            </w:pPr>
            <w:r>
              <w:rPr>
                <w:rFonts w:ascii="Arial" w:cs="Arial" w:eastAsia="Arial" w:hAnsi="Arial"/>
                <w:sz w:val="14"/>
                <w:szCs w:val="14"/>
                <w:i w:val="1"/>
                <w:iCs w:val="1"/>
                <w:color w:val="auto"/>
              </w:rPr>
              <w:t>GasLog Glasgow</w:t>
            </w:r>
          </w:p>
        </w:tc>
        <w:tc>
          <w:tcPr>
            <w:tcW w:w="800" w:type="dxa"/>
            <w:vAlign w:val="bottom"/>
          </w:tcPr>
          <w:p>
            <w:pPr>
              <w:ind w:left="260"/>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174,000</w:t>
            </w:r>
          </w:p>
        </w:tc>
        <w:tc>
          <w:tcPr>
            <w:tcW w:w="140" w:type="dxa"/>
            <w:vAlign w:val="bottom"/>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Shell</w:t>
            </w: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TFDE</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June 2026</w:t>
            </w:r>
          </w:p>
        </w:tc>
        <w:tc>
          <w:tcPr>
            <w:tcW w:w="900" w:type="dxa"/>
            <w:vAlign w:val="bottom"/>
          </w:tcPr>
          <w:p>
            <w:pPr>
              <w:jc w:val="center"/>
              <w:spacing w:after="0"/>
              <w:rPr>
                <w:sz w:val="20"/>
                <w:szCs w:val="20"/>
                <w:color w:val="auto"/>
              </w:rPr>
            </w:pPr>
            <w:r>
              <w:rPr>
                <w:rFonts w:ascii="Arial" w:cs="Arial" w:eastAsia="Arial" w:hAnsi="Arial"/>
                <w:sz w:val="14"/>
                <w:szCs w:val="14"/>
                <w:color w:val="auto"/>
                <w:w w:val="97"/>
              </w:rPr>
              <w:t xml:space="preserve">2031 </w:t>
            </w:r>
            <w:r>
              <w:rPr>
                <w:rFonts w:ascii="Arial" w:cs="Arial" w:eastAsia="Arial" w:hAnsi="Arial"/>
                <w:sz w:val="10"/>
                <w:szCs w:val="10"/>
                <w:color w:val="auto"/>
                <w:w w:val="97"/>
              </w:rPr>
              <w:t>(8)</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Bareboat Vessels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August 4, 2022, our bareboat fleet consisted of the following vessels: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Cargo</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Charterer (for</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Charter</w:t>
            </w: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Vessel Name</w:t>
            </w: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Capacity</w:t>
            </w:r>
          </w:p>
        </w:tc>
        <w:tc>
          <w:tcPr>
            <w:tcW w:w="1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contracts of more</w:t>
            </w:r>
          </w:p>
        </w:tc>
        <w:tc>
          <w:tcPr>
            <w:tcW w:w="1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Propulsion</w:t>
            </w:r>
          </w:p>
        </w:tc>
        <w:tc>
          <w:tcPr>
            <w:tcW w:w="11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Built</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(cbm)</w:t>
            </w: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than six months)</w:t>
            </w:r>
          </w:p>
        </w:tc>
        <w:tc>
          <w:tcPr>
            <w:tcW w:w="1840" w:type="dxa"/>
            <w:vAlign w:val="bottom"/>
            <w:gridSpan w:val="2"/>
            <w:vMerge w:val="continue"/>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Expiration</w:t>
            </w:r>
            <w:r>
              <w:rPr>
                <w:rFonts w:ascii="Arial" w:cs="Arial" w:eastAsia="Arial" w:hAnsi="Arial"/>
                <w:sz w:val="10"/>
                <w:szCs w:val="10"/>
                <w:b w:val="1"/>
                <w:bCs w:val="1"/>
                <w:color w:val="auto"/>
                <w:w w:val="99"/>
              </w:rPr>
              <w:t>(1)</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r>
              <w:rPr>
                <w:rFonts w:ascii="Arial" w:cs="Arial" w:eastAsia="Arial" w:hAnsi="Arial"/>
                <w:sz w:val="10"/>
                <w:szCs w:val="10"/>
                <w:b w:val="1"/>
                <w:bCs w:val="1"/>
                <w:color w:val="auto"/>
                <w:w w:val="93"/>
              </w:rPr>
              <w:t>(2)</w:t>
            </w:r>
          </w:p>
        </w:tc>
        <w:tc>
          <w:tcPr>
            <w:tcW w:w="0" w:type="dxa"/>
            <w:vAlign w:val="bottom"/>
          </w:tcPr>
          <w:p>
            <w:pPr>
              <w:spacing w:after="0"/>
              <w:rPr>
                <w:sz w:val="1"/>
                <w:szCs w:val="1"/>
                <w:color w:val="auto"/>
              </w:rPr>
            </w:pPr>
          </w:p>
        </w:tc>
      </w:tr>
      <w:tr>
        <w:trPr>
          <w:trHeight w:val="142"/>
        </w:trPr>
        <w:tc>
          <w:tcPr>
            <w:tcW w:w="30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1</w:t>
            </w:r>
          </w:p>
        </w:tc>
        <w:tc>
          <w:tcPr>
            <w:tcW w:w="1880" w:type="dxa"/>
            <w:vAlign w:val="bottom"/>
            <w:tcBorders>
              <w:top w:val="single" w:sz="8" w:color="auto"/>
            </w:tcBorders>
            <w:shd w:val="clear" w:color="auto" w:fill="CCEEFF"/>
          </w:tcPr>
          <w:p>
            <w:pPr>
              <w:ind w:left="200"/>
              <w:spacing w:after="0" w:line="142" w:lineRule="exact"/>
              <w:rPr>
                <w:sz w:val="20"/>
                <w:szCs w:val="20"/>
                <w:color w:val="auto"/>
              </w:rPr>
            </w:pPr>
            <w:r>
              <w:rPr>
                <w:rFonts w:ascii="Arial" w:cs="Arial" w:eastAsia="Arial" w:hAnsi="Arial"/>
                <w:sz w:val="14"/>
                <w:szCs w:val="14"/>
                <w:i w:val="1"/>
                <w:iCs w:val="1"/>
                <w:color w:val="auto"/>
              </w:rPr>
              <w:t xml:space="preserve">GasLog Skagen </w:t>
            </w:r>
            <w:r>
              <w:rPr>
                <w:rFonts w:ascii="Arial" w:cs="Arial" w:eastAsia="Arial" w:hAnsi="Arial"/>
                <w:sz w:val="10"/>
                <w:szCs w:val="10"/>
                <w:i w:val="1"/>
                <w:iCs w:val="1"/>
                <w:color w:val="auto"/>
              </w:rPr>
              <w:t>(20)</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rPr>
              <w:t>2013</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155,000</w:t>
            </w:r>
          </w:p>
        </w:tc>
        <w:tc>
          <w:tcPr>
            <w:tcW w:w="16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 xml:space="preserve">Chevron </w:t>
            </w:r>
            <w:r>
              <w:rPr>
                <w:rFonts w:ascii="Arial" w:cs="Arial" w:eastAsia="Arial" w:hAnsi="Arial"/>
                <w:sz w:val="10"/>
                <w:szCs w:val="10"/>
                <w:color w:val="auto"/>
                <w:w w:val="93"/>
              </w:rPr>
              <w:t>(21)</w:t>
            </w:r>
          </w:p>
        </w:tc>
        <w:tc>
          <w:tcPr>
            <w:tcW w:w="16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TFDE</w:t>
            </w: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September 2022</w:t>
            </w: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w w:val="76"/>
              </w:rPr>
              <w:t>2</w:t>
            </w:r>
          </w:p>
        </w:tc>
        <w:tc>
          <w:tcPr>
            <w:tcW w:w="2040" w:type="dxa"/>
            <w:vAlign w:val="bottom"/>
            <w:gridSpan w:val="2"/>
          </w:tcPr>
          <w:p>
            <w:pPr>
              <w:ind w:left="200"/>
              <w:spacing w:after="0" w:line="149" w:lineRule="exact"/>
              <w:rPr>
                <w:sz w:val="20"/>
                <w:szCs w:val="20"/>
                <w:color w:val="auto"/>
              </w:rPr>
            </w:pPr>
            <w:r>
              <w:rPr>
                <w:rFonts w:ascii="Arial" w:cs="Arial" w:eastAsia="Arial" w:hAnsi="Arial"/>
                <w:sz w:val="14"/>
                <w:szCs w:val="14"/>
                <w:i w:val="1"/>
                <w:iCs w:val="1"/>
                <w:color w:val="auto"/>
              </w:rPr>
              <w:t xml:space="preserve">GasLog Salem </w:t>
            </w:r>
            <w:r>
              <w:rPr>
                <w:rFonts w:ascii="Arial" w:cs="Arial" w:eastAsia="Arial" w:hAnsi="Arial"/>
                <w:sz w:val="10"/>
                <w:szCs w:val="10"/>
                <w:i w:val="1"/>
                <w:iCs w:val="1"/>
                <w:color w:val="auto"/>
              </w:rPr>
              <w:t>(20)</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2015</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4"/>
              </w:rPr>
              <w:t>155,000</w:t>
            </w:r>
          </w:p>
        </w:tc>
        <w:tc>
          <w:tcPr>
            <w:tcW w:w="16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Gunvor</w:t>
            </w: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TFDE</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March 2023</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w w:val="76"/>
              </w:rPr>
              <w:t>3</w:t>
            </w:r>
          </w:p>
        </w:tc>
        <w:tc>
          <w:tcPr>
            <w:tcW w:w="2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 xml:space="preserve">GasLog Hong Kong </w:t>
            </w:r>
            <w:r>
              <w:rPr>
                <w:rFonts w:ascii="Arial" w:cs="Arial" w:eastAsia="Arial" w:hAnsi="Arial"/>
                <w:sz w:val="10"/>
                <w:szCs w:val="10"/>
                <w:i w:val="1"/>
                <w:iCs w:val="1"/>
                <w:color w:val="auto"/>
              </w:rPr>
              <w:t>(20)</w:t>
            </w:r>
          </w:p>
        </w:tc>
        <w:tc>
          <w:tcPr>
            <w:tcW w:w="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2018</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6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4"/>
              </w:rPr>
              <w:t xml:space="preserve">TotalEnergies </w:t>
            </w:r>
            <w:r>
              <w:rPr>
                <w:rFonts w:ascii="Arial" w:cs="Arial" w:eastAsia="Arial" w:hAnsi="Arial"/>
                <w:sz w:val="10"/>
                <w:szCs w:val="10"/>
                <w:color w:val="auto"/>
                <w:w w:val="94"/>
              </w:rPr>
              <w:t>(22)</w:t>
            </w: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7"/>
              </w:rPr>
              <w:t>X-DF</w:t>
            </w:r>
          </w:p>
        </w:tc>
        <w:tc>
          <w:tcPr>
            <w:tcW w:w="11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December 2025</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 xml:space="preserve">2028 </w:t>
            </w:r>
            <w:r>
              <w:rPr>
                <w:rFonts w:ascii="Arial" w:cs="Arial" w:eastAsia="Arial" w:hAnsi="Arial"/>
                <w:sz w:val="10"/>
                <w:szCs w:val="10"/>
                <w:color w:val="auto"/>
                <w:w w:val="98"/>
              </w:rPr>
              <w:t>(22)</w:t>
            </w:r>
          </w:p>
        </w:tc>
        <w:tc>
          <w:tcPr>
            <w:tcW w:w="0" w:type="dxa"/>
            <w:vAlign w:val="bottom"/>
          </w:tcPr>
          <w:p>
            <w:pPr>
              <w:spacing w:after="0"/>
              <w:rPr>
                <w:sz w:val="1"/>
                <w:szCs w:val="1"/>
                <w:color w:val="auto"/>
              </w:rPr>
            </w:pPr>
          </w:p>
        </w:tc>
      </w:tr>
      <w:tr>
        <w:trPr>
          <w:trHeight w:val="148"/>
        </w:trPr>
        <w:tc>
          <w:tcPr>
            <w:tcW w:w="3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w w:val="76"/>
              </w:rPr>
              <w:t>4</w:t>
            </w:r>
          </w:p>
        </w:tc>
        <w:tc>
          <w:tcPr>
            <w:tcW w:w="2040" w:type="dxa"/>
            <w:vAlign w:val="bottom"/>
            <w:gridSpan w:val="2"/>
          </w:tcPr>
          <w:p>
            <w:pPr>
              <w:ind w:left="200"/>
              <w:spacing w:after="0" w:line="149" w:lineRule="exact"/>
              <w:rPr>
                <w:sz w:val="20"/>
                <w:szCs w:val="20"/>
                <w:color w:val="auto"/>
              </w:rPr>
            </w:pPr>
            <w:r>
              <w:rPr>
                <w:rFonts w:ascii="Arial" w:cs="Arial" w:eastAsia="Arial" w:hAnsi="Arial"/>
                <w:sz w:val="14"/>
                <w:szCs w:val="14"/>
                <w:i w:val="1"/>
                <w:iCs w:val="1"/>
                <w:color w:val="auto"/>
              </w:rPr>
              <w:t xml:space="preserve">Methane Julia Louise </w:t>
            </w:r>
            <w:r>
              <w:rPr>
                <w:rFonts w:ascii="Arial" w:cs="Arial" w:eastAsia="Arial" w:hAnsi="Arial"/>
                <w:sz w:val="10"/>
                <w:szCs w:val="10"/>
                <w:i w:val="1"/>
                <w:iCs w:val="1"/>
                <w:color w:val="auto"/>
              </w:rPr>
              <w:t>(20)</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2010</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4"/>
              </w:rPr>
              <w:t>170,000</w:t>
            </w:r>
          </w:p>
        </w:tc>
        <w:tc>
          <w:tcPr>
            <w:tcW w:w="160" w:type="dxa"/>
            <w:vAlign w:val="bottom"/>
          </w:tcPr>
          <w:p>
            <w:pPr>
              <w:spacing w:after="0"/>
              <w:rPr>
                <w:sz w:val="12"/>
                <w:szCs w:val="12"/>
                <w:color w:val="auto"/>
              </w:rPr>
            </w:pP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Shell</w:t>
            </w: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TFDE</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March 2026</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 xml:space="preserve">2029-2031 </w:t>
            </w:r>
            <w:r>
              <w:rPr>
                <w:rFonts w:ascii="Arial" w:cs="Arial" w:eastAsia="Arial" w:hAnsi="Arial"/>
                <w:sz w:val="10"/>
                <w:szCs w:val="10"/>
                <w:color w:val="auto"/>
                <w:w w:val="91"/>
              </w:rPr>
              <w:t>(8)</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w w:val="76"/>
              </w:rPr>
              <w:t>5</w:t>
            </w:r>
          </w:p>
        </w:tc>
        <w:tc>
          <w:tcPr>
            <w:tcW w:w="2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 xml:space="preserve">GasLog Houston </w:t>
            </w:r>
            <w:r>
              <w:rPr>
                <w:rFonts w:ascii="Arial" w:cs="Arial" w:eastAsia="Arial" w:hAnsi="Arial"/>
                <w:sz w:val="10"/>
                <w:szCs w:val="10"/>
                <w:i w:val="1"/>
                <w:iCs w:val="1"/>
                <w:color w:val="auto"/>
              </w:rPr>
              <w:t>(20)</w:t>
            </w:r>
          </w:p>
        </w:tc>
        <w:tc>
          <w:tcPr>
            <w:tcW w:w="8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2018</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174,000</w:t>
            </w:r>
          </w:p>
        </w:tc>
        <w:tc>
          <w:tcPr>
            <w:tcW w:w="16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6"/>
              </w:rPr>
              <w:t>Shell</w:t>
            </w:r>
          </w:p>
        </w:tc>
        <w:tc>
          <w:tcPr>
            <w:tcW w:w="18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7"/>
              </w:rPr>
              <w:t>X-DF</w:t>
            </w:r>
          </w:p>
        </w:tc>
        <w:tc>
          <w:tcPr>
            <w:tcW w:w="11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7"/>
              </w:rPr>
              <w:t>May 2028</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 xml:space="preserve">2031-2034 </w:t>
            </w:r>
            <w:r>
              <w:rPr>
                <w:rFonts w:ascii="Arial" w:cs="Arial" w:eastAsia="Arial" w:hAnsi="Arial"/>
                <w:sz w:val="10"/>
                <w:szCs w:val="10"/>
                <w:color w:val="auto"/>
                <w:w w:val="96"/>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6" w:name="page7"/>
    <w:bookmarkEnd w:id="6"/>
    <w:p>
      <w:pPr>
        <w:ind w:left="340"/>
        <w:spacing w:after="0"/>
        <w:rPr>
          <w:sz w:val="20"/>
          <w:szCs w:val="20"/>
          <w:color w:val="auto"/>
        </w:rPr>
      </w:pPr>
      <w:r>
        <w:rPr>
          <w:rFonts w:ascii="Arial" w:cs="Arial" w:eastAsia="Arial" w:hAnsi="Arial"/>
          <w:sz w:val="16"/>
          <w:szCs w:val="16"/>
          <w:color w:val="auto"/>
        </w:rPr>
        <w:t>As of August 4, 2022, the Partnership’s bareboat fleet consisted of the following vessel: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Cargo</w:t>
            </w: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Charterer (for</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Charter</w:t>
            </w: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Vessel Name</w:t>
            </w: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Capacity</w:t>
            </w: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contracts of more</w:t>
            </w:r>
          </w:p>
        </w:tc>
        <w:tc>
          <w:tcPr>
            <w:tcW w:w="1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Propulsion</w:t>
            </w:r>
          </w:p>
        </w:tc>
        <w:tc>
          <w:tcPr>
            <w:tcW w:w="11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Built</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(cbm)</w:t>
            </w: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than six months)</w:t>
            </w:r>
          </w:p>
        </w:tc>
        <w:tc>
          <w:tcPr>
            <w:tcW w:w="1840" w:type="dxa"/>
            <w:vAlign w:val="bottom"/>
            <w:gridSpan w:val="2"/>
            <w:vMerge w:val="continue"/>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Expiration</w:t>
            </w:r>
            <w:r>
              <w:rPr>
                <w:rFonts w:ascii="Arial" w:cs="Arial" w:eastAsia="Arial" w:hAnsi="Arial"/>
                <w:sz w:val="10"/>
                <w:szCs w:val="10"/>
                <w:b w:val="1"/>
                <w:bCs w:val="1"/>
                <w:color w:val="auto"/>
                <w:w w:val="96"/>
              </w:rPr>
              <w:t>(1)</w:t>
            </w: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Period</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42"/>
        </w:trPr>
        <w:tc>
          <w:tcPr>
            <w:tcW w:w="30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1</w:t>
            </w:r>
          </w:p>
        </w:tc>
        <w:tc>
          <w:tcPr>
            <w:tcW w:w="190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i w:val="1"/>
                <w:iCs w:val="1"/>
                <w:color w:val="auto"/>
              </w:rPr>
              <w:t xml:space="preserve">GasLog Shanghai </w:t>
            </w:r>
            <w:r>
              <w:rPr>
                <w:rFonts w:ascii="Arial" w:cs="Arial" w:eastAsia="Arial" w:hAnsi="Arial"/>
                <w:sz w:val="10"/>
                <w:szCs w:val="10"/>
                <w:i w:val="1"/>
                <w:iCs w:val="1"/>
                <w:color w:val="auto"/>
              </w:rPr>
              <w:t>(20)</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155,000</w:t>
            </w:r>
          </w:p>
        </w:tc>
        <w:tc>
          <w:tcPr>
            <w:tcW w:w="16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Gunvor</w:t>
            </w:r>
          </w:p>
        </w:tc>
        <w:tc>
          <w:tcPr>
            <w:tcW w:w="16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TFDE</w:t>
            </w: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November 2022</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Indicates the expiration of the initial term.</w:t>
      </w:r>
    </w:p>
    <w:p>
      <w:pPr>
        <w:spacing w:after="0" w:line="82"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period shown reflects the expiration of the minimum optional period and the maximum optional period.</w:t>
      </w:r>
    </w:p>
    <w:p>
      <w:pPr>
        <w:spacing w:after="0" w:line="95"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GasLog Chelsea</w:t>
      </w:r>
      <w:r>
        <w:rPr>
          <w:rFonts w:ascii="Arial" w:cs="Arial" w:eastAsia="Arial" w:hAnsi="Arial"/>
          <w:sz w:val="14"/>
          <w:szCs w:val="14"/>
          <w:color w:val="auto"/>
        </w:rPr>
        <w:t xml:space="preserve"> is scheduled to be converted into a Floating Storage Regasification Unit (“FSRU”) in 2023.</w:t>
      </w:r>
    </w:p>
    <w:p>
      <w:pPr>
        <w:spacing w:after="0" w:line="82" w:lineRule="exact"/>
        <w:rPr>
          <w:rFonts w:ascii="Arial" w:cs="Arial" w:eastAsia="Arial" w:hAnsi="Arial"/>
          <w:sz w:val="13"/>
          <w:szCs w:val="13"/>
          <w:color w:val="auto"/>
        </w:rPr>
      </w:pPr>
    </w:p>
    <w:p>
      <w:pPr>
        <w:ind w:left="340" w:right="40" w:hanging="332"/>
        <w:spacing w:after="0" w:line="229"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vessel is chartered to Singapore LNG Corporation. Subject to receipt of firm notice by the end of 2023, the vessel is expected to be delivered to Sinolam LNG Terminal, S.A. (“Sinolam LNG”) no later than twelve months thereafter for use as a floating storage unit (“FSU”) in support of an LNG gas-fired power plant currently being developed near Colon, Panama, by Sinolam Smarter Energy LNG Power Company, a subsidiary of private Chinese investment group Shanghai Gorgeous Development Company. The completion of the power plant was initially scheduled for the second quarter of 2020 but has since been significantly delayed as a result of COVID-19 related impacts to the construction schedule. In the meantime, the vessel has undergone FSU conversion for the Sinolam LNG charter during its scheduled dry-dock in the second quarter of 2021.</w:t>
      </w:r>
    </w:p>
    <w:p>
      <w:pPr>
        <w:spacing w:after="0" w:line="63" w:lineRule="exact"/>
        <w:rPr>
          <w:rFonts w:ascii="Arial" w:cs="Arial" w:eastAsia="Arial" w:hAnsi="Arial"/>
          <w:sz w:val="13"/>
          <w:szCs w:val="13"/>
          <w:color w:val="auto"/>
        </w:rPr>
      </w:pPr>
    </w:p>
    <w:p>
      <w:pPr>
        <w:ind w:left="340" w:right="40" w:hanging="332"/>
        <w:spacing w:after="0" w:line="25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vessel is chartered to DESFA for a period of one year. DESFA has the right to extend the charter by six additional months provided that DESFA gives us advance notice of declaration.</w:t>
      </w:r>
    </w:p>
    <w:p>
      <w:pPr>
        <w:spacing w:after="0" w:line="65" w:lineRule="exact"/>
        <w:rPr>
          <w:rFonts w:ascii="Arial" w:cs="Arial" w:eastAsia="Arial" w:hAnsi="Arial"/>
          <w:sz w:val="13"/>
          <w:szCs w:val="13"/>
          <w:color w:val="auto"/>
        </w:rPr>
      </w:pPr>
    </w:p>
    <w:p>
      <w:pPr>
        <w:ind w:left="340" w:right="80" w:hanging="332"/>
        <w:spacing w:after="0" w:line="25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vessel is expected to begin its time charter with a multinational oil and gas company in the third quarter of 2022. The charterer has the right to extend the charter by one additional period of one year, provided that the charterer gives us advance notice of the declaration.</w:t>
      </w:r>
    </w:p>
    <w:p>
      <w:pPr>
        <w:spacing w:after="0" w:line="52"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vessel is chartered to Mitsui &amp; Co., Ltd. (“Mitsui”).</w:t>
      </w:r>
    </w:p>
    <w:p>
      <w:pPr>
        <w:spacing w:after="0" w:line="82" w:lineRule="exact"/>
        <w:rPr>
          <w:rFonts w:ascii="Arial" w:cs="Arial" w:eastAsia="Arial" w:hAnsi="Arial"/>
          <w:sz w:val="13"/>
          <w:szCs w:val="13"/>
          <w:color w:val="auto"/>
        </w:rPr>
      </w:pPr>
    </w:p>
    <w:p>
      <w:pPr>
        <w:ind w:left="340" w:right="160" w:hanging="332"/>
        <w:spacing w:after="0" w:line="244"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The vessel is chartered to Shell plc (“Shell”). Shell has the right to extend the charters of (a) the </w:t>
      </w:r>
      <w:r>
        <w:rPr>
          <w:rFonts w:ascii="Arial" w:cs="Arial" w:eastAsia="Arial" w:hAnsi="Arial"/>
          <w:sz w:val="13"/>
          <w:szCs w:val="13"/>
          <w:i w:val="1"/>
          <w:iCs w:val="1"/>
          <w:color w:val="auto"/>
        </w:rPr>
        <w:t>GasLog Genoa</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Gladstone</w:t>
      </w:r>
      <w:r>
        <w:rPr>
          <w:rFonts w:ascii="Arial" w:cs="Arial" w:eastAsia="Arial" w:hAnsi="Arial"/>
          <w:sz w:val="13"/>
          <w:szCs w:val="13"/>
          <w:color w:val="auto"/>
        </w:rPr>
        <w:t xml:space="preserve"> by two additional periods of three years, (b)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Gibraltar</w:t>
      </w:r>
      <w:r>
        <w:rPr>
          <w:rFonts w:ascii="Arial" w:cs="Arial" w:eastAsia="Arial" w:hAnsi="Arial"/>
          <w:sz w:val="13"/>
          <w:szCs w:val="13"/>
          <w:color w:val="auto"/>
        </w:rPr>
        <w:t xml:space="preserve"> by two additional periods of five and three years, respectively, (c) the </w:t>
      </w:r>
      <w:r>
        <w:rPr>
          <w:rFonts w:ascii="Arial" w:cs="Arial" w:eastAsia="Arial" w:hAnsi="Arial"/>
          <w:sz w:val="13"/>
          <w:szCs w:val="13"/>
          <w:i w:val="1"/>
          <w:iCs w:val="1"/>
          <w:color w:val="auto"/>
        </w:rPr>
        <w:t xml:space="preserve">Methane Becki Anne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Methane Julia Louise </w:t>
      </w:r>
      <w:r>
        <w:rPr>
          <w:rFonts w:ascii="Arial" w:cs="Arial" w:eastAsia="Arial" w:hAnsi="Arial"/>
          <w:sz w:val="13"/>
          <w:szCs w:val="13"/>
          <w:color w:val="auto"/>
        </w:rPr>
        <w:t>for a period of either three or five years, (d) the</w:t>
      </w:r>
      <w:r>
        <w:rPr>
          <w:rFonts w:ascii="Arial" w:cs="Arial" w:eastAsia="Arial" w:hAnsi="Arial"/>
          <w:sz w:val="13"/>
          <w:szCs w:val="13"/>
          <w:i w:val="1"/>
          <w:iCs w:val="1"/>
          <w:color w:val="auto"/>
        </w:rPr>
        <w:t xml:space="preserve"> GasLog Greece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GasLog Glasgow </w:t>
      </w:r>
      <w:r>
        <w:rPr>
          <w:rFonts w:ascii="Arial" w:cs="Arial" w:eastAsia="Arial" w:hAnsi="Arial"/>
          <w:sz w:val="13"/>
          <w:szCs w:val="13"/>
          <w:color w:val="auto"/>
        </w:rPr>
        <w:t>for a period of</w:t>
      </w:r>
    </w:p>
    <w:p>
      <w:pPr>
        <w:spacing w:after="0" w:line="1"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five years, provided that Shell gives us advance notice of the declarations.</w:t>
      </w:r>
    </w:p>
    <w:p>
      <w:pPr>
        <w:spacing w:after="0" w:line="83" w:lineRule="exact"/>
        <w:rPr>
          <w:rFonts w:ascii="Arial" w:cs="Arial" w:eastAsia="Arial" w:hAnsi="Arial"/>
          <w:sz w:val="13"/>
          <w:szCs w:val="13"/>
          <w:color w:val="auto"/>
        </w:rPr>
      </w:pPr>
    </w:p>
    <w:p>
      <w:pPr>
        <w:ind w:left="340" w:right="120" w:hanging="332"/>
        <w:spacing w:after="0" w:line="25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vessels are chartered to Pioneer Shipping Limited, a wholly owned subsidiary of Centrica Plc (“Centrica”). Centrica has the right to extend the charters by three additional periods of two years, provided that Centrica gives us advance notice of declaration.</w:t>
      </w:r>
    </w:p>
    <w:p>
      <w:pPr>
        <w:spacing w:after="0" w:line="52"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vessels are chartered to Cheniere Marketing International LLP, a subsidiary of Cheniere Energy Inc. (“Cheniere”). Cheniere has the right to extend the charters of</w:t>
      </w:r>
    </w:p>
    <w:p>
      <w:pPr>
        <w:spacing w:after="0" w:line="11" w:lineRule="exact"/>
        <w:rPr>
          <w:rFonts w:ascii="Arial" w:cs="Arial" w:eastAsia="Arial" w:hAnsi="Arial"/>
          <w:sz w:val="13"/>
          <w:szCs w:val="13"/>
          <w:color w:val="auto"/>
        </w:rPr>
      </w:pPr>
    </w:p>
    <w:p>
      <w:pPr>
        <w:ind w:left="340" w:right="80"/>
        <w:spacing w:after="0" w:line="314" w:lineRule="auto"/>
        <w:rPr>
          <w:rFonts w:ascii="Arial" w:cs="Arial" w:eastAsia="Arial" w:hAnsi="Arial"/>
          <w:sz w:val="13"/>
          <w:szCs w:val="13"/>
          <w:color w:val="auto"/>
        </w:rPr>
      </w:pPr>
      <w:r>
        <w:rPr>
          <w:rFonts w:ascii="Arial" w:cs="Arial" w:eastAsia="Arial" w:hAnsi="Arial"/>
          <w:sz w:val="12"/>
          <w:szCs w:val="12"/>
          <w:color w:val="auto"/>
        </w:rPr>
        <w:t xml:space="preserve">(a) the </w:t>
      </w:r>
      <w:r>
        <w:rPr>
          <w:rFonts w:ascii="Arial" w:cs="Arial" w:eastAsia="Arial" w:hAnsi="Arial"/>
          <w:sz w:val="12"/>
          <w:szCs w:val="12"/>
          <w:i w:val="1"/>
          <w:iCs w:val="1"/>
          <w:color w:val="auto"/>
        </w:rPr>
        <w:t>GasLog Georgetown</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Galveston,</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Wellington</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Winchester</w:t>
      </w:r>
      <w:r>
        <w:rPr>
          <w:rFonts w:ascii="Arial" w:cs="Arial" w:eastAsia="Arial" w:hAnsi="Arial"/>
          <w:sz w:val="12"/>
          <w:szCs w:val="12"/>
          <w:color w:val="auto"/>
        </w:rPr>
        <w:t xml:space="preserve"> by three consecutive periods of three years, two years and two years, respectively and (b)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by two additional periods of one year, provided that Cheniere gives us advance notice of the declarations.</w:t>
      </w:r>
    </w:p>
    <w:p>
      <w:pPr>
        <w:spacing w:after="0" w:line="18" w:lineRule="exact"/>
        <w:rPr>
          <w:rFonts w:ascii="Arial" w:cs="Arial" w:eastAsia="Arial" w:hAnsi="Arial"/>
          <w:sz w:val="13"/>
          <w:szCs w:val="13"/>
          <w:color w:val="auto"/>
        </w:rPr>
      </w:pPr>
    </w:p>
    <w:p>
      <w:pPr>
        <w:ind w:left="340" w:right="40" w:hanging="332"/>
        <w:spacing w:after="0" w:line="25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 xml:space="preserve">“Endesa” refers to Endesa S.A. Endesa has the right to extend the charter of the </w:t>
      </w:r>
      <w:r>
        <w:rPr>
          <w:rFonts w:ascii="Arial" w:cs="Arial" w:eastAsia="Arial" w:hAnsi="Arial"/>
          <w:sz w:val="14"/>
          <w:szCs w:val="14"/>
          <w:i w:val="1"/>
          <w:iCs w:val="1"/>
          <w:color w:val="auto"/>
        </w:rPr>
        <w:t>GasLog Warsaw</w:t>
      </w:r>
      <w:r>
        <w:rPr>
          <w:rFonts w:ascii="Arial" w:cs="Arial" w:eastAsia="Arial" w:hAnsi="Arial"/>
          <w:sz w:val="14"/>
          <w:szCs w:val="14"/>
          <w:color w:val="auto"/>
        </w:rPr>
        <w:t xml:space="preserve"> by two additional periods of six years, provided that Endesa gives us advance notice of declaration.</w:t>
      </w:r>
    </w:p>
    <w:p>
      <w:pPr>
        <w:spacing w:after="0" w:line="65" w:lineRule="exact"/>
        <w:rPr>
          <w:rFonts w:ascii="Arial" w:cs="Arial" w:eastAsia="Arial" w:hAnsi="Arial"/>
          <w:sz w:val="13"/>
          <w:szCs w:val="13"/>
          <w:color w:val="auto"/>
        </w:rPr>
      </w:pPr>
    </w:p>
    <w:p>
      <w:pPr>
        <w:ind w:left="340" w:right="140" w:hanging="332"/>
        <w:spacing w:after="0" w:line="25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“Jera” refers to LNG Marine Transport Limited, the principal LNG shipping entity of Japan’s Jera Co., Inc. Jera has the right to extend the charter by two additional periods of three years, provided that Jera gives us advance notice of declaration.</w:t>
      </w:r>
    </w:p>
    <w:p>
      <w:pPr>
        <w:spacing w:after="0" w:line="52"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Partnership has entered into an agreement and expects to complete the sale of the vessel in the third quarter of 2022.</w:t>
      </w:r>
    </w:p>
    <w:p>
      <w:pPr>
        <w:spacing w:after="0" w:line="82"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vessel is chartered to Singapore Carbon Hydrogen Energy Pte. Ltd., a wholly owned subsidiary of JOVO Group (“JOVO”).</w:t>
      </w:r>
    </w:p>
    <w:p>
      <w:pPr>
        <w:spacing w:after="0" w:line="95" w:lineRule="exact"/>
        <w:rPr>
          <w:rFonts w:ascii="Arial" w:cs="Arial" w:eastAsia="Arial" w:hAnsi="Arial"/>
          <w:sz w:val="13"/>
          <w:szCs w:val="13"/>
          <w:color w:val="auto"/>
        </w:rPr>
      </w:pPr>
    </w:p>
    <w:p>
      <w:pPr>
        <w:ind w:left="340" w:right="200" w:hanging="332"/>
        <w:spacing w:after="0" w:line="25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“Trafigura” refers to Trafigura Maritime Logistics PTE Ltd. Trafigura may extend the term of this time charter for a period ranging from one to six years, provided that the charterer gives us advance notice of declaration.</w:t>
      </w:r>
    </w:p>
    <w:p>
      <w:pPr>
        <w:spacing w:after="0" w:line="52"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vessel is chartered to Naturgy Aprovisionamientos S.A. (“Naturgy”).</w:t>
      </w:r>
    </w:p>
    <w:p>
      <w:pPr>
        <w:spacing w:after="0" w:line="82"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vessel is chartered to Clearlake Shipping Pte. Ltd., a subsidiary of Gunvor.</w:t>
      </w:r>
    </w:p>
    <w:p>
      <w:pPr>
        <w:spacing w:after="0" w:line="95"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vessel is expected to begin its time charter with an energy major right after the expiration of its current charter with Gunvor.</w:t>
      </w:r>
    </w:p>
    <w:p>
      <w:pPr>
        <w:spacing w:after="0" w:line="82" w:lineRule="exact"/>
        <w:rPr>
          <w:rFonts w:ascii="Arial" w:cs="Arial" w:eastAsia="Arial" w:hAnsi="Arial"/>
          <w:sz w:val="13"/>
          <w:szCs w:val="13"/>
          <w:color w:val="auto"/>
        </w:rPr>
      </w:pPr>
    </w:p>
    <w:p>
      <w:pPr>
        <w:ind w:left="340" w:right="220" w:hanging="332"/>
        <w:spacing w:after="0" w:line="25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vessel is chartered to CNTIC VPower Energy Ltd. (“CNTIC VPower”), an independent Chinese energy company. CNTIC VPower may extend the term of the related charter by two additional periods of one year, provided that the charterer gives us advance notice of declaration.</w:t>
      </w:r>
    </w:p>
    <w:p>
      <w:pPr>
        <w:spacing w:after="0" w:line="52" w:lineRule="exact"/>
        <w:rPr>
          <w:rFonts w:ascii="Arial" w:cs="Arial" w:eastAsia="Arial" w:hAnsi="Arial"/>
          <w:sz w:val="13"/>
          <w:szCs w:val="13"/>
          <w:color w:val="auto"/>
        </w:rPr>
      </w:pPr>
    </w:p>
    <w:p>
      <w:pPr>
        <w:ind w:left="340" w:right="40" w:hanging="332"/>
        <w:spacing w:after="0" w:line="251"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Gas-six Ltd., GAS-ten Ltd. and GAS-three Ltd. have sold the </w:t>
      </w:r>
      <w:r>
        <w:rPr>
          <w:rFonts w:ascii="Arial" w:cs="Arial" w:eastAsia="Arial" w:hAnsi="Arial"/>
          <w:sz w:val="13"/>
          <w:szCs w:val="13"/>
          <w:i w:val="1"/>
          <w:iCs w:val="1"/>
          <w:color w:val="auto"/>
        </w:rPr>
        <w:t>GasLog Skagen</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Salem</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Shanghai</w:t>
      </w:r>
      <w:r>
        <w:rPr>
          <w:rFonts w:ascii="Arial" w:cs="Arial" w:eastAsia="Arial" w:hAnsi="Arial"/>
          <w:sz w:val="13"/>
          <w:szCs w:val="13"/>
          <w:color w:val="auto"/>
        </w:rPr>
        <w:t xml:space="preserve">, respectively, to a wholly owned subsidiary of China Development Bank Leasing and leased it back for a period of five years, with no repurchase option or obligation. GAS-twenty five Ltd., GAS-twenty six Ltd. and GAS-twenty four Ltd. have sold the </w:t>
      </w:r>
      <w:r>
        <w:rPr>
          <w:rFonts w:ascii="Arial" w:cs="Arial" w:eastAsia="Arial" w:hAnsi="Arial"/>
          <w:sz w:val="13"/>
          <w:szCs w:val="13"/>
          <w:i w:val="1"/>
          <w:iCs w:val="1"/>
          <w:color w:val="auto"/>
        </w:rPr>
        <w:t>GasLog Hong Kong</w:t>
      </w:r>
      <w:r>
        <w:rPr>
          <w:rFonts w:ascii="Arial" w:cs="Arial" w:eastAsia="Arial" w:hAnsi="Arial"/>
          <w:sz w:val="13"/>
          <w:szCs w:val="13"/>
          <w:color w:val="auto"/>
        </w:rPr>
        <w:t xml:space="preserve"> to Sea 190 Leasing Co. Limited</w:t>
      </w:r>
      <w:r>
        <w:rPr>
          <w:rFonts w:ascii="Arial" w:cs="Arial" w:eastAsia="Arial" w:hAnsi="Arial"/>
          <w:sz w:val="13"/>
          <w:szCs w:val="13"/>
          <w:i w:val="1"/>
          <w:iCs w:val="1"/>
          <w:color w:val="auto"/>
        </w:rPr>
        <w:t>,</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to Lepta Shipping Co. Ltd. and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to Hai Kuo Shipping 2051G Limited, respectively, and leased them back for a period of up to twelve, 17 and eight years, respectively. GAS-twenty five Ltd. and GAS-twenty six Ltd. have the option and GAS-twenty four Ltd. has the option and the obligation to re-purchase the vessels on pre-agreed terms.</w:t>
      </w:r>
    </w:p>
    <w:p>
      <w:pPr>
        <w:spacing w:after="0" w:line="68"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vessel is chartered to Chevron Asia Pacific Shipping Pte. Ltd. (“Chevron”).</w:t>
      </w:r>
    </w:p>
    <w:p>
      <w:pPr>
        <w:spacing w:after="0" w:line="82" w:lineRule="exact"/>
        <w:rPr>
          <w:rFonts w:ascii="Arial" w:cs="Arial" w:eastAsia="Arial" w:hAnsi="Arial"/>
          <w:sz w:val="13"/>
          <w:szCs w:val="13"/>
          <w:color w:val="auto"/>
        </w:rPr>
      </w:pPr>
    </w:p>
    <w:p>
      <w:pPr>
        <w:ind w:left="340" w:right="360" w:hanging="332"/>
        <w:spacing w:after="0" w:line="253"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4"/>
          <w:szCs w:val="14"/>
          <w:color w:val="auto"/>
        </w:rPr>
        <w:t>The vessel is chartered to TotalEnergies Gas &amp; Power Limited, a wholly owned subsidiary of TotalEnergies SE (“TotalEnergies”). TotalEnergies has the right to extend the charter for a period of three years, provided that TotalEnergies provides us with advance notice of declaration.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0" w:right="999" w:bottom="1440" w:gutter="0" w:footer="0" w:header="0"/>
        </w:sectPr>
      </w:pPr>
    </w:p>
    <w:bookmarkStart w:id="7" w:name="page8"/>
    <w:bookmarkEnd w:id="7"/>
    <w:p>
      <w:pPr>
        <w:ind w:firstLine="324"/>
        <w:spacing w:after="0" w:line="318" w:lineRule="auto"/>
        <w:rPr>
          <w:sz w:val="20"/>
          <w:szCs w:val="20"/>
          <w:color w:val="auto"/>
        </w:rPr>
      </w:pPr>
      <w:r>
        <w:rPr>
          <w:rFonts w:ascii="Arial" w:cs="Arial" w:eastAsia="Arial" w:hAnsi="Arial"/>
          <w:sz w:val="14"/>
          <w:szCs w:val="14"/>
          <w:color w:val="auto"/>
        </w:rPr>
        <w:t>Under the omnibus agreement entered into with GasLog Partners and certain of its subsidiaries in connection with the Partnership’s initial public offering, as amended, GasLog has agreed, and has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Future Deliveries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August 4, 2022, GasLog has four newbuildings on order at Daewoo:</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Cargo</w:t>
            </w: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Estimated Charter</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Expected Delivery</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Capacity</w:t>
            </w:r>
          </w:p>
        </w:tc>
        <w:tc>
          <w:tcPr>
            <w:tcW w:w="2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Charterer</w:t>
            </w: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Propulsion</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LNG Carrier</w:t>
            </w:r>
          </w:p>
        </w:tc>
        <w:tc>
          <w:tcPr>
            <w:tcW w:w="1440" w:type="dxa"/>
            <w:vAlign w:val="bottom"/>
            <w:gridSpan w:val="2"/>
            <w:vMerge w:val="continue"/>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(cbm)</w:t>
            </w:r>
          </w:p>
        </w:tc>
        <w:tc>
          <w:tcPr>
            <w:tcW w:w="290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r>
              <w:rPr>
                <w:rFonts w:ascii="Arial" w:cs="Arial" w:eastAsia="Arial" w:hAnsi="Arial"/>
                <w:sz w:val="10"/>
                <w:szCs w:val="10"/>
                <w:b w:val="1"/>
                <w:bCs w:val="1"/>
                <w:color w:val="auto"/>
                <w:w w:val="99"/>
              </w:rPr>
              <w:t>(1)</w:t>
            </w:r>
          </w:p>
        </w:tc>
        <w:tc>
          <w:tcPr>
            <w:tcW w:w="0" w:type="dxa"/>
            <w:vAlign w:val="bottom"/>
          </w:tcPr>
          <w:p>
            <w:pPr>
              <w:spacing w:after="0"/>
              <w:rPr>
                <w:sz w:val="1"/>
                <w:szCs w:val="1"/>
                <w:color w:val="auto"/>
              </w:rPr>
            </w:pPr>
          </w:p>
        </w:tc>
      </w:tr>
      <w:tr>
        <w:trPr>
          <w:trHeight w:val="209"/>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Hull No. 2532</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Q3 2024</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174,000</w:t>
            </w:r>
          </w:p>
        </w:tc>
        <w:tc>
          <w:tcPr>
            <w:tcW w:w="18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Multinational Oil and Gas Company</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MEGI</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2031</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Hull No. 2533</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Q3 2024</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180" w:type="dxa"/>
            <w:vAlign w:val="bottom"/>
          </w:tcPr>
          <w:p>
            <w:pPr>
              <w:spacing w:after="0"/>
              <w:rPr>
                <w:sz w:val="18"/>
                <w:szCs w:val="18"/>
                <w:color w:val="auto"/>
              </w:rPr>
            </w:pPr>
          </w:p>
        </w:tc>
        <w:tc>
          <w:tcPr>
            <w:tcW w:w="290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Mitsui</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MEGI</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2033</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No. 2534</w:t>
            </w:r>
          </w:p>
        </w:tc>
        <w:tc>
          <w:tcPr>
            <w:tcW w:w="1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Q3 2025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174,000</w:t>
            </w:r>
          </w:p>
        </w:tc>
        <w:tc>
          <w:tcPr>
            <w:tcW w:w="18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Woodside</w:t>
            </w:r>
          </w:p>
        </w:tc>
        <w:tc>
          <w:tcPr>
            <w:tcW w:w="1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MEGI</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2035</w:t>
            </w: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Hull No. 2535</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Q4 2025</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174,000</w:t>
            </w:r>
          </w:p>
        </w:tc>
        <w:tc>
          <w:tcPr>
            <w:tcW w:w="180" w:type="dxa"/>
            <w:vAlign w:val="bottom"/>
          </w:tcPr>
          <w:p>
            <w:pPr>
              <w:spacing w:after="0"/>
              <w:rPr>
                <w:sz w:val="20"/>
                <w:szCs w:val="20"/>
                <w:color w:val="auto"/>
              </w:rPr>
            </w:pPr>
          </w:p>
        </w:tc>
        <w:tc>
          <w:tcPr>
            <w:tcW w:w="29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Woodside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MEGI</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6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Charter expiration to be determined based upon actual date of delivery.</w:t>
      </w: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55" w:lineRule="exact"/>
        <w:rPr>
          <w:rFonts w:ascii="Arial" w:cs="Arial" w:eastAsia="Arial" w:hAnsi="Arial"/>
          <w:sz w:val="27"/>
          <w:szCs w:val="27"/>
          <w:color w:val="auto"/>
          <w:vertAlign w:val="superscript"/>
        </w:rPr>
      </w:pPr>
    </w:p>
    <w:p>
      <w:pPr>
        <w:ind w:left="4920"/>
        <w:spacing w:after="0"/>
        <w:rPr>
          <w:rFonts w:ascii="Arial" w:cs="Arial" w:eastAsia="Arial" w:hAnsi="Arial"/>
          <w:sz w:val="27"/>
          <w:szCs w:val="27"/>
          <w:color w:val="auto"/>
          <w:vertAlign w:val="superscript"/>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0" w:right="99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EXHIBIT I - Unaudited Interim Financial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2021 and June 30, 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04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 2021</w:t>
            </w:r>
          </w:p>
        </w:tc>
        <w:tc>
          <w:tcPr>
            <w:tcW w:w="1820" w:type="dxa"/>
            <w:vAlign w:val="bottom"/>
          </w:tcPr>
          <w:p>
            <w:pPr>
              <w:jc w:val="right"/>
              <w:ind w:right="419"/>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9,511</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9,511</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1800" w:type="dxa"/>
            <w:vAlign w:val="bottom"/>
          </w:tcPr>
          <w:p>
            <w:pPr>
              <w:jc w:val="right"/>
              <w:spacing w:after="0"/>
              <w:rPr>
                <w:sz w:val="20"/>
                <w:szCs w:val="20"/>
                <w:color w:val="auto"/>
              </w:rPr>
            </w:pPr>
            <w:r>
              <w:rPr>
                <w:rFonts w:ascii="Arial" w:cs="Arial" w:eastAsia="Arial" w:hAnsi="Arial"/>
                <w:sz w:val="16"/>
                <w:szCs w:val="16"/>
                <w:color w:val="auto"/>
              </w:rPr>
              <w:t>23,508</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24,546</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Deferred financing costs</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5,564</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00" w:type="dxa"/>
            <w:vAlign w:val="bottom"/>
          </w:tcPr>
          <w:p>
            <w:pPr>
              <w:jc w:val="right"/>
              <w:spacing w:after="0"/>
              <w:rPr>
                <w:sz w:val="20"/>
                <w:szCs w:val="20"/>
                <w:color w:val="auto"/>
              </w:rPr>
            </w:pPr>
            <w:r>
              <w:rPr>
                <w:rFonts w:ascii="Arial" w:cs="Arial" w:eastAsia="Arial" w:hAnsi="Arial"/>
                <w:sz w:val="16"/>
                <w:szCs w:val="16"/>
                <w:color w:val="auto"/>
              </w:rPr>
              <w:t>4,866</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4,653</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Tangible fixed assets</w:t>
            </w:r>
          </w:p>
        </w:tc>
        <w:tc>
          <w:tcPr>
            <w:tcW w:w="1800" w:type="dxa"/>
            <w:vAlign w:val="bottom"/>
          </w:tcPr>
          <w:p>
            <w:pPr>
              <w:jc w:val="right"/>
              <w:spacing w:after="0"/>
              <w:rPr>
                <w:sz w:val="20"/>
                <w:szCs w:val="20"/>
                <w:color w:val="auto"/>
              </w:rPr>
            </w:pPr>
            <w:r>
              <w:rPr>
                <w:rFonts w:ascii="Arial" w:cs="Arial" w:eastAsia="Arial" w:hAnsi="Arial"/>
                <w:sz w:val="16"/>
                <w:szCs w:val="16"/>
                <w:color w:val="auto"/>
              </w:rPr>
              <w:t>5,002,829</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4,600,855</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Vessels under construction</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22,939</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136,782</w:t>
            </w:r>
          </w:p>
        </w:tc>
      </w:tr>
      <w:tr>
        <w:trPr>
          <w:trHeight w:val="203"/>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Right-of-use assets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363,035</w:t>
            </w:r>
          </w:p>
        </w:tc>
        <w:tc>
          <w:tcPr>
            <w:tcW w:w="24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420,789</w:t>
            </w: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non-current assets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5,434,165</w:t>
            </w:r>
          </w:p>
        </w:tc>
        <w:tc>
          <w:tcPr>
            <w:tcW w:w="24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5,202,466</w:t>
            </w:r>
          </w:p>
        </w:tc>
      </w:tr>
      <w:tr>
        <w:trPr>
          <w:trHeight w:val="190"/>
        </w:trPr>
        <w:tc>
          <w:tcPr>
            <w:tcW w:w="60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8"/>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Vessels held for sale</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113,435</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1800" w:type="dxa"/>
            <w:vAlign w:val="bottom"/>
          </w:tcPr>
          <w:p>
            <w:pPr>
              <w:jc w:val="right"/>
              <w:spacing w:after="0"/>
              <w:rPr>
                <w:sz w:val="20"/>
                <w:szCs w:val="20"/>
                <w:color w:val="auto"/>
              </w:rPr>
            </w:pPr>
            <w:r>
              <w:rPr>
                <w:rFonts w:ascii="Arial" w:cs="Arial" w:eastAsia="Arial" w:hAnsi="Arial"/>
                <w:sz w:val="16"/>
                <w:szCs w:val="16"/>
                <w:color w:val="auto"/>
              </w:rPr>
              <w:t>28,595</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36,843</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Derivative financial instruments, current portion</w:t>
            </w:r>
          </w:p>
        </w:tc>
        <w:tc>
          <w:tcPr>
            <w:tcW w:w="1800" w:type="dxa"/>
            <w:vAlign w:val="bottom"/>
          </w:tcPr>
          <w:p>
            <w:pPr>
              <w:jc w:val="right"/>
              <w:spacing w:after="0"/>
              <w:rPr>
                <w:sz w:val="20"/>
                <w:szCs w:val="20"/>
                <w:color w:val="auto"/>
              </w:rPr>
            </w:pPr>
            <w:r>
              <w:rPr>
                <w:rFonts w:ascii="Arial" w:cs="Arial" w:eastAsia="Arial" w:hAnsi="Arial"/>
                <w:sz w:val="16"/>
                <w:szCs w:val="16"/>
                <w:color w:val="auto"/>
              </w:rPr>
              <w:t>596</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4,100</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8,327</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8,690</w:t>
            </w:r>
          </w:p>
        </w:tc>
      </w:tr>
      <w:tr>
        <w:trPr>
          <w:trHeight w:val="202"/>
        </w:trPr>
        <w:tc>
          <w:tcPr>
            <w:tcW w:w="606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800" w:type="dxa"/>
            <w:vAlign w:val="bottom"/>
          </w:tcPr>
          <w:p>
            <w:pPr>
              <w:jc w:val="right"/>
              <w:spacing w:after="0"/>
              <w:rPr>
                <w:sz w:val="20"/>
                <w:szCs w:val="20"/>
                <w:color w:val="auto"/>
              </w:rPr>
            </w:pPr>
            <w:r>
              <w:rPr>
                <w:rFonts w:ascii="Arial" w:cs="Arial" w:eastAsia="Arial" w:hAnsi="Arial"/>
                <w:sz w:val="16"/>
                <w:szCs w:val="16"/>
                <w:color w:val="auto"/>
              </w:rPr>
              <w:t>5,798</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5,878</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Short-term cash deposits</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03"/>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282,246</w:t>
            </w:r>
          </w:p>
        </w:tc>
        <w:tc>
          <w:tcPr>
            <w:tcW w:w="24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271,777</w:t>
            </w: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325,580</w:t>
            </w:r>
          </w:p>
        </w:tc>
        <w:tc>
          <w:tcPr>
            <w:tcW w:w="24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450,737</w:t>
            </w:r>
          </w:p>
        </w:tc>
      </w:tr>
      <w:tr>
        <w:trPr>
          <w:trHeight w:val="236"/>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assets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5,759,745</w:t>
            </w:r>
          </w:p>
        </w:tc>
        <w:tc>
          <w:tcPr>
            <w:tcW w:w="24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5,653,203</w:t>
            </w:r>
          </w:p>
        </w:tc>
      </w:tr>
      <w:tr>
        <w:trPr>
          <w:trHeight w:val="183"/>
        </w:trPr>
        <w:tc>
          <w:tcPr>
            <w:tcW w:w="606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Equity and liabilities</w:t>
            </w:r>
          </w:p>
        </w:tc>
        <w:tc>
          <w:tcPr>
            <w:tcW w:w="1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Preference shares</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Share capital</w:t>
            </w:r>
          </w:p>
        </w:tc>
        <w:tc>
          <w:tcPr>
            <w:tcW w:w="1800" w:type="dxa"/>
            <w:vAlign w:val="bottom"/>
          </w:tcPr>
          <w:p>
            <w:pPr>
              <w:jc w:val="right"/>
              <w:spacing w:after="0"/>
              <w:rPr>
                <w:sz w:val="20"/>
                <w:szCs w:val="20"/>
                <w:color w:val="auto"/>
              </w:rPr>
            </w:pPr>
            <w:r>
              <w:rPr>
                <w:rFonts w:ascii="Arial" w:cs="Arial" w:eastAsia="Arial" w:hAnsi="Arial"/>
                <w:sz w:val="16"/>
                <w:szCs w:val="16"/>
                <w:color w:val="auto"/>
              </w:rPr>
              <w:t>954</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954</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Contributed surplus</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692,536</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658,888</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Reserves</w:t>
            </w:r>
          </w:p>
        </w:tc>
        <w:tc>
          <w:tcPr>
            <w:tcW w:w="1800" w:type="dxa"/>
            <w:vAlign w:val="bottom"/>
          </w:tcPr>
          <w:p>
            <w:pPr>
              <w:jc w:val="right"/>
              <w:spacing w:after="0"/>
              <w:rPr>
                <w:sz w:val="20"/>
                <w:szCs w:val="20"/>
                <w:color w:val="auto"/>
              </w:rPr>
            </w:pPr>
            <w:r>
              <w:rPr>
                <w:rFonts w:ascii="Arial" w:cs="Arial" w:eastAsia="Arial" w:hAnsi="Arial"/>
                <w:sz w:val="16"/>
                <w:szCs w:val="16"/>
                <w:color w:val="auto"/>
              </w:rPr>
              <w:t>15,322</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15,104</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deficit)/Retained earnings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(65,117)</w:t>
            </w:r>
          </w:p>
        </w:tc>
        <w:tc>
          <w:tcPr>
            <w:tcW w:w="24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25,407</w:t>
            </w:r>
          </w:p>
        </w:tc>
      </w:tr>
      <w:tr>
        <w:trPr>
          <w:trHeight w:val="196"/>
        </w:trPr>
        <w:tc>
          <w:tcPr>
            <w:tcW w:w="606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643,741</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700,399</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924,630</w:t>
            </w:r>
          </w:p>
        </w:tc>
        <w:tc>
          <w:tcPr>
            <w:tcW w:w="24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920,058</w:t>
            </w:r>
          </w:p>
        </w:tc>
      </w:tr>
      <w:tr>
        <w:trPr>
          <w:trHeight w:val="196"/>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equity</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1,568,371</w:t>
            </w:r>
          </w:p>
        </w:tc>
        <w:tc>
          <w:tcPr>
            <w:tcW w:w="24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1,620,457</w:t>
            </w: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Trade accounts payable</w:t>
            </w:r>
          </w:p>
        </w:tc>
        <w:tc>
          <w:tcPr>
            <w:tcW w:w="1800" w:type="dxa"/>
            <w:vAlign w:val="bottom"/>
          </w:tcPr>
          <w:p>
            <w:pPr>
              <w:jc w:val="right"/>
              <w:spacing w:after="0"/>
              <w:rPr>
                <w:sz w:val="20"/>
                <w:szCs w:val="20"/>
                <w:color w:val="auto"/>
              </w:rPr>
            </w:pPr>
            <w:r>
              <w:rPr>
                <w:rFonts w:ascii="Arial" w:cs="Arial" w:eastAsia="Arial" w:hAnsi="Arial"/>
                <w:sz w:val="16"/>
                <w:szCs w:val="16"/>
                <w:color w:val="auto"/>
              </w:rPr>
              <w:t>15,892</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23,642</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Ship management creditors</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2"/>
        </w:trPr>
        <w:tc>
          <w:tcPr>
            <w:tcW w:w="606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180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current portion</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25,518</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1800" w:type="dxa"/>
            <w:vAlign w:val="bottom"/>
          </w:tcPr>
          <w:p>
            <w:pPr>
              <w:jc w:val="right"/>
              <w:spacing w:after="0"/>
              <w:rPr>
                <w:sz w:val="20"/>
                <w:szCs w:val="20"/>
                <w:color w:val="auto"/>
              </w:rPr>
            </w:pPr>
            <w:r>
              <w:rPr>
                <w:rFonts w:ascii="Arial" w:cs="Arial" w:eastAsia="Arial" w:hAnsi="Arial"/>
                <w:sz w:val="16"/>
                <w:szCs w:val="16"/>
                <w:color w:val="auto"/>
              </w:rPr>
              <w:t>153,501</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149,785</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Borrowings, current portion</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553,161</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291,850</w:t>
            </w:r>
          </w:p>
        </w:tc>
      </w:tr>
      <w:tr>
        <w:trPr>
          <w:trHeight w:val="203"/>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Lease liabilities, current portion</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30,905</w:t>
            </w:r>
          </w:p>
        </w:tc>
        <w:tc>
          <w:tcPr>
            <w:tcW w:w="24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41,758</w:t>
            </w: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779,123</w:t>
            </w:r>
          </w:p>
        </w:tc>
        <w:tc>
          <w:tcPr>
            <w:tcW w:w="24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511,770</w:t>
            </w:r>
          </w:p>
        </w:tc>
      </w:tr>
      <w:tr>
        <w:trPr>
          <w:trHeight w:val="190"/>
        </w:trPr>
        <w:tc>
          <w:tcPr>
            <w:tcW w:w="60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8"/>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28,694</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7,635</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1800" w:type="dxa"/>
            <w:vAlign w:val="bottom"/>
          </w:tcPr>
          <w:p>
            <w:pPr>
              <w:jc w:val="right"/>
              <w:spacing w:after="0"/>
              <w:rPr>
                <w:sz w:val="20"/>
                <w:szCs w:val="20"/>
                <w:color w:val="auto"/>
              </w:rPr>
            </w:pPr>
            <w:r>
              <w:rPr>
                <w:rFonts w:ascii="Arial" w:cs="Arial" w:eastAsia="Arial" w:hAnsi="Arial"/>
                <w:sz w:val="16"/>
                <w:szCs w:val="16"/>
                <w:color w:val="auto"/>
              </w:rPr>
              <w:t>3,105,059</w:t>
            </w: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3,125,931</w:t>
            </w: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 non-current portion</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271,945</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300,535</w:t>
            </w:r>
          </w:p>
        </w:tc>
      </w:tr>
      <w:tr>
        <w:trPr>
          <w:trHeight w:val="203"/>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non-current liabilities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6,553</w:t>
            </w:r>
          </w:p>
        </w:tc>
        <w:tc>
          <w:tcPr>
            <w:tcW w:w="24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86,875</w:t>
            </w: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non-current liabilities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3,412,251</w:t>
            </w:r>
          </w:p>
        </w:tc>
        <w:tc>
          <w:tcPr>
            <w:tcW w:w="24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3,520,976</w:t>
            </w:r>
          </w:p>
        </w:tc>
      </w:tr>
      <w:tr>
        <w:trPr>
          <w:trHeight w:val="196"/>
        </w:trPr>
        <w:tc>
          <w:tcPr>
            <w:tcW w:w="606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5,759,745</w:t>
            </w:r>
          </w:p>
        </w:tc>
        <w:tc>
          <w:tcPr>
            <w:tcW w:w="240" w:type="dxa"/>
            <w:vAlign w:val="bottom"/>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5,653,203</w:t>
            </w:r>
          </w:p>
        </w:tc>
      </w:tr>
      <w:tr>
        <w:trPr>
          <w:trHeight w:val="20"/>
        </w:trPr>
        <w:tc>
          <w:tcPr>
            <w:tcW w:w="60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six months ended June 30, 2021 and 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580" w:type="dxa"/>
            <w:vAlign w:val="bottom"/>
            <w:gridSpan w:val="4"/>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2440" w:type="dxa"/>
            <w:vAlign w:val="bottom"/>
            <w:gridSpan w:val="3"/>
          </w:tcPr>
          <w:p>
            <w:pPr>
              <w:ind w:left="440"/>
              <w:spacing w:after="0"/>
              <w:rPr>
                <w:sz w:val="20"/>
                <w:szCs w:val="20"/>
                <w:color w:val="auto"/>
              </w:rPr>
            </w:pPr>
            <w:r>
              <w:rPr>
                <w:rFonts w:ascii="Arial" w:cs="Arial" w:eastAsia="Arial" w:hAnsi="Arial"/>
                <w:sz w:val="14"/>
                <w:szCs w:val="14"/>
                <w:b w:val="1"/>
                <w:bCs w:val="1"/>
                <w:color w:val="auto"/>
              </w:rPr>
              <w:t>For the six months ended</w:t>
            </w:r>
          </w:p>
        </w:tc>
      </w:tr>
      <w:tr>
        <w:trPr>
          <w:trHeight w:val="148"/>
        </w:trPr>
        <w:tc>
          <w:tcPr>
            <w:tcW w:w="4900" w:type="dxa"/>
            <w:vAlign w:val="bottom"/>
          </w:tcPr>
          <w:p>
            <w:pPr>
              <w:spacing w:after="0"/>
              <w:rPr>
                <w:sz w:val="12"/>
                <w:szCs w:val="12"/>
                <w:color w:val="auto"/>
              </w:rPr>
            </w:pP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June 30,</w:t>
            </w:r>
          </w:p>
        </w:tc>
        <w:tc>
          <w:tcPr>
            <w:tcW w:w="12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June 30,</w:t>
            </w:r>
          </w:p>
        </w:tc>
        <w:tc>
          <w:tcPr>
            <w:tcW w:w="13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June 30,</w:t>
            </w:r>
          </w:p>
        </w:tc>
        <w:tc>
          <w:tcPr>
            <w:tcW w:w="112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June 30,</w:t>
            </w:r>
          </w:p>
        </w:tc>
      </w:tr>
      <w:tr>
        <w:trPr>
          <w:trHeight w:val="171"/>
        </w:trPr>
        <w:tc>
          <w:tcPr>
            <w:tcW w:w="49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216,096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378,337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429,819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(5,681)</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(1,995)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(9,593)</w:t>
            </w:r>
          </w:p>
        </w:tc>
        <w:tc>
          <w:tcPr>
            <w:tcW w:w="1120" w:type="dxa"/>
            <w:vAlign w:val="bottom"/>
          </w:tcPr>
          <w:p>
            <w:pPr>
              <w:jc w:val="right"/>
              <w:spacing w:after="0"/>
              <w:rPr>
                <w:sz w:val="20"/>
                <w:szCs w:val="20"/>
                <w:color w:val="auto"/>
              </w:rPr>
            </w:pPr>
            <w:r>
              <w:rPr>
                <w:rFonts w:ascii="Arial" w:cs="Arial" w:eastAsia="Arial" w:hAnsi="Arial"/>
                <w:sz w:val="18"/>
                <w:szCs w:val="18"/>
                <w:color w:val="auto"/>
              </w:rPr>
              <w:t>(7,327)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and supervision costs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(40,688)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(42,446)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(79,941)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Depreciation</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(48,493)</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(58,008)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(96,183)</w:t>
            </w:r>
          </w:p>
        </w:tc>
        <w:tc>
          <w:tcPr>
            <w:tcW w:w="1120" w:type="dxa"/>
            <w:vAlign w:val="bottom"/>
          </w:tcPr>
          <w:p>
            <w:pPr>
              <w:jc w:val="right"/>
              <w:spacing w:after="0"/>
              <w:rPr>
                <w:sz w:val="20"/>
                <w:szCs w:val="20"/>
                <w:color w:val="auto"/>
              </w:rPr>
            </w:pPr>
            <w:r>
              <w:rPr>
                <w:rFonts w:ascii="Arial" w:cs="Arial" w:eastAsia="Arial" w:hAnsi="Arial"/>
                <w:sz w:val="18"/>
                <w:szCs w:val="18"/>
                <w:color w:val="auto"/>
              </w:rPr>
              <w:t>(112,841)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(28,027)</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Loss on disposal of non-current assets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(13,498)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(25,240)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(16,902)</w:t>
            </w:r>
          </w:p>
        </w:tc>
      </w:tr>
      <w:tr>
        <w:trPr>
          <w:trHeight w:val="209"/>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64,650</w:t>
            </w:r>
          </w:p>
        </w:tc>
        <w:tc>
          <w:tcPr>
            <w:tcW w:w="2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78,736</w:t>
            </w:r>
          </w:p>
        </w:tc>
        <w:tc>
          <w:tcPr>
            <w:tcW w:w="1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167,380</w:t>
            </w:r>
          </w:p>
        </w:tc>
        <w:tc>
          <w:tcPr>
            <w:tcW w:w="2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149,178</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(51,216)</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Financial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(Loss)/gain on derivatives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45,731</w:t>
            </w: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 of profit of associates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expenses, net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(56,939)</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(30,367)</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(75,425)</w:t>
            </w: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(29,757)</w:t>
            </w:r>
          </w:p>
        </w:tc>
      </w:tr>
      <w:tr>
        <w:trPr>
          <w:trHeight w:val="249"/>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Profit for the period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7,711</w:t>
            </w: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48,369</w:t>
            </w:r>
          </w:p>
        </w:tc>
        <w:tc>
          <w:tcPr>
            <w:tcW w:w="1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91,955</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119,421</w:t>
            </w:r>
          </w:p>
        </w:tc>
      </w:tr>
      <w:tr>
        <w:trPr>
          <w:trHeight w:val="197"/>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Attributable to:</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Owners of the Group</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(4,784)</w:t>
            </w:r>
          </w:p>
        </w:tc>
        <w:tc>
          <w:tcPr>
            <w:tcW w:w="1100" w:type="dxa"/>
            <w:vAlign w:val="bottom"/>
          </w:tcPr>
          <w:p>
            <w:pPr>
              <w:jc w:val="right"/>
              <w:spacing w:after="0"/>
              <w:rPr>
                <w:sz w:val="20"/>
                <w:szCs w:val="20"/>
                <w:color w:val="auto"/>
              </w:rPr>
            </w:pPr>
            <w:r>
              <w:rPr>
                <w:rFonts w:ascii="Arial" w:cs="Arial" w:eastAsia="Arial" w:hAnsi="Arial"/>
                <w:sz w:val="18"/>
                <w:szCs w:val="18"/>
                <w:color w:val="auto"/>
              </w:rPr>
              <w:t>45,729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53,150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90,524</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38,805</w:t>
            </w: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28,897</w:t>
            </w:r>
          </w:p>
        </w:tc>
      </w:tr>
      <w:tr>
        <w:trPr>
          <w:trHeight w:val="210"/>
        </w:trPr>
        <w:tc>
          <w:tcPr>
            <w:tcW w:w="49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7,711</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48,369</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91,955</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119,421</w:t>
            </w:r>
          </w:p>
        </w:tc>
      </w:tr>
      <w:tr>
        <w:trPr>
          <w:trHeight w:val="20"/>
        </w:trPr>
        <w:tc>
          <w:tcPr>
            <w:tcW w:w="4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2021 and 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300" w:type="dxa"/>
            <w:vAlign w:val="bottom"/>
            <w:gridSpan w:val="3"/>
          </w:tcPr>
          <w:p>
            <w:pPr>
              <w:jc w:val="right"/>
              <w:ind w:right="799"/>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6620" w:type="dxa"/>
            <w:vAlign w:val="bottom"/>
          </w:tcPr>
          <w:p>
            <w:pPr>
              <w:spacing w:after="0"/>
              <w:rPr>
                <w:sz w:val="14"/>
                <w:szCs w:val="14"/>
                <w:color w:val="auto"/>
              </w:rPr>
            </w:pPr>
          </w:p>
        </w:tc>
        <w:tc>
          <w:tcPr>
            <w:tcW w:w="178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 2021</w:t>
            </w:r>
          </w:p>
        </w:tc>
        <w:tc>
          <w:tcPr>
            <w:tcW w:w="1520" w:type="dxa"/>
            <w:vAlign w:val="bottom"/>
          </w:tcPr>
          <w:p>
            <w:pPr>
              <w:jc w:val="right"/>
              <w:ind w:right="259"/>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Profit for the period</w:t>
            </w:r>
          </w:p>
        </w:tc>
        <w:tc>
          <w:tcPr>
            <w:tcW w:w="1520" w:type="dxa"/>
            <w:vAlign w:val="bottom"/>
          </w:tcPr>
          <w:p>
            <w:pPr>
              <w:jc w:val="right"/>
              <w:spacing w:after="0"/>
              <w:rPr>
                <w:sz w:val="20"/>
                <w:szCs w:val="20"/>
                <w:color w:val="auto"/>
              </w:rPr>
            </w:pPr>
            <w:r>
              <w:rPr>
                <w:rFonts w:ascii="Arial" w:cs="Arial" w:eastAsia="Arial" w:hAnsi="Arial"/>
                <w:sz w:val="16"/>
                <w:szCs w:val="16"/>
                <w:color w:val="auto"/>
              </w:rPr>
              <w:t>91,955</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119,421</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Adjustments for:</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Depreciation</w:t>
            </w:r>
          </w:p>
        </w:tc>
        <w:tc>
          <w:tcPr>
            <w:tcW w:w="1520" w:type="dxa"/>
            <w:vAlign w:val="bottom"/>
          </w:tcPr>
          <w:p>
            <w:pPr>
              <w:jc w:val="right"/>
              <w:spacing w:after="0"/>
              <w:rPr>
                <w:sz w:val="20"/>
                <w:szCs w:val="20"/>
                <w:color w:val="auto"/>
              </w:rPr>
            </w:pPr>
            <w:r>
              <w:rPr>
                <w:rFonts w:ascii="Arial" w:cs="Arial" w:eastAsia="Arial" w:hAnsi="Arial"/>
                <w:sz w:val="16"/>
                <w:szCs w:val="16"/>
                <w:color w:val="auto"/>
              </w:rPr>
              <w:t>96,183</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112,841</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56,911</w:t>
            </w: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Share of profit of associates</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Financial income</w:t>
            </w: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(86)</w:t>
            </w:r>
          </w:p>
        </w:tc>
        <w:tc>
          <w:tcPr>
            <w:tcW w:w="152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90,604</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76,835</w:t>
            </w:r>
          </w:p>
        </w:tc>
      </w:tr>
      <w:tr>
        <w:trPr>
          <w:trHeight w:val="193"/>
        </w:trPr>
        <w:tc>
          <w:tcPr>
            <w:tcW w:w="6620" w:type="dxa"/>
            <w:vAlign w:val="bottom"/>
          </w:tcPr>
          <w:p>
            <w:pPr>
              <w:spacing w:after="0"/>
              <w:rPr>
                <w:sz w:val="20"/>
                <w:szCs w:val="20"/>
                <w:color w:val="auto"/>
              </w:rPr>
            </w:pPr>
            <w:r>
              <w:rPr>
                <w:rFonts w:ascii="Arial" w:cs="Arial" w:eastAsia="Arial" w:hAnsi="Arial"/>
                <w:sz w:val="16"/>
                <w:szCs w:val="16"/>
                <w:color w:val="auto"/>
                <w:w w:val="97"/>
              </w:rPr>
              <w:t>Gain on derivatives (excluding realized gain/loss on forward foreign exchange contracts held for</w:t>
            </w: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6"/>
        </w:trPr>
        <w:tc>
          <w:tcPr>
            <w:tcW w:w="6620" w:type="dxa"/>
            <w:vAlign w:val="bottom"/>
          </w:tcPr>
          <w:p>
            <w:pPr>
              <w:ind w:left="140"/>
              <w:spacing w:after="0"/>
              <w:rPr>
                <w:sz w:val="20"/>
                <w:szCs w:val="20"/>
                <w:color w:val="auto"/>
              </w:rPr>
            </w:pPr>
            <w:r>
              <w:rPr>
                <w:rFonts w:ascii="Arial" w:cs="Arial" w:eastAsia="Arial" w:hAnsi="Arial"/>
                <w:sz w:val="16"/>
                <w:szCs w:val="16"/>
                <w:color w:val="auto"/>
              </w:rPr>
              <w:t>trading)</w:t>
            </w: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(13,918)</w:t>
            </w:r>
          </w:p>
        </w:tc>
        <w:tc>
          <w:tcPr>
            <w:tcW w:w="1520" w:type="dxa"/>
            <w:vAlign w:val="bottom"/>
          </w:tcPr>
          <w:p>
            <w:pPr>
              <w:jc w:val="right"/>
              <w:spacing w:after="0"/>
              <w:rPr>
                <w:sz w:val="20"/>
                <w:szCs w:val="20"/>
                <w:color w:val="auto"/>
              </w:rPr>
            </w:pPr>
            <w:r>
              <w:rPr>
                <w:rFonts w:ascii="Arial" w:cs="Arial" w:eastAsia="Arial" w:hAnsi="Arial"/>
                <w:sz w:val="16"/>
                <w:szCs w:val="16"/>
                <w:color w:val="auto"/>
              </w:rPr>
              <w:t>(47,558)</w:t>
            </w:r>
          </w:p>
        </w:tc>
      </w:tr>
      <w:tr>
        <w:trPr>
          <w:trHeight w:val="208"/>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2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196"/>
        </w:trPr>
        <w:tc>
          <w:tcPr>
            <w:tcW w:w="66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266,854</w:t>
            </w:r>
          </w:p>
        </w:tc>
        <w:tc>
          <w:tcPr>
            <w:tcW w:w="2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318,143</w:t>
            </w:r>
          </w:p>
        </w:tc>
      </w:tr>
      <w:tr>
        <w:trPr>
          <w:trHeight w:val="196"/>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Movements in working capital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2,558</w:t>
            </w:r>
          </w:p>
        </w:tc>
        <w:tc>
          <w:tcPr>
            <w:tcW w:w="26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(6,583)</w:t>
            </w:r>
          </w:p>
        </w:tc>
      </w:tr>
      <w:tr>
        <w:trPr>
          <w:trHeight w:val="196"/>
        </w:trPr>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269,412</w:t>
            </w:r>
          </w:p>
        </w:tc>
        <w:tc>
          <w:tcPr>
            <w:tcW w:w="2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311,560</w:t>
            </w:r>
          </w:p>
        </w:tc>
      </w:tr>
      <w:tr>
        <w:trPr>
          <w:trHeight w:val="196"/>
        </w:trPr>
        <w:tc>
          <w:tcPr>
            <w:tcW w:w="6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(333,461)</w:t>
            </w:r>
          </w:p>
        </w:tc>
        <w:tc>
          <w:tcPr>
            <w:tcW w:w="1520" w:type="dxa"/>
            <w:vAlign w:val="bottom"/>
          </w:tcPr>
          <w:p>
            <w:pPr>
              <w:jc w:val="right"/>
              <w:spacing w:after="0"/>
              <w:rPr>
                <w:sz w:val="20"/>
                <w:szCs w:val="20"/>
                <w:color w:val="auto"/>
              </w:rPr>
            </w:pPr>
            <w:r>
              <w:rPr>
                <w:rFonts w:ascii="Arial" w:cs="Arial" w:eastAsia="Arial" w:hAnsi="Arial"/>
                <w:sz w:val="16"/>
                <w:szCs w:val="16"/>
                <w:color w:val="auto"/>
              </w:rPr>
              <w:t>(117,196)</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and leaseback, net of commissions</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123,448</w:t>
            </w: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Proceeds from FSRU forthcoming sale</w:t>
            </w: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79,526</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Other investments</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Dividends received from associate</w:t>
            </w:r>
          </w:p>
        </w:tc>
        <w:tc>
          <w:tcPr>
            <w:tcW w:w="1520" w:type="dxa"/>
            <w:vAlign w:val="bottom"/>
          </w:tcPr>
          <w:p>
            <w:pPr>
              <w:jc w:val="right"/>
              <w:spacing w:after="0"/>
              <w:rPr>
                <w:sz w:val="20"/>
                <w:szCs w:val="20"/>
                <w:color w:val="auto"/>
              </w:rPr>
            </w:pPr>
            <w:r>
              <w:rPr>
                <w:rFonts w:ascii="Arial" w:cs="Arial" w:eastAsia="Arial" w:hAnsi="Arial"/>
                <w:sz w:val="16"/>
                <w:szCs w:val="16"/>
                <w:color w:val="auto"/>
              </w:rPr>
              <w:t>825</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Purchase of short-term cash deposits</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(2,500)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03"/>
        </w:trPr>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Financial income received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196"/>
        </w:trPr>
        <w:tc>
          <w:tcPr>
            <w:tcW w:w="6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in)/provided by investing activities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(335,050)</w:t>
            </w:r>
          </w:p>
        </w:tc>
        <w:tc>
          <w:tcPr>
            <w:tcW w:w="26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75,897</w:t>
            </w:r>
          </w:p>
        </w:tc>
      </w:tr>
      <w:tr>
        <w:trPr>
          <w:trHeight w:val="190"/>
        </w:trPr>
        <w:tc>
          <w:tcPr>
            <w:tcW w:w="66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8"/>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loans and bonds, net of discount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318,913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312,638</w:t>
            </w: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Loan and bond repayments</w:t>
            </w: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(266,770)</w:t>
            </w:r>
          </w:p>
        </w:tc>
        <w:tc>
          <w:tcPr>
            <w:tcW w:w="1520" w:type="dxa"/>
            <w:vAlign w:val="bottom"/>
          </w:tcPr>
          <w:p>
            <w:pPr>
              <w:jc w:val="right"/>
              <w:spacing w:after="0"/>
              <w:rPr>
                <w:sz w:val="20"/>
                <w:szCs w:val="20"/>
                <w:color w:val="auto"/>
              </w:rPr>
            </w:pPr>
            <w:r>
              <w:rPr>
                <w:rFonts w:ascii="Arial" w:cs="Arial" w:eastAsia="Arial" w:hAnsi="Arial"/>
                <w:sz w:val="16"/>
                <w:szCs w:val="16"/>
                <w:color w:val="auto"/>
              </w:rPr>
              <w:t>(543,116)</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Principal elements of lease payments</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(5,498)</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(18,707)</w:t>
            </w: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Interest paid</w:t>
            </w: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(88,407)</w:t>
            </w:r>
          </w:p>
        </w:tc>
        <w:tc>
          <w:tcPr>
            <w:tcW w:w="1520" w:type="dxa"/>
            <w:vAlign w:val="bottom"/>
          </w:tcPr>
          <w:p>
            <w:pPr>
              <w:jc w:val="right"/>
              <w:spacing w:after="0"/>
              <w:rPr>
                <w:sz w:val="20"/>
                <w:szCs w:val="20"/>
                <w:color w:val="auto"/>
              </w:rPr>
            </w:pPr>
            <w:r>
              <w:rPr>
                <w:rFonts w:ascii="Arial" w:cs="Arial" w:eastAsia="Arial" w:hAnsi="Arial"/>
                <w:sz w:val="16"/>
                <w:szCs w:val="16"/>
                <w:color w:val="auto"/>
              </w:rPr>
              <w:t>(73,511)</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Loan/bond modification costs related to the Transaction</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(15,652)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Payment of cash collaterals for swaps</w:t>
            </w: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(4,480)</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Release of cash collaterals for swaps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19,717</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Payment of loan and bond issuance costs</w:t>
            </w: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(4,708)</w:t>
            </w:r>
          </w:p>
        </w:tc>
        <w:tc>
          <w:tcPr>
            <w:tcW w:w="1520" w:type="dxa"/>
            <w:vAlign w:val="bottom"/>
          </w:tcPr>
          <w:p>
            <w:pPr>
              <w:jc w:val="right"/>
              <w:spacing w:after="0"/>
              <w:rPr>
                <w:sz w:val="20"/>
                <w:szCs w:val="20"/>
                <w:color w:val="auto"/>
              </w:rPr>
            </w:pPr>
            <w:r>
              <w:rPr>
                <w:rFonts w:ascii="Arial" w:cs="Arial" w:eastAsia="Arial" w:hAnsi="Arial"/>
                <w:sz w:val="16"/>
                <w:szCs w:val="16"/>
                <w:color w:val="auto"/>
              </w:rPr>
              <w:t>(1,580)</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Loan issuance costs received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620" w:type="dxa"/>
            <w:vAlign w:val="bottom"/>
          </w:tcPr>
          <w:p>
            <w:pPr>
              <w:spacing w:after="0"/>
              <w:rPr>
                <w:sz w:val="20"/>
                <w:szCs w:val="20"/>
                <w:color w:val="auto"/>
              </w:rPr>
            </w:pPr>
            <w:r>
              <w:rPr>
                <w:rFonts w:ascii="Arial" w:cs="Arial" w:eastAsia="Arial" w:hAnsi="Arial"/>
                <w:sz w:val="16"/>
                <w:szCs w:val="16"/>
                <w:color w:val="auto"/>
              </w:rPr>
              <w:t>Payment of equity raising costs</w:t>
            </w: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(124)</w:t>
            </w:r>
          </w:p>
        </w:tc>
        <w:tc>
          <w:tcPr>
            <w:tcW w:w="15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9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GasLog Partners’ common unit offerings (net of underwriting discounts and</w:t>
            </w:r>
          </w:p>
        </w:tc>
        <w:tc>
          <w:tcPr>
            <w:tcW w:w="1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12"/>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commissions)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6620" w:type="dxa"/>
            <w:vAlign w:val="bottom"/>
          </w:tcPr>
          <w:p>
            <w:pPr>
              <w:spacing w:after="0"/>
              <w:rPr>
                <w:sz w:val="20"/>
                <w:szCs w:val="20"/>
                <w:color w:val="auto"/>
              </w:rPr>
            </w:pPr>
            <w:r>
              <w:rPr>
                <w:rFonts w:ascii="Arial" w:cs="Arial" w:eastAsia="Arial" w:hAnsi="Arial"/>
                <w:sz w:val="16"/>
                <w:szCs w:val="16"/>
                <w:color w:val="auto"/>
              </w:rPr>
              <w:t>Dividends paid (common and preference)</w:t>
            </w: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(32,895)</w:t>
            </w:r>
          </w:p>
        </w:tc>
        <w:tc>
          <w:tcPr>
            <w:tcW w:w="1520" w:type="dxa"/>
            <w:vAlign w:val="bottom"/>
          </w:tcPr>
          <w:p>
            <w:pPr>
              <w:jc w:val="right"/>
              <w:spacing w:after="0"/>
              <w:rPr>
                <w:sz w:val="20"/>
                <w:szCs w:val="20"/>
                <w:color w:val="auto"/>
              </w:rPr>
            </w:pPr>
            <w:r>
              <w:rPr>
                <w:rFonts w:ascii="Arial" w:cs="Arial" w:eastAsia="Arial" w:hAnsi="Arial"/>
                <w:sz w:val="16"/>
                <w:szCs w:val="16"/>
                <w:color w:val="auto"/>
              </w:rPr>
              <w:t>(55,400)</w:t>
            </w:r>
          </w:p>
        </w:tc>
      </w:tr>
      <w:tr>
        <w:trPr>
          <w:trHeight w:val="20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GasLog Partners’ preference units</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(18,740)</w:t>
            </w:r>
          </w:p>
        </w:tc>
      </w:tr>
      <w:tr>
        <w:trPr>
          <w:trHeight w:val="196"/>
        </w:trPr>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(69,525)</w:t>
            </w:r>
          </w:p>
        </w:tc>
        <w:tc>
          <w:tcPr>
            <w:tcW w:w="26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(397,446)</w:t>
            </w:r>
          </w:p>
        </w:tc>
      </w:tr>
      <w:tr>
        <w:trPr>
          <w:trHeight w:val="196"/>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6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196"/>
        </w:trPr>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(135,215)</w:t>
            </w:r>
          </w:p>
        </w:tc>
        <w:tc>
          <w:tcPr>
            <w:tcW w:w="2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(10,469)</w:t>
            </w:r>
          </w:p>
        </w:tc>
      </w:tr>
      <w:tr>
        <w:trPr>
          <w:trHeight w:val="196"/>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the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367,269</w:t>
            </w:r>
          </w:p>
        </w:tc>
        <w:tc>
          <w:tcPr>
            <w:tcW w:w="26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282,246</w:t>
            </w:r>
          </w:p>
        </w:tc>
      </w:tr>
      <w:tr>
        <w:trPr>
          <w:trHeight w:val="196"/>
        </w:trPr>
        <w:tc>
          <w:tcPr>
            <w:tcW w:w="662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232,054</w:t>
            </w:r>
          </w:p>
        </w:tc>
        <w:tc>
          <w:tcPr>
            <w:tcW w:w="26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271,777</w:t>
            </w:r>
          </w:p>
        </w:tc>
      </w:tr>
      <w:tr>
        <w:trPr>
          <w:trHeight w:val="20"/>
        </w:trPr>
        <w:tc>
          <w:tcPr>
            <w:tcW w:w="6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and Adjusted Profit</w:t>
      </w:r>
    </w:p>
    <w:p>
      <w:pPr>
        <w:spacing w:after="0" w:line="239" w:lineRule="exact"/>
        <w:rPr>
          <w:sz w:val="20"/>
          <w:szCs w:val="20"/>
          <w:color w:val="auto"/>
        </w:rPr>
      </w:pPr>
    </w:p>
    <w:p>
      <w:pPr>
        <w:ind w:right="20" w:firstLine="324"/>
        <w:spacing w:after="0" w:line="302" w:lineRule="auto"/>
        <w:rPr>
          <w:sz w:val="20"/>
          <w:szCs w:val="20"/>
          <w:color w:val="auto"/>
        </w:rPr>
      </w:pPr>
      <w:r>
        <w:rPr>
          <w:rFonts w:ascii="Arial" w:cs="Arial" w:eastAsia="Arial" w:hAnsi="Arial"/>
          <w:sz w:val="14"/>
          <w:szCs w:val="14"/>
          <w:color w:val="auto"/>
        </w:rPr>
        <w:t>EBITDA is defined as earnings before depreciation, amortization, financial income and costs, gain/loss on derivatives and taxes. Adjusted EBITDA is defined as EBITDA before foreign exchange gains/losses, impairment loss, gain/loss on disposal of non-current assets, restructuring costs and the Transaction Costs. Adjusted Profit represents earnings before write-off and accelerated amortization of unamortized loan fees/bond fees and premium,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that includes (if any) (a) unrealized gain/loss on derivative financial instruments held for trading, (b) recycled loss of cash flow hedges reclassified to profit or loss and (c) ineffective portion of cash flow hedges. EBITDA, Adjusted EBITDA and Adjusted Profit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Profit assists our management and investors in</w:t>
      </w:r>
    </w:p>
    <w:p>
      <w:pPr>
        <w:spacing w:after="0" w:line="3" w:lineRule="exact"/>
        <w:rPr>
          <w:sz w:val="20"/>
          <w:szCs w:val="20"/>
          <w:color w:val="auto"/>
        </w:rPr>
      </w:pPr>
    </w:p>
    <w:p>
      <w:pPr>
        <w:ind w:right="20" w:firstLine="8"/>
        <w:spacing w:after="0" w:line="309" w:lineRule="auto"/>
        <w:tabs>
          <w:tab w:leader="none" w:pos="193" w:val="left"/>
        </w:tabs>
        <w:numPr>
          <w:ilvl w:val="0"/>
          <w:numId w:val="4"/>
        </w:numPr>
        <w:rPr>
          <w:rFonts w:ascii="Arial" w:cs="Arial" w:eastAsia="Arial" w:hAnsi="Arial"/>
          <w:sz w:val="14"/>
          <w:szCs w:val="14"/>
          <w:color w:val="auto"/>
        </w:rPr>
      </w:pPr>
      <w:r>
        <w:rPr>
          <w:rFonts w:ascii="Arial" w:cs="Arial" w:eastAsia="Arial" w:hAnsi="Arial"/>
          <w:sz w:val="14"/>
          <w:szCs w:val="14"/>
          <w:color w:val="auto"/>
        </w:rPr>
        <w:t>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gain/loss on disposal of non-current assets, restructuring costs and Transaction Costs; and in the case of Adjusted Profit, write-off and accelerated amortization of unamortized loan/bond fees and premium,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which items are affected by various and possibly changing financing methods, financial market conditions, capital structure and historical cost basis, and which items may significantly affect results of operations between periods.</w:t>
      </w:r>
    </w:p>
    <w:p>
      <w:pPr>
        <w:spacing w:after="0" w:line="169" w:lineRule="exact"/>
        <w:rPr>
          <w:sz w:val="20"/>
          <w:szCs w:val="20"/>
          <w:color w:val="auto"/>
        </w:rPr>
      </w:pPr>
    </w:p>
    <w:p>
      <w:pPr>
        <w:ind w:firstLine="324"/>
        <w:spacing w:after="0" w:line="311" w:lineRule="auto"/>
        <w:rPr>
          <w:sz w:val="20"/>
          <w:szCs w:val="20"/>
          <w:color w:val="auto"/>
        </w:rPr>
      </w:pPr>
      <w:r>
        <w:rPr>
          <w:rFonts w:ascii="Arial" w:cs="Arial" w:eastAsia="Arial" w:hAnsi="Arial"/>
          <w:sz w:val="14"/>
          <w:szCs w:val="14"/>
          <w:color w:val="auto"/>
        </w:rPr>
        <w:t>EBITDA, Adjusted EBITDA and Adjusted Profit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Profit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67" w:lineRule="exact"/>
        <w:rPr>
          <w:sz w:val="20"/>
          <w:szCs w:val="20"/>
          <w:color w:val="auto"/>
        </w:rPr>
      </w:pPr>
    </w:p>
    <w:p>
      <w:pPr>
        <w:jc w:val="both"/>
        <w:ind w:right="80" w:firstLine="324"/>
        <w:spacing w:after="0" w:line="273" w:lineRule="auto"/>
        <w:rPr>
          <w:sz w:val="20"/>
          <w:szCs w:val="20"/>
          <w:color w:val="auto"/>
        </w:rPr>
      </w:pPr>
      <w:r>
        <w:rPr>
          <w:rFonts w:ascii="Arial" w:cs="Arial" w:eastAsia="Arial" w:hAnsi="Arial"/>
          <w:sz w:val="16"/>
          <w:szCs w:val="16"/>
          <w:color w:val="auto"/>
        </w:rPr>
        <w:t>In evaluating Adjusted EBITDA and Adjusted Profit, you should be aware that in the future we may incur expenses that are the same as, or similar to, some of the adjustments in this presentation. Our presentation of Adjusted EBITDA and Adjusted Profit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Profit to EBITDA and Adjusted EBITDA: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580" w:type="dxa"/>
            <w:vAlign w:val="bottom"/>
            <w:gridSpan w:val="4"/>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2440" w:type="dxa"/>
            <w:vAlign w:val="bottom"/>
            <w:gridSpan w:val="3"/>
          </w:tcPr>
          <w:p>
            <w:pPr>
              <w:jc w:val="right"/>
              <w:ind w:right="351"/>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490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2021</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2021</w:t>
            </w:r>
          </w:p>
        </w:tc>
        <w:tc>
          <w:tcPr>
            <w:tcW w:w="1120" w:type="dxa"/>
            <w:vAlign w:val="bottom"/>
          </w:tcPr>
          <w:p>
            <w:pPr>
              <w:jc w:val="right"/>
              <w:ind w:right="51"/>
              <w:spacing w:after="0"/>
              <w:rPr>
                <w:sz w:val="20"/>
                <w:szCs w:val="20"/>
                <w:color w:val="auto"/>
              </w:rPr>
            </w:pPr>
            <w:r>
              <w:rPr>
                <w:rFonts w:ascii="Arial" w:cs="Arial" w:eastAsia="Arial" w:hAnsi="Arial"/>
                <w:sz w:val="14"/>
                <w:szCs w:val="14"/>
                <w:b w:val="1"/>
                <w:bCs w:val="1"/>
                <w:color w:val="auto"/>
              </w:rPr>
              <w:t>June 30, 2022</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48,369</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91,955</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Depreciation</w:t>
            </w:r>
          </w:p>
        </w:tc>
        <w:tc>
          <w:tcPr>
            <w:tcW w:w="1100" w:type="dxa"/>
            <w:vAlign w:val="bottom"/>
          </w:tcPr>
          <w:p>
            <w:pPr>
              <w:jc w:val="right"/>
              <w:spacing w:after="0"/>
              <w:rPr>
                <w:sz w:val="20"/>
                <w:szCs w:val="20"/>
                <w:color w:val="auto"/>
              </w:rPr>
            </w:pPr>
            <w:r>
              <w:rPr>
                <w:rFonts w:ascii="Arial" w:cs="Arial" w:eastAsia="Arial" w:hAnsi="Arial"/>
                <w:sz w:val="18"/>
                <w:szCs w:val="18"/>
                <w:color w:val="auto"/>
              </w:rPr>
              <w:t>48,493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58,008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96,183</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112,841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51,216</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Financial income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(353)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12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Loss/(gain) on derivatives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(8,330)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(13,973)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(45,731)</w:t>
            </w:r>
          </w:p>
        </w:tc>
      </w:tr>
      <w:tr>
        <w:trPr>
          <w:trHeight w:val="210"/>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EBITDA</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113,696</w:t>
            </w:r>
          </w:p>
        </w:tc>
        <w:tc>
          <w:tcPr>
            <w:tcW w:w="2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137,160</w:t>
            </w:r>
          </w:p>
        </w:tc>
        <w:tc>
          <w:tcPr>
            <w:tcW w:w="1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264,683</w:t>
            </w:r>
          </w:p>
        </w:tc>
        <w:tc>
          <w:tcPr>
            <w:tcW w:w="2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262,954</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losses/(gains), net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Restructuring costs</w:t>
            </w: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1,689</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Impairment loss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28,027</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56,911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non-current assets</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10"/>
        </w:trPr>
        <w:tc>
          <w:tcPr>
            <w:tcW w:w="49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119,236</w:t>
            </w: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165,510</w:t>
            </w:r>
          </w:p>
        </w:tc>
        <w:tc>
          <w:tcPr>
            <w:tcW w:w="1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273,396</w:t>
            </w: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323,043</w:t>
            </w:r>
          </w:p>
        </w:tc>
      </w:tr>
      <w:tr>
        <w:trPr>
          <w:trHeight w:val="20"/>
        </w:trPr>
        <w:tc>
          <w:tcPr>
            <w:tcW w:w="4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44"/>
        </w:trPr>
        <w:tc>
          <w:tcPr>
            <w:tcW w:w="4900" w:type="dxa"/>
            <w:vAlign w:val="bottom"/>
          </w:tcPr>
          <w:p>
            <w:pPr>
              <w:spacing w:after="0"/>
              <w:rPr>
                <w:sz w:val="24"/>
                <w:szCs w:val="24"/>
                <w:color w:val="auto"/>
              </w:rPr>
            </w:pPr>
          </w:p>
        </w:tc>
        <w:tc>
          <w:tcPr>
            <w:tcW w:w="1100" w:type="dxa"/>
            <w:vAlign w:val="bottom"/>
          </w:tcPr>
          <w:p>
            <w:pPr>
              <w:jc w:val="right"/>
              <w:ind w:right="912"/>
              <w:spacing w:after="0"/>
              <w:rPr>
                <w:sz w:val="20"/>
                <w:szCs w:val="20"/>
                <w:color w:val="auto"/>
              </w:rPr>
            </w:pPr>
            <w:r>
              <w:rPr>
                <w:rFonts w:ascii="Arial" w:cs="Arial" w:eastAsia="Arial" w:hAnsi="Arial"/>
                <w:sz w:val="18"/>
                <w:szCs w:val="18"/>
                <w:color w:val="auto"/>
                <w:w w:val="79"/>
              </w:rPr>
              <w:t>9</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0"/>
        </w:trPr>
        <w:tc>
          <w:tcPr>
            <w:tcW w:w="4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Reconciliation of Profit to Adjusted Profit: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gridSpan w:val="4"/>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244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2021</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2021</w:t>
            </w:r>
          </w:p>
        </w:tc>
        <w:tc>
          <w:tcPr>
            <w:tcW w:w="1120" w:type="dxa"/>
            <w:vAlign w:val="bottom"/>
          </w:tcPr>
          <w:p>
            <w:pPr>
              <w:jc w:val="right"/>
              <w:ind w:right="52"/>
              <w:spacing w:after="0"/>
              <w:rPr>
                <w:sz w:val="20"/>
                <w:szCs w:val="20"/>
                <w:color w:val="auto"/>
              </w:rPr>
            </w:pPr>
            <w:r>
              <w:rPr>
                <w:rFonts w:ascii="Arial" w:cs="Arial" w:eastAsia="Arial" w:hAnsi="Arial"/>
                <w:sz w:val="14"/>
                <w:szCs w:val="14"/>
                <w:b w:val="1"/>
                <w:bCs w:val="1"/>
                <w:color w:val="auto"/>
              </w:rPr>
              <w:t>June 30, 2022</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7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48,369</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91,955</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Non-cash gain on derivatives</w:t>
            </w: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(2,531)</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(14,442)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(31,571)</w:t>
            </w:r>
          </w:p>
        </w:tc>
        <w:tc>
          <w:tcPr>
            <w:tcW w:w="1120" w:type="dxa"/>
            <w:vAlign w:val="bottom"/>
          </w:tcPr>
          <w:p>
            <w:pPr>
              <w:jc w:val="right"/>
              <w:spacing w:after="0"/>
              <w:rPr>
                <w:sz w:val="20"/>
                <w:szCs w:val="20"/>
                <w:color w:val="auto"/>
              </w:rPr>
            </w:pPr>
            <w:r>
              <w:rPr>
                <w:rFonts w:ascii="Arial" w:cs="Arial" w:eastAsia="Arial" w:hAnsi="Arial"/>
                <w:sz w:val="18"/>
                <w:szCs w:val="18"/>
                <w:color w:val="auto"/>
              </w:rPr>
              <w:t>(60,654)</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loan fees</w:t>
            </w:r>
          </w:p>
        </w:tc>
        <w:tc>
          <w:tcPr>
            <w:tcW w:w="7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Foreign exchange losses/(gains), net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Transaction Costs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20,893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24,610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7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Loss on disposal of non-current assets</w:t>
            </w:r>
          </w:p>
        </w:tc>
        <w:tc>
          <w:tcPr>
            <w:tcW w:w="7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losses, net on cash</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09"/>
        </w:trPr>
        <w:tc>
          <w:tcPr>
            <w:tcW w:w="4160" w:type="dxa"/>
            <w:vAlign w:val="bottom"/>
          </w:tcPr>
          <w:p>
            <w:pPr>
              <w:spacing w:after="0"/>
              <w:rPr>
                <w:sz w:val="20"/>
                <w:szCs w:val="20"/>
                <w:color w:val="auto"/>
              </w:rPr>
            </w:pPr>
            <w:r>
              <w:rPr>
                <w:rFonts w:ascii="Arial" w:cs="Arial" w:eastAsia="Arial" w:hAnsi="Arial"/>
                <w:sz w:val="18"/>
                <w:szCs w:val="18"/>
                <w:b w:val="1"/>
                <w:bCs w:val="1"/>
                <w:color w:val="auto"/>
              </w:rPr>
              <w:t>Adjusted Profit</w:t>
            </w:r>
          </w:p>
        </w:tc>
        <w:tc>
          <w:tcPr>
            <w:tcW w:w="7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26,476</w:t>
            </w: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62,452</w:t>
            </w:r>
          </w:p>
        </w:tc>
        <w:tc>
          <w:tcPr>
            <w:tcW w:w="1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88,329</w:t>
            </w: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120,486</w:t>
            </w:r>
          </w:p>
        </w:tc>
      </w:tr>
      <w:tr>
        <w:trPr>
          <w:trHeight w:val="20"/>
        </w:trPr>
        <w:tc>
          <w:tcPr>
            <w:tcW w:w="4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45"/>
        </w:trPr>
        <w:tc>
          <w:tcPr>
            <w:tcW w:w="4160" w:type="dxa"/>
            <w:vAlign w:val="bottom"/>
          </w:tcPr>
          <w:p>
            <w:pPr>
              <w:spacing w:after="0"/>
              <w:rPr>
                <w:sz w:val="24"/>
                <w:szCs w:val="24"/>
                <w:color w:val="auto"/>
              </w:rPr>
            </w:pPr>
          </w:p>
        </w:tc>
        <w:tc>
          <w:tcPr>
            <w:tcW w:w="1840" w:type="dxa"/>
            <w:vAlign w:val="bottom"/>
            <w:gridSpan w:val="2"/>
          </w:tcPr>
          <w:p>
            <w:pPr>
              <w:jc w:val="right"/>
              <w:ind w:right="855"/>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TO UNAUDITED CONDENSED CONSOLIDATED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160" w:type="dxa"/>
            <w:vAlign w:val="bottom"/>
            <w:gridSpan w:val="7"/>
            <w:shd w:val="clear" w:color="auto" w:fill="CCEEFF"/>
          </w:tcPr>
          <w:p>
            <w:pPr>
              <w:spacing w:after="0" w:line="162" w:lineRule="exact"/>
              <w:rPr>
                <w:rFonts w:ascii="Arial" w:cs="Arial" w:eastAsia="Arial" w:hAnsi="Arial"/>
                <w:sz w:val="16"/>
                <w:szCs w:val="16"/>
                <w:color w:val="0000EE"/>
              </w:rPr>
            </w:pPr>
            <w:hyperlink w:anchor="page15">
              <w:r>
                <w:rPr>
                  <w:rFonts w:ascii="Arial" w:cs="Arial" w:eastAsia="Arial" w:hAnsi="Arial"/>
                  <w:sz w:val="16"/>
                  <w:szCs w:val="16"/>
                  <w:color w:val="0000EE"/>
                </w:rPr>
                <w:t>Unaudited condensed consolidated statements of financial position as of December 31,2021 and June 30, 2022</w:t>
              </w:r>
            </w:hyperlink>
          </w:p>
        </w:tc>
        <w:tc>
          <w:tcPr>
            <w:tcW w:w="7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1"/>
              </w:rPr>
              <w:t>F-2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0000EE"/>
            </w:tcBorders>
            <w:shd w:val="clear" w:color="auto" w:fill="CCEEFF"/>
          </w:tcPr>
          <w:p>
            <w:pPr>
              <w:spacing w:after="0" w:line="20" w:lineRule="exact"/>
              <w:rPr>
                <w:sz w:val="1"/>
                <w:szCs w:val="1"/>
                <w:color w:val="auto"/>
              </w:rPr>
            </w:pPr>
          </w:p>
        </w:tc>
        <w:tc>
          <w:tcPr>
            <w:tcW w:w="27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9160" w:type="dxa"/>
            <w:vAlign w:val="bottom"/>
            <w:gridSpan w:val="7"/>
          </w:tcPr>
          <w:p>
            <w:pPr>
              <w:spacing w:after="0" w:line="162" w:lineRule="exact"/>
              <w:rPr>
                <w:rFonts w:ascii="Arial" w:cs="Arial" w:eastAsia="Arial" w:hAnsi="Arial"/>
                <w:sz w:val="16"/>
                <w:szCs w:val="16"/>
                <w:color w:val="0000EE"/>
              </w:rPr>
            </w:pPr>
            <w:hyperlink w:anchor="page16">
              <w:r>
                <w:rPr>
                  <w:rFonts w:ascii="Arial" w:cs="Arial" w:eastAsia="Arial" w:hAnsi="Arial"/>
                  <w:sz w:val="16"/>
                  <w:szCs w:val="16"/>
                  <w:color w:val="0000EE"/>
                </w:rPr>
                <w:t>Unaudited condensed consolidated statements of profit or loss for the three and six months ended June 30,2021 and 2022</w:t>
              </w:r>
            </w:hyperlink>
          </w:p>
        </w:tc>
        <w:tc>
          <w:tcPr>
            <w:tcW w:w="740" w:type="dxa"/>
            <w:vAlign w:val="bottom"/>
          </w:tcPr>
          <w:p>
            <w:pPr>
              <w:jc w:val="center"/>
              <w:spacing w:after="0" w:line="162" w:lineRule="exact"/>
              <w:rPr>
                <w:sz w:val="20"/>
                <w:szCs w:val="20"/>
                <w:color w:val="auto"/>
              </w:rPr>
            </w:pPr>
            <w:r>
              <w:rPr>
                <w:rFonts w:ascii="Arial" w:cs="Arial" w:eastAsia="Arial" w:hAnsi="Arial"/>
                <w:sz w:val="16"/>
                <w:szCs w:val="16"/>
                <w:color w:val="auto"/>
                <w:w w:val="91"/>
              </w:rPr>
              <w:t>F-3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980" w:type="dxa"/>
            <w:vAlign w:val="bottom"/>
            <w:tcBorders>
              <w:bottom w:val="single" w:sz="8" w:color="0000EE"/>
            </w:tcBorders>
            <w:gridSpan w:val="6"/>
            <w:shd w:val="clear" w:color="auto" w:fill="CCEEFF"/>
          </w:tcPr>
          <w:p>
            <w:pPr>
              <w:spacing w:after="0" w:line="162" w:lineRule="exact"/>
              <w:rPr>
                <w:rFonts w:ascii="Arial" w:cs="Arial" w:eastAsia="Arial" w:hAnsi="Arial"/>
                <w:sz w:val="16"/>
                <w:szCs w:val="16"/>
                <w:color w:val="0000EE"/>
                <w:w w:val="90"/>
              </w:rPr>
            </w:pPr>
            <w:hyperlink w:anchor="page17">
              <w:r>
                <w:rPr>
                  <w:rFonts w:ascii="Arial" w:cs="Arial" w:eastAsia="Arial" w:hAnsi="Arial"/>
                  <w:sz w:val="16"/>
                  <w:szCs w:val="16"/>
                  <w:color w:val="0000EE"/>
                  <w:w w:val="90"/>
                </w:rPr>
                <w:t>Unaudited condensed consolidated statements of comprehensive income or loss for the three and six months ended June 30,2021 and 2022</w:t>
              </w:r>
            </w:hyperlink>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91"/>
              </w:rPr>
              <w:t>F-4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160" w:type="dxa"/>
            <w:vAlign w:val="bottom"/>
            <w:gridSpan w:val="7"/>
          </w:tcPr>
          <w:p>
            <w:pPr>
              <w:spacing w:after="0" w:line="162" w:lineRule="exact"/>
              <w:rPr>
                <w:rFonts w:ascii="Arial" w:cs="Arial" w:eastAsia="Arial" w:hAnsi="Arial"/>
                <w:sz w:val="16"/>
                <w:szCs w:val="16"/>
                <w:color w:val="0000EE"/>
              </w:rPr>
            </w:pPr>
            <w:hyperlink w:anchor="page18">
              <w:r>
                <w:rPr>
                  <w:rFonts w:ascii="Arial" w:cs="Arial" w:eastAsia="Arial" w:hAnsi="Arial"/>
                  <w:sz w:val="16"/>
                  <w:szCs w:val="16"/>
                  <w:color w:val="0000EE"/>
                </w:rPr>
                <w:t>Unaudited condensed consolidated statements of changes in equity for the six months ended June 30,2021 and 2022</w:t>
              </w:r>
            </w:hyperlink>
          </w:p>
        </w:tc>
        <w:tc>
          <w:tcPr>
            <w:tcW w:w="740" w:type="dxa"/>
            <w:vAlign w:val="bottom"/>
          </w:tcPr>
          <w:p>
            <w:pPr>
              <w:jc w:val="center"/>
              <w:spacing w:after="0" w:line="162" w:lineRule="exact"/>
              <w:rPr>
                <w:sz w:val="20"/>
                <w:szCs w:val="20"/>
                <w:color w:val="auto"/>
              </w:rPr>
            </w:pPr>
            <w:r>
              <w:rPr>
                <w:rFonts w:ascii="Arial" w:cs="Arial" w:eastAsia="Arial" w:hAnsi="Arial"/>
                <w:sz w:val="16"/>
                <w:szCs w:val="16"/>
                <w:color w:val="auto"/>
                <w:w w:val="91"/>
              </w:rPr>
              <w:t>F-5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160" w:type="dxa"/>
            <w:vAlign w:val="bottom"/>
            <w:gridSpan w:val="7"/>
            <w:shd w:val="clear" w:color="auto" w:fill="CCEEFF"/>
          </w:tcPr>
          <w:p>
            <w:pPr>
              <w:spacing w:after="0" w:line="162" w:lineRule="exact"/>
              <w:rPr>
                <w:rFonts w:ascii="Arial" w:cs="Arial" w:eastAsia="Arial" w:hAnsi="Arial"/>
                <w:sz w:val="16"/>
                <w:szCs w:val="16"/>
                <w:color w:val="0000EE"/>
              </w:rPr>
            </w:pPr>
            <w:hyperlink w:anchor="page19">
              <w:r>
                <w:rPr>
                  <w:rFonts w:ascii="Arial" w:cs="Arial" w:eastAsia="Arial" w:hAnsi="Arial"/>
                  <w:sz w:val="16"/>
                  <w:szCs w:val="16"/>
                  <w:color w:val="0000EE"/>
                </w:rPr>
                <w:t>Unaudited condensed consolidated statements of cash flows for the six months ended June 30,2021 and 2022</w:t>
              </w:r>
            </w:hyperlink>
          </w:p>
        </w:tc>
        <w:tc>
          <w:tcPr>
            <w:tcW w:w="7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1"/>
              </w:rPr>
              <w:t>F-6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Borders>
              <w:top w:val="single" w:sz="8" w:color="0000EE"/>
            </w:tcBorders>
            <w:gridSpan w:val="2"/>
          </w:tcPr>
          <w:p>
            <w:pPr>
              <w:spacing w:after="0" w:line="162" w:lineRule="exact"/>
              <w:rPr>
                <w:rFonts w:ascii="Arial" w:cs="Arial" w:eastAsia="Arial" w:hAnsi="Arial"/>
                <w:sz w:val="16"/>
                <w:szCs w:val="16"/>
                <w:color w:val="0000EE"/>
              </w:rPr>
            </w:pPr>
            <w:hyperlink w:anchor="page20">
              <w:r>
                <w:rPr>
                  <w:rFonts w:ascii="Arial" w:cs="Arial" w:eastAsia="Arial" w:hAnsi="Arial"/>
                  <w:sz w:val="16"/>
                  <w:szCs w:val="16"/>
                  <w:color w:val="0000EE"/>
                </w:rPr>
                <w:t>Notes to the unaudited condensed consolidated financial statements</w:t>
              </w:r>
            </w:hyperlink>
          </w:p>
        </w:tc>
        <w:tc>
          <w:tcPr>
            <w:tcW w:w="2100" w:type="dxa"/>
            <w:vAlign w:val="bottom"/>
            <w:tcBorders>
              <w:top w:val="single" w:sz="8" w:color="CCEEFF"/>
            </w:tcBorders>
            <w:gridSpan w:val="5"/>
          </w:tcPr>
          <w:p>
            <w:pPr>
              <w:spacing w:after="0"/>
              <w:rPr>
                <w:sz w:val="14"/>
                <w:szCs w:val="14"/>
                <w:color w:val="auto"/>
              </w:rPr>
            </w:pPr>
          </w:p>
        </w:tc>
        <w:tc>
          <w:tcPr>
            <w:tcW w:w="740" w:type="dxa"/>
            <w:vAlign w:val="bottom"/>
            <w:tcBorders>
              <w:top w:val="single" w:sz="8" w:color="CCEEFF"/>
            </w:tcBorders>
          </w:tcPr>
          <w:p>
            <w:pPr>
              <w:jc w:val="center"/>
              <w:spacing w:after="0" w:line="162" w:lineRule="exact"/>
              <w:rPr>
                <w:sz w:val="20"/>
                <w:szCs w:val="20"/>
                <w:color w:val="auto"/>
              </w:rPr>
            </w:pPr>
            <w:r>
              <w:rPr>
                <w:rFonts w:ascii="Arial" w:cs="Arial" w:eastAsia="Arial" w:hAnsi="Arial"/>
                <w:sz w:val="16"/>
                <w:szCs w:val="16"/>
                <w:color w:val="auto"/>
                <w:w w:val="91"/>
              </w:rPr>
              <w:t>F-7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70"/>
        </w:trPr>
        <w:tc>
          <w:tcPr>
            <w:tcW w:w="73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7360" w:type="dxa"/>
            <w:vAlign w:val="bottom"/>
          </w:tcPr>
          <w:p>
            <w:pPr>
              <w:spacing w:after="0"/>
              <w:rPr>
                <w:sz w:val="20"/>
                <w:szCs w:val="20"/>
                <w:color w:val="auto"/>
              </w:rPr>
            </w:pPr>
            <w:r>
              <w:rPr>
                <w:rFonts w:ascii="Arial" w:cs="Arial" w:eastAsia="Arial" w:hAnsi="Arial"/>
                <w:sz w:val="16"/>
                <w:szCs w:val="16"/>
                <w:b w:val="1"/>
                <w:bCs w:val="1"/>
                <w:color w:val="auto"/>
              </w:rPr>
              <w:t>As of December 31, 2021 and June 30, 2022</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11"/>
        </w:trPr>
        <w:tc>
          <w:tcPr>
            <w:tcW w:w="7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June 30,</w:t>
            </w:r>
          </w:p>
        </w:tc>
      </w:tr>
      <w:tr>
        <w:trPr>
          <w:trHeight w:val="210"/>
        </w:trPr>
        <w:tc>
          <w:tcPr>
            <w:tcW w:w="736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6"/>
                <w:szCs w:val="16"/>
                <w:b w:val="1"/>
                <w:bCs w:val="1"/>
                <w:color w:val="auto"/>
              </w:rPr>
              <w:t>Note</w:t>
            </w: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2022</w:t>
            </w:r>
          </w:p>
        </w:tc>
      </w:tr>
      <w:tr>
        <w:trPr>
          <w:trHeight w:val="202"/>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03"/>
        </w:trPr>
        <w:tc>
          <w:tcPr>
            <w:tcW w:w="73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9,511</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9,511</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23,508</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24,546</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Deferred financing costs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5,564</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4,866</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4,653</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Tangible fixed assets</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5,002,829</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4,600,855</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Vessels under construction</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22,939</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136,782</w:t>
            </w:r>
          </w:p>
        </w:tc>
      </w:tr>
      <w:tr>
        <w:trPr>
          <w:trHeight w:val="203"/>
        </w:trPr>
        <w:tc>
          <w:tcPr>
            <w:tcW w:w="7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Right-of-use assets</w:t>
            </w:r>
          </w:p>
        </w:tc>
        <w:tc>
          <w:tcPr>
            <w:tcW w:w="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5</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363,035</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420,789</w:t>
            </w:r>
          </w:p>
        </w:tc>
      </w:tr>
      <w:tr>
        <w:trPr>
          <w:trHeight w:val="196"/>
        </w:trPr>
        <w:tc>
          <w:tcPr>
            <w:tcW w:w="7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non-current assets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5,434,165</w:t>
            </w:r>
          </w:p>
        </w:tc>
        <w:tc>
          <w:tcPr>
            <w:tcW w:w="2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5,202,466</w:t>
            </w:r>
          </w:p>
        </w:tc>
      </w:tr>
      <w:tr>
        <w:trPr>
          <w:trHeight w:val="190"/>
        </w:trPr>
        <w:tc>
          <w:tcPr>
            <w:tcW w:w="73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8"/>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Vessels held for sale</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113,435</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28,595</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36,843</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Derivative financial instruments, current portion</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596</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4,100</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8,327</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8,690</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5,798</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5,878</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Short-term cash deposits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03"/>
        </w:trPr>
        <w:tc>
          <w:tcPr>
            <w:tcW w:w="7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282,246</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271,777</w:t>
            </w:r>
          </w:p>
        </w:tc>
      </w:tr>
      <w:tr>
        <w:trPr>
          <w:trHeight w:val="196"/>
        </w:trPr>
        <w:tc>
          <w:tcPr>
            <w:tcW w:w="7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325,580</w:t>
            </w:r>
          </w:p>
        </w:tc>
        <w:tc>
          <w:tcPr>
            <w:tcW w:w="2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450,737</w:t>
            </w:r>
          </w:p>
        </w:tc>
      </w:tr>
      <w:tr>
        <w:trPr>
          <w:trHeight w:val="236"/>
        </w:trPr>
        <w:tc>
          <w:tcPr>
            <w:tcW w:w="73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assets</w:t>
            </w:r>
          </w:p>
        </w:tc>
        <w:tc>
          <w:tcPr>
            <w:tcW w:w="3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5,759,745</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5,653,203</w:t>
            </w:r>
          </w:p>
        </w:tc>
      </w:tr>
      <w:tr>
        <w:trPr>
          <w:trHeight w:val="183"/>
        </w:trPr>
        <w:tc>
          <w:tcPr>
            <w:tcW w:w="736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Equity and liabilities</w:t>
            </w: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3"/>
        </w:trPr>
        <w:tc>
          <w:tcPr>
            <w:tcW w:w="73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Preference shares</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Share capital</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954</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Contributed surplus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692,536</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658,888</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Reserves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15,322</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15,104</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deficit)/Retained earnings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(65,117)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25,407</w:t>
            </w:r>
          </w:p>
        </w:tc>
      </w:tr>
      <w:tr>
        <w:trPr>
          <w:trHeight w:val="196"/>
        </w:trPr>
        <w:tc>
          <w:tcPr>
            <w:tcW w:w="736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643,741</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700,399</w:t>
            </w:r>
          </w:p>
        </w:tc>
      </w:tr>
      <w:tr>
        <w:trPr>
          <w:trHeight w:val="202"/>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924,630</w:t>
            </w:r>
          </w:p>
        </w:tc>
        <w:tc>
          <w:tcPr>
            <w:tcW w:w="2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920,058</w:t>
            </w:r>
          </w:p>
        </w:tc>
      </w:tr>
      <w:tr>
        <w:trPr>
          <w:trHeight w:val="196"/>
        </w:trPr>
        <w:tc>
          <w:tcPr>
            <w:tcW w:w="73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equity</w:t>
            </w:r>
          </w:p>
        </w:tc>
        <w:tc>
          <w:tcPr>
            <w:tcW w:w="3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1,568,371</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1,620,457</w:t>
            </w:r>
          </w:p>
        </w:tc>
      </w:tr>
      <w:tr>
        <w:trPr>
          <w:trHeight w:val="196"/>
        </w:trPr>
        <w:tc>
          <w:tcPr>
            <w:tcW w:w="7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Trade accounts payable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15,892</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23,642</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Ship management creditors</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current portion</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25,518</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153,501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149,785</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Borrowings, current portion</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553,161</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291,850</w:t>
            </w:r>
          </w:p>
        </w:tc>
      </w:tr>
      <w:tr>
        <w:trPr>
          <w:trHeight w:val="203"/>
        </w:trPr>
        <w:tc>
          <w:tcPr>
            <w:tcW w:w="7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Lease liabilities, current portion</w:t>
            </w:r>
          </w:p>
        </w:tc>
        <w:tc>
          <w:tcPr>
            <w:tcW w:w="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5</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30,905</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41,758</w:t>
            </w:r>
          </w:p>
        </w:tc>
      </w:tr>
      <w:tr>
        <w:trPr>
          <w:trHeight w:val="196"/>
        </w:trPr>
        <w:tc>
          <w:tcPr>
            <w:tcW w:w="7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779,123</w:t>
            </w:r>
          </w:p>
        </w:tc>
        <w:tc>
          <w:tcPr>
            <w:tcW w:w="2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511,770</w:t>
            </w:r>
          </w:p>
        </w:tc>
      </w:tr>
      <w:tr>
        <w:trPr>
          <w:trHeight w:val="190"/>
        </w:trPr>
        <w:tc>
          <w:tcPr>
            <w:tcW w:w="73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8"/>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7,635</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3,105,059</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3,125,931</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 non-current portion</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271,945</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300,535</w:t>
            </w:r>
          </w:p>
        </w:tc>
      </w:tr>
      <w:tr>
        <w:trPr>
          <w:trHeight w:val="203"/>
        </w:trPr>
        <w:tc>
          <w:tcPr>
            <w:tcW w:w="7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4</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6,553</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86,875</w:t>
            </w:r>
          </w:p>
        </w:tc>
      </w:tr>
      <w:tr>
        <w:trPr>
          <w:trHeight w:val="196"/>
        </w:trPr>
        <w:tc>
          <w:tcPr>
            <w:tcW w:w="7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non-current liabilities</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3,412,251</w:t>
            </w:r>
          </w:p>
        </w:tc>
        <w:tc>
          <w:tcPr>
            <w:tcW w:w="2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3,520,976</w:t>
            </w:r>
          </w:p>
        </w:tc>
      </w:tr>
      <w:tr>
        <w:trPr>
          <w:trHeight w:val="196"/>
        </w:trPr>
        <w:tc>
          <w:tcPr>
            <w:tcW w:w="736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5,759,745</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5,653,203</w:t>
            </w:r>
          </w:p>
        </w:tc>
      </w:tr>
      <w:tr>
        <w:trPr>
          <w:trHeight w:val="20"/>
        </w:trPr>
        <w:tc>
          <w:tcPr>
            <w:tcW w:w="7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GasLog Ltd. and its Subsidiaries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70"/>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For the three and six months ended June 30, 2021 and 2022</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w w:val="90"/>
              </w:rPr>
              <w:t>For the three months ended</w:t>
            </w: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w w:val="91"/>
              </w:rPr>
              <w:t>For the six months ended</w:t>
            </w: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June 30,</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June 30,</w:t>
            </w: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rPr>
              <w:t>Notes</w:t>
            </w:r>
          </w:p>
        </w:tc>
        <w:tc>
          <w:tcPr>
            <w:tcW w:w="860" w:type="dxa"/>
            <w:vAlign w:val="bottom"/>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2022</w:t>
            </w:r>
          </w:p>
        </w:tc>
      </w:tr>
      <w:tr>
        <w:trPr>
          <w:trHeight w:val="202"/>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173,010</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216,096</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378,337</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429,819</w:t>
            </w: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(5,681)</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(1,995)</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(9,593)</w:t>
            </w:r>
          </w:p>
        </w:tc>
        <w:tc>
          <w:tcPr>
            <w:tcW w:w="840" w:type="dxa"/>
            <w:vAlign w:val="bottom"/>
          </w:tcPr>
          <w:p>
            <w:pPr>
              <w:jc w:val="right"/>
              <w:spacing w:after="0"/>
              <w:rPr>
                <w:sz w:val="20"/>
                <w:szCs w:val="20"/>
                <w:color w:val="auto"/>
              </w:rPr>
            </w:pPr>
            <w:r>
              <w:rPr>
                <w:rFonts w:ascii="Arial" w:cs="Arial" w:eastAsia="Arial" w:hAnsi="Arial"/>
                <w:sz w:val="16"/>
                <w:szCs w:val="16"/>
                <w:color w:val="auto"/>
              </w:rPr>
              <w:t>(7,327)</w:t>
            </w: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and supervision costs</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(40,688)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(42,446)</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(79,941)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(86,083)</w:t>
            </w: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Depreciation</w:t>
            </w: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4, 5</w:t>
            </w:r>
          </w:p>
        </w:tc>
        <w:tc>
          <w:tcPr>
            <w:tcW w:w="1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(48,493)</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(58,008)</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(96,183)</w:t>
            </w:r>
          </w:p>
        </w:tc>
        <w:tc>
          <w:tcPr>
            <w:tcW w:w="840" w:type="dxa"/>
            <w:vAlign w:val="bottom"/>
          </w:tcPr>
          <w:p>
            <w:pPr>
              <w:jc w:val="right"/>
              <w:spacing w:after="0"/>
              <w:rPr>
                <w:sz w:val="20"/>
                <w:szCs w:val="20"/>
                <w:color w:val="auto"/>
              </w:rPr>
            </w:pPr>
            <w:r>
              <w:rPr>
                <w:rFonts w:ascii="Arial" w:cs="Arial" w:eastAsia="Arial" w:hAnsi="Arial"/>
                <w:sz w:val="16"/>
                <w:szCs w:val="16"/>
                <w:color w:val="auto"/>
              </w:rPr>
              <w:t>(112,841)</w:t>
            </w: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(13,498)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(6,884)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(25,240)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(16,902)</w:t>
            </w: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(28,027)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(56,911)</w:t>
            </w:r>
          </w:p>
        </w:tc>
      </w:tr>
      <w:tr>
        <w:trPr>
          <w:trHeight w:val="196"/>
        </w:trPr>
        <w:tc>
          <w:tcPr>
            <w:tcW w:w="20" w:type="dxa"/>
            <w:vAlign w:val="bottom"/>
          </w:tcPr>
          <w:p>
            <w:pPr>
              <w:spacing w:after="0"/>
              <w:rPr>
                <w:sz w:val="17"/>
                <w:szCs w:val="17"/>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4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64,650</w:t>
            </w:r>
          </w:p>
        </w:tc>
        <w:tc>
          <w:tcPr>
            <w:tcW w:w="22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78,736</w:t>
            </w:r>
          </w:p>
        </w:tc>
        <w:tc>
          <w:tcPr>
            <w:tcW w:w="18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167,380</w:t>
            </w:r>
          </w:p>
        </w:tc>
        <w:tc>
          <w:tcPr>
            <w:tcW w:w="18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149,178</w:t>
            </w:r>
          </w:p>
        </w:tc>
      </w:tr>
      <w:tr>
        <w:trPr>
          <w:trHeight w:val="196"/>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(39,466)</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(90,604)</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(76,835)</w:t>
            </w: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Financial income</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353</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(Loss)/gain on derivatives</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(6,310)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8,330</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13,973</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45,731</w:t>
            </w:r>
          </w:p>
        </w:tc>
      </w:tr>
      <w:tr>
        <w:trPr>
          <w:trHeight w:val="203"/>
        </w:trPr>
        <w:tc>
          <w:tcPr>
            <w:tcW w:w="20" w:type="dxa"/>
            <w:vAlign w:val="bottom"/>
          </w:tcPr>
          <w:p>
            <w:pPr>
              <w:spacing w:after="0"/>
              <w:rPr>
                <w:sz w:val="17"/>
                <w:szCs w:val="17"/>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 of profit of associates</w:t>
            </w:r>
          </w:p>
        </w:tc>
        <w:tc>
          <w:tcPr>
            <w:tcW w:w="4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3</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r>
      <w:tr>
        <w:trPr>
          <w:trHeight w:val="196"/>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other expenses, net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(56,939)</w:t>
            </w:r>
          </w:p>
        </w:tc>
        <w:tc>
          <w:tcPr>
            <w:tcW w:w="2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(30,367)</w:t>
            </w:r>
          </w:p>
        </w:tc>
        <w:tc>
          <w:tcPr>
            <w:tcW w:w="1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(75,425)</w:t>
            </w:r>
          </w:p>
        </w:tc>
        <w:tc>
          <w:tcPr>
            <w:tcW w:w="1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(29,757)</w:t>
            </w:r>
          </w:p>
        </w:tc>
      </w:tr>
      <w:tr>
        <w:trPr>
          <w:trHeight w:val="236"/>
        </w:trPr>
        <w:tc>
          <w:tcPr>
            <w:tcW w:w="20" w:type="dxa"/>
            <w:vAlign w:val="bottom"/>
          </w:tcPr>
          <w:p>
            <w:pPr>
              <w:spacing w:after="0"/>
              <w:rPr>
                <w:sz w:val="20"/>
                <w:szCs w:val="20"/>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 for the period</w:t>
            </w:r>
          </w:p>
        </w:tc>
        <w:tc>
          <w:tcPr>
            <w:tcW w:w="4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7,711</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48,369</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91,955</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119,421</w:t>
            </w: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CEEFF"/>
            </w:tcBorders>
            <w:shd w:val="clear" w:color="auto" w:fill="CCEEFF"/>
          </w:tcPr>
          <w:p>
            <w:pPr>
              <w:spacing w:after="0" w:line="160" w:lineRule="exact"/>
              <w:rPr>
                <w:sz w:val="20"/>
                <w:szCs w:val="20"/>
                <w:color w:val="auto"/>
              </w:rPr>
            </w:pPr>
            <w:r>
              <w:rPr>
                <w:rFonts w:ascii="Arial" w:cs="Arial" w:eastAsia="Arial" w:hAnsi="Arial"/>
                <w:sz w:val="16"/>
                <w:szCs w:val="16"/>
                <w:color w:val="auto"/>
              </w:rPr>
              <w:t>Attributable to:</w:t>
            </w:r>
          </w:p>
        </w:tc>
        <w:tc>
          <w:tcPr>
            <w:tcW w:w="4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Owners of the Group</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(4,784)</w:t>
            </w:r>
          </w:p>
        </w:tc>
        <w:tc>
          <w:tcPr>
            <w:tcW w:w="880" w:type="dxa"/>
            <w:vAlign w:val="bottom"/>
          </w:tcPr>
          <w:p>
            <w:pPr>
              <w:jc w:val="right"/>
              <w:spacing w:after="0"/>
              <w:rPr>
                <w:sz w:val="20"/>
                <w:szCs w:val="20"/>
                <w:color w:val="auto"/>
              </w:rPr>
            </w:pPr>
            <w:r>
              <w:rPr>
                <w:rFonts w:ascii="Arial" w:cs="Arial" w:eastAsia="Arial" w:hAnsi="Arial"/>
                <w:sz w:val="16"/>
                <w:szCs w:val="16"/>
                <w:color w:val="auto"/>
              </w:rPr>
              <w:t>45,729</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53,150</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90,524</w:t>
            </w: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12,495</w:t>
            </w:r>
          </w:p>
        </w:tc>
        <w:tc>
          <w:tcPr>
            <w:tcW w:w="2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38,805</w:t>
            </w:r>
          </w:p>
        </w:tc>
        <w:tc>
          <w:tcPr>
            <w:tcW w:w="1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28,897</w:t>
            </w: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7,711</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48,369</w:t>
            </w:r>
          </w:p>
        </w:tc>
        <w:tc>
          <w:tcPr>
            <w:tcW w:w="1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91,955</w:t>
            </w:r>
          </w:p>
        </w:tc>
        <w:tc>
          <w:tcPr>
            <w:tcW w:w="1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119,421</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194" w:lineRule="exact"/>
        <w:rPr>
          <w:sz w:val="20"/>
          <w:szCs w:val="20"/>
          <w:color w:val="auto"/>
        </w:rPr>
      </w:pPr>
    </w:p>
    <w:p>
      <w:pPr>
        <w:ind w:right="4460"/>
        <w:spacing w:after="0" w:line="281" w:lineRule="auto"/>
        <w:rPr>
          <w:sz w:val="20"/>
          <w:szCs w:val="20"/>
          <w:color w:val="auto"/>
        </w:rPr>
      </w:pPr>
      <w:r>
        <w:rPr>
          <w:rFonts w:ascii="Arial" w:cs="Arial" w:eastAsia="Arial" w:hAnsi="Arial"/>
          <w:sz w:val="16"/>
          <w:szCs w:val="16"/>
          <w:b w:val="1"/>
          <w:bCs w:val="1"/>
          <w:color w:val="auto"/>
        </w:rPr>
        <w:t>Unaudited condensed consolidated statements of comprehensive income or loss For the three and six months ended June 30, 2021 and 2022 (Amounts expressed in thousands of U.S. Dollars)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21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w w:val="97"/>
              </w:rPr>
              <w:t>For the six months ended</w:t>
            </w: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5"/>
              </w:rPr>
              <w:t>Notes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0"/>
              </w:rPr>
              <w:t>June 30, 2021</w:t>
            </w: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2022</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0"/>
              </w:rPr>
              <w:t>June 30, 2021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w w:val="90"/>
              </w:rPr>
              <w:t>June 30, 2022</w:t>
            </w:r>
          </w:p>
        </w:tc>
      </w:tr>
      <w:tr>
        <w:trPr>
          <w:trHeight w:val="202"/>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Profit for the period</w:t>
            </w: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7,711</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48,369</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91,955</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119,421</w:t>
            </w:r>
          </w:p>
        </w:tc>
      </w:tr>
      <w:tr>
        <w:trPr>
          <w:trHeight w:val="203"/>
        </w:trPr>
        <w:tc>
          <w:tcPr>
            <w:tcW w:w="2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b w:val="1"/>
                <w:bCs w:val="1"/>
                <w:color w:val="auto"/>
              </w:rPr>
              <w:t>Other comprehensive income/(loss):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Items that may be reclassified subsequently to profit or loss: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Effective portion of changes in fair value of cash flow hedges, net of</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5020" w:type="dxa"/>
            <w:vAlign w:val="bottom"/>
          </w:tcPr>
          <w:p>
            <w:pPr>
              <w:ind w:left="120"/>
              <w:spacing w:after="0"/>
              <w:rPr>
                <w:sz w:val="20"/>
                <w:szCs w:val="20"/>
                <w:color w:val="auto"/>
              </w:rPr>
            </w:pPr>
            <w:r>
              <w:rPr>
                <w:rFonts w:ascii="Arial" w:cs="Arial" w:eastAsia="Arial" w:hAnsi="Arial"/>
                <w:sz w:val="16"/>
                <w:szCs w:val="16"/>
                <w:color w:val="auto"/>
              </w:rPr>
              <w:t>amounts recycled to profit or loss</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972</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(103)</w:t>
            </w:r>
          </w:p>
        </w:tc>
        <w:tc>
          <w:tcPr>
            <w:tcW w:w="980" w:type="dxa"/>
            <w:vAlign w:val="bottom"/>
          </w:tcPr>
          <w:p>
            <w:pPr>
              <w:jc w:val="right"/>
              <w:spacing w:after="0"/>
              <w:rPr>
                <w:sz w:val="20"/>
                <w:szCs w:val="20"/>
                <w:color w:val="auto"/>
              </w:rPr>
            </w:pPr>
            <w:r>
              <w:rPr>
                <w:rFonts w:ascii="Arial" w:cs="Arial" w:eastAsia="Arial" w:hAnsi="Arial"/>
                <w:sz w:val="16"/>
                <w:szCs w:val="16"/>
                <w:color w:val="auto"/>
              </w:rPr>
              <w:t>(686)</w:t>
            </w:r>
          </w:p>
        </w:tc>
      </w:tr>
      <w:tr>
        <w:trPr>
          <w:trHeight w:val="202"/>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Other comprehensive income/(loss) for the period</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995</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972</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(686)</w:t>
            </w:r>
          </w:p>
        </w:tc>
      </w:tr>
      <w:tr>
        <w:trPr>
          <w:trHeight w:val="236"/>
        </w:trPr>
        <w:tc>
          <w:tcPr>
            <w:tcW w:w="20" w:type="dxa"/>
            <w:vAlign w:val="bottom"/>
          </w:tcPr>
          <w:p>
            <w:pPr>
              <w:spacing w:after="0"/>
              <w:rPr>
                <w:sz w:val="20"/>
                <w:szCs w:val="20"/>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comprehensive income for the period</w:t>
            </w:r>
          </w:p>
        </w:tc>
        <w:tc>
          <w:tcPr>
            <w:tcW w:w="3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8,706</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49,341</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91,852</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118,735</w:t>
            </w:r>
          </w:p>
        </w:tc>
      </w:tr>
      <w:tr>
        <w:trPr>
          <w:trHeight w:val="163"/>
        </w:trPr>
        <w:tc>
          <w:tcPr>
            <w:tcW w:w="20" w:type="dxa"/>
            <w:vAlign w:val="bottom"/>
          </w:tcPr>
          <w:p>
            <w:pPr>
              <w:spacing w:after="0"/>
              <w:rPr>
                <w:sz w:val="14"/>
                <w:szCs w:val="14"/>
                <w:color w:val="auto"/>
              </w:rPr>
            </w:pPr>
          </w:p>
        </w:tc>
        <w:tc>
          <w:tcPr>
            <w:tcW w:w="5020" w:type="dxa"/>
            <w:vAlign w:val="bottom"/>
            <w:tcBorders>
              <w:bottom w:val="single" w:sz="8" w:color="CCEEFF"/>
            </w:tcBorders>
            <w:shd w:val="clear" w:color="auto" w:fill="CCEEFF"/>
          </w:tcPr>
          <w:p>
            <w:pPr>
              <w:spacing w:after="0" w:line="160" w:lineRule="exact"/>
              <w:rPr>
                <w:sz w:val="20"/>
                <w:szCs w:val="20"/>
                <w:color w:val="auto"/>
              </w:rPr>
            </w:pPr>
            <w:r>
              <w:rPr>
                <w:rFonts w:ascii="Arial" w:cs="Arial" w:eastAsia="Arial" w:hAnsi="Arial"/>
                <w:sz w:val="16"/>
                <w:szCs w:val="16"/>
                <w:color w:val="auto"/>
              </w:rPr>
              <w:t>Attributable to:</w:t>
            </w:r>
          </w:p>
        </w:tc>
        <w:tc>
          <w:tcPr>
            <w:tcW w:w="3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Owners of the Group</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(3,789)</w:t>
            </w:r>
          </w:p>
        </w:tc>
        <w:tc>
          <w:tcPr>
            <w:tcW w:w="960" w:type="dxa"/>
            <w:vAlign w:val="bottom"/>
          </w:tcPr>
          <w:p>
            <w:pPr>
              <w:jc w:val="right"/>
              <w:spacing w:after="0"/>
              <w:rPr>
                <w:sz w:val="20"/>
                <w:szCs w:val="20"/>
                <w:color w:val="auto"/>
              </w:rPr>
            </w:pPr>
            <w:r>
              <w:rPr>
                <w:rFonts w:ascii="Arial" w:cs="Arial" w:eastAsia="Arial" w:hAnsi="Arial"/>
                <w:sz w:val="16"/>
                <w:szCs w:val="16"/>
                <w:color w:val="auto"/>
              </w:rPr>
              <w:t>46,701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53,047</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89,838</w:t>
            </w: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12,495</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38,805</w:t>
            </w:r>
          </w:p>
        </w:tc>
        <w:tc>
          <w:tcPr>
            <w:tcW w:w="1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28,897</w:t>
            </w:r>
          </w:p>
        </w:tc>
      </w:tr>
      <w:tr>
        <w:trPr>
          <w:trHeight w:val="196"/>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8,706</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49,341</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91,852</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118,735</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2021 and 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(Accumulated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Share</w:t>
            </w: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Preference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deficit)/</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Attributable</w:t>
            </w: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Non -</w:t>
            </w:r>
          </w:p>
        </w:tc>
        <w:tc>
          <w:tcPr>
            <w:tcW w:w="6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capital</w:t>
            </w: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shares</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Contributed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Treasury</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Retained</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to owners of</w:t>
            </w: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62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(Note 13)</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(Note 13)</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surplus</w:t>
            </w: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w w:val="96"/>
              </w:rPr>
              <w:t>Reserves</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1"/>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earnings</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the Group</w:t>
            </w: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interests</w:t>
            </w:r>
          </w:p>
        </w:tc>
        <w:tc>
          <w:tcPr>
            <w:tcW w:w="62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r>
      <w:tr>
        <w:trPr>
          <w:trHeight w:val="128"/>
        </w:trPr>
        <w:tc>
          <w:tcPr>
            <w:tcW w:w="20" w:type="dxa"/>
            <w:vAlign w:val="bottom"/>
          </w:tcPr>
          <w:p>
            <w:pPr>
              <w:spacing w:after="0"/>
              <w:rPr>
                <w:sz w:val="11"/>
                <w:szCs w:val="11"/>
                <w:color w:val="auto"/>
              </w:rPr>
            </w:pPr>
          </w:p>
        </w:tc>
        <w:tc>
          <w:tcPr>
            <w:tcW w:w="3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December 31, 2020</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954</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46</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759,822</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18,667</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(1,340)</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(132,780)</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645,369</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951,768</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6"/>
              </w:rPr>
              <w:t>1,597,137</w:t>
            </w:r>
          </w:p>
        </w:tc>
      </w:tr>
      <w:tr>
        <w:trPr>
          <w:trHeight w:val="128"/>
        </w:trPr>
        <w:tc>
          <w:tcPr>
            <w:tcW w:w="20" w:type="dxa"/>
            <w:vAlign w:val="bottom"/>
          </w:tcPr>
          <w:p>
            <w:pPr>
              <w:spacing w:after="0"/>
              <w:rPr>
                <w:sz w:val="11"/>
                <w:szCs w:val="11"/>
                <w:color w:val="auto"/>
              </w:rPr>
            </w:pPr>
          </w:p>
        </w:tc>
        <w:tc>
          <w:tcPr>
            <w:tcW w:w="3460" w:type="dxa"/>
            <w:vAlign w:val="bottom"/>
          </w:tcPr>
          <w:p>
            <w:pPr>
              <w:spacing w:after="0" w:line="129" w:lineRule="exact"/>
              <w:rPr>
                <w:sz w:val="20"/>
                <w:szCs w:val="20"/>
                <w:color w:val="auto"/>
              </w:rPr>
            </w:pPr>
            <w:r>
              <w:rPr>
                <w:rFonts w:ascii="Arial" w:cs="Arial" w:eastAsia="Arial" w:hAnsi="Arial"/>
                <w:sz w:val="13"/>
                <w:szCs w:val="13"/>
                <w:color w:val="auto"/>
              </w:rPr>
              <w:t>Net proceeds from GasLog Partners’ public offerings</w:t>
            </w: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9,593</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9,593</w:t>
            </w: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 declared (common and preference shares)</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(14,560)</w:t>
            </w: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(14,560)</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(15,819)</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(30,379)</w:t>
            </w: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Share-based compensation, net of accrued dividend</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3,145</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3,145</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3,145</w:t>
            </w: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Settlement of share-based compensation</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(6,534)</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1,340</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(5,194)</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(5,194)</w:t>
            </w: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Profit for the period</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53,150</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53,150</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38,805</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91,955</w:t>
            </w: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loss for the period</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(103)</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(103)</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r>
      <w:tr>
        <w:trPr>
          <w:trHeight w:val="128"/>
        </w:trPr>
        <w:tc>
          <w:tcPr>
            <w:tcW w:w="20" w:type="dxa"/>
            <w:vAlign w:val="bottom"/>
          </w:tcPr>
          <w:p>
            <w:pPr>
              <w:spacing w:after="0"/>
              <w:rPr>
                <w:sz w:val="11"/>
                <w:szCs w:val="11"/>
                <w:color w:val="auto"/>
              </w:rPr>
            </w:pPr>
          </w:p>
        </w:tc>
        <w:tc>
          <w:tcPr>
            <w:tcW w:w="34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Total comprehensive (loss)/income for the period</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(103)</w:t>
            </w:r>
          </w:p>
        </w:tc>
        <w:tc>
          <w:tcPr>
            <w:tcW w:w="8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53,150</w:t>
            </w:r>
          </w:p>
        </w:tc>
        <w:tc>
          <w:tcPr>
            <w:tcW w:w="10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53,047</w:t>
            </w:r>
          </w:p>
        </w:tc>
        <w:tc>
          <w:tcPr>
            <w:tcW w:w="8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38,805</w:t>
            </w:r>
          </w:p>
        </w:tc>
        <w:tc>
          <w:tcPr>
            <w:tcW w:w="10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91,852</w:t>
            </w:r>
          </w:p>
        </w:tc>
      </w:tr>
      <w:tr>
        <w:trPr>
          <w:trHeight w:val="128"/>
        </w:trPr>
        <w:tc>
          <w:tcPr>
            <w:tcW w:w="20" w:type="dxa"/>
            <w:vAlign w:val="bottom"/>
          </w:tcPr>
          <w:p>
            <w:pPr>
              <w:spacing w:after="0"/>
              <w:rPr>
                <w:sz w:val="11"/>
                <w:szCs w:val="11"/>
                <w:color w:val="auto"/>
              </w:rPr>
            </w:pPr>
          </w:p>
        </w:tc>
        <w:tc>
          <w:tcPr>
            <w:tcW w:w="346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June 30, 2021</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954</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46</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745,262</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15,175</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(79,630)</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681,807</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984,347</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6"/>
              </w:rPr>
              <w:t>1,666,154</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4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r>
      <w:tr>
        <w:trPr>
          <w:trHeight w:val="128"/>
        </w:trPr>
        <w:tc>
          <w:tcPr>
            <w:tcW w:w="20" w:type="dxa"/>
            <w:vAlign w:val="bottom"/>
          </w:tcPr>
          <w:p>
            <w:pPr>
              <w:spacing w:after="0"/>
              <w:rPr>
                <w:sz w:val="11"/>
                <w:szCs w:val="11"/>
                <w:color w:val="auto"/>
              </w:rPr>
            </w:pPr>
          </w:p>
        </w:tc>
        <w:tc>
          <w:tcPr>
            <w:tcW w:w="34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December 31, 2021</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954</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46</w:t>
            </w:r>
          </w:p>
        </w:tc>
        <w:tc>
          <w:tcPr>
            <w:tcW w:w="10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692,536</w:t>
            </w:r>
          </w:p>
        </w:tc>
        <w:tc>
          <w:tcPr>
            <w:tcW w:w="10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15,322</w:t>
            </w:r>
          </w:p>
        </w:tc>
        <w:tc>
          <w:tcPr>
            <w:tcW w:w="8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(65,117)</w:t>
            </w:r>
          </w:p>
        </w:tc>
        <w:tc>
          <w:tcPr>
            <w:tcW w:w="10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643,741</w:t>
            </w: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924,630</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6"/>
              </w:rPr>
              <w:t>1,568,371</w:t>
            </w:r>
          </w:p>
        </w:tc>
      </w:tr>
      <w:tr>
        <w:trPr>
          <w:trHeight w:val="128"/>
        </w:trPr>
        <w:tc>
          <w:tcPr>
            <w:tcW w:w="20" w:type="dxa"/>
            <w:vAlign w:val="bottom"/>
          </w:tcPr>
          <w:p>
            <w:pPr>
              <w:spacing w:after="0"/>
              <w:rPr>
                <w:sz w:val="11"/>
                <w:szCs w:val="11"/>
                <w:color w:val="auto"/>
              </w:rPr>
            </w:pPr>
          </w:p>
        </w:tc>
        <w:tc>
          <w:tcPr>
            <w:tcW w:w="3460" w:type="dxa"/>
            <w:vAlign w:val="bottom"/>
          </w:tcPr>
          <w:p>
            <w:pPr>
              <w:spacing w:after="0" w:line="129" w:lineRule="exact"/>
              <w:rPr>
                <w:sz w:val="20"/>
                <w:szCs w:val="20"/>
                <w:color w:val="auto"/>
              </w:rPr>
            </w:pPr>
            <w:r>
              <w:rPr>
                <w:rFonts w:ascii="Arial" w:cs="Arial" w:eastAsia="Arial" w:hAnsi="Arial"/>
                <w:sz w:val="13"/>
                <w:szCs w:val="13"/>
                <w:color w:val="auto"/>
              </w:rPr>
              <w:t>Repurchases of GasLog Partners' preference units</w:t>
            </w: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(18,740)</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(18,740)</w:t>
            </w: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Dividend declared (common and preference shares) (Note 13)</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(33,648)</w:t>
            </w: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(33,648)</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(14,729)</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(48,377)</w:t>
            </w: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Share-based compensation, net of accrued dividend</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468</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468</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468</w:t>
            </w:r>
          </w:p>
        </w:tc>
      </w:tr>
      <w:tr>
        <w:trPr>
          <w:trHeight w:val="135"/>
        </w:trPr>
        <w:tc>
          <w:tcPr>
            <w:tcW w:w="20" w:type="dxa"/>
            <w:vAlign w:val="bottom"/>
          </w:tcPr>
          <w:p>
            <w:pPr>
              <w:spacing w:after="0"/>
              <w:rPr>
                <w:sz w:val="11"/>
                <w:szCs w:val="11"/>
                <w:color w:val="auto"/>
              </w:rPr>
            </w:pPr>
          </w:p>
        </w:tc>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Profit for the period</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90,524</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90,524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28,897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119,421</w:t>
            </w:r>
          </w:p>
        </w:tc>
      </w:tr>
      <w:tr>
        <w:trPr>
          <w:trHeight w:val="135"/>
        </w:trPr>
        <w:tc>
          <w:tcPr>
            <w:tcW w:w="20" w:type="dxa"/>
            <w:vAlign w:val="bottom"/>
          </w:tcPr>
          <w:p>
            <w:pPr>
              <w:spacing w:after="0"/>
              <w:rPr>
                <w:sz w:val="11"/>
                <w:szCs w:val="11"/>
                <w:color w:val="auto"/>
              </w:rPr>
            </w:pPr>
          </w:p>
        </w:tc>
        <w:tc>
          <w:tcPr>
            <w:tcW w:w="3460" w:type="dxa"/>
            <w:vAlign w:val="bottom"/>
          </w:tcPr>
          <w:p>
            <w:pPr>
              <w:spacing w:after="0" w:line="135" w:lineRule="exact"/>
              <w:rPr>
                <w:sz w:val="20"/>
                <w:szCs w:val="20"/>
                <w:color w:val="auto"/>
              </w:rPr>
            </w:pPr>
            <w:r>
              <w:rPr>
                <w:rFonts w:ascii="Arial" w:cs="Arial" w:eastAsia="Arial" w:hAnsi="Arial"/>
                <w:sz w:val="13"/>
                <w:szCs w:val="13"/>
                <w:color w:val="auto"/>
              </w:rPr>
              <w:t>Other comprehensive loss for the period</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(686)</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(686)</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(686)</w:t>
            </w:r>
          </w:p>
        </w:tc>
      </w:tr>
      <w:tr>
        <w:trPr>
          <w:trHeight w:val="128"/>
        </w:trPr>
        <w:tc>
          <w:tcPr>
            <w:tcW w:w="20" w:type="dxa"/>
            <w:vAlign w:val="bottom"/>
          </w:tcPr>
          <w:p>
            <w:pPr>
              <w:spacing w:after="0"/>
              <w:rPr>
                <w:sz w:val="11"/>
                <w:szCs w:val="11"/>
                <w:color w:val="auto"/>
              </w:rPr>
            </w:pPr>
          </w:p>
        </w:tc>
        <w:tc>
          <w:tcPr>
            <w:tcW w:w="3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comprehensive (loss)/income for the period</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(686)</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90,524</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89,838</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28,897</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118,735</w:t>
            </w:r>
          </w:p>
        </w:tc>
      </w:tr>
      <w:tr>
        <w:trPr>
          <w:trHeight w:val="128"/>
        </w:trPr>
        <w:tc>
          <w:tcPr>
            <w:tcW w:w="34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Balance as of June 30, 2022</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954</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46</w:t>
            </w:r>
          </w:p>
        </w:tc>
        <w:tc>
          <w:tcPr>
            <w:tcW w:w="10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658,888</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15,104</w:t>
            </w:r>
          </w:p>
        </w:tc>
        <w:tc>
          <w:tcPr>
            <w:tcW w:w="80" w:type="dxa"/>
            <w:vAlign w:val="bottom"/>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25,407</w:t>
            </w:r>
          </w:p>
        </w:tc>
        <w:tc>
          <w:tcPr>
            <w:tcW w:w="100" w:type="dxa"/>
            <w:vAlign w:val="bottom"/>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700,399</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920,058</w:t>
            </w:r>
          </w:p>
        </w:tc>
        <w:tc>
          <w:tcPr>
            <w:tcW w:w="100" w:type="dxa"/>
            <w:vAlign w:val="bottom"/>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6"/>
              </w:rPr>
              <w:t>1,620,457</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2021 and 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Note</w:t>
            </w:r>
          </w:p>
        </w:tc>
        <w:tc>
          <w:tcPr>
            <w:tcW w:w="210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4"/>
              </w:rPr>
              <w:t>June 30, 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Profit for the period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91,955</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119,421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for:</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4"/>
              </w:rPr>
              <w:t>4, 5</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96,183</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112,841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loss</w:t>
            </w: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Loss on disposal of non-current assets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of profit of associates</w:t>
            </w: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90,604</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Gain on derivatives (excluding realized gain/loss on forward foreign exchange contracts held for trading)</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16</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(13,918)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(47,558)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3,236</w:t>
            </w: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266,854</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318,143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Movements in working capital</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2,558</w:t>
            </w: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269,412</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311,560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Payments for tangible fixed assets and vessels under construction</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(333,461)</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(117,196)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and leaseback, net of commissions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123,448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Proceeds from Floating Storage Regasification Unit (“FSRU”) forthcoming sale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79,526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investments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Dividends received from associate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825</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short-term cash deposits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Financial income received</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in)/provided by investing activities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(335,050)</w:t>
            </w: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75,897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loans and bonds, net of discount</w:t>
            </w: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17</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318,913</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312,638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Loan and bond repayments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17</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(266,770)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(543,116)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elements of lease payments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(5,498)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Interest paid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(88,407)</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(73,511)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Loan/bond modification costs related to the Transaction (as defined in Note 1)</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(15,652)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Payment of cash collaterals for swaps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(4,480)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Release of cash collaterals for swaps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19,717</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Payment of loan and bond issuance costs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17</w:t>
            </w: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(4,708)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issuance costs received</w:t>
            </w: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17</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Payment of equity raising costs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GasLog Partners’ common unit offerings (net of underwriting discounts and commissions)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Dividends paid (common and preference)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(32,895)</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(55,400)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GasLog Partners’ preference units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financing activities</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(69,525)</w:t>
            </w:r>
          </w:p>
        </w:tc>
        <w:tc>
          <w:tcPr>
            <w:tcW w:w="2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(397,446)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Effects of exchange rate changes on cash and cash equivalents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w:t>
            </w: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Decrease in cash and cash equivalents</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(135,215)</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(10,469)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beginning of the period</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367,269</w:t>
            </w:r>
          </w:p>
        </w:tc>
        <w:tc>
          <w:tcPr>
            <w:tcW w:w="22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282,246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Cash and cash equivalents, end of the period</w:t>
            </w:r>
          </w:p>
        </w:tc>
        <w:tc>
          <w:tcPr>
            <w:tcW w:w="3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232,054</w:t>
            </w:r>
          </w:p>
        </w:tc>
        <w:tc>
          <w:tcPr>
            <w:tcW w:w="2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271,777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 included in liabilities at the end of the period</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16,911</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Capital expenditures included in liabilities at the end of the period – Right-of-use assets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raising costs included in liabilities at the end of the period</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Loan issuance costs included in liabilities at the end of the period</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17</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declared included in liabilities at the end of the period</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line="149" w:lineRule="exact"/>
              <w:rPr>
                <w:sz w:val="20"/>
                <w:szCs w:val="20"/>
                <w:color w:val="auto"/>
              </w:rPr>
            </w:pPr>
            <w:r>
              <w:rPr>
                <w:rFonts w:ascii="Arial" w:cs="Arial" w:eastAsia="Arial" w:hAnsi="Arial"/>
                <w:sz w:val="14"/>
                <w:szCs w:val="14"/>
                <w:color w:val="auto"/>
              </w:rPr>
              <w:t>Liabilities related to leases at the end of the period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prepayment of lease payments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20" w:type="dxa"/>
            <w:vAlign w:val="bottom"/>
          </w:tcPr>
          <w:p>
            <w:pPr>
              <w:spacing w:after="0"/>
              <w:rPr>
                <w:sz w:val="20"/>
                <w:szCs w:val="20"/>
                <w:color w:val="auto"/>
              </w:rPr>
            </w:pPr>
            <w:r>
              <w:rPr>
                <w:rFonts w:ascii="Arial" w:cs="Arial" w:eastAsia="Arial" w:hAnsi="Arial"/>
                <w:sz w:val="14"/>
                <w:szCs w:val="14"/>
                <w:color w:val="auto"/>
              </w:rPr>
              <w:t>Capitalized imputed interest included in long-term liabilites</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six months ended June 30, 2021 and 2022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 and per share data)</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158" w:lineRule="exact"/>
        <w:rPr>
          <w:sz w:val="20"/>
          <w:szCs w:val="20"/>
          <w:color w:val="auto"/>
        </w:rPr>
      </w:pPr>
    </w:p>
    <w:p>
      <w:pPr>
        <w:ind w:right="200" w:firstLine="324"/>
        <w:spacing w:after="0" w:line="293" w:lineRule="auto"/>
        <w:rPr>
          <w:sz w:val="20"/>
          <w:szCs w:val="20"/>
          <w:color w:val="auto"/>
        </w:rPr>
      </w:pPr>
      <w:r>
        <w:rPr>
          <w:rFonts w:ascii="Arial" w:cs="Arial" w:eastAsia="Arial" w:hAnsi="Arial"/>
          <w:sz w:val="15"/>
          <w:szCs w:val="15"/>
          <w:color w:val="auto"/>
        </w:rPr>
        <w:t>GasLog Ltd. (“GasLog”) was incorporated in Bermuda on July 16, 2003. GasLog and its subsidiaries (the “Company” or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and Singapore. The registered office of GasLog is Clarendon House, 2 Church Street, Hamilton HM 11, Bermuda.</w:t>
      </w:r>
    </w:p>
    <w:p>
      <w:pPr>
        <w:spacing w:after="0" w:line="108" w:lineRule="exact"/>
        <w:rPr>
          <w:sz w:val="20"/>
          <w:szCs w:val="20"/>
          <w:color w:val="auto"/>
        </w:rPr>
      </w:pPr>
    </w:p>
    <w:p>
      <w:pPr>
        <w:ind w:right="100" w:firstLine="324"/>
        <w:spacing w:after="0" w:line="303" w:lineRule="auto"/>
        <w:rPr>
          <w:sz w:val="20"/>
          <w:szCs w:val="20"/>
          <w:color w:val="auto"/>
        </w:rPr>
      </w:pPr>
      <w:r>
        <w:rPr>
          <w:rFonts w:ascii="Arial" w:cs="Arial" w:eastAsia="Arial" w:hAnsi="Arial"/>
          <w:sz w:val="14"/>
          <w:szCs w:val="14"/>
          <w:color w:val="auto"/>
        </w:rPr>
        <w:t>On February 21, 2021, GasLog entered into an agreement and plan of merger (the ‘‘Merger Agreement’’) with BlackRock’s Global Energy &amp; Power Infrastructure Team (collectively, ‘‘GEPIF’’), pursuant to which GEPIF acquired all of the outstanding common shares of GasLog Ltd. that were not held by certain existing shareholders of GasLog Ltd. for a purchase price of $5.80 in cash per share (the ‘‘Transaction’’). On June 4, 2021, the special general meeting of shareholders (the “Special Meeting”) was held, and shareholders approved (i) the previously announced Merger Agreement,</w:t>
      </w:r>
    </w:p>
    <w:p>
      <w:pPr>
        <w:spacing w:after="0" w:line="1" w:lineRule="exact"/>
        <w:rPr>
          <w:sz w:val="20"/>
          <w:szCs w:val="20"/>
          <w:color w:val="auto"/>
        </w:rPr>
      </w:pPr>
    </w:p>
    <w:p>
      <w:pPr>
        <w:ind w:right="60" w:firstLine="8"/>
        <w:spacing w:after="0" w:line="272" w:lineRule="auto"/>
        <w:tabs>
          <w:tab w:leader="none" w:pos="23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merger and (iii) the statutory merger agreement contemplated by the Merger Agreement. Trading in GasLog’s common shares on the New York Stock Exchange (“NYSE”) was suspended and the delisting of the common shares from the NYSE became effective on June 21, 2021. GasLog’s 8.75% Series A Cumulative Redeemable Perpetual Preference Shares (“Preference Shares”) remain outstanding and continue to trade in the NYSE under the ticker symbol “GLOG PR A”.</w:t>
      </w:r>
    </w:p>
    <w:p>
      <w:pPr>
        <w:spacing w:after="0" w:line="121" w:lineRule="exact"/>
        <w:rPr>
          <w:sz w:val="20"/>
          <w:szCs w:val="20"/>
          <w:color w:val="auto"/>
        </w:rPr>
      </w:pPr>
    </w:p>
    <w:p>
      <w:pPr>
        <w:ind w:right="60" w:firstLine="324"/>
        <w:spacing w:after="0" w:line="289" w:lineRule="auto"/>
        <w:rPr>
          <w:sz w:val="20"/>
          <w:szCs w:val="20"/>
          <w:color w:val="auto"/>
        </w:rPr>
      </w:pPr>
      <w:r>
        <w:rPr>
          <w:rFonts w:ascii="Arial" w:cs="Arial" w:eastAsia="Arial" w:hAnsi="Arial"/>
          <w:sz w:val="15"/>
          <w:szCs w:val="15"/>
          <w:color w:val="auto"/>
        </w:rPr>
        <w:t>Following the consummation of the Transaction on June 9, 2021, the Company, Blenheim Holdings Ltd., Blenheim Special Investments Holding Ltd. and Olympic LNG Investments Ltd. (collectively, the “Rolling Shareholders”) and GEPIF entered into a shareholders’ agreement with respect to the governance of the Company (the “Shareholders’ Agreement”). Pursuant to the Shareholders’ Agreement, the board of directors of the Company were reduced to five persons, and the Rolling Shareholders that are party to the Shareholders’ Agreement will appoint a majority of the Company’s board of directors in accordance with the terms of the Shareholders’ Agreement. In addition, Peter G. Livanos holds a proxy to vote the shares of the Rolling Shareholders under the terms of the Shareholders’ Agreement and, as a result of holding such proxy, controls more than a majority of the voting stock of the Company and controls the right to appoint a majority of the board of the Company.</w:t>
      </w:r>
    </w:p>
    <w:p>
      <w:pPr>
        <w:spacing w:after="0" w:line="9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6"/>
          <w:szCs w:val="16"/>
          <w:color w:val="auto"/>
        </w:rPr>
        <w:t>As of June 30, 2022, GasLog held a 33.2% ownership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2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6"/>
          <w:szCs w:val="16"/>
          <w:color w:val="auto"/>
        </w:rPr>
        <w:t>The accompanying unaudited condensed consolidated financial statements include the financial statements of GasLog and its subsidiaries. All subsidiaries included in the unaudited condensed consolidated financial statements are 100% held (either directly or indirectly) by GasLog, except for GasLog Partners and its subsidiaries. In comparison to the Group’s structure for the year ended December 31, 2021, no new subsidiaries were established or acquired in the six months ended June 30, 2022.</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185" w:lineRule="exact"/>
        <w:rPr>
          <w:sz w:val="20"/>
          <w:szCs w:val="20"/>
          <w:color w:val="auto"/>
        </w:rPr>
      </w:pPr>
    </w:p>
    <w:p>
      <w:pPr>
        <w:ind w:firstLine="324"/>
        <w:spacing w:after="0" w:line="293" w:lineRule="auto"/>
        <w:rPr>
          <w:sz w:val="20"/>
          <w:szCs w:val="20"/>
          <w:color w:val="auto"/>
        </w:rPr>
      </w:pPr>
      <w:r>
        <w:rPr>
          <w:rFonts w:ascii="Arial" w:cs="Arial" w:eastAsia="Arial" w:hAnsi="Arial"/>
          <w:sz w:val="15"/>
          <w:szCs w:val="15"/>
          <w:color w:val="auto"/>
        </w:rPr>
        <w:t xml:space="preserve">These unaudited condensed consolidated financial statements have been prepared in accordance with International Accounting Standard (“IAS”) 34 </w:t>
      </w:r>
      <w:r>
        <w:rPr>
          <w:rFonts w:ascii="Arial" w:cs="Arial" w:eastAsia="Arial" w:hAnsi="Arial"/>
          <w:sz w:val="15"/>
          <w:szCs w:val="15"/>
          <w:i w:val="1"/>
          <w:iCs w:val="1"/>
          <w:color w:val="auto"/>
        </w:rPr>
        <w:t xml:space="preserve">Interim Financial Reporting </w:t>
      </w:r>
      <w:r>
        <w:rPr>
          <w:rFonts w:ascii="Arial" w:cs="Arial" w:eastAsia="Arial" w:hAnsi="Arial"/>
          <w:sz w:val="15"/>
          <w:szCs w:val="15"/>
          <w:color w:val="auto"/>
        </w:rPr>
        <w:t>as issued by the International Accounting Standards Board (“IASB”). Certain information and footnote disclosures required</w:t>
      </w:r>
      <w:r>
        <w:rPr>
          <w:rFonts w:ascii="Arial" w:cs="Arial" w:eastAsia="Arial" w:hAnsi="Arial"/>
          <w:sz w:val="15"/>
          <w:szCs w:val="15"/>
          <w:i w:val="1"/>
          <w:iCs w:val="1"/>
          <w:color w:val="auto"/>
        </w:rPr>
        <w:t xml:space="preserve"> </w:t>
      </w:r>
      <w:r>
        <w:rPr>
          <w:rFonts w:ascii="Arial" w:cs="Arial" w:eastAsia="Arial" w:hAnsi="Arial"/>
          <w:sz w:val="15"/>
          <w:szCs w:val="15"/>
          <w:color w:val="auto"/>
        </w:rPr>
        <w:t>by IFRS for a complete set of annual financial statements have been omitted, and, therefore, these unaudited condensed consolidated financial statements should be read in conjunction with the Group’s annual consolidated financial statements as of and for the year ended December 31, 2021, filed on an Annual Report on Form 20-F with the Securities Exchange Commission on March 9, 2022.</w:t>
      </w:r>
    </w:p>
    <w:p>
      <w:pPr>
        <w:spacing w:after="0" w:line="122" w:lineRule="exact"/>
        <w:rPr>
          <w:sz w:val="20"/>
          <w:szCs w:val="20"/>
          <w:color w:val="auto"/>
        </w:rPr>
      </w:pPr>
    </w:p>
    <w:p>
      <w:pPr>
        <w:ind w:right="520" w:firstLine="324"/>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Company’s annual consolidated financial statements for the year ended December 31, 2021 and remain unchanged.</w:t>
      </w:r>
    </w:p>
    <w:p>
      <w:pPr>
        <w:spacing w:after="0" w:line="118" w:lineRule="exact"/>
        <w:rPr>
          <w:sz w:val="20"/>
          <w:szCs w:val="20"/>
          <w:color w:val="auto"/>
        </w:rPr>
      </w:pPr>
    </w:p>
    <w:p>
      <w:pPr>
        <w:ind w:right="160" w:firstLine="324"/>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30" w:lineRule="exact"/>
        <w:rPr>
          <w:sz w:val="20"/>
          <w:szCs w:val="20"/>
          <w:color w:val="auto"/>
        </w:rPr>
      </w:pPr>
    </w:p>
    <w:p>
      <w:pPr>
        <w:ind w:right="100" w:firstLine="324"/>
        <w:spacing w:after="0" w:line="278" w:lineRule="auto"/>
        <w:rPr>
          <w:sz w:val="20"/>
          <w:szCs w:val="20"/>
          <w:color w:val="auto"/>
        </w:rPr>
      </w:pPr>
      <w:r>
        <w:rPr>
          <w:rFonts w:ascii="Arial" w:cs="Arial" w:eastAsia="Arial" w:hAnsi="Arial"/>
          <w:sz w:val="16"/>
          <w:szCs w:val="16"/>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2021.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August 4, 2022, GasLog’s board of directors authorized the unaudited condensed consolidated financial statements for issuance.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As of June 30, 2022, GasLog’s current assets totaled $450,737, while current liabilities totaled $511,770, resulting in a negative working capital position of $61,033. Current liabilities include $72,901 of unearned revenue in relation to hires received in advance of June 30, 2022 (which represents a non-cash liability that will be recognized as revenue in July as the services are rendered).</w:t>
      </w:r>
    </w:p>
    <w:p>
      <w:pPr>
        <w:spacing w:after="0" w:line="144" w:lineRule="exact"/>
        <w:rPr>
          <w:sz w:val="20"/>
          <w:szCs w:val="20"/>
          <w:color w:val="auto"/>
        </w:rPr>
      </w:pPr>
    </w:p>
    <w:p>
      <w:pPr>
        <w:ind w:right="40" w:firstLine="324"/>
        <w:spacing w:after="0" w:line="291" w:lineRule="auto"/>
        <w:rPr>
          <w:sz w:val="20"/>
          <w:szCs w:val="20"/>
          <w:color w:val="auto"/>
        </w:rPr>
      </w:pPr>
      <w:r>
        <w:rPr>
          <w:rFonts w:ascii="Arial" w:cs="Arial" w:eastAsia="Arial" w:hAnsi="Arial"/>
          <w:sz w:val="15"/>
          <w:szCs w:val="15"/>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Management anticipates that its primary sources of funds for at least twelve months from the date of this report will be available cash, cash from operations, existing and future borrowings and future sale and leaseback transactions. Management believes that these anticipated sources of funds will be sufficient for the Company to meet its liquidity needs and to comply with its financial covenants for at least twelve months from the date of this report and therefore it is appropriate to prepare the financial statements on a going concern basis.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19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There were no IFRS standards or amendments that became effective in the current period which were relevant to the Group or material with respect to the Group’s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1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At the date of authorization of these consolidated financial statements, the following standards and amendments relevant to the Group were in issue but not yet effective:</w:t>
      </w:r>
    </w:p>
    <w:p>
      <w:pPr>
        <w:spacing w:after="0" w:line="131" w:lineRule="exact"/>
        <w:rPr>
          <w:sz w:val="20"/>
          <w:szCs w:val="20"/>
          <w:color w:val="auto"/>
        </w:rPr>
      </w:pPr>
    </w:p>
    <w:p>
      <w:pPr>
        <w:ind w:right="40" w:firstLine="324"/>
        <w:spacing w:after="0" w:line="289" w:lineRule="auto"/>
        <w:rPr>
          <w:sz w:val="20"/>
          <w:szCs w:val="20"/>
          <w:color w:val="auto"/>
        </w:rPr>
      </w:pPr>
      <w:r>
        <w:rPr>
          <w:rFonts w:ascii="Arial" w:cs="Arial" w:eastAsia="Arial" w:hAnsi="Arial"/>
          <w:sz w:val="15"/>
          <w:szCs w:val="15"/>
          <w:color w:val="auto"/>
        </w:rPr>
        <w:t xml:space="preserve">In January 2020, the IASB issued a narrow-scope amendment to IAS 1 </w:t>
      </w:r>
      <w:r>
        <w:rPr>
          <w:rFonts w:ascii="Arial" w:cs="Arial" w:eastAsia="Arial" w:hAnsi="Arial"/>
          <w:sz w:val="15"/>
          <w:szCs w:val="15"/>
          <w:i w:val="1"/>
          <w:iCs w:val="1"/>
          <w:color w:val="auto"/>
        </w:rPr>
        <w:t>Presentation of Financial Statements</w:t>
      </w:r>
      <w:r>
        <w:rPr>
          <w:rFonts w:ascii="Arial" w:cs="Arial" w:eastAsia="Arial" w:hAnsi="Arial"/>
          <w:sz w:val="15"/>
          <w:szCs w:val="15"/>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will be effective for annual periods beginning on or after January 1, 2024 and should be applied retrospectively in accordance with IAS 8 </w:t>
      </w:r>
      <w:r>
        <w:rPr>
          <w:rFonts w:ascii="Arial" w:cs="Arial" w:eastAsia="Arial" w:hAnsi="Arial"/>
          <w:sz w:val="15"/>
          <w:szCs w:val="15"/>
          <w:i w:val="1"/>
          <w:iCs w:val="1"/>
          <w:color w:val="auto"/>
        </w:rPr>
        <w:t>Accounting Policies, Changes in Accounting Estimates and Errors</w:t>
      </w:r>
      <w:r>
        <w:rPr>
          <w:rFonts w:ascii="Arial" w:cs="Arial" w:eastAsia="Arial" w:hAnsi="Arial"/>
          <w:sz w:val="15"/>
          <w:szCs w:val="15"/>
          <w:color w:val="auto"/>
        </w:rPr>
        <w:t>. Earlier application is permitted. Management anticipates that this amendment will not have a material impact on the Group’s financial statements.</w:t>
      </w:r>
    </w:p>
    <w:p>
      <w:pPr>
        <w:spacing w:after="0" w:line="139" w:lineRule="exact"/>
        <w:rPr>
          <w:sz w:val="20"/>
          <w:szCs w:val="20"/>
          <w:color w:val="auto"/>
        </w:rPr>
      </w:pPr>
    </w:p>
    <w:p>
      <w:pPr>
        <w:ind w:right="40" w:firstLine="324"/>
        <w:spacing w:after="0" w:line="297" w:lineRule="auto"/>
        <w:rPr>
          <w:sz w:val="20"/>
          <w:szCs w:val="20"/>
          <w:color w:val="auto"/>
        </w:rPr>
      </w:pPr>
      <w:r>
        <w:rPr>
          <w:rFonts w:ascii="Arial" w:cs="Arial" w:eastAsia="Arial" w:hAnsi="Arial"/>
          <w:sz w:val="15"/>
          <w:szCs w:val="15"/>
          <w:color w:val="auto"/>
        </w:rPr>
        <w:t xml:space="preserve">In February 2021, the IASB amended IAS 1 </w:t>
      </w:r>
      <w:r>
        <w:rPr>
          <w:rFonts w:ascii="Arial" w:cs="Arial" w:eastAsia="Arial" w:hAnsi="Arial"/>
          <w:sz w:val="15"/>
          <w:szCs w:val="15"/>
          <w:i w:val="1"/>
          <w:iCs w:val="1"/>
          <w:color w:val="auto"/>
        </w:rPr>
        <w:t>Presentation of Financial Statements</w:t>
      </w:r>
      <w:r>
        <w:rPr>
          <w:rFonts w:ascii="Arial" w:cs="Arial" w:eastAsia="Arial" w:hAnsi="Arial"/>
          <w:sz w:val="15"/>
          <w:szCs w:val="15"/>
          <w:color w:val="auto"/>
        </w:rPr>
        <w:t xml:space="preserve">, IFRS Practice Statement 2 and IAS 8 </w:t>
      </w:r>
      <w:r>
        <w:rPr>
          <w:rFonts w:ascii="Arial" w:cs="Arial" w:eastAsia="Arial" w:hAnsi="Arial"/>
          <w:sz w:val="15"/>
          <w:szCs w:val="15"/>
          <w:i w:val="1"/>
          <w:iCs w:val="1"/>
          <w:color w:val="auto"/>
        </w:rPr>
        <w:t>Accounting Policies,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Changes in Accounting Estimates and Errors </w:t>
      </w:r>
      <w:r>
        <w:rPr>
          <w:rFonts w:ascii="Arial" w:cs="Arial" w:eastAsia="Arial" w:hAnsi="Arial"/>
          <w:sz w:val="15"/>
          <w:szCs w:val="15"/>
          <w:color w:val="auto"/>
        </w:rPr>
        <w:t>to improve accounting policy disclosures and to help the users of the financial statements to distinguish</w:t>
      </w:r>
      <w:r>
        <w:rPr>
          <w:rFonts w:ascii="Arial" w:cs="Arial" w:eastAsia="Arial" w:hAnsi="Arial"/>
          <w:sz w:val="15"/>
          <w:szCs w:val="15"/>
          <w:i w:val="1"/>
          <w:iCs w:val="1"/>
          <w:color w:val="auto"/>
        </w:rPr>
        <w:t xml:space="preserve"> </w:t>
      </w:r>
      <w:r>
        <w:rPr>
          <w:rFonts w:ascii="Arial" w:cs="Arial" w:eastAsia="Arial" w:hAnsi="Arial"/>
          <w:sz w:val="15"/>
          <w:szCs w:val="15"/>
          <w:color w:val="auto"/>
        </w:rPr>
        <w:t>between changes in accounting estimates and changes in accounting policies. The amendments will be effective for annual periods beginning on or after January 1, 2023. Management anticipates that these amendments will not have a material impact on the Group’s financial statements.</w:t>
      </w:r>
    </w:p>
    <w:p>
      <w:pPr>
        <w:spacing w:after="0" w:line="145" w:lineRule="exact"/>
        <w:rPr>
          <w:sz w:val="20"/>
          <w:szCs w:val="20"/>
          <w:color w:val="auto"/>
        </w:rPr>
      </w:pPr>
    </w:p>
    <w:p>
      <w:pPr>
        <w:ind w:right="460" w:firstLine="324"/>
        <w:spacing w:after="0" w:line="293" w:lineRule="auto"/>
        <w:rPr>
          <w:sz w:val="20"/>
          <w:szCs w:val="20"/>
          <w:color w:val="auto"/>
        </w:rPr>
      </w:pPr>
      <w:r>
        <w:rPr>
          <w:rFonts w:ascii="Arial" w:cs="Arial" w:eastAsia="Arial" w:hAnsi="Arial"/>
          <w:sz w:val="16"/>
          <w:szCs w:val="16"/>
          <w:color w:val="auto"/>
        </w:rPr>
        <w:t>The impact of all other IFRS standards and amendments issued but not yet adopted is not expected to be material with respect to the Group’s financial statements.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20"/>
                <w:szCs w:val="20"/>
                <w:color w:val="auto"/>
              </w:rPr>
            </w:pPr>
            <w:r>
              <w:rPr>
                <w:rFonts w:ascii="Arial" w:cs="Arial" w:eastAsia="Arial" w:hAnsi="Arial"/>
                <w:sz w:val="16"/>
                <w:szCs w:val="16"/>
                <w:b w:val="1"/>
                <w:bCs w:val="1"/>
                <w:color w:val="auto"/>
              </w:rPr>
              <w:t>3. Investment in Associates</w:t>
            </w:r>
          </w:p>
        </w:tc>
        <w:tc>
          <w:tcPr>
            <w:tcW w:w="1120" w:type="dxa"/>
            <w:vAlign w:val="bottom"/>
          </w:tcPr>
          <w:p>
            <w:pPr>
              <w:spacing w:after="0"/>
              <w:rPr>
                <w:sz w:val="18"/>
                <w:szCs w:val="18"/>
                <w:color w:val="auto"/>
              </w:rPr>
            </w:pPr>
          </w:p>
        </w:tc>
      </w:tr>
      <w:tr>
        <w:trPr>
          <w:trHeight w:val="378"/>
        </w:trPr>
        <w:tc>
          <w:tcPr>
            <w:tcW w:w="8800" w:type="dxa"/>
            <w:vAlign w:val="bottom"/>
          </w:tcPr>
          <w:p>
            <w:pPr>
              <w:ind w:left="340"/>
              <w:spacing w:after="0"/>
              <w:rPr>
                <w:sz w:val="20"/>
                <w:szCs w:val="20"/>
                <w:color w:val="auto"/>
              </w:rPr>
            </w:pPr>
            <w:r>
              <w:rPr>
                <w:rFonts w:ascii="Arial" w:cs="Arial" w:eastAsia="Arial" w:hAnsi="Arial"/>
                <w:sz w:val="16"/>
                <w:szCs w:val="16"/>
                <w:color w:val="auto"/>
              </w:rPr>
              <w:t>The movements in investment in associates are reported in the following table:</w:t>
            </w:r>
          </w:p>
        </w:tc>
        <w:tc>
          <w:tcPr>
            <w:tcW w:w="1120" w:type="dxa"/>
            <w:vAlign w:val="bottom"/>
          </w:tcPr>
          <w:p>
            <w:pPr>
              <w:spacing w:after="0"/>
              <w:rPr>
                <w:sz w:val="24"/>
                <w:szCs w:val="24"/>
                <w:color w:val="auto"/>
              </w:rPr>
            </w:pPr>
          </w:p>
        </w:tc>
      </w:tr>
      <w:tr>
        <w:trPr>
          <w:trHeight w:val="418"/>
        </w:trPr>
        <w:tc>
          <w:tcPr>
            <w:tcW w:w="88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6"/>
              </w:rPr>
              <w:t>June 30, 2022</w:t>
            </w:r>
          </w:p>
        </w:tc>
      </w:tr>
      <w:tr>
        <w:trPr>
          <w:trHeight w:val="202"/>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As of January 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23,508</w:t>
            </w: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Additions</w:t>
            </w: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Share of profit of associates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196"/>
        </w:trPr>
        <w:tc>
          <w:tcPr>
            <w:tcW w:w="8800" w:type="dxa"/>
            <w:vAlign w:val="bottom"/>
          </w:tcPr>
          <w:p>
            <w:pPr>
              <w:spacing w:after="0"/>
              <w:rPr>
                <w:sz w:val="20"/>
                <w:szCs w:val="20"/>
                <w:color w:val="auto"/>
              </w:rPr>
            </w:pPr>
            <w:r>
              <w:rPr>
                <w:rFonts w:ascii="Arial" w:cs="Arial" w:eastAsia="Arial" w:hAnsi="Arial"/>
                <w:sz w:val="16"/>
                <w:szCs w:val="16"/>
                <w:b w:val="1"/>
                <w:bCs w:val="1"/>
                <w:color w:val="auto"/>
              </w:rPr>
              <w:t>As of June 30, 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24,546</w:t>
            </w:r>
          </w:p>
        </w:tc>
      </w:tr>
      <w:tr>
        <w:trPr>
          <w:trHeight w:val="20"/>
        </w:trPr>
        <w:tc>
          <w:tcPr>
            <w:tcW w:w="8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Tangible Fixed Assets and Vessels Under Construction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movements in tangible fixed assets and vessels under construction are reported in the following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Office property</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and other</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tangible fixed</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w w:val="86"/>
              </w:rPr>
              <w:t>Vessels under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b w:val="1"/>
                <w:bCs w:val="1"/>
                <w:color w:val="auto"/>
              </w:rPr>
              <w:t>Vessels</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tangible assets</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76"/>
              </w:rPr>
              <w:t>assets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w w:val="92"/>
              </w:rPr>
              <w:t>construction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tcBorders>
              <w:top w:val="single" w:sz="8" w:color="CCEEFF"/>
            </w:tcBorders>
            <w:gridSpan w:val="4"/>
            <w:shd w:val="clear" w:color="auto" w:fill="CCEEFF"/>
          </w:tcPr>
          <w:p>
            <w:pPr>
              <w:spacing w:after="0" w:line="148" w:lineRule="exact"/>
              <w:rPr>
                <w:sz w:val="20"/>
                <w:szCs w:val="20"/>
                <w:color w:val="auto"/>
              </w:rPr>
            </w:pPr>
            <w:r>
              <w:rPr>
                <w:rFonts w:ascii="Arial" w:cs="Arial" w:eastAsia="Arial" w:hAnsi="Arial"/>
                <w:sz w:val="16"/>
                <w:szCs w:val="16"/>
                <w:b w:val="1"/>
                <w:bCs w:val="1"/>
                <w:color w:val="auto"/>
              </w:rPr>
              <w:t>Cost</w:t>
            </w: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gridSpan w:val="4"/>
          </w:tcPr>
          <w:p>
            <w:pPr>
              <w:spacing w:after="0"/>
              <w:rPr>
                <w:sz w:val="20"/>
                <w:szCs w:val="20"/>
                <w:color w:val="auto"/>
              </w:rPr>
            </w:pPr>
            <w:r>
              <w:rPr>
                <w:rFonts w:ascii="Arial" w:cs="Arial" w:eastAsia="Arial" w:hAnsi="Arial"/>
                <w:sz w:val="16"/>
                <w:szCs w:val="16"/>
                <w:color w:val="auto"/>
              </w:rPr>
              <w:t>As of January 1, 2022</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6,265,547</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37,219</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6,302,766</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33,916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Additions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4"/>
          </w:tcPr>
          <w:p>
            <w:pPr>
              <w:spacing w:after="0"/>
              <w:rPr>
                <w:sz w:val="20"/>
                <w:szCs w:val="20"/>
                <w:color w:val="auto"/>
              </w:rPr>
            </w:pPr>
            <w:r>
              <w:rPr>
                <w:rFonts w:ascii="Arial" w:cs="Arial" w:eastAsia="Arial" w:hAnsi="Arial"/>
                <w:sz w:val="16"/>
                <w:szCs w:val="16"/>
                <w:color w:val="auto"/>
              </w:rPr>
              <w:t>Disposal</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(206,718)</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(206,718)</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Transfer under Vessels held for sale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(324,034)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(324,034)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4"/>
          </w:tcPr>
          <w:p>
            <w:pPr>
              <w:spacing w:after="0"/>
              <w:rPr>
                <w:sz w:val="20"/>
                <w:szCs w:val="20"/>
                <w:color w:val="auto"/>
              </w:rPr>
            </w:pPr>
            <w:r>
              <w:rPr>
                <w:rFonts w:ascii="Arial" w:cs="Arial" w:eastAsia="Arial" w:hAnsi="Arial"/>
                <w:sz w:val="16"/>
                <w:szCs w:val="16"/>
                <w:color w:val="auto"/>
              </w:rPr>
              <w:t>Fully amortized fixed assets</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(152)</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(152)</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As of June 30,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5,736,201</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40,505</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5,776,706</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147,759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620" w:type="dxa"/>
            <w:vAlign w:val="bottom"/>
            <w:gridSpan w:val="4"/>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Accumulated depreciation and Impairment loss</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As of January 1, 2022</w:t>
            </w:r>
          </w:p>
        </w:tc>
        <w:tc>
          <w:tcPr>
            <w:tcW w:w="2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95"/>
              </w:rPr>
              <w:t>1,293,264</w:t>
            </w:r>
          </w:p>
        </w:tc>
        <w:tc>
          <w:tcPr>
            <w:tcW w:w="1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6,673</w:t>
            </w: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1,299,937</w:t>
            </w:r>
          </w:p>
        </w:tc>
        <w:tc>
          <w:tcPr>
            <w:tcW w:w="1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10,977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Depreciation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85,517</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85,890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4"/>
          </w:tcPr>
          <w:p>
            <w:pPr>
              <w:spacing w:after="0"/>
              <w:rPr>
                <w:sz w:val="20"/>
                <w:szCs w:val="20"/>
                <w:color w:val="auto"/>
              </w:rPr>
            </w:pPr>
            <w:r>
              <w:rPr>
                <w:rFonts w:ascii="Arial" w:cs="Arial" w:eastAsia="Arial" w:hAnsi="Arial"/>
                <w:sz w:val="16"/>
                <w:szCs w:val="16"/>
                <w:color w:val="auto"/>
              </w:rPr>
              <w:t>Disposal</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(56,136)</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(56,136)</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Transfer under Vessels held for sale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(210,599)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(210,599)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4"/>
          </w:tcPr>
          <w:p>
            <w:pPr>
              <w:spacing w:after="0"/>
              <w:rPr>
                <w:sz w:val="20"/>
                <w:szCs w:val="20"/>
                <w:color w:val="auto"/>
              </w:rPr>
            </w:pPr>
            <w:r>
              <w:rPr>
                <w:rFonts w:ascii="Arial" w:cs="Arial" w:eastAsia="Arial" w:hAnsi="Arial"/>
                <w:sz w:val="16"/>
                <w:szCs w:val="16"/>
                <w:color w:val="auto"/>
              </w:rPr>
              <w:t>Impairment loss</w:t>
            </w:r>
          </w:p>
        </w:tc>
        <w:tc>
          <w:tcPr>
            <w:tcW w:w="760" w:type="dxa"/>
            <w:vAlign w:val="bottom"/>
          </w:tcPr>
          <w:p>
            <w:pPr>
              <w:jc w:val="right"/>
              <w:spacing w:after="0"/>
              <w:rPr>
                <w:sz w:val="20"/>
                <w:szCs w:val="20"/>
                <w:color w:val="auto"/>
              </w:rPr>
            </w:pPr>
            <w:r>
              <w:rPr>
                <w:rFonts w:ascii="Arial" w:cs="Arial" w:eastAsia="Arial" w:hAnsi="Arial"/>
                <w:sz w:val="16"/>
                <w:szCs w:val="16"/>
                <w:color w:val="auto"/>
              </w:rPr>
              <w:t>56,911</w:t>
            </w:r>
          </w:p>
        </w:tc>
        <w:tc>
          <w:tcPr>
            <w:tcW w:w="1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56,911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Fully amortized fixed assets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b w:val="1"/>
                <w:bCs w:val="1"/>
                <w:color w:val="auto"/>
              </w:rPr>
              <w:t>As of June 30, 2022</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1,168,957</w:t>
            </w:r>
          </w:p>
        </w:tc>
        <w:tc>
          <w:tcPr>
            <w:tcW w:w="16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6,894</w:t>
            </w:r>
          </w:p>
        </w:tc>
        <w:tc>
          <w:tcPr>
            <w:tcW w:w="1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1,175,851</w:t>
            </w:r>
          </w:p>
        </w:tc>
        <w:tc>
          <w:tcPr>
            <w:tcW w:w="1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10,977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20" w:type="dxa"/>
            <w:vAlign w:val="bottom"/>
            <w:gridSpan w:val="4"/>
          </w:tcPr>
          <w:p>
            <w:pPr>
              <w:spacing w:after="0" w:line="162" w:lineRule="exact"/>
              <w:rPr>
                <w:sz w:val="20"/>
                <w:szCs w:val="20"/>
                <w:color w:val="auto"/>
              </w:rPr>
            </w:pPr>
            <w:r>
              <w:rPr>
                <w:rFonts w:ascii="Arial" w:cs="Arial" w:eastAsia="Arial" w:hAnsi="Arial"/>
                <w:sz w:val="16"/>
                <w:szCs w:val="16"/>
                <w:b w:val="1"/>
                <w:bCs w:val="1"/>
                <w:color w:val="auto"/>
              </w:rPr>
              <w:t>Net book value</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As of December 31,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4,972,283</w:t>
            </w:r>
          </w:p>
        </w:tc>
        <w:tc>
          <w:tcPr>
            <w:tcW w:w="1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30,546</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5,002,829</w:t>
            </w:r>
          </w:p>
        </w:tc>
        <w:tc>
          <w:tcPr>
            <w:tcW w:w="1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gridSpan w:val="4"/>
          </w:tcPr>
          <w:p>
            <w:pPr>
              <w:spacing w:after="0"/>
              <w:rPr>
                <w:sz w:val="20"/>
                <w:szCs w:val="20"/>
                <w:color w:val="auto"/>
              </w:rPr>
            </w:pPr>
            <w:r>
              <w:rPr>
                <w:rFonts w:ascii="Arial" w:cs="Arial" w:eastAsia="Arial" w:hAnsi="Arial"/>
                <w:sz w:val="16"/>
                <w:szCs w:val="16"/>
                <w:b w:val="1"/>
                <w:bCs w:val="1"/>
                <w:color w:val="auto"/>
              </w:rPr>
              <w:t>As of June 30, 2022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4,567,244</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33,611</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4,600,855</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Vessels with an aggregate carrying amount of $4,567,244 as of June 30, 2022 (December 31, 2021: $4,972,283) have been pledged as collateral under the terms of the Group’s credit facilities.</w:t>
      </w:r>
    </w:p>
    <w:p>
      <w:pPr>
        <w:spacing w:after="0" w:line="131" w:lineRule="exact"/>
        <w:rPr>
          <w:sz w:val="20"/>
          <w:szCs w:val="20"/>
          <w:color w:val="auto"/>
        </w:rPr>
      </w:pPr>
    </w:p>
    <w:p>
      <w:pPr>
        <w:ind w:right="60" w:firstLine="324"/>
        <w:spacing w:after="0" w:line="287" w:lineRule="auto"/>
        <w:rPr>
          <w:sz w:val="20"/>
          <w:szCs w:val="20"/>
          <w:color w:val="auto"/>
        </w:rPr>
      </w:pPr>
      <w:r>
        <w:rPr>
          <w:rFonts w:ascii="Arial" w:cs="Arial" w:eastAsia="Arial" w:hAnsi="Arial"/>
          <w:sz w:val="15"/>
          <w:szCs w:val="15"/>
          <w:color w:val="auto"/>
        </w:rPr>
        <w:t xml:space="preserve">On February 2, 2022, GasLog entered into an agreement for the sale of the </w:t>
      </w:r>
      <w:r>
        <w:rPr>
          <w:rFonts w:ascii="Arial" w:cs="Arial" w:eastAsia="Arial" w:hAnsi="Arial"/>
          <w:sz w:val="15"/>
          <w:szCs w:val="15"/>
          <w:i w:val="1"/>
          <w:iCs w:val="1"/>
          <w:color w:val="auto"/>
        </w:rPr>
        <w:t>GasLog Chelsea,</w:t>
      </w:r>
      <w:r>
        <w:rPr>
          <w:rFonts w:ascii="Arial" w:cs="Arial" w:eastAsia="Arial" w:hAnsi="Arial"/>
          <w:sz w:val="15"/>
          <w:szCs w:val="15"/>
          <w:color w:val="auto"/>
        </w:rPr>
        <w:t xml:space="preserve"> a 153,600 cubic meters (“cbm”) tri-fuel diesel electric propulsion (“TFDE”) LNG carrier built in 2010 to Gastrade S.A. (“Gastrade”) for $265,086, payable in installments, following its conversion to an FSRU expected to be completed by the fourth quarter of 2023. The proceeds from the sale of the </w:t>
      </w:r>
      <w:r>
        <w:rPr>
          <w:rFonts w:ascii="Arial" w:cs="Arial" w:eastAsia="Arial" w:hAnsi="Arial"/>
          <w:sz w:val="15"/>
          <w:szCs w:val="15"/>
          <w:i w:val="1"/>
          <w:iCs w:val="1"/>
          <w:color w:val="auto"/>
        </w:rPr>
        <w:t>GasLog Chelsea</w:t>
      </w:r>
      <w:r>
        <w:rPr>
          <w:rFonts w:ascii="Arial" w:cs="Arial" w:eastAsia="Arial" w:hAnsi="Arial"/>
          <w:sz w:val="15"/>
          <w:szCs w:val="15"/>
          <w:color w:val="auto"/>
        </w:rPr>
        <w:t xml:space="preserve"> and specifically the amounts already received as June 30, 2022 and to be received in the future were considered as a significant financing component according to IFRS 15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and were recognized under Other non-current liabilities. Consequently, the Group assessed the interest to be capitalized over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time relating to the transaction, which as of June 30, 2022 was $1,198 and was included in Vessels Under Construction. Following the signing of this agreement, as of March 31, 2022, the vessel was remeasured at the lower of its carrying amount and its recoverable amount (value in use), and a non-cash impairment loss of $19,350 was recorded. On February 3, 2022, GasLog, through its subsidiary GAS-fifteen Ltd., issued a Final Notice to Proceed to Keppel Shipyard Ltd. to convert the </w:t>
      </w:r>
      <w:r>
        <w:rPr>
          <w:rFonts w:ascii="Arial" w:cs="Arial" w:eastAsia="Arial" w:hAnsi="Arial"/>
          <w:sz w:val="15"/>
          <w:szCs w:val="15"/>
          <w:i w:val="1"/>
          <w:iCs w:val="1"/>
          <w:color w:val="auto"/>
        </w:rPr>
        <w:t>GasLog Chelsea</w:t>
      </w:r>
      <w:r>
        <w:rPr>
          <w:rFonts w:ascii="Arial" w:cs="Arial" w:eastAsia="Arial" w:hAnsi="Arial"/>
          <w:sz w:val="15"/>
          <w:szCs w:val="15"/>
          <w:color w:val="auto"/>
        </w:rPr>
        <w:t>, into a FSRU in connection with the Final Investment Decision (“FID”) taken by Gastrade for the construction of a regasification terminal in Alexandroupolis.</w:t>
      </w:r>
    </w:p>
    <w:p>
      <w:pPr>
        <w:spacing w:after="0" w:line="151" w:lineRule="exact"/>
        <w:rPr>
          <w:sz w:val="20"/>
          <w:szCs w:val="20"/>
          <w:color w:val="auto"/>
        </w:rPr>
      </w:pPr>
    </w:p>
    <w:p>
      <w:pPr>
        <w:ind w:right="20" w:firstLine="324"/>
        <w:spacing w:after="0" w:line="297" w:lineRule="auto"/>
        <w:rPr>
          <w:sz w:val="20"/>
          <w:szCs w:val="20"/>
          <w:color w:val="auto"/>
        </w:rPr>
      </w:pPr>
      <w:r>
        <w:rPr>
          <w:rFonts w:ascii="Arial" w:cs="Arial" w:eastAsia="Arial" w:hAnsi="Arial"/>
          <w:sz w:val="15"/>
          <w:szCs w:val="15"/>
          <w:color w:val="auto"/>
        </w:rPr>
        <w:t xml:space="preserve">On March 28, 2022, GAS-six Ltd. completed the sale and leaseback of the </w:t>
      </w:r>
      <w:r>
        <w:rPr>
          <w:rFonts w:ascii="Arial" w:cs="Arial" w:eastAsia="Arial" w:hAnsi="Arial"/>
          <w:sz w:val="15"/>
          <w:szCs w:val="15"/>
          <w:i w:val="1"/>
          <w:iCs w:val="1"/>
          <w:color w:val="auto"/>
        </w:rPr>
        <w:t>GasLog Skagen</w:t>
      </w:r>
      <w:r>
        <w:rPr>
          <w:rFonts w:ascii="Arial" w:cs="Arial" w:eastAsia="Arial" w:hAnsi="Arial"/>
          <w:sz w:val="15"/>
          <w:szCs w:val="15"/>
          <w:color w:val="auto"/>
        </w:rPr>
        <w:t xml:space="preserve"> with a wholly-owned subsidiary of China Development Bank Leasing (“CDBL”) (Note 5). During the six-month period ended June 30, 2022, the carrying amount of the vessel ($160,116) was initially remeasured at the lower between carrying amount and fair value less costs to sell and a non-cash impairment loss of $9,534 was recorded. Subsequently, upon sale, a loss of $577 arising from the sale and leaseback transaction was recorded in the consolidated statement of profit or loss.</w:t>
      </w:r>
    </w:p>
    <w:p>
      <w:pPr>
        <w:spacing w:after="0" w:line="132" w:lineRule="exact"/>
        <w:rPr>
          <w:sz w:val="20"/>
          <w:szCs w:val="20"/>
          <w:color w:val="auto"/>
        </w:rPr>
      </w:pPr>
    </w:p>
    <w:p>
      <w:pPr>
        <w:ind w:right="40" w:firstLine="324"/>
        <w:spacing w:after="0" w:line="289" w:lineRule="auto"/>
        <w:rPr>
          <w:sz w:val="20"/>
          <w:szCs w:val="20"/>
          <w:color w:val="auto"/>
        </w:rPr>
      </w:pPr>
      <w:r>
        <w:rPr>
          <w:rFonts w:ascii="Arial" w:cs="Arial" w:eastAsia="Arial" w:hAnsi="Arial"/>
          <w:sz w:val="15"/>
          <w:szCs w:val="15"/>
          <w:color w:val="auto"/>
        </w:rPr>
        <w:t xml:space="preserve">On June 27, 2022, GAS-twenty Ltd., the vessel-owning entity of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entered into a Memorandum of Agreement with respect to the sale of its vessel to an unrelated third party, with the transaction expected to be completed in the third quarter of 2022. Also, as of June 30, 2022, GasLog Partners was pursuing an agreement for the sale and lease-back of a second steam turbine propulsion (“Steam”) vessel. All criteria outlined by IFRS 5 </w:t>
      </w:r>
      <w:r>
        <w:rPr>
          <w:rFonts w:ascii="Arial" w:cs="Arial" w:eastAsia="Arial" w:hAnsi="Arial"/>
          <w:sz w:val="15"/>
          <w:szCs w:val="15"/>
          <w:i w:val="1"/>
          <w:iCs w:val="1"/>
          <w:color w:val="auto"/>
        </w:rPr>
        <w:t>Non-current Assets Held for Sale and Discontinued Operations</w:t>
      </w:r>
      <w:r>
        <w:rPr>
          <w:rFonts w:ascii="Arial" w:cs="Arial" w:eastAsia="Arial" w:hAnsi="Arial"/>
          <w:sz w:val="15"/>
          <w:szCs w:val="15"/>
          <w:color w:val="auto"/>
        </w:rPr>
        <w:t xml:space="preserve"> were deemed to have been met as of the reporting date with respect to both vessels. As a result, the carrying amounts of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($67,339) and the second vessel ($74,123) were remeasured at the lower between carrying amount and fair value less costs to sell, resulting in the recognition of an impairment loss of $14,664 and $13,363, respectively, and were reclassified as “Vessels held for sale” (within current assets).</w:t>
      </w:r>
    </w:p>
    <w:p>
      <w:pPr>
        <w:spacing w:after="0" w:line="139" w:lineRule="exact"/>
        <w:rPr>
          <w:sz w:val="20"/>
          <w:szCs w:val="20"/>
          <w:color w:val="auto"/>
        </w:rPr>
      </w:pPr>
    </w:p>
    <w:p>
      <w:pPr>
        <w:ind w:right="540" w:firstLine="324"/>
        <w:spacing w:after="0" w:line="293" w:lineRule="auto"/>
        <w:rPr>
          <w:sz w:val="20"/>
          <w:szCs w:val="20"/>
          <w:color w:val="auto"/>
        </w:rPr>
      </w:pPr>
      <w:r>
        <w:rPr>
          <w:rFonts w:ascii="Arial" w:cs="Arial" w:eastAsia="Arial" w:hAnsi="Arial"/>
          <w:sz w:val="16"/>
          <w:szCs w:val="16"/>
          <w:color w:val="auto"/>
        </w:rPr>
        <w:t>As of June 30, 2022, the Company concluded that there were no events or circumstances triggering the existence of potential impairment or reversal of impairment of its remaining vessels.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Vessels under construction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As of June 30, 2022, GasLog has the following newbuildings on order at Daewoo Shipbuilding and Marine Engineering Co., Ltd. (“Daewoo”):</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Date of</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Estimated</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Cargo Capacity</w:t>
            </w:r>
          </w:p>
        </w:tc>
      </w:tr>
      <w:tr>
        <w:trPr>
          <w:trHeight w:val="213"/>
        </w:trPr>
        <w:tc>
          <w:tcPr>
            <w:tcW w:w="6680" w:type="dxa"/>
            <w:vAlign w:val="bottom"/>
            <w:gridSpan w:val="2"/>
          </w:tcPr>
          <w:p>
            <w:pPr>
              <w:spacing w:after="0"/>
              <w:rPr>
                <w:sz w:val="20"/>
                <w:szCs w:val="20"/>
                <w:color w:val="auto"/>
              </w:rPr>
            </w:pPr>
            <w:r>
              <w:rPr>
                <w:rFonts w:ascii="Arial" w:cs="Arial" w:eastAsia="Arial" w:hAnsi="Arial"/>
                <w:sz w:val="16"/>
                <w:szCs w:val="16"/>
                <w:b w:val="1"/>
                <w:bCs w:val="1"/>
                <w:color w:val="auto"/>
              </w:rPr>
              <w:t>LNG Carrier</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agreement</w:t>
            </w:r>
          </w:p>
        </w:tc>
        <w:tc>
          <w:tcPr>
            <w:tcW w:w="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delivery</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cbm</w:t>
            </w:r>
          </w:p>
        </w:tc>
      </w:tr>
      <w:tr>
        <w:trPr>
          <w:trHeight w:val="199"/>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Hull No. 2532</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November 2021</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Q3 2024</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r>
      <w:tr>
        <w:trPr>
          <w:trHeight w:val="202"/>
        </w:trPr>
        <w:tc>
          <w:tcPr>
            <w:tcW w:w="6680" w:type="dxa"/>
            <w:vAlign w:val="bottom"/>
            <w:gridSpan w:val="2"/>
          </w:tcPr>
          <w:p>
            <w:pPr>
              <w:spacing w:after="0"/>
              <w:rPr>
                <w:sz w:val="20"/>
                <w:szCs w:val="20"/>
                <w:color w:val="auto"/>
              </w:rPr>
            </w:pPr>
            <w:r>
              <w:rPr>
                <w:rFonts w:ascii="Arial" w:cs="Arial" w:eastAsia="Arial" w:hAnsi="Arial"/>
                <w:sz w:val="16"/>
                <w:szCs w:val="16"/>
                <w:color w:val="auto"/>
              </w:rPr>
              <w:t>Hull No. 2533</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November 2021</w:t>
            </w:r>
          </w:p>
        </w:tc>
        <w:tc>
          <w:tcPr>
            <w:tcW w:w="90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Q3 2024</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174,000</w:t>
            </w:r>
          </w:p>
        </w:tc>
      </w:tr>
      <w:tr>
        <w:trPr>
          <w:trHeight w:val="203"/>
        </w:trPr>
        <w:tc>
          <w:tcPr>
            <w:tcW w:w="6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Hull No. 2534</w:t>
            </w: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November 2021</w:t>
            </w:r>
          </w:p>
        </w:tc>
        <w:tc>
          <w:tcPr>
            <w:tcW w:w="9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Q3 2025</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174,000</w:t>
            </w:r>
          </w:p>
        </w:tc>
      </w:tr>
      <w:tr>
        <w:trPr>
          <w:trHeight w:val="206"/>
        </w:trPr>
        <w:tc>
          <w:tcPr>
            <w:tcW w:w="6680" w:type="dxa"/>
            <w:vAlign w:val="bottom"/>
            <w:gridSpan w:val="2"/>
          </w:tcPr>
          <w:p>
            <w:pPr>
              <w:spacing w:after="0"/>
              <w:rPr>
                <w:sz w:val="20"/>
                <w:szCs w:val="20"/>
                <w:color w:val="auto"/>
              </w:rPr>
            </w:pPr>
            <w:r>
              <w:rPr>
                <w:rFonts w:ascii="Arial" w:cs="Arial" w:eastAsia="Arial" w:hAnsi="Arial"/>
                <w:sz w:val="16"/>
                <w:szCs w:val="16"/>
                <w:color w:val="auto"/>
              </w:rPr>
              <w:t>Hull No. 2535</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November 2021</w:t>
            </w:r>
          </w:p>
        </w:tc>
        <w:tc>
          <w:tcPr>
            <w:tcW w:w="90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Q4 2025</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174,000</w:t>
            </w:r>
          </w:p>
        </w:tc>
      </w:tr>
    </w:tbl>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Vessels under construction represent scheduled advance payments to the shipyards as well as certain capitalized expenditures.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Leases</w:t>
      </w:r>
    </w:p>
    <w:p>
      <w:pPr>
        <w:spacing w:after="0" w:line="198"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4"/>
          <w:szCs w:val="14"/>
          <w:color w:val="auto"/>
        </w:rPr>
        <w:t xml:space="preserve">On March 28, 2022, GasLog’s subsidiary, GAS-six Ltd. completed the sale and leaseback of the </w:t>
      </w:r>
      <w:r>
        <w:rPr>
          <w:rFonts w:ascii="Arial" w:cs="Arial" w:eastAsia="Arial" w:hAnsi="Arial"/>
          <w:sz w:val="14"/>
          <w:szCs w:val="14"/>
          <w:i w:val="1"/>
          <w:iCs w:val="1"/>
          <w:color w:val="auto"/>
        </w:rPr>
        <w:t>GasLog Skagen</w:t>
      </w:r>
      <w:r>
        <w:rPr>
          <w:rFonts w:ascii="Arial" w:cs="Arial" w:eastAsia="Arial" w:hAnsi="Arial"/>
          <w:sz w:val="14"/>
          <w:szCs w:val="14"/>
          <w:color w:val="auto"/>
        </w:rPr>
        <w:t xml:space="preserve"> with a wholly-owned subsidiary of CDBL. CDBL has the right to sell the vessel to third parties. The vessel was sold to CDBL for net proceeds of $123,448. GasLog leased back the vessel under a bareboat charter from CDBL for a period of five years with no repurchase option or obligation. The sale and leaseback meets the definition of a lease under IFRS 16 </w:t>
      </w:r>
      <w:r>
        <w:rPr>
          <w:rFonts w:ascii="Arial" w:cs="Arial" w:eastAsia="Arial" w:hAnsi="Arial"/>
          <w:sz w:val="14"/>
          <w:szCs w:val="14"/>
          <w:i w:val="1"/>
          <w:iCs w:val="1"/>
          <w:color w:val="auto"/>
        </w:rPr>
        <w:t>Leases</w:t>
      </w:r>
      <w:r>
        <w:rPr>
          <w:rFonts w:ascii="Arial" w:cs="Arial" w:eastAsia="Arial" w:hAnsi="Arial"/>
          <w:sz w:val="14"/>
          <w:szCs w:val="14"/>
          <w:color w:val="auto"/>
        </w:rPr>
        <w:t>, resulting in the recognition of a right-of-use asset of $83,969 and a corresponding lease liability of $57,412.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80" w:type="dxa"/>
            <w:vAlign w:val="bottom"/>
          </w:tcPr>
          <w:p>
            <w:pPr>
              <w:ind w:left="340"/>
              <w:spacing w:after="0"/>
              <w:rPr>
                <w:sz w:val="20"/>
                <w:szCs w:val="20"/>
                <w:color w:val="auto"/>
              </w:rPr>
            </w:pPr>
            <w:r>
              <w:rPr>
                <w:rFonts w:ascii="Arial" w:cs="Arial" w:eastAsia="Arial" w:hAnsi="Arial"/>
                <w:sz w:val="16"/>
                <w:szCs w:val="16"/>
                <w:color w:val="auto"/>
              </w:rPr>
              <w:t>The movements in right-of-use assets are reported in the following table:</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6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4"/>
              </w:rPr>
              <w:t>Vessels’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6"/>
                <w:szCs w:val="16"/>
                <w:b w:val="1"/>
                <w:bCs w:val="1"/>
                <w:color w:val="auto"/>
              </w:rPr>
              <w:t>Right-of-Use Assets</w:t>
            </w:r>
          </w:p>
        </w:tc>
        <w:tc>
          <w:tcPr>
            <w:tcW w:w="780" w:type="dxa"/>
            <w:vAlign w:val="bottom"/>
            <w:gridSpan w:val="2"/>
          </w:tcPr>
          <w:p>
            <w:pPr>
              <w:ind w:left="60"/>
              <w:spacing w:after="0"/>
              <w:rPr>
                <w:sz w:val="20"/>
                <w:szCs w:val="20"/>
                <w:color w:val="auto"/>
              </w:rPr>
            </w:pPr>
            <w:r>
              <w:rPr>
                <w:rFonts w:ascii="Arial" w:cs="Arial" w:eastAsia="Arial" w:hAnsi="Arial"/>
                <w:sz w:val="16"/>
                <w:szCs w:val="16"/>
                <w:b w:val="1"/>
                <w:bCs w:val="1"/>
                <w:color w:val="auto"/>
              </w:rPr>
              <w:t>Vessels</w:t>
            </w:r>
          </w:p>
        </w:tc>
        <w:tc>
          <w:tcPr>
            <w:tcW w:w="9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Equipment</w:t>
            </w:r>
          </w:p>
        </w:tc>
        <w:tc>
          <w:tcPr>
            <w:tcW w:w="1480" w:type="dxa"/>
            <w:vAlign w:val="bottom"/>
            <w:gridSpan w:val="7"/>
          </w:tcPr>
          <w:p>
            <w:pPr>
              <w:jc w:val="right"/>
              <w:ind w:right="160"/>
              <w:spacing w:after="0"/>
              <w:rPr>
                <w:sz w:val="20"/>
                <w:szCs w:val="20"/>
                <w:color w:val="auto"/>
              </w:rPr>
            </w:pPr>
            <w:r>
              <w:rPr>
                <w:rFonts w:ascii="Arial" w:cs="Arial" w:eastAsia="Arial" w:hAnsi="Arial"/>
                <w:sz w:val="16"/>
                <w:szCs w:val="16"/>
                <w:b w:val="1"/>
                <w:bCs w:val="1"/>
                <w:color w:val="auto"/>
                <w:w w:val="99"/>
              </w:rPr>
              <w:t>Properties  Other</w:t>
            </w: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As of January 1, 2022</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356,555</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4,823</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363,035</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6"/>
                <w:szCs w:val="16"/>
                <w:color w:val="auto"/>
              </w:rPr>
              <w:t>Additions, net</w:t>
            </w:r>
          </w:p>
        </w:tc>
        <w:tc>
          <w:tcPr>
            <w:tcW w:w="620" w:type="dxa"/>
            <w:vAlign w:val="bottom"/>
          </w:tcPr>
          <w:p>
            <w:pPr>
              <w:jc w:val="right"/>
              <w:spacing w:after="0"/>
              <w:rPr>
                <w:sz w:val="20"/>
                <w:szCs w:val="20"/>
                <w:color w:val="auto"/>
              </w:rPr>
            </w:pPr>
            <w:r>
              <w:rPr>
                <w:rFonts w:ascii="Arial" w:cs="Arial" w:eastAsia="Arial" w:hAnsi="Arial"/>
                <w:sz w:val="16"/>
                <w:szCs w:val="16"/>
                <w:color w:val="auto"/>
              </w:rPr>
              <w:t>83,969</w:t>
            </w:r>
          </w:p>
        </w:tc>
        <w:tc>
          <w:tcPr>
            <w:tcW w:w="1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718</w:t>
            </w: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84,705</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(25,660)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(665)</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(624)</w:t>
            </w:r>
          </w:p>
        </w:tc>
        <w:tc>
          <w:tcPr>
            <w:tcW w:w="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(26,951)</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20"/>
                <w:szCs w:val="20"/>
                <w:color w:val="auto"/>
              </w:rPr>
            </w:pPr>
            <w:r>
              <w:rPr>
                <w:rFonts w:ascii="Arial" w:cs="Arial" w:eastAsia="Arial" w:hAnsi="Arial"/>
                <w:sz w:val="16"/>
                <w:szCs w:val="16"/>
                <w:b w:val="1"/>
                <w:bCs w:val="1"/>
                <w:color w:val="auto"/>
              </w:rPr>
              <w:t>As of June 30, 2022</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414,864</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1,693</w:t>
            </w:r>
          </w:p>
        </w:tc>
        <w:tc>
          <w:tcPr>
            <w:tcW w:w="16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4,217</w:t>
            </w:r>
          </w:p>
        </w:tc>
        <w:tc>
          <w:tcPr>
            <w:tcW w:w="1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15</w:t>
            </w:r>
          </w:p>
        </w:tc>
        <w:tc>
          <w:tcPr>
            <w:tcW w:w="1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420,789</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340"/>
              <w:spacing w:after="0"/>
              <w:rPr>
                <w:sz w:val="20"/>
                <w:szCs w:val="20"/>
                <w:color w:val="auto"/>
              </w:rPr>
            </w:pPr>
            <w:r>
              <w:rPr>
                <w:rFonts w:ascii="Arial" w:cs="Arial" w:eastAsia="Arial" w:hAnsi="Arial"/>
                <w:sz w:val="16"/>
                <w:szCs w:val="16"/>
                <w:color w:val="auto"/>
              </w:rPr>
              <w:t>An analysis of the lease liabilities is as follows:</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0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gridSpan w:val="7"/>
          </w:tcPr>
          <w:p>
            <w:pPr>
              <w:jc w:val="right"/>
              <w:ind w:right="179"/>
              <w:spacing w:after="0"/>
              <w:rPr>
                <w:sz w:val="20"/>
                <w:szCs w:val="20"/>
                <w:color w:val="auto"/>
              </w:rPr>
            </w:pPr>
            <w:r>
              <w:rPr>
                <w:rFonts w:ascii="Arial" w:cs="Arial" w:eastAsia="Arial" w:hAnsi="Arial"/>
                <w:sz w:val="16"/>
                <w:szCs w:val="16"/>
                <w:b w:val="1"/>
                <w:bCs w:val="1"/>
                <w:color w:val="auto"/>
              </w:rPr>
              <w:t>Lease Liabilities</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January 1, 2022</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302,850</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6"/>
                <w:szCs w:val="16"/>
                <w:color w:val="auto"/>
              </w:rPr>
              <w:t>Additions, net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58,147</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on leases (Note 16)</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w:t>
            </w:r>
          </w:p>
        </w:tc>
        <w:tc>
          <w:tcPr>
            <w:tcW w:w="0" w:type="dxa"/>
            <w:vAlign w:val="bottom"/>
          </w:tcPr>
          <w:p>
            <w:pPr>
              <w:spacing w:after="0"/>
              <w:rPr>
                <w:sz w:val="1"/>
                <w:szCs w:val="1"/>
                <w:color w:val="auto"/>
              </w:rPr>
            </w:pPr>
          </w:p>
        </w:tc>
      </w:tr>
      <w:tr>
        <w:trPr>
          <w:trHeight w:val="203"/>
        </w:trPr>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Payments</w:t>
            </w:r>
          </w:p>
        </w:tc>
        <w:tc>
          <w:tcPr>
            <w:tcW w:w="6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(25,390)</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 of June 30, 2022</w:t>
            </w: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342,293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color w:val="auto"/>
              </w:rPr>
              <w:t>Lease liabilities, current portion</w:t>
            </w: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41,758</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Lease liabilities, non-current portion</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300,535</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342,293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6. Other Non-Current Assets</w:t>
            </w: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0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ind w:left="340"/>
              <w:spacing w:after="0"/>
              <w:rPr>
                <w:sz w:val="20"/>
                <w:szCs w:val="20"/>
                <w:color w:val="auto"/>
              </w:rPr>
            </w:pPr>
            <w:r>
              <w:rPr>
                <w:rFonts w:ascii="Arial" w:cs="Arial" w:eastAsia="Arial" w:hAnsi="Arial"/>
                <w:sz w:val="16"/>
                <w:szCs w:val="16"/>
                <w:color w:val="auto"/>
              </w:rPr>
              <w:t>Other non-current assets consist of the following:</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0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0"/>
              </w:rPr>
              <w:t>December 31, 2021</w:t>
            </w:r>
          </w:p>
        </w:tc>
        <w:tc>
          <w:tcPr>
            <w:tcW w:w="2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8"/>
              </w:rPr>
              <w:t>June 30, 2022</w:t>
            </w:r>
          </w:p>
        </w:tc>
        <w:tc>
          <w:tcPr>
            <w:tcW w:w="0" w:type="dxa"/>
            <w:vAlign w:val="bottom"/>
          </w:tcPr>
          <w:p>
            <w:pPr>
              <w:spacing w:after="0"/>
              <w:rPr>
                <w:sz w:val="1"/>
                <w:szCs w:val="1"/>
                <w:color w:val="auto"/>
              </w:rPr>
            </w:pPr>
          </w:p>
        </w:tc>
      </w:tr>
      <w:tr>
        <w:trPr>
          <w:trHeight w:val="199"/>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Various guarantees</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3"/>
        </w:trPr>
        <w:tc>
          <w:tcPr>
            <w:tcW w:w="6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long-term assets</w:t>
            </w:r>
          </w:p>
        </w:tc>
        <w:tc>
          <w:tcPr>
            <w:tcW w:w="6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4,263</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4,866</w:t>
            </w: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4,653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20"/>
                <w:szCs w:val="20"/>
                <w:color w:val="auto"/>
              </w:rPr>
            </w:pPr>
            <w:r>
              <w:rPr>
                <w:rFonts w:ascii="Arial" w:cs="Arial" w:eastAsia="Arial" w:hAnsi="Arial"/>
                <w:sz w:val="16"/>
                <w:szCs w:val="16"/>
                <w:b w:val="1"/>
                <w:bCs w:val="1"/>
                <w:color w:val="auto"/>
              </w:rPr>
              <w:t>7. Borrowings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78"/>
        </w:trPr>
        <w:tc>
          <w:tcPr>
            <w:tcW w:w="7440" w:type="dxa"/>
            <w:vAlign w:val="bottom"/>
          </w:tcPr>
          <w:p>
            <w:pPr>
              <w:ind w:left="340"/>
              <w:spacing w:after="0"/>
              <w:rPr>
                <w:sz w:val="20"/>
                <w:szCs w:val="20"/>
                <w:color w:val="auto"/>
              </w:rPr>
            </w:pPr>
            <w:r>
              <w:rPr>
                <w:rFonts w:ascii="Arial" w:cs="Arial" w:eastAsia="Arial" w:hAnsi="Arial"/>
                <w:sz w:val="16"/>
                <w:szCs w:val="16"/>
                <w:color w:val="auto"/>
              </w:rPr>
              <w:t>An analysis of the borrowings is as follows:</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22"/>
        </w:trPr>
        <w:tc>
          <w:tcPr>
            <w:tcW w:w="744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6"/>
                <w:szCs w:val="16"/>
                <w:b w:val="1"/>
                <w:bCs w:val="1"/>
                <w:color w:val="auto"/>
              </w:rPr>
              <w:t>December 31, 2021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8"/>
              </w:rPr>
              <w:t>June 30, 2022</w:t>
            </w:r>
          </w:p>
        </w:tc>
      </w:tr>
      <w:tr>
        <w:trPr>
          <w:trHeight w:val="199"/>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Amounts due within one year</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565,503</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303,608</w:t>
            </w: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Less: unamortized premium</w:t>
            </w:r>
          </w:p>
        </w:tc>
        <w:tc>
          <w:tcPr>
            <w:tcW w:w="132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Less: unamortized deferred loan/bond issuance costs</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(12,486)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(11,758)</w:t>
            </w:r>
          </w:p>
        </w:tc>
      </w:tr>
      <w:tr>
        <w:trPr>
          <w:trHeight w:val="196"/>
        </w:trPr>
        <w:tc>
          <w:tcPr>
            <w:tcW w:w="7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Borrowings, current portion</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553,161</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291,850</w:t>
            </w:r>
          </w:p>
        </w:tc>
      </w:tr>
      <w:tr>
        <w:trPr>
          <w:trHeight w:val="196"/>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Amounts due after one year</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3,152,426</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3,175,032</w:t>
            </w: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Less: unamortized discount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(2,271)</w:t>
            </w:r>
          </w:p>
        </w:tc>
      </w:tr>
      <w:tr>
        <w:trPr>
          <w:trHeight w:val="203"/>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Less: unamortized deferred loan/bond issuance costs</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(47,367)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(46,830)</w:t>
            </w:r>
          </w:p>
        </w:tc>
      </w:tr>
      <w:tr>
        <w:trPr>
          <w:trHeight w:val="196"/>
        </w:trPr>
        <w:tc>
          <w:tcPr>
            <w:tcW w:w="7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Borrowings, non-current portion</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3,105,059</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3,125,931</w:t>
            </w:r>
          </w:p>
        </w:tc>
      </w:tr>
      <w:tr>
        <w:trPr>
          <w:trHeight w:val="19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3,658,220</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3,417,781</w:t>
            </w:r>
          </w:p>
        </w:tc>
      </w:tr>
      <w:tr>
        <w:trPr>
          <w:trHeight w:val="20"/>
        </w:trPr>
        <w:tc>
          <w:tcPr>
            <w:tcW w:w="7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w:t>
      </w:r>
    </w:p>
    <w:p>
      <w:pPr>
        <w:spacing w:after="0" w:line="194" w:lineRule="exact"/>
        <w:rPr>
          <w:sz w:val="20"/>
          <w:szCs w:val="20"/>
          <w:color w:val="auto"/>
        </w:rPr>
      </w:pPr>
    </w:p>
    <w:p>
      <w:pPr>
        <w:ind w:right="580" w:firstLine="324"/>
        <w:spacing w:after="0" w:line="293" w:lineRule="auto"/>
        <w:rPr>
          <w:sz w:val="20"/>
          <w:szCs w:val="20"/>
          <w:color w:val="auto"/>
        </w:rPr>
      </w:pPr>
      <w:r>
        <w:rPr>
          <w:rFonts w:ascii="Arial" w:cs="Arial" w:eastAsia="Arial" w:hAnsi="Arial"/>
          <w:sz w:val="16"/>
          <w:szCs w:val="16"/>
          <w:color w:val="auto"/>
        </w:rPr>
        <w:t>The main terms of the Group’s loan facilities in existence as of December 31, 2021, have been disclosed in the annual audited consolidated financial statements for the year ended December 31, 2021. Refer to Note 13 “Borrowings”.</w:t>
      </w:r>
    </w:p>
    <w:p>
      <w:pPr>
        <w:spacing w:after="0" w:line="145" w:lineRule="exact"/>
        <w:rPr>
          <w:sz w:val="20"/>
          <w:szCs w:val="20"/>
          <w:color w:val="auto"/>
        </w:rPr>
      </w:pPr>
    </w:p>
    <w:p>
      <w:pPr>
        <w:ind w:right="60" w:firstLine="324"/>
        <w:spacing w:after="0" w:line="278" w:lineRule="auto"/>
        <w:rPr>
          <w:sz w:val="20"/>
          <w:szCs w:val="20"/>
          <w:color w:val="auto"/>
        </w:rPr>
      </w:pPr>
      <w:r>
        <w:rPr>
          <w:rFonts w:ascii="Arial" w:cs="Arial" w:eastAsia="Arial" w:hAnsi="Arial"/>
          <w:sz w:val="16"/>
          <w:szCs w:val="16"/>
          <w:color w:val="auto"/>
        </w:rPr>
        <w:t>On March 28, 2022, the outstanding indebtedness of GAS-six Ltd., in the amount of $102,011 was prepaid pursuant to the sale and leaseback agreement entered into with a wholly-owned subsidiary of CDBL (refer to Note 5). The relevant advances of the loan agreement were cancelled and the respective unamortized loan fees of $1,150 written-off to the consolidated statement of profit or loss.</w:t>
      </w:r>
    </w:p>
    <w:p>
      <w:pPr>
        <w:spacing w:after="0" w:line="144" w:lineRule="exact"/>
        <w:rPr>
          <w:sz w:val="20"/>
          <w:szCs w:val="20"/>
          <w:color w:val="auto"/>
        </w:rPr>
      </w:pPr>
    </w:p>
    <w:p>
      <w:pPr>
        <w:ind w:right="600" w:firstLine="324"/>
        <w:spacing w:after="0" w:line="293" w:lineRule="auto"/>
        <w:rPr>
          <w:sz w:val="20"/>
          <w:szCs w:val="20"/>
          <w:color w:val="auto"/>
        </w:rPr>
      </w:pPr>
      <w:r>
        <w:rPr>
          <w:rFonts w:ascii="Arial" w:cs="Arial" w:eastAsia="Arial" w:hAnsi="Arial"/>
          <w:sz w:val="16"/>
          <w:szCs w:val="16"/>
          <w:color w:val="auto"/>
        </w:rPr>
        <w:t>During the six months ended June 30, 2022, the Group repaid and prepaid $126,105 in accordance with the repayment terms under its loan facilities.</w:t>
      </w:r>
    </w:p>
    <w:p>
      <w:pPr>
        <w:spacing w:after="0" w:line="13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current portion of borrowings includes an amount of $69,125 (debt less unamortized loan issuance costs) with respect to the two Steam vessels reclassified under “Vessels held for sale” as of June 30, 2022 (Note 4).</w:t>
      </w:r>
    </w:p>
    <w:p>
      <w:pPr>
        <w:spacing w:after="0" w:line="14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carrying amount of the Group’s credit facilities recognized in the unaudited condensed consolidated financial statements approximates its fair value after adjusting for the unamortized loan/bond issuance costs.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Bonds</w:t>
      </w:r>
    </w:p>
    <w:p>
      <w:pPr>
        <w:spacing w:after="0" w:line="19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main terms of the Group’s bonds have been disclosed in the annual audited consolidated financial statements for the year ended December 31, 2021. Refer to Note 13 “Borrowings”.</w:t>
      </w:r>
    </w:p>
    <w:p>
      <w:pPr>
        <w:spacing w:after="0" w:line="14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6"/>
          <w:szCs w:val="16"/>
          <w:color w:val="auto"/>
        </w:rPr>
        <w:t>On March 21, 2022, GasLog completed the refinancing of the 8.875% Senior Notes due 2022 (the “8.875% Senior Notes”) (the “Refinancing”) in connection with the Note Purchase Agreement (the “Note Purchase Agreement”) entered into on September 24, 2021 between GasLog and certain affiliates of The Carlyle Group and EIG Management Company, LLC and Wilmington Trust (London) Limited, as administrative agent, for an amount of up to $325,000 of 7.75% Notes due 2029 (the “7.75% Notes”).</w:t>
      </w:r>
    </w:p>
    <w:p>
      <w:pPr>
        <w:spacing w:after="0" w:line="148"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color w:val="auto"/>
        </w:rPr>
        <w:t>During the six months ended June 30, 2022, the Group drew down $315,000 from the 7.75% Notes. The Group used the proceeds of the 7.75% Notes to repay the $315,000 of 8.875% Senior Notes at maturity.</w:t>
      </w:r>
    </w:p>
    <w:p>
      <w:pPr>
        <w:spacing w:after="0" w:line="131" w:lineRule="exact"/>
        <w:rPr>
          <w:sz w:val="20"/>
          <w:szCs w:val="20"/>
          <w:color w:val="auto"/>
        </w:rPr>
      </w:pPr>
    </w:p>
    <w:p>
      <w:pPr>
        <w:ind w:right="80" w:firstLine="324"/>
        <w:spacing w:after="0" w:line="335" w:lineRule="auto"/>
        <w:rPr>
          <w:sz w:val="20"/>
          <w:szCs w:val="20"/>
          <w:color w:val="auto"/>
        </w:rPr>
      </w:pPr>
      <w:r>
        <w:rPr>
          <w:rFonts w:ascii="Arial" w:cs="Arial" w:eastAsia="Arial" w:hAnsi="Arial"/>
          <w:sz w:val="14"/>
          <w:szCs w:val="14"/>
          <w:color w:val="auto"/>
        </w:rPr>
        <w:t>The carrying amount under the Norwegian Kroner (‘‘NOK’’) bond maturing in 2024 (the “NOK 2024 Bonds”), net of unamortized financing costs as of June 30, 2022 is $90,112 (carrying amount under the NOK 2024 Bonds as of December 31, 2021: $101,129) while their fair value is $91,158 based on a USD/NOK exchange rate of 0.1011 as of June 30, 2022 (December 31,2021 : $105,990, based on a USD/NOK exchange rate of 0.1135).</w:t>
      </w:r>
    </w:p>
    <w:p>
      <w:pPr>
        <w:spacing w:after="0" w:line="122"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As of December 31, 2021, commitment, arrangement, upfront and legal and other fees of $5,564 for obtaining the undrawn amount of the financing are classified under Deferred financing costs in the statement of financial position and were netted off debt on the respective drawdown date (June 30, 2022: nil).</w:t>
      </w:r>
    </w:p>
    <w:p>
      <w:pPr>
        <w:spacing w:after="0" w:line="144"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carrying amount under the 7.75% Notes, net of unamortized financing costs and discount as of June 30, 2022, is $305,869 (carrying amount under the 8.875% Senior Notes, net of unamortized financing costs and premium as of December 31, 2021: $314,738).</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Group was in compliance with its financial covenants as of June 30, 2022.</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Related Party Transactions</w:t>
      </w:r>
    </w:p>
    <w:p>
      <w:pPr>
        <w:spacing w:after="0" w:line="198" w:lineRule="exact"/>
        <w:rPr>
          <w:sz w:val="20"/>
          <w:szCs w:val="20"/>
          <w:color w:val="auto"/>
        </w:rPr>
      </w:pPr>
    </w:p>
    <w:p>
      <w:pPr>
        <w:ind w:right="400" w:firstLine="441"/>
        <w:spacing w:after="0" w:line="293" w:lineRule="auto"/>
        <w:rPr>
          <w:sz w:val="20"/>
          <w:szCs w:val="20"/>
          <w:color w:val="auto"/>
        </w:rPr>
      </w:pPr>
      <w:r>
        <w:rPr>
          <w:rFonts w:ascii="Arial" w:cs="Arial" w:eastAsia="Arial" w:hAnsi="Arial"/>
          <w:sz w:val="16"/>
          <w:szCs w:val="16"/>
          <w:color w:val="auto"/>
        </w:rPr>
        <w:t>The Group had the following balances with related parties which have been included in the unaudited condensed consolidated statements of financial position: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rPr>
              <w:t>Current Assets</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rPr>
              <w:t>Dividends receivable and other amounts due from related parties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96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02"/>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6"/>
        </w:trPr>
        <w:tc>
          <w:tcPr>
            <w:tcW w:w="79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2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Current Liabilities</w:t>
            </w: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9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96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02"/>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Ship management creditors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324"/>
        <w:spacing w:after="0" w:line="293" w:lineRule="auto"/>
        <w:rPr>
          <w:sz w:val="20"/>
          <w:szCs w:val="20"/>
          <w:color w:val="auto"/>
        </w:rPr>
      </w:pPr>
      <w:r>
        <w:rPr>
          <w:rFonts w:ascii="Arial" w:cs="Arial" w:eastAsia="Arial" w:hAnsi="Arial"/>
          <w:sz w:val="16"/>
          <w:szCs w:val="16"/>
          <w:color w:val="auto"/>
        </w:rPr>
        <w:t>Ship management creditors’ liability comprises cash collected from Egypt LNG Shipping Ltd. to cover the obligations of its vessel under the Group’s management.</w:t>
      </w:r>
    </w:p>
    <w:p>
      <w:pPr>
        <w:spacing w:after="0" w:line="131"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Amounts due to related parties of $28 as of June 30, 2022 (December 31, 2021: $27) are expenses paid by a related party on behalf of the Group for the office lease and other operating expenses.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20"/>
                <w:szCs w:val="20"/>
                <w:color w:val="auto"/>
              </w:rPr>
            </w:pPr>
            <w:r>
              <w:rPr>
                <w:rFonts w:ascii="Arial" w:cs="Arial" w:eastAsia="Arial" w:hAnsi="Arial"/>
                <w:sz w:val="16"/>
                <w:szCs w:val="16"/>
                <w:b w:val="1"/>
                <w:bCs w:val="1"/>
                <w:color w:val="auto"/>
              </w:rPr>
              <w:t>9. Revenues from Contracts with Customers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78"/>
        </w:trPr>
        <w:tc>
          <w:tcPr>
            <w:tcW w:w="5600" w:type="dxa"/>
            <w:vAlign w:val="bottom"/>
          </w:tcPr>
          <w:p>
            <w:pPr>
              <w:ind w:left="340"/>
              <w:spacing w:after="0"/>
              <w:rPr>
                <w:sz w:val="20"/>
                <w:szCs w:val="20"/>
                <w:color w:val="auto"/>
              </w:rPr>
            </w:pPr>
            <w:r>
              <w:rPr>
                <w:rFonts w:ascii="Arial" w:cs="Arial" w:eastAsia="Arial" w:hAnsi="Arial"/>
                <w:sz w:val="16"/>
                <w:szCs w:val="16"/>
                <w:color w:val="auto"/>
              </w:rPr>
              <w:t>The Group has recognized the following amounts relating to revenues: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1"/>
        </w:trPr>
        <w:tc>
          <w:tcPr>
            <w:tcW w:w="5600" w:type="dxa"/>
            <w:vAlign w:val="bottom"/>
          </w:tcPr>
          <w:p>
            <w:pPr>
              <w:spacing w:after="0"/>
              <w:rPr>
                <w:sz w:val="24"/>
                <w:szCs w:val="24"/>
                <w:color w:val="auto"/>
              </w:rPr>
            </w:pP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20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97"/>
              </w:rPr>
              <w:t>For the six months ended</w:t>
            </w:r>
          </w:p>
        </w:tc>
      </w:tr>
      <w:tr>
        <w:trPr>
          <w:trHeight w:val="213"/>
        </w:trPr>
        <w:tc>
          <w:tcPr>
            <w:tcW w:w="56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2022</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8"/>
              </w:rPr>
              <w:t>June 30, 2022</w:t>
            </w:r>
          </w:p>
        </w:tc>
      </w:tr>
      <w:tr>
        <w:trPr>
          <w:trHeight w:val="199"/>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 from long-term fleet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115,522</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132,337</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233,681</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265,268</w:t>
            </w:r>
          </w:p>
        </w:tc>
      </w:tr>
      <w:tr>
        <w:trPr>
          <w:trHeight w:val="203"/>
        </w:trPr>
        <w:tc>
          <w:tcPr>
            <w:tcW w:w="5600" w:type="dxa"/>
            <w:vAlign w:val="bottom"/>
          </w:tcPr>
          <w:p>
            <w:pPr>
              <w:spacing w:after="0"/>
              <w:rPr>
                <w:sz w:val="20"/>
                <w:szCs w:val="20"/>
                <w:color w:val="auto"/>
              </w:rPr>
            </w:pPr>
            <w:r>
              <w:rPr>
                <w:rFonts w:ascii="Arial" w:cs="Arial" w:eastAsia="Arial" w:hAnsi="Arial"/>
                <w:sz w:val="16"/>
                <w:szCs w:val="16"/>
                <w:color w:val="auto"/>
              </w:rPr>
              <w:t>Revenues from spot fleet</w:t>
            </w:r>
          </w:p>
        </w:tc>
        <w:tc>
          <w:tcPr>
            <w:tcW w:w="960" w:type="dxa"/>
            <w:vAlign w:val="bottom"/>
          </w:tcPr>
          <w:p>
            <w:pPr>
              <w:jc w:val="right"/>
              <w:spacing w:after="0"/>
              <w:rPr>
                <w:sz w:val="20"/>
                <w:szCs w:val="20"/>
                <w:color w:val="auto"/>
              </w:rPr>
            </w:pPr>
            <w:r>
              <w:rPr>
                <w:rFonts w:ascii="Arial" w:cs="Arial" w:eastAsia="Arial" w:hAnsi="Arial"/>
                <w:sz w:val="16"/>
                <w:szCs w:val="16"/>
                <w:color w:val="auto"/>
              </w:rPr>
              <w:t>57,293</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83,521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144,256</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164,092</w:t>
            </w: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Revenues from vessel management services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196"/>
        </w:trPr>
        <w:tc>
          <w:tcPr>
            <w:tcW w:w="5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173,010</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216,096</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378,337</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429,819</w:t>
            </w:r>
          </w:p>
        </w:tc>
      </w:tr>
      <w:tr>
        <w:trPr>
          <w:trHeight w:val="20"/>
        </w:trPr>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180" w:firstLine="324"/>
        <w:spacing w:after="0" w:line="305" w:lineRule="auto"/>
        <w:rPr>
          <w:sz w:val="20"/>
          <w:szCs w:val="20"/>
          <w:color w:val="auto"/>
        </w:rPr>
      </w:pPr>
      <w:r>
        <w:rPr>
          <w:rFonts w:ascii="Arial" w:cs="Arial" w:eastAsia="Arial" w:hAnsi="Arial"/>
          <w:sz w:val="15"/>
          <w:szCs w:val="15"/>
          <w:color w:val="auto"/>
        </w:rPr>
        <w:t>Management allocates vessel revenues to two categories: a) spot fleet and b) long-term fleet, which reflects its commercial strategy. Specifically, the spot fleet category contains all vessels that have contracts with initial duration of up to five years. The long-term fleet category contains all vessels that have charter party agreements with initial duration of more than five years. Both categories, exclude optional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20"/>
                <w:szCs w:val="20"/>
                <w:color w:val="auto"/>
              </w:rPr>
            </w:pPr>
            <w:r>
              <w:rPr>
                <w:rFonts w:ascii="Arial" w:cs="Arial" w:eastAsia="Arial" w:hAnsi="Arial"/>
                <w:sz w:val="16"/>
                <w:szCs w:val="16"/>
                <w:b w:val="1"/>
                <w:bCs w:val="1"/>
                <w:color w:val="auto"/>
              </w:rPr>
              <w:t>10. General and Administrative Expenses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78"/>
        </w:trPr>
        <w:tc>
          <w:tcPr>
            <w:tcW w:w="5600" w:type="dxa"/>
            <w:vAlign w:val="bottom"/>
          </w:tcPr>
          <w:p>
            <w:pPr>
              <w:ind w:left="340"/>
              <w:spacing w:after="0"/>
              <w:rPr>
                <w:sz w:val="20"/>
                <w:szCs w:val="20"/>
                <w:color w:val="auto"/>
              </w:rPr>
            </w:pPr>
            <w:r>
              <w:rPr>
                <w:rFonts w:ascii="Arial" w:cs="Arial" w:eastAsia="Arial" w:hAnsi="Arial"/>
                <w:sz w:val="16"/>
                <w:szCs w:val="16"/>
                <w:color w:val="auto"/>
              </w:rPr>
              <w:t>An analysis of general and administrative expenses is as follows: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1"/>
        </w:trPr>
        <w:tc>
          <w:tcPr>
            <w:tcW w:w="5600" w:type="dxa"/>
            <w:vAlign w:val="bottom"/>
          </w:tcPr>
          <w:p>
            <w:pPr>
              <w:spacing w:after="0"/>
              <w:rPr>
                <w:sz w:val="24"/>
                <w:szCs w:val="24"/>
                <w:color w:val="auto"/>
              </w:rPr>
            </w:pP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20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97"/>
              </w:rPr>
              <w:t>For the six months ended</w:t>
            </w:r>
          </w:p>
        </w:tc>
      </w:tr>
      <w:tr>
        <w:trPr>
          <w:trHeight w:val="213"/>
        </w:trPr>
        <w:tc>
          <w:tcPr>
            <w:tcW w:w="56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2022</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8"/>
              </w:rPr>
              <w:t>June 30, 2022</w:t>
            </w:r>
          </w:p>
        </w:tc>
      </w:tr>
      <w:tr>
        <w:trPr>
          <w:trHeight w:val="199"/>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Employee costs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4,417</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9,199</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8,433</w:t>
            </w:r>
          </w:p>
        </w:tc>
      </w:tr>
      <w:tr>
        <w:trPr>
          <w:trHeight w:val="203"/>
        </w:trPr>
        <w:tc>
          <w:tcPr>
            <w:tcW w:w="56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960" w:type="dxa"/>
            <w:vAlign w:val="bottom"/>
          </w:tcPr>
          <w:p>
            <w:pPr>
              <w:jc w:val="right"/>
              <w:spacing w:after="0"/>
              <w:rPr>
                <w:sz w:val="20"/>
                <w:szCs w:val="20"/>
                <w:color w:val="auto"/>
              </w:rPr>
            </w:pPr>
            <w:r>
              <w:rPr>
                <w:rFonts w:ascii="Arial" w:cs="Arial" w:eastAsia="Arial" w:hAnsi="Arial"/>
                <w:sz w:val="16"/>
                <w:szCs w:val="16"/>
                <w:color w:val="auto"/>
              </w:rPr>
              <w:t>2,461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3,099</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long-term employee benefits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r>
      <w:tr>
        <w:trPr>
          <w:trHeight w:val="203"/>
        </w:trPr>
        <w:tc>
          <w:tcPr>
            <w:tcW w:w="5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expenses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6,186</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3,157</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12,508</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6,846</w:t>
            </w:r>
          </w:p>
        </w:tc>
      </w:tr>
      <w:tr>
        <w:trPr>
          <w:trHeight w:val="196"/>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13,498</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6,884</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25,240</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16,902</w:t>
            </w:r>
          </w:p>
        </w:tc>
      </w:tr>
      <w:tr>
        <w:trPr>
          <w:trHeight w:val="20"/>
        </w:trPr>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6"/>
          <w:szCs w:val="16"/>
          <w:color w:val="auto"/>
        </w:rPr>
        <w:t>General and administrative expenses include restructuring costs comprising of termination benefits, accelerated amortization for stock plan and restructuring obligation, of $211 and $1,689 for the three and six months ended June 30, 2022, respectively ($93 and $144 for the three and six months ended June 30, 2021, respectively) pursuant to management’s decision to relocate more of its employees including several members of senior management to the Piraeus, Greece office.</w:t>
      </w:r>
    </w:p>
    <w:p>
      <w:pPr>
        <w:spacing w:after="0" w:line="148" w:lineRule="exact"/>
        <w:rPr>
          <w:sz w:val="20"/>
          <w:szCs w:val="20"/>
          <w:color w:val="auto"/>
        </w:rPr>
      </w:pPr>
    </w:p>
    <w:p>
      <w:pPr>
        <w:ind w:right="140" w:firstLine="324"/>
        <w:spacing w:after="0" w:line="269" w:lineRule="auto"/>
        <w:rPr>
          <w:sz w:val="20"/>
          <w:szCs w:val="20"/>
          <w:color w:val="auto"/>
        </w:rPr>
      </w:pPr>
      <w:r>
        <w:rPr>
          <w:rFonts w:ascii="Arial" w:cs="Arial" w:eastAsia="Arial" w:hAnsi="Arial"/>
          <w:sz w:val="16"/>
          <w:szCs w:val="16"/>
          <w:color w:val="auto"/>
        </w:rPr>
        <w:t>On April 1, 2022, the Company granted $6,000 of cash settled awards to selected employees, in consideration of their key roles in the Company’s operations and their continuing commitment to its success. This grant will be settled 25% on each of the first and second anniversary (April 1 of 2023 and 2024, respectively) and 50% on the third anniversary (April 1, 2025), without performance conditions. It is subject to the employees’ continuing employment with the Company. These obligations are classified as Long-term liabilities and are measured as the present value of expected future payments to be made with any unwind in the discount reflected in the consolidated statement of profit or loss. The expense of the period is included in Amortization of long-term employee benefits in the table above.</w:t>
      </w:r>
    </w:p>
    <w:p>
      <w:pPr>
        <w:spacing w:after="0" w:line="15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5"/>
          <w:szCs w:val="15"/>
          <w:color w:val="auto"/>
        </w:rPr>
        <w:t>GasLog had granted to executives, managers and certain employees of the Group, Restricted Stock Units (‘‘RSUs’’), Stock Appreciation Rights or Stock Options (collectively, the ‘‘SARs’’) and Performance Stock Units (‘‘PSUs’’) in accordance with its 2013 Omnibus Incentive Compensation Plan (the ‘‘Plan’’). The terms of the Plan and the assumptions for the valuation of the RSUs, the SARs and the PSUs have been disclosed in the annual audited consolidated financial statements for the year ended December 31, 2021. Refer to Note 22 “Share-Based Compensation”.</w:t>
      </w:r>
    </w:p>
    <w:p>
      <w:pPr>
        <w:spacing w:after="0" w:line="145" w:lineRule="exact"/>
        <w:rPr>
          <w:sz w:val="20"/>
          <w:szCs w:val="20"/>
          <w:color w:val="auto"/>
        </w:rPr>
      </w:pPr>
    </w:p>
    <w:p>
      <w:pPr>
        <w:ind w:right="60" w:firstLine="324"/>
        <w:spacing w:after="0" w:line="335" w:lineRule="auto"/>
        <w:rPr>
          <w:sz w:val="20"/>
          <w:szCs w:val="20"/>
          <w:color w:val="auto"/>
        </w:rPr>
      </w:pPr>
      <w:r>
        <w:rPr>
          <w:rFonts w:ascii="Arial" w:cs="Arial" w:eastAsia="Arial" w:hAnsi="Arial"/>
          <w:sz w:val="14"/>
          <w:szCs w:val="14"/>
          <w:color w:val="auto"/>
        </w:rPr>
        <w:t>Following the consummation of the Transaction, the previously unvested RSUs and PSUs vested; the PSUs vested assuming 100% achievement of performance conditions. In addition, all SARs have been cancelled and replaced by cash consideration. For the three and six months ended June 30, 2022, the accelerated amortization for the stock plan termination amounted to nil ($1,949 for the three and six months ended June 30, 2021).</w:t>
      </w:r>
    </w:p>
    <w:p>
      <w:pPr>
        <w:spacing w:after="0" w:line="10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Other expenses include legal and professional costs relating to the Transaction of $10 and $132 for the three and six months ended June 30, 2022, respectively ($3,084 and $6,801 for the three and six months ended June 30, 2021,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20"/>
                <w:szCs w:val="20"/>
                <w:color w:val="auto"/>
              </w:rPr>
            </w:pPr>
            <w:r>
              <w:rPr>
                <w:rFonts w:ascii="Arial" w:cs="Arial" w:eastAsia="Arial" w:hAnsi="Arial"/>
                <w:sz w:val="16"/>
                <w:szCs w:val="16"/>
                <w:b w:val="1"/>
                <w:bCs w:val="1"/>
                <w:color w:val="auto"/>
              </w:rPr>
              <w:t>11. Vessel Operating and Supervision Costs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600" w:type="dxa"/>
            <w:vAlign w:val="bottom"/>
          </w:tcPr>
          <w:p>
            <w:pPr>
              <w:ind w:left="340"/>
              <w:spacing w:after="0"/>
              <w:rPr>
                <w:sz w:val="20"/>
                <w:szCs w:val="20"/>
                <w:color w:val="auto"/>
              </w:rPr>
            </w:pPr>
            <w:r>
              <w:rPr>
                <w:rFonts w:ascii="Arial" w:cs="Arial" w:eastAsia="Arial" w:hAnsi="Arial"/>
                <w:sz w:val="16"/>
                <w:szCs w:val="16"/>
                <w:color w:val="auto"/>
              </w:rPr>
              <w:t>An analysis of vessel operating and supervision costs is as follows: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600" w:type="dxa"/>
            <w:vAlign w:val="bottom"/>
          </w:tcPr>
          <w:p>
            <w:pPr>
              <w:spacing w:after="0"/>
              <w:rPr>
                <w:sz w:val="24"/>
                <w:szCs w:val="24"/>
                <w:color w:val="auto"/>
              </w:rPr>
            </w:pPr>
          </w:p>
        </w:tc>
        <w:tc>
          <w:tcPr>
            <w:tcW w:w="224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2080" w:type="dxa"/>
            <w:vAlign w:val="bottom"/>
            <w:gridSpan w:val="5"/>
          </w:tcPr>
          <w:p>
            <w:pPr>
              <w:jc w:val="right"/>
              <w:ind w:right="79"/>
              <w:spacing w:after="0"/>
              <w:rPr>
                <w:sz w:val="20"/>
                <w:szCs w:val="20"/>
                <w:color w:val="auto"/>
              </w:rPr>
            </w:pPr>
            <w:r>
              <w:rPr>
                <w:rFonts w:ascii="Arial" w:cs="Arial" w:eastAsia="Arial" w:hAnsi="Arial"/>
                <w:sz w:val="16"/>
                <w:szCs w:val="16"/>
                <w:b w:val="1"/>
                <w:bCs w:val="1"/>
                <w:color w:val="auto"/>
                <w:w w:val="97"/>
              </w:rPr>
              <w:t>For the six months ended</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June 30, 2022</w:t>
            </w:r>
          </w:p>
        </w:tc>
        <w:tc>
          <w:tcPr>
            <w:tcW w:w="1120" w:type="dxa"/>
            <w:vAlign w:val="bottom"/>
            <w:gridSpan w:val="4"/>
          </w:tcPr>
          <w:p>
            <w:pPr>
              <w:spacing w:after="0"/>
              <w:rPr>
                <w:sz w:val="20"/>
                <w:szCs w:val="20"/>
                <w:color w:val="auto"/>
              </w:rPr>
            </w:pPr>
            <w:r>
              <w:rPr>
                <w:rFonts w:ascii="Arial" w:cs="Arial" w:eastAsia="Arial" w:hAnsi="Arial"/>
                <w:sz w:val="16"/>
                <w:szCs w:val="16"/>
                <w:b w:val="1"/>
                <w:bCs w:val="1"/>
                <w:color w:val="auto"/>
              </w:rPr>
              <w:t>June 30, 2021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8"/>
              </w:rPr>
              <w:t>June 30, 2022</w:t>
            </w:r>
          </w:p>
        </w:tc>
        <w:tc>
          <w:tcPr>
            <w:tcW w:w="0" w:type="dxa"/>
            <w:vAlign w:val="bottom"/>
          </w:tcPr>
          <w:p>
            <w:pPr>
              <w:spacing w:after="0"/>
              <w:rPr>
                <w:sz w:val="1"/>
                <w:szCs w:val="1"/>
                <w:color w:val="auto"/>
              </w:rPr>
            </w:pPr>
          </w:p>
        </w:tc>
      </w:tr>
      <w:tr>
        <w:trPr>
          <w:trHeight w:val="199"/>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Crew and vessel management employee costs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24,819</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27,569</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49,661</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56,113</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6"/>
                <w:szCs w:val="16"/>
                <w:color w:val="auto"/>
              </w:rPr>
              <w:t>Technical maintenance expenses</w:t>
            </w:r>
          </w:p>
        </w:tc>
        <w:tc>
          <w:tcPr>
            <w:tcW w:w="960" w:type="dxa"/>
            <w:vAlign w:val="bottom"/>
          </w:tcPr>
          <w:p>
            <w:pPr>
              <w:jc w:val="right"/>
              <w:spacing w:after="0"/>
              <w:rPr>
                <w:sz w:val="20"/>
                <w:szCs w:val="20"/>
                <w:color w:val="auto"/>
              </w:rPr>
            </w:pPr>
            <w:r>
              <w:rPr>
                <w:rFonts w:ascii="Arial" w:cs="Arial" w:eastAsia="Arial" w:hAnsi="Arial"/>
                <w:sz w:val="16"/>
                <w:szCs w:val="16"/>
                <w:color w:val="auto"/>
              </w:rPr>
              <w:t>9,573</w:t>
            </w: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8,417</w:t>
            </w:r>
          </w:p>
        </w:tc>
        <w:tc>
          <w:tcPr>
            <w:tcW w:w="16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17,749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16,596</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Other vessel operating expenses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6,296</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6,460</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12,531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13,374</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40,688</w:t>
            </w:r>
          </w:p>
        </w:tc>
        <w:tc>
          <w:tcPr>
            <w:tcW w:w="16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42,446</w:t>
            </w:r>
          </w:p>
        </w:tc>
        <w:tc>
          <w:tcPr>
            <w:tcW w:w="160" w:type="dxa"/>
            <w:vAlign w:val="bottom"/>
          </w:tcPr>
          <w:p>
            <w:pPr>
              <w:spacing w:after="0"/>
              <w:rPr>
                <w:sz w:val="17"/>
                <w:szCs w:val="17"/>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79,941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86,083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6"/>
                <w:szCs w:val="16"/>
                <w:b w:val="1"/>
                <w:bCs w:val="1"/>
                <w:color w:val="auto"/>
              </w:rPr>
              <w:t>12. Other Payables and Accruals</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6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00" w:type="dxa"/>
            <w:vAlign w:val="bottom"/>
          </w:tcPr>
          <w:p>
            <w:pPr>
              <w:ind w:left="340"/>
              <w:spacing w:after="0"/>
              <w:rPr>
                <w:sz w:val="20"/>
                <w:szCs w:val="20"/>
                <w:color w:val="auto"/>
              </w:rPr>
            </w:pPr>
            <w:r>
              <w:rPr>
                <w:rFonts w:ascii="Arial" w:cs="Arial" w:eastAsia="Arial" w:hAnsi="Arial"/>
                <w:sz w:val="16"/>
                <w:szCs w:val="16"/>
                <w:color w:val="auto"/>
              </w:rPr>
              <w:t>An analysis of other payables and accruals is as follows: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gridSpan w:val="6"/>
          </w:tcPr>
          <w:p>
            <w:pPr>
              <w:ind w:left="4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Unearned revenue</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69,768</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72,901</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6"/>
                <w:szCs w:val="16"/>
                <w:color w:val="auto"/>
              </w:rPr>
              <w:t>Accrued off-hire</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2,461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3,231</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Accrued purchases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6,743</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6"/>
                <w:szCs w:val="16"/>
                <w:color w:val="auto"/>
              </w:rPr>
              <w:t>Accrued interest</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26,186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33,790</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Other accruals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44,917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33,120</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153,501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149,785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Share Capital and Preference Shares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GasLog’s authorized share capital consists of 500,000,000 shares with a par value of $0.01 per share.</w:t>
      </w:r>
    </w:p>
    <w:p>
      <w:pPr>
        <w:spacing w:after="0" w:line="208"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As of June 30, 2022, the share capital consisted of 95,389,062 issued and outstanding common shares, par value $0.01 per share and 4,600,000 preference shares issued and outstanding.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distributions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GasLog’s dividend distributions for the period ended June 30, 2022, are presented in the following table:</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213"/>
        </w:trPr>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Declaration date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Type of shares</w:t>
            </w:r>
          </w:p>
        </w:tc>
        <w:tc>
          <w:tcPr>
            <w:tcW w:w="1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Dividend per share</w:t>
            </w:r>
          </w:p>
        </w:tc>
        <w:tc>
          <w:tcPr>
            <w:tcW w:w="12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Payment date</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94"/>
              </w:rPr>
              <w:t>Amount paid</w:t>
            </w:r>
          </w:p>
        </w:tc>
      </w:tr>
      <w:tr>
        <w:trPr>
          <w:trHeight w:val="199"/>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February 23, 2022</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Common</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March 1, 2022</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14,308</w:t>
            </w:r>
          </w:p>
        </w:tc>
      </w:tr>
      <w:tr>
        <w:trPr>
          <w:trHeight w:val="203"/>
        </w:trPr>
        <w:tc>
          <w:tcPr>
            <w:tcW w:w="3160" w:type="dxa"/>
            <w:vAlign w:val="bottom"/>
            <w:gridSpan w:val="2"/>
          </w:tcPr>
          <w:p>
            <w:pPr>
              <w:spacing w:after="0"/>
              <w:rPr>
                <w:sz w:val="20"/>
                <w:szCs w:val="20"/>
                <w:color w:val="auto"/>
              </w:rPr>
            </w:pPr>
            <w:r>
              <w:rPr>
                <w:rFonts w:ascii="Arial" w:cs="Arial" w:eastAsia="Arial" w:hAnsi="Arial"/>
                <w:sz w:val="16"/>
                <w:szCs w:val="16"/>
                <w:color w:val="auto"/>
              </w:rPr>
              <w:t>March 9, 2022</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Preference</w:t>
            </w:r>
          </w:p>
        </w:tc>
        <w:tc>
          <w:tcPr>
            <w:tcW w:w="540" w:type="dxa"/>
            <w:vAlign w:val="bottom"/>
            <w:gridSpan w:val="2"/>
          </w:tcPr>
          <w:p>
            <w:pPr>
              <w:jc w:val="right"/>
              <w:ind w:right="25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0.546875</w:t>
            </w:r>
          </w:p>
        </w:tc>
        <w:tc>
          <w:tcPr>
            <w:tcW w:w="16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April 1, 2022</w:t>
            </w:r>
          </w:p>
        </w:tc>
        <w:tc>
          <w:tcPr>
            <w:tcW w:w="960" w:type="dxa"/>
            <w:vAlign w:val="bottom"/>
          </w:tcPr>
          <w:p>
            <w:pPr>
              <w:jc w:val="right"/>
              <w:spacing w:after="0"/>
              <w:rPr>
                <w:sz w:val="20"/>
                <w:szCs w:val="20"/>
                <w:color w:val="auto"/>
              </w:rPr>
            </w:pPr>
            <w:r>
              <w:rPr>
                <w:rFonts w:ascii="Arial" w:cs="Arial" w:eastAsia="Arial" w:hAnsi="Arial"/>
                <w:sz w:val="16"/>
                <w:szCs w:val="16"/>
                <w:color w:val="auto"/>
              </w:rPr>
              <w:t>2,516</w:t>
            </w:r>
          </w:p>
        </w:tc>
      </w:tr>
      <w:tr>
        <w:trPr>
          <w:trHeight w:val="203"/>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May 10, 2022</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Common</w:t>
            </w:r>
          </w:p>
        </w:tc>
        <w:tc>
          <w:tcPr>
            <w:tcW w:w="540" w:type="dxa"/>
            <w:vAlign w:val="bottom"/>
            <w:gridSpan w:val="2"/>
            <w:shd w:val="clear" w:color="auto" w:fill="CCEEFF"/>
          </w:tcPr>
          <w:p>
            <w:pPr>
              <w:jc w:val="right"/>
              <w:ind w:right="254"/>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May 12, 2022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14,308</w:t>
            </w:r>
          </w:p>
        </w:tc>
      </w:tr>
      <w:tr>
        <w:trPr>
          <w:trHeight w:val="203"/>
        </w:trPr>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May 10, 2022</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Preference</w:t>
            </w:r>
          </w:p>
        </w:tc>
        <w:tc>
          <w:tcPr>
            <w:tcW w:w="540" w:type="dxa"/>
            <w:vAlign w:val="bottom"/>
            <w:tcBorders>
              <w:bottom w:val="single" w:sz="8" w:color="CCEEFF"/>
            </w:tcBorders>
            <w:gridSpan w:val="2"/>
          </w:tcPr>
          <w:p>
            <w:pPr>
              <w:jc w:val="right"/>
              <w:ind w:right="254"/>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0.546875</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6"/>
                <w:szCs w:val="16"/>
                <w:color w:val="auto"/>
                <w:w w:val="92"/>
              </w:rPr>
              <w:t>July 1, 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w:t>
            </w:r>
          </w:p>
        </w:tc>
      </w:tr>
      <w:tr>
        <w:trPr>
          <w:trHeight w:val="196"/>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33,648</w:t>
            </w: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the period ended June 30, 2022, the board of directors of the Partnership approved and declared cash distributions of $719 and of $14,010 for the common units and preference units, respectively, held by non-controlling interests.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20"/>
                <w:szCs w:val="20"/>
                <w:color w:val="auto"/>
              </w:rPr>
            </w:pPr>
            <w:r>
              <w:rPr>
                <w:rFonts w:ascii="Arial" w:cs="Arial" w:eastAsia="Arial" w:hAnsi="Arial"/>
                <w:sz w:val="16"/>
                <w:szCs w:val="16"/>
                <w:b w:val="1"/>
                <w:bCs w:val="1"/>
                <w:color w:val="auto"/>
              </w:rPr>
              <w:t>14. Commitments and Contingencies</w:t>
            </w:r>
          </w:p>
        </w:tc>
        <w:tc>
          <w:tcPr>
            <w:tcW w:w="1120" w:type="dxa"/>
            <w:vAlign w:val="bottom"/>
          </w:tcPr>
          <w:p>
            <w:pPr>
              <w:spacing w:after="0"/>
              <w:rPr>
                <w:sz w:val="18"/>
                <w:szCs w:val="18"/>
                <w:color w:val="auto"/>
              </w:rPr>
            </w:pPr>
          </w:p>
        </w:tc>
      </w:tr>
      <w:tr>
        <w:trPr>
          <w:trHeight w:val="378"/>
        </w:trPr>
        <w:tc>
          <w:tcPr>
            <w:tcW w:w="8800" w:type="dxa"/>
            <w:vAlign w:val="bottom"/>
          </w:tcPr>
          <w:p>
            <w:pPr>
              <w:spacing w:after="0"/>
              <w:rPr>
                <w:sz w:val="20"/>
                <w:szCs w:val="20"/>
                <w:color w:val="auto"/>
              </w:rPr>
            </w:pPr>
            <w:r>
              <w:rPr>
                <w:rFonts w:ascii="Arial" w:cs="Arial" w:eastAsia="Arial" w:hAnsi="Arial"/>
                <w:sz w:val="16"/>
                <w:szCs w:val="16"/>
                <w:color w:val="auto"/>
                <w:w w:val="98"/>
              </w:rPr>
              <w:t>(a)  Commitments relating to the vessels under construction (Note 4) as of June 30, 2022, payable to Daewoo were as follows:</w:t>
            </w:r>
          </w:p>
        </w:tc>
        <w:tc>
          <w:tcPr>
            <w:tcW w:w="1120" w:type="dxa"/>
            <w:vAlign w:val="bottom"/>
          </w:tcPr>
          <w:p>
            <w:pPr>
              <w:spacing w:after="0"/>
              <w:rPr>
                <w:sz w:val="24"/>
                <w:szCs w:val="24"/>
                <w:color w:val="auto"/>
              </w:rPr>
            </w:pPr>
          </w:p>
        </w:tc>
      </w:tr>
      <w:tr>
        <w:trPr>
          <w:trHeight w:val="422"/>
        </w:trPr>
        <w:tc>
          <w:tcPr>
            <w:tcW w:w="88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6"/>
              </w:rPr>
              <w:t>June 30, 2022</w:t>
            </w:r>
          </w:p>
        </w:tc>
      </w:tr>
      <w:tr>
        <w:trPr>
          <w:trHeight w:val="199"/>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Period</w:t>
            </w:r>
          </w:p>
        </w:tc>
        <w:tc>
          <w:tcPr>
            <w:tcW w:w="112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120" w:type="dxa"/>
            <w:vAlign w:val="bottom"/>
          </w:tcPr>
          <w:p>
            <w:pPr>
              <w:jc w:val="right"/>
              <w:spacing w:after="0"/>
              <w:rPr>
                <w:sz w:val="20"/>
                <w:szCs w:val="20"/>
                <w:color w:val="auto"/>
              </w:rPr>
            </w:pPr>
            <w:r>
              <w:rPr>
                <w:rFonts w:ascii="Arial" w:cs="Arial" w:eastAsia="Arial" w:hAnsi="Arial"/>
                <w:sz w:val="16"/>
                <w:szCs w:val="16"/>
                <w:color w:val="auto"/>
              </w:rPr>
              <w:t>144,371</w:t>
            </w: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Later than one year and not later than three years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351,426</w:t>
            </w:r>
          </w:p>
        </w:tc>
      </w:tr>
      <w:tr>
        <w:trPr>
          <w:trHeight w:val="203"/>
        </w:trPr>
        <w:tc>
          <w:tcPr>
            <w:tcW w:w="8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Later than three years and not later than five years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246,196</w:t>
            </w:r>
          </w:p>
        </w:tc>
      </w:tr>
      <w:tr>
        <w:trPr>
          <w:trHeight w:val="196"/>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741,993</w:t>
            </w:r>
          </w:p>
        </w:tc>
      </w:tr>
      <w:tr>
        <w:trPr>
          <w:trHeight w:val="20"/>
        </w:trPr>
        <w:tc>
          <w:tcPr>
            <w:tcW w:w="8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80" w:firstLine="8"/>
        <w:spacing w:after="0" w:line="335" w:lineRule="auto"/>
        <w:tabs>
          <w:tab w:leader="none" w:pos="324" w:val="left"/>
        </w:tabs>
        <w:numPr>
          <w:ilvl w:val="0"/>
          <w:numId w:val="6"/>
        </w:numPr>
        <w:rPr>
          <w:rFonts w:ascii="Arial" w:cs="Arial" w:eastAsia="Arial" w:hAnsi="Arial"/>
          <w:sz w:val="14"/>
          <w:szCs w:val="14"/>
          <w:color w:val="auto"/>
        </w:rPr>
      </w:pPr>
      <w:r>
        <w:rPr>
          <w:rFonts w:ascii="Arial" w:cs="Arial" w:eastAsia="Arial" w:hAnsi="Arial"/>
          <w:sz w:val="14"/>
          <w:szCs w:val="14"/>
          <w:color w:val="auto"/>
        </w:rPr>
        <w:t>Future minimum lease payments receivable in relation to non-cancellable time charter agreements for vessels in operation, including vessels under a lease (Note 5), as of June 30, 2022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6"/>
              </w:rPr>
              <w:t>June 30, 2022</w:t>
            </w:r>
          </w:p>
        </w:tc>
      </w:tr>
      <w:tr>
        <w:trPr>
          <w:trHeight w:val="199"/>
        </w:trPr>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Period</w:t>
            </w:r>
          </w:p>
        </w:tc>
        <w:tc>
          <w:tcPr>
            <w:tcW w:w="112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120" w:type="dxa"/>
            <w:vAlign w:val="bottom"/>
          </w:tcPr>
          <w:p>
            <w:pPr>
              <w:jc w:val="right"/>
              <w:spacing w:after="0"/>
              <w:rPr>
                <w:sz w:val="20"/>
                <w:szCs w:val="20"/>
                <w:color w:val="auto"/>
              </w:rPr>
            </w:pPr>
            <w:r>
              <w:rPr>
                <w:rFonts w:ascii="Arial" w:cs="Arial" w:eastAsia="Arial" w:hAnsi="Arial"/>
                <w:sz w:val="16"/>
                <w:szCs w:val="16"/>
                <w:color w:val="auto"/>
              </w:rPr>
              <w:t>580,030</w:t>
            </w: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Later than one year and not later than two years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408,284</w:t>
            </w:r>
          </w:p>
        </w:tc>
      </w:tr>
      <w:tr>
        <w:trPr>
          <w:trHeight w:val="202"/>
        </w:trPr>
        <w:tc>
          <w:tcPr>
            <w:tcW w:w="8800" w:type="dxa"/>
            <w:vAlign w:val="bottom"/>
          </w:tcPr>
          <w:p>
            <w:pPr>
              <w:spacing w:after="0"/>
              <w:rPr>
                <w:sz w:val="20"/>
                <w:szCs w:val="20"/>
                <w:color w:val="auto"/>
              </w:rPr>
            </w:pPr>
            <w:r>
              <w:rPr>
                <w:rFonts w:ascii="Arial" w:cs="Arial" w:eastAsia="Arial" w:hAnsi="Arial"/>
                <w:sz w:val="16"/>
                <w:szCs w:val="16"/>
                <w:color w:val="auto"/>
              </w:rPr>
              <w:t>Later than two years and not later than three years</w:t>
            </w:r>
          </w:p>
        </w:tc>
        <w:tc>
          <w:tcPr>
            <w:tcW w:w="1120" w:type="dxa"/>
            <w:vAlign w:val="bottom"/>
          </w:tcPr>
          <w:p>
            <w:pPr>
              <w:jc w:val="right"/>
              <w:spacing w:after="0"/>
              <w:rPr>
                <w:sz w:val="20"/>
                <w:szCs w:val="20"/>
                <w:color w:val="auto"/>
              </w:rPr>
            </w:pPr>
            <w:r>
              <w:rPr>
                <w:rFonts w:ascii="Arial" w:cs="Arial" w:eastAsia="Arial" w:hAnsi="Arial"/>
                <w:sz w:val="16"/>
                <w:szCs w:val="16"/>
                <w:color w:val="auto"/>
              </w:rPr>
              <w:t>334,206</w:t>
            </w: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Later than three years and not later than four years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304,958</w:t>
            </w: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Later than four years and not later than five years</w:t>
            </w:r>
          </w:p>
        </w:tc>
        <w:tc>
          <w:tcPr>
            <w:tcW w:w="1120" w:type="dxa"/>
            <w:vAlign w:val="bottom"/>
          </w:tcPr>
          <w:p>
            <w:pPr>
              <w:jc w:val="right"/>
              <w:spacing w:after="0"/>
              <w:rPr>
                <w:sz w:val="20"/>
                <w:szCs w:val="20"/>
                <w:color w:val="auto"/>
              </w:rPr>
            </w:pPr>
            <w:r>
              <w:rPr>
                <w:rFonts w:ascii="Arial" w:cs="Arial" w:eastAsia="Arial" w:hAnsi="Arial"/>
                <w:sz w:val="16"/>
                <w:szCs w:val="16"/>
                <w:color w:val="auto"/>
              </w:rPr>
              <w:t>227,182</w:t>
            </w:r>
          </w:p>
        </w:tc>
      </w:tr>
      <w:tr>
        <w:trPr>
          <w:trHeight w:val="203"/>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Later than five years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267,423</w:t>
            </w:r>
          </w:p>
        </w:tc>
      </w:tr>
      <w:tr>
        <w:trPr>
          <w:trHeight w:val="196"/>
        </w:trPr>
        <w:tc>
          <w:tcPr>
            <w:tcW w:w="88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2,122,083</w:t>
            </w:r>
          </w:p>
        </w:tc>
      </w:tr>
      <w:tr>
        <w:trPr>
          <w:trHeight w:val="20"/>
        </w:trPr>
        <w:tc>
          <w:tcPr>
            <w:tcW w:w="8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80" w:firstLine="324"/>
        <w:spacing w:after="0" w:line="293" w:lineRule="auto"/>
        <w:rPr>
          <w:sz w:val="20"/>
          <w:szCs w:val="20"/>
          <w:color w:val="auto"/>
        </w:rPr>
      </w:pPr>
      <w:r>
        <w:rPr>
          <w:rFonts w:ascii="Arial" w:cs="Arial" w:eastAsia="Arial" w:hAnsi="Arial"/>
          <w:sz w:val="16"/>
          <w:szCs w:val="16"/>
          <w:color w:val="auto"/>
        </w:rPr>
        <w:t>Future gross minimum lease payments disclosed in the above table exclude the lease payments of the vessels that are under construction as of June 30, 2022 (Note 4).</w:t>
      </w:r>
    </w:p>
    <w:p>
      <w:pPr>
        <w:spacing w:after="0" w:line="145" w:lineRule="exact"/>
        <w:rPr>
          <w:sz w:val="20"/>
          <w:szCs w:val="20"/>
          <w:color w:val="auto"/>
        </w:rPr>
      </w:pPr>
    </w:p>
    <w:p>
      <w:pPr>
        <w:ind w:left="340" w:right="40" w:hanging="332"/>
        <w:spacing w:after="0" w:line="27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period commencing September 2017 until June 2021, GasLog LNG Services Ltd. entered into new or renewed maintenance agreements with Wartsila Greece S.A. (“Wartsila”) in respect of twenty-four LNG carriers. The agreements ensure dynamic maintenance planning, technical support, security of spare parts supply, specialist technical personnel and performance monitoring.</w:t>
      </w:r>
    </w:p>
    <w:p>
      <w:pPr>
        <w:spacing w:after="0" w:line="143" w:lineRule="exact"/>
        <w:rPr>
          <w:rFonts w:ascii="Arial" w:cs="Arial" w:eastAsia="Arial" w:hAnsi="Arial"/>
          <w:sz w:val="16"/>
          <w:szCs w:val="16"/>
          <w:color w:val="auto"/>
        </w:rPr>
      </w:pPr>
    </w:p>
    <w:p>
      <w:pPr>
        <w:ind w:left="340" w:hanging="332"/>
        <w:spacing w:after="0" w:line="335"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March 2019, GasLog LNG Services entered into an agreement with Samsung in respect of nineteen of GasLog’s vessels. The agreement covers the supply of ballast water management systems on board the vessels by Samsung and associated field, commissioning and engineering services for a firm period of six years. As of June 30, 2022, ballast water management systems had been installed on fourteen out of the nineteen vessels.</w:t>
      </w:r>
    </w:p>
    <w:p>
      <w:pPr>
        <w:spacing w:after="0" w:line="108" w:lineRule="exact"/>
        <w:rPr>
          <w:rFonts w:ascii="Arial" w:cs="Arial" w:eastAsia="Arial" w:hAnsi="Arial"/>
          <w:sz w:val="14"/>
          <w:szCs w:val="14"/>
          <w:color w:val="auto"/>
        </w:rPr>
      </w:pPr>
    </w:p>
    <w:p>
      <w:pPr>
        <w:ind w:left="340" w:right="300" w:hanging="332"/>
        <w:spacing w:after="0" w:line="27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October 2021, GasLog LNG Services entered into long term service agreements with Hyundai Global Service Europe B.V. (“Hyundai”) in respect of six of GasLog’s vessels. The agreement covers the supply of spare parts and/or services to maintain the engines of these vessels for a period of five years.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20"/>
                <w:szCs w:val="20"/>
                <w:color w:val="auto"/>
              </w:rPr>
            </w:pPr>
            <w:r>
              <w:rPr>
                <w:rFonts w:ascii="Arial" w:cs="Arial" w:eastAsia="Arial" w:hAnsi="Arial"/>
                <w:sz w:val="16"/>
                <w:szCs w:val="16"/>
                <w:b w:val="1"/>
                <w:bCs w:val="1"/>
                <w:color w:val="auto"/>
              </w:rPr>
              <w:t>15. Derivative Financial Instruments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320" w:type="dxa"/>
            <w:vAlign w:val="bottom"/>
          </w:tcPr>
          <w:p>
            <w:pPr>
              <w:ind w:left="340"/>
              <w:spacing w:after="0"/>
              <w:rPr>
                <w:sz w:val="20"/>
                <w:szCs w:val="20"/>
                <w:color w:val="auto"/>
              </w:rPr>
            </w:pPr>
            <w:r>
              <w:rPr>
                <w:rFonts w:ascii="Arial" w:cs="Arial" w:eastAsia="Arial" w:hAnsi="Arial"/>
                <w:sz w:val="16"/>
                <w:szCs w:val="16"/>
                <w:color w:val="auto"/>
              </w:rPr>
              <w:t>The fair value of the derivative assets is as follows: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32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Interest rate swaps</w:t>
            </w: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8,975</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Forward foreign exchange contracts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b w:val="1"/>
                <w:bCs w:val="1"/>
                <w:color w:val="auto"/>
              </w:rPr>
              <w:t>Derivative assets designated and effective as hedging instruments carried at fair value</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Cross-currency swaps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24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2,509</w:t>
            </w:r>
          </w:p>
        </w:tc>
        <w:tc>
          <w:tcPr>
            <w:tcW w:w="2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9,222</w:t>
            </w:r>
          </w:p>
        </w:tc>
        <w:tc>
          <w:tcPr>
            <w:tcW w:w="0" w:type="dxa"/>
            <w:vAlign w:val="bottom"/>
          </w:tcPr>
          <w:p>
            <w:pPr>
              <w:spacing w:after="0"/>
              <w:rPr>
                <w:sz w:val="1"/>
                <w:szCs w:val="1"/>
                <w:color w:val="auto"/>
              </w:rPr>
            </w:pPr>
          </w:p>
        </w:tc>
      </w:tr>
      <w:tr>
        <w:trPr>
          <w:trHeight w:val="183"/>
        </w:trPr>
        <w:tc>
          <w:tcPr>
            <w:tcW w:w="73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Derivative financial instruments, current assets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c>
          <w:tcPr>
            <w:tcW w:w="0" w:type="dxa"/>
            <w:vAlign w:val="bottom"/>
          </w:tcPr>
          <w:p>
            <w:pPr>
              <w:spacing w:after="0"/>
              <w:rPr>
                <w:sz w:val="1"/>
                <w:szCs w:val="1"/>
                <w:color w:val="auto"/>
              </w:rPr>
            </w:pPr>
          </w:p>
        </w:tc>
      </w:tr>
      <w:tr>
        <w:trPr>
          <w:trHeight w:val="203"/>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Derivative financial instruments, non-current assets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w:t>
            </w:r>
          </w:p>
        </w:tc>
        <w:tc>
          <w:tcPr>
            <w:tcW w:w="2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5,122</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2,509</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9,222</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340"/>
              <w:spacing w:after="0"/>
              <w:rPr>
                <w:sz w:val="20"/>
                <w:szCs w:val="20"/>
                <w:color w:val="auto"/>
              </w:rPr>
            </w:pPr>
            <w:r>
              <w:rPr>
                <w:rFonts w:ascii="Arial" w:cs="Arial" w:eastAsia="Arial" w:hAnsi="Arial"/>
                <w:sz w:val="16"/>
                <w:szCs w:val="16"/>
                <w:color w:val="auto"/>
              </w:rPr>
              <w:t>The fair value of the derivative liabilities is as follows:</w:t>
            </w: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32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Interest rate swaps</w:t>
            </w:r>
          </w:p>
        </w:tc>
        <w:tc>
          <w:tcPr>
            <w:tcW w:w="1180" w:type="dxa"/>
            <w:vAlign w:val="bottom"/>
          </w:tcPr>
          <w:p>
            <w:pPr>
              <w:jc w:val="right"/>
              <w:spacing w:after="0"/>
              <w:rPr>
                <w:sz w:val="20"/>
                <w:szCs w:val="20"/>
                <w:color w:val="auto"/>
              </w:rPr>
            </w:pPr>
            <w:r>
              <w:rPr>
                <w:rFonts w:ascii="Arial" w:cs="Arial" w:eastAsia="Arial" w:hAnsi="Arial"/>
                <w:sz w:val="16"/>
                <w:szCs w:val="16"/>
                <w:color w:val="auto"/>
              </w:rPr>
              <w:t>53,192</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Forward foreign exchange contracts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6"/>
                <w:szCs w:val="16"/>
                <w:b w:val="1"/>
                <w:bCs w:val="1"/>
                <w:color w:val="auto"/>
              </w:rPr>
              <w:t>Derivative liabilities designated and effective as hedging instruments carried at fair value</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Cross-currency swaps</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8,688</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54,212</w:t>
            </w:r>
          </w:p>
        </w:tc>
        <w:tc>
          <w:tcPr>
            <w:tcW w:w="24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12,129</w:t>
            </w:r>
          </w:p>
        </w:tc>
        <w:tc>
          <w:tcPr>
            <w:tcW w:w="0" w:type="dxa"/>
            <w:vAlign w:val="bottom"/>
          </w:tcPr>
          <w:p>
            <w:pPr>
              <w:spacing w:after="0"/>
              <w:rPr>
                <w:sz w:val="1"/>
                <w:szCs w:val="1"/>
                <w:color w:val="auto"/>
              </w:rPr>
            </w:pPr>
          </w:p>
        </w:tc>
      </w:tr>
      <w:tr>
        <w:trPr>
          <w:trHeight w:val="183"/>
        </w:trPr>
        <w:tc>
          <w:tcPr>
            <w:tcW w:w="73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Derivative financial instruments, current liability</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25,518</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c>
          <w:tcPr>
            <w:tcW w:w="0" w:type="dxa"/>
            <w:vAlign w:val="bottom"/>
          </w:tcPr>
          <w:p>
            <w:pPr>
              <w:spacing w:after="0"/>
              <w:rPr>
                <w:sz w:val="1"/>
                <w:szCs w:val="1"/>
                <w:color w:val="auto"/>
              </w:rPr>
            </w:pPr>
          </w:p>
        </w:tc>
      </w:tr>
      <w:tr>
        <w:trPr>
          <w:trHeight w:val="203"/>
        </w:trPr>
        <w:tc>
          <w:tcPr>
            <w:tcW w:w="7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28,694</w:t>
            </w:r>
          </w:p>
        </w:tc>
        <w:tc>
          <w:tcPr>
            <w:tcW w:w="2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7,635</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54,212</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12,129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agreements</w:t>
      </w:r>
    </w:p>
    <w:p>
      <w:pPr>
        <w:spacing w:after="0" w:line="19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6"/>
          <w:szCs w:val="16"/>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London Interbank Offered Rate (“LIBOR”), and the Group effects quarterly payments to the bank on the notional amounts at the respective fixed rates.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194" w:lineRule="exact"/>
        <w:rPr>
          <w:sz w:val="20"/>
          <w:szCs w:val="20"/>
          <w:color w:val="auto"/>
        </w:rPr>
      </w:pPr>
    </w:p>
    <w:p>
      <w:pPr>
        <w:ind w:right="220" w:firstLine="324"/>
        <w:spacing w:after="0" w:line="278" w:lineRule="auto"/>
        <w:rPr>
          <w:sz w:val="20"/>
          <w:szCs w:val="20"/>
          <w:color w:val="auto"/>
        </w:rPr>
      </w:pPr>
      <w:r>
        <w:rPr>
          <w:rFonts w:ascii="Arial" w:cs="Arial" w:eastAsia="Arial" w:hAnsi="Arial"/>
          <w:sz w:val="16"/>
          <w:szCs w:val="16"/>
          <w:color w:val="auto"/>
        </w:rPr>
        <w:t>The principal terms of the Group’s interest rate swaps held for trading as of December 31, 2021, have been disclosed in the annual audited consolidated financial statements for the year ended December 31, 2021. Refer to Note 26 “Derivative Financial Instruments”. During the six months ended June 30, 2022, the Group did not enter into any new interest rate swaps held for trading.</w:t>
      </w:r>
    </w:p>
    <w:p>
      <w:pPr>
        <w:spacing w:after="0" w:line="144"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The Group’s interest rate swaps held for trading were not designated as cash flow hedging instruments. The change in the fair value of the interest rate swaps held for trading for the three and six months ended June 30, 2022 amounted to a net gain of $16,090 and a net gain of $61,876, respectively (for the three and six months ended June 30, 2021: a net gain of $3,718 and a net gain of $32,044, respectively), which was recognized against profit or loss in the period incurred and is included in (Loss)/gain on derivatives. During the three and six months ended June 30, 2022, the net gain of $16,090 and $61,876, respectively derived from changes in the LIBOR curve.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Cross currency swap agreements</w:t>
      </w:r>
    </w:p>
    <w:p>
      <w:pPr>
        <w:spacing w:after="0" w:line="198" w:lineRule="exact"/>
        <w:rPr>
          <w:sz w:val="20"/>
          <w:szCs w:val="20"/>
          <w:color w:val="auto"/>
        </w:rPr>
      </w:pPr>
    </w:p>
    <w:p>
      <w:pPr>
        <w:jc w:val="both"/>
        <w:ind w:right="240" w:firstLine="324"/>
        <w:spacing w:after="0" w:line="335" w:lineRule="auto"/>
        <w:rPr>
          <w:sz w:val="20"/>
          <w:szCs w:val="20"/>
          <w:color w:val="auto"/>
        </w:rPr>
      </w:pPr>
      <w:r>
        <w:rPr>
          <w:rFonts w:ascii="Arial" w:cs="Arial" w:eastAsia="Arial" w:hAnsi="Arial"/>
          <w:sz w:val="14"/>
          <w:szCs w:val="14"/>
          <w:color w:val="auto"/>
        </w:rPr>
        <w:t>The principal terms of the Group’s cross currency swaps’ (“CCS”) designated as cash flow hedging instruments as of December 31, 2021, have been disclosed in the annual audited consolidated financial statements for the year ended December 31, 2021. Refer to Note 26 “Derivative Financial Instruments”. During the six months ended June 30, 2022, the Group did not enter any CCS designated as cash flow hedging instruments.</w:t>
      </w:r>
    </w:p>
    <w:p>
      <w:pPr>
        <w:sectPr>
          <w:pgSz w:w="11900" w:h="16838" w:orient="portrait"/>
          <w:cols w:equalWidth="0" w:num="1">
            <w:col w:w="9920"/>
          </w:cols>
          <w:pgMar w:left="980" w:top="517" w:right="999" w:bottom="1440"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the three and six months ended June 30, 2022, the effective portion of changes in the fair value of CCSs amounting to a loss of $12,557 and a</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loss of $11,858, respectively, has been recognized in Other comprehensive income/(loss) (for the three and six months ended June 30, 2021: a gain of</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$1,024 and a loss of $153, respectively). For the three and six months ended June 30, 2022, a loss of $117 and gain of $2, respectively, was recycled to</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profit or loss representing the realized gain on CCSs in relation to the interest expenses component of the hedge (for the three and six months ended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June 30, 2021: a gain of $106 and $157, respectively). Additionally, for the three and six months ended June 30, 2022, a gain of $13,412 and a gain of</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$11,174, respectively, was recognized in Other comprehensive income/(loss) in relation to the translation of the NOK Bonds in USD as of June 30, 2022</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2021: a gain of $77 and a gain of $207,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foreign exchange contracts</w:t>
      </w:r>
    </w:p>
    <w:p>
      <w:pPr>
        <w:spacing w:after="0" w:line="198" w:lineRule="exact"/>
        <w:rPr>
          <w:sz w:val="20"/>
          <w:szCs w:val="20"/>
          <w:color w:val="auto"/>
        </w:rPr>
      </w:pPr>
    </w:p>
    <w:p>
      <w:pPr>
        <w:ind w:right="220" w:firstLine="324"/>
        <w:spacing w:after="0" w:line="297" w:lineRule="auto"/>
        <w:rPr>
          <w:sz w:val="20"/>
          <w:szCs w:val="20"/>
          <w:color w:val="auto"/>
        </w:rPr>
      </w:pPr>
      <w:r>
        <w:rPr>
          <w:rFonts w:ascii="Arial" w:cs="Arial" w:eastAsia="Arial" w:hAnsi="Arial"/>
          <w:sz w:val="15"/>
          <w:szCs w:val="15"/>
          <w:color w:val="auto"/>
        </w:rPr>
        <w:t>The Group uses forward foreign exchange contracts to mitigate foreign exchange transaction exposures in Euros (“EUR”) and Singapore dollars (‘‘SGD’’). Under these forward foreign exchange contracts, the bank counterparty will effect fixed payments in EUR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45" w:lineRule="exact"/>
        <w:rPr>
          <w:sz w:val="20"/>
          <w:szCs w:val="20"/>
          <w:color w:val="auto"/>
        </w:rPr>
      </w:pPr>
    </w:p>
    <w:p>
      <w:pPr>
        <w:ind w:right="80" w:firstLine="324"/>
        <w:spacing w:after="0" w:line="328" w:lineRule="auto"/>
        <w:rPr>
          <w:sz w:val="20"/>
          <w:szCs w:val="20"/>
          <w:color w:val="auto"/>
        </w:rPr>
      </w:pPr>
      <w:r>
        <w:rPr>
          <w:rFonts w:ascii="Arial" w:cs="Arial" w:eastAsia="Arial" w:hAnsi="Arial"/>
          <w:sz w:val="15"/>
          <w:szCs w:val="15"/>
          <w:color w:val="auto"/>
        </w:rPr>
        <w:t>The principal terms of the forward foreign exchange contracts held for trading as of December 31, 2021, have been disclosed in the annual audited consolidated financial statements for the year ended December 31, 2021. Refer to Note 26 “Derivative Financial Instruments”.</w:t>
      </w:r>
    </w:p>
    <w:p>
      <w:pPr>
        <w:spacing w:after="0" w:line="10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During the six months ended June 30, 2022, the Group entered the following forward foreign exchange contracts which remain unsettled as of June 30,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Fixed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Total Exchange</w:t>
            </w:r>
          </w:p>
        </w:tc>
        <w:tc>
          <w:tcPr>
            <w:tcW w:w="0" w:type="dxa"/>
            <w:vAlign w:val="bottom"/>
          </w:tcPr>
          <w:p>
            <w:pPr>
              <w:spacing w:after="0"/>
              <w:rPr>
                <w:sz w:val="1"/>
                <w:szCs w:val="1"/>
                <w:color w:val="auto"/>
              </w:rPr>
            </w:pPr>
          </w:p>
        </w:tc>
      </w:tr>
      <w:tr>
        <w:trPr>
          <w:trHeight w:val="149"/>
        </w:trPr>
        <w:tc>
          <w:tcPr>
            <w:tcW w:w="194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Counterparty</w:t>
            </w:r>
          </w:p>
        </w:tc>
        <w:tc>
          <w:tcPr>
            <w:tcW w:w="20" w:type="dxa"/>
            <w:vAlign w:val="bottom"/>
          </w:tcPr>
          <w:p>
            <w:pPr>
              <w:spacing w:after="0"/>
              <w:rPr>
                <w:sz w:val="12"/>
                <w:szCs w:val="12"/>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3"/>
              </w:rPr>
              <w:t>Trade Date</w:t>
            </w: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Settlement Dates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1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Contracts</w:t>
            </w:r>
          </w:p>
        </w:tc>
        <w:tc>
          <w:tcPr>
            <w:tcW w:w="6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(USD/EUR)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96"/>
        </w:trPr>
        <w:tc>
          <w:tcPr>
            <w:tcW w:w="1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GasLog</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Citibank Europe PLC UK</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w w:val="92"/>
              </w:rPr>
              <w:t>February 2022</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2"/>
              </w:rPr>
              <w:t>October 2022</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1.1279</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03"/>
        </w:trPr>
        <w:tc>
          <w:tcPr>
            <w:tcW w:w="19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6"/>
                <w:szCs w:val="16"/>
                <w:color w:val="auto"/>
                <w:w w:val="98"/>
              </w:rPr>
              <w:t>HSBC</w:t>
            </w:r>
          </w:p>
        </w:tc>
        <w:tc>
          <w:tcPr>
            <w:tcW w:w="1100" w:type="dxa"/>
            <w:vAlign w:val="bottom"/>
            <w:gridSpan w:val="5"/>
          </w:tcPr>
          <w:p>
            <w:pPr>
              <w:jc w:val="center"/>
              <w:ind w:right="140"/>
              <w:spacing w:after="0"/>
              <w:rPr>
                <w:sz w:val="20"/>
                <w:szCs w:val="20"/>
                <w:color w:val="auto"/>
              </w:rPr>
            </w:pPr>
            <w:r>
              <w:rPr>
                <w:rFonts w:ascii="Arial" w:cs="Arial" w:eastAsia="Arial" w:hAnsi="Arial"/>
                <w:sz w:val="16"/>
                <w:szCs w:val="16"/>
                <w:color w:val="auto"/>
                <w:w w:val="92"/>
              </w:rPr>
              <w:t>February 2022</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January-March 2023</w:t>
            </w:r>
          </w:p>
        </w:tc>
        <w:tc>
          <w:tcPr>
            <w:tcW w:w="1120" w:type="dxa"/>
            <w:vAlign w:val="bottom"/>
            <w:gridSpan w:val="4"/>
          </w:tcPr>
          <w:p>
            <w:pPr>
              <w:jc w:val="center"/>
              <w:ind w:left="59"/>
              <w:spacing w:after="0"/>
              <w:rPr>
                <w:sz w:val="20"/>
                <w:szCs w:val="20"/>
                <w:color w:val="auto"/>
              </w:rPr>
            </w:pPr>
            <w:r>
              <w:rPr>
                <w:rFonts w:ascii="Arial" w:cs="Arial" w:eastAsia="Arial" w:hAnsi="Arial"/>
                <w:sz w:val="16"/>
                <w:szCs w:val="16"/>
                <w:color w:val="auto"/>
                <w:w w:val="91"/>
              </w:rPr>
              <w:t>1.1373-1.1403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03"/>
        </w:trPr>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GasLog</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ABN Amro Bank N.V.</w:t>
            </w:r>
          </w:p>
        </w:tc>
        <w:tc>
          <w:tcPr>
            <w:tcW w:w="1100" w:type="dxa"/>
            <w:vAlign w:val="bottom"/>
            <w:gridSpan w:val="5"/>
            <w:shd w:val="clear" w:color="auto" w:fill="CCEEFF"/>
          </w:tcPr>
          <w:p>
            <w:pPr>
              <w:jc w:val="center"/>
              <w:ind w:right="140"/>
              <w:spacing w:after="0"/>
              <w:rPr>
                <w:sz w:val="20"/>
                <w:szCs w:val="20"/>
                <w:color w:val="auto"/>
              </w:rPr>
            </w:pPr>
            <w:r>
              <w:rPr>
                <w:rFonts w:ascii="Arial" w:cs="Arial" w:eastAsia="Arial" w:hAnsi="Arial"/>
                <w:sz w:val="16"/>
                <w:szCs w:val="16"/>
                <w:color w:val="auto"/>
                <w:w w:val="92"/>
              </w:rPr>
              <w:t>February 2022</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1"/>
              </w:rPr>
              <w:t>November-December 2022</w:t>
            </w:r>
          </w:p>
        </w:tc>
        <w:tc>
          <w:tcPr>
            <w:tcW w:w="1120" w:type="dxa"/>
            <w:vAlign w:val="bottom"/>
            <w:gridSpan w:val="4"/>
            <w:shd w:val="clear" w:color="auto" w:fill="CCEEFF"/>
          </w:tcPr>
          <w:p>
            <w:pPr>
              <w:jc w:val="center"/>
              <w:ind w:left="59"/>
              <w:spacing w:after="0"/>
              <w:rPr>
                <w:sz w:val="20"/>
                <w:szCs w:val="20"/>
                <w:color w:val="auto"/>
              </w:rPr>
            </w:pPr>
            <w:r>
              <w:rPr>
                <w:rFonts w:ascii="Arial" w:cs="Arial" w:eastAsia="Arial" w:hAnsi="Arial"/>
                <w:sz w:val="16"/>
                <w:szCs w:val="16"/>
                <w:color w:val="auto"/>
                <w:w w:val="91"/>
              </w:rPr>
              <w:t>1.1327-1.1344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3"/>
        </w:trPr>
        <w:tc>
          <w:tcPr>
            <w:tcW w:w="19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6"/>
                <w:szCs w:val="16"/>
                <w:color w:val="auto"/>
              </w:rPr>
              <w:t>DNB</w:t>
            </w:r>
          </w:p>
        </w:tc>
        <w:tc>
          <w:tcPr>
            <w:tcW w:w="20" w:type="dxa"/>
            <w:vAlign w:val="bottom"/>
          </w:tcPr>
          <w:p>
            <w:pPr>
              <w:spacing w:after="0"/>
              <w:rPr>
                <w:sz w:val="17"/>
                <w:szCs w:val="17"/>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6"/>
                <w:szCs w:val="16"/>
                <w:color w:val="auto"/>
                <w:w w:val="99"/>
              </w:rPr>
              <w:t>April 2022</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January-June 2023</w:t>
            </w:r>
          </w:p>
        </w:tc>
        <w:tc>
          <w:tcPr>
            <w:tcW w:w="110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1.1000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3"/>
        </w:trPr>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GasLog</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OCBC</w:t>
            </w:r>
          </w:p>
        </w:tc>
        <w:tc>
          <w:tcPr>
            <w:tcW w:w="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center"/>
              <w:ind w:right="160"/>
              <w:spacing w:after="0"/>
              <w:rPr>
                <w:sz w:val="20"/>
                <w:szCs w:val="20"/>
                <w:color w:val="auto"/>
              </w:rPr>
            </w:pPr>
            <w:r>
              <w:rPr>
                <w:rFonts w:ascii="Arial" w:cs="Arial" w:eastAsia="Arial" w:hAnsi="Arial"/>
                <w:sz w:val="16"/>
                <w:szCs w:val="16"/>
                <w:color w:val="auto"/>
                <w:w w:val="99"/>
              </w:rPr>
              <w:t>April 2022</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1"/>
              </w:rPr>
              <w:t>January-March 2023</w:t>
            </w:r>
          </w:p>
        </w:tc>
        <w:tc>
          <w:tcPr>
            <w:tcW w:w="1120" w:type="dxa"/>
            <w:vAlign w:val="bottom"/>
            <w:gridSpan w:val="4"/>
            <w:shd w:val="clear" w:color="auto" w:fill="CCEEFF"/>
          </w:tcPr>
          <w:p>
            <w:pPr>
              <w:jc w:val="center"/>
              <w:ind w:left="59"/>
              <w:spacing w:after="0"/>
              <w:rPr>
                <w:sz w:val="20"/>
                <w:szCs w:val="20"/>
                <w:color w:val="auto"/>
              </w:rPr>
            </w:pPr>
            <w:r>
              <w:rPr>
                <w:rFonts w:ascii="Arial" w:cs="Arial" w:eastAsia="Arial" w:hAnsi="Arial"/>
                <w:sz w:val="16"/>
                <w:szCs w:val="16"/>
                <w:color w:val="auto"/>
                <w:w w:val="91"/>
              </w:rPr>
              <w:t>1.1051-1.1098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03"/>
        </w:trPr>
        <w:tc>
          <w:tcPr>
            <w:tcW w:w="19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6"/>
                <w:szCs w:val="16"/>
                <w:color w:val="auto"/>
              </w:rPr>
              <w:t>DNB</w:t>
            </w:r>
          </w:p>
        </w:tc>
        <w:tc>
          <w:tcPr>
            <w:tcW w:w="20" w:type="dxa"/>
            <w:vAlign w:val="bottom"/>
          </w:tcPr>
          <w:p>
            <w:pPr>
              <w:spacing w:after="0"/>
              <w:rPr>
                <w:sz w:val="17"/>
                <w:szCs w:val="17"/>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6"/>
                <w:szCs w:val="16"/>
                <w:color w:val="auto"/>
                <w:w w:val="88"/>
              </w:rPr>
              <w:t>June 2022</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July-December 2023</w:t>
            </w:r>
          </w:p>
        </w:tc>
        <w:tc>
          <w:tcPr>
            <w:tcW w:w="110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1.1300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7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22,000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Fixed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Total Exchange</w:t>
            </w:r>
          </w:p>
        </w:tc>
        <w:tc>
          <w:tcPr>
            <w:tcW w:w="0" w:type="dxa"/>
            <w:vAlign w:val="bottom"/>
          </w:tcPr>
          <w:p>
            <w:pPr>
              <w:spacing w:after="0"/>
              <w:rPr>
                <w:sz w:val="1"/>
                <w:szCs w:val="1"/>
                <w:color w:val="auto"/>
              </w:rPr>
            </w:pPr>
          </w:p>
        </w:tc>
      </w:tr>
      <w:tr>
        <w:trPr>
          <w:trHeight w:val="149"/>
        </w:trPr>
        <w:tc>
          <w:tcPr>
            <w:tcW w:w="19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Counterparty</w:t>
            </w:r>
          </w:p>
        </w:tc>
        <w:tc>
          <w:tcPr>
            <w:tcW w:w="20" w:type="dxa"/>
            <w:vAlign w:val="bottom"/>
          </w:tcPr>
          <w:p>
            <w:pPr>
              <w:spacing w:after="0"/>
              <w:rPr>
                <w:sz w:val="12"/>
                <w:szCs w:val="12"/>
                <w:color w:val="auto"/>
              </w:rPr>
            </w:pPr>
          </w:p>
        </w:tc>
        <w:tc>
          <w:tcPr>
            <w:tcW w:w="10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3"/>
              </w:rPr>
              <w:t>Trade Date</w:t>
            </w: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Settlement Dates</w:t>
            </w:r>
          </w:p>
        </w:tc>
        <w:tc>
          <w:tcPr>
            <w:tcW w:w="12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71"/>
        </w:trPr>
        <w:tc>
          <w:tcPr>
            <w:tcW w:w="1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Contracts</w:t>
            </w:r>
          </w:p>
        </w:tc>
        <w:tc>
          <w:tcPr>
            <w:tcW w:w="6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(USD/SGD)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96"/>
        </w:trPr>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GasLog</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HSBC</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April 2022</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September-October 2022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1"/>
              </w:rPr>
              <w:t>1.3612-1.3622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1"/>
              </w:rPr>
              <w:t>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03"/>
        </w:trPr>
        <w:tc>
          <w:tcPr>
            <w:tcW w:w="19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ABN Amro Bank N.V.</w:t>
            </w:r>
          </w:p>
        </w:tc>
        <w:tc>
          <w:tcPr>
            <w:tcW w:w="20" w:type="dxa"/>
            <w:vAlign w:val="bottom"/>
          </w:tcPr>
          <w:p>
            <w:pPr>
              <w:spacing w:after="0"/>
              <w:rPr>
                <w:sz w:val="17"/>
                <w:szCs w:val="17"/>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6"/>
                <w:szCs w:val="16"/>
                <w:color w:val="auto"/>
                <w:w w:val="97"/>
              </w:rPr>
              <w:t>April 2022</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gridSpan w:val="2"/>
          </w:tcPr>
          <w:p>
            <w:pPr>
              <w:jc w:val="center"/>
              <w:ind w:right="20"/>
              <w:spacing w:after="0"/>
              <w:rPr>
                <w:sz w:val="20"/>
                <w:szCs w:val="20"/>
                <w:color w:val="auto"/>
              </w:rPr>
            </w:pPr>
            <w:r>
              <w:rPr>
                <w:rFonts w:ascii="Arial" w:cs="Arial" w:eastAsia="Arial" w:hAnsi="Arial"/>
                <w:sz w:val="16"/>
                <w:szCs w:val="16"/>
                <w:color w:val="auto"/>
                <w:w w:val="89"/>
              </w:rPr>
              <w:t>September-October 2022</w:t>
            </w:r>
          </w:p>
        </w:tc>
        <w:tc>
          <w:tcPr>
            <w:tcW w:w="1100" w:type="dxa"/>
            <w:vAlign w:val="bottom"/>
            <w:gridSpan w:val="3"/>
          </w:tcPr>
          <w:p>
            <w:pPr>
              <w:jc w:val="center"/>
              <w:ind w:left="39"/>
              <w:spacing w:after="0"/>
              <w:rPr>
                <w:sz w:val="20"/>
                <w:szCs w:val="20"/>
                <w:color w:val="auto"/>
              </w:rPr>
            </w:pPr>
            <w:r>
              <w:rPr>
                <w:rFonts w:ascii="Arial" w:cs="Arial" w:eastAsia="Arial" w:hAnsi="Arial"/>
                <w:sz w:val="16"/>
                <w:szCs w:val="16"/>
                <w:color w:val="auto"/>
                <w:w w:val="91"/>
              </w:rPr>
              <w:t>1.3615-1.3624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auto"/>
                <w:w w:val="91"/>
              </w:rPr>
              <w:t>S$</w:t>
            </w:r>
          </w:p>
        </w:tc>
        <w:tc>
          <w:tcPr>
            <w:tcW w:w="800" w:type="dxa"/>
            <w:vAlign w:val="bottom"/>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03"/>
        </w:trPr>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GasLog</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5"/>
              </w:rPr>
              <w:t>OCBC</w:t>
            </w:r>
          </w:p>
        </w:tc>
        <w:tc>
          <w:tcPr>
            <w:tcW w:w="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center"/>
              <w:ind w:right="180"/>
              <w:spacing w:after="0"/>
              <w:rPr>
                <w:sz w:val="20"/>
                <w:szCs w:val="20"/>
                <w:color w:val="auto"/>
              </w:rPr>
            </w:pPr>
            <w:r>
              <w:rPr>
                <w:rFonts w:ascii="Arial" w:cs="Arial" w:eastAsia="Arial" w:hAnsi="Arial"/>
                <w:sz w:val="16"/>
                <w:szCs w:val="16"/>
                <w:color w:val="auto"/>
                <w:w w:val="97"/>
              </w:rPr>
              <w:t>April 2022</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9"/>
              </w:rPr>
              <w:t>September-October 2022</w:t>
            </w:r>
          </w:p>
        </w:tc>
        <w:tc>
          <w:tcPr>
            <w:tcW w:w="1100" w:type="dxa"/>
            <w:vAlign w:val="bottom"/>
            <w:gridSpan w:val="3"/>
            <w:shd w:val="clear" w:color="auto" w:fill="CCEEFF"/>
          </w:tcPr>
          <w:p>
            <w:pPr>
              <w:jc w:val="center"/>
              <w:ind w:left="39"/>
              <w:spacing w:after="0"/>
              <w:rPr>
                <w:sz w:val="20"/>
                <w:szCs w:val="20"/>
                <w:color w:val="auto"/>
              </w:rPr>
            </w:pPr>
            <w:r>
              <w:rPr>
                <w:rFonts w:ascii="Arial" w:cs="Arial" w:eastAsia="Arial" w:hAnsi="Arial"/>
                <w:sz w:val="16"/>
                <w:szCs w:val="16"/>
                <w:color w:val="auto"/>
                <w:w w:val="91"/>
              </w:rPr>
              <w:t>1.3633-1.3643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rPr>
              <w: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03"/>
        </w:trPr>
        <w:tc>
          <w:tcPr>
            <w:tcW w:w="19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Nordea Bank Abp</w:t>
            </w:r>
          </w:p>
        </w:tc>
        <w:tc>
          <w:tcPr>
            <w:tcW w:w="20" w:type="dxa"/>
            <w:vAlign w:val="bottom"/>
          </w:tcPr>
          <w:p>
            <w:pPr>
              <w:spacing w:after="0"/>
              <w:rPr>
                <w:sz w:val="17"/>
                <w:szCs w:val="17"/>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6"/>
                <w:szCs w:val="16"/>
                <w:color w:val="auto"/>
                <w:w w:val="93"/>
              </w:rPr>
              <w:t>May 2022</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6"/>
                <w:szCs w:val="16"/>
                <w:color w:val="auto"/>
                <w:w w:val="90"/>
              </w:rPr>
              <w:t>October 2022</w:t>
            </w:r>
          </w:p>
        </w:tc>
        <w:tc>
          <w:tcPr>
            <w:tcW w:w="1100" w:type="dxa"/>
            <w:vAlign w:val="bottom"/>
            <w:gridSpan w:val="3"/>
          </w:tcPr>
          <w:p>
            <w:pPr>
              <w:jc w:val="center"/>
              <w:ind w:left="39"/>
              <w:spacing w:after="0"/>
              <w:rPr>
                <w:sz w:val="20"/>
                <w:szCs w:val="20"/>
                <w:color w:val="auto"/>
              </w:rPr>
            </w:pPr>
            <w:r>
              <w:rPr>
                <w:rFonts w:ascii="Arial" w:cs="Arial" w:eastAsia="Arial" w:hAnsi="Arial"/>
                <w:sz w:val="16"/>
                <w:szCs w:val="16"/>
                <w:color w:val="auto"/>
                <w:w w:val="91"/>
              </w:rPr>
              <w:t>1.3742-1.3825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auto"/>
                <w:w w:val="91"/>
              </w:rPr>
              <w:t>S$</w:t>
            </w:r>
          </w:p>
        </w:tc>
        <w:tc>
          <w:tcPr>
            <w:tcW w:w="80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02"/>
        </w:trPr>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GasLog</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7"/>
              </w:rPr>
              <w:t>ABN Amro Bank N.V.</w:t>
            </w:r>
          </w:p>
        </w:tc>
        <w:tc>
          <w:tcPr>
            <w:tcW w:w="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center"/>
              <w:ind w:right="180"/>
              <w:spacing w:after="0"/>
              <w:rPr>
                <w:sz w:val="20"/>
                <w:szCs w:val="20"/>
                <w:color w:val="auto"/>
              </w:rPr>
            </w:pPr>
            <w:r>
              <w:rPr>
                <w:rFonts w:ascii="Arial" w:cs="Arial" w:eastAsia="Arial" w:hAnsi="Arial"/>
                <w:sz w:val="16"/>
                <w:szCs w:val="16"/>
                <w:color w:val="auto"/>
                <w:w w:val="93"/>
              </w:rPr>
              <w:t>May 2022</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0"/>
              </w:rPr>
              <w:t>October 2022</w:t>
            </w:r>
          </w:p>
        </w:tc>
        <w:tc>
          <w:tcPr>
            <w:tcW w:w="110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89"/>
              </w:rPr>
              <w:t>1.3738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rPr>
              <w: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6"/>
                <w:szCs w:val="16"/>
                <w:color w:val="auto"/>
                <w:w w:val="91"/>
              </w:rPr>
              <w:t>October 2022 - February</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ABN Amro Bank N.V.</w:t>
            </w:r>
          </w:p>
        </w:tc>
        <w:tc>
          <w:tcPr>
            <w:tcW w:w="20" w:type="dxa"/>
            <w:vAlign w:val="bottom"/>
          </w:tcPr>
          <w:p>
            <w:pPr>
              <w:spacing w:after="0"/>
              <w:rPr>
                <w:sz w:val="18"/>
                <w:szCs w:val="18"/>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6"/>
                <w:szCs w:val="16"/>
                <w:color w:val="auto"/>
                <w:w w:val="88"/>
              </w:rPr>
              <w:t>June 2022</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color w:val="auto"/>
                <w:w w:val="89"/>
              </w:rPr>
              <w:t>2023</w:t>
            </w:r>
          </w:p>
        </w:tc>
        <w:tc>
          <w:tcPr>
            <w:tcW w:w="20" w:type="dxa"/>
            <w:vAlign w:val="bottom"/>
          </w:tcPr>
          <w:p>
            <w:pPr>
              <w:spacing w:after="0"/>
              <w:rPr>
                <w:sz w:val="18"/>
                <w:szCs w:val="18"/>
                <w:color w:val="auto"/>
              </w:rPr>
            </w:pPr>
          </w:p>
        </w:tc>
        <w:tc>
          <w:tcPr>
            <w:tcW w:w="1100" w:type="dxa"/>
            <w:vAlign w:val="bottom"/>
            <w:gridSpan w:val="3"/>
          </w:tcPr>
          <w:p>
            <w:pPr>
              <w:jc w:val="center"/>
              <w:ind w:left="39"/>
              <w:spacing w:after="0"/>
              <w:rPr>
                <w:sz w:val="20"/>
                <w:szCs w:val="20"/>
                <w:color w:val="auto"/>
              </w:rPr>
            </w:pPr>
            <w:r>
              <w:rPr>
                <w:rFonts w:ascii="Arial" w:cs="Arial" w:eastAsia="Arial" w:hAnsi="Arial"/>
                <w:sz w:val="16"/>
                <w:szCs w:val="16"/>
                <w:color w:val="auto"/>
                <w:w w:val="91"/>
              </w:rPr>
              <w:t>1.3845-1.3888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auto"/>
                <w:w w:val="91"/>
              </w:rPr>
              <w:t>S$</w:t>
            </w:r>
          </w:p>
        </w:tc>
        <w:tc>
          <w:tcPr>
            <w:tcW w:w="800" w:type="dxa"/>
            <w:vAlign w:val="bottom"/>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196"/>
        </w:trPr>
        <w:tc>
          <w:tcPr>
            <w:tcW w:w="1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1"/>
              </w:rPr>
              <w:t>October 2022 - February</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GasLog</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5"/>
              </w:rPr>
              <w:t>Citibank Europe PLC UK</w:t>
            </w: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center"/>
              <w:ind w:right="180"/>
              <w:spacing w:after="0"/>
              <w:rPr>
                <w:sz w:val="20"/>
                <w:szCs w:val="20"/>
                <w:color w:val="auto"/>
              </w:rPr>
            </w:pPr>
            <w:r>
              <w:rPr>
                <w:rFonts w:ascii="Arial" w:cs="Arial" w:eastAsia="Arial" w:hAnsi="Arial"/>
                <w:sz w:val="16"/>
                <w:szCs w:val="16"/>
                <w:color w:val="auto"/>
                <w:w w:val="88"/>
              </w:rPr>
              <w:t>June 2022</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left="39"/>
              <w:spacing w:after="0"/>
              <w:rPr>
                <w:sz w:val="20"/>
                <w:szCs w:val="20"/>
                <w:color w:val="auto"/>
              </w:rPr>
            </w:pPr>
            <w:r>
              <w:rPr>
                <w:rFonts w:ascii="Arial" w:cs="Arial" w:eastAsia="Arial" w:hAnsi="Arial"/>
                <w:sz w:val="16"/>
                <w:szCs w:val="16"/>
                <w:color w:val="auto"/>
                <w:w w:val="91"/>
              </w:rPr>
              <w:t>1.3846-1.3889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rPr>
              <w: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Goldman Sachs Bank</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6"/>
                <w:szCs w:val="16"/>
                <w:color w:val="auto"/>
                <w:w w:val="91"/>
              </w:rPr>
              <w:t>October 2022 - February</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9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Europe SE</w:t>
            </w:r>
          </w:p>
        </w:tc>
        <w:tc>
          <w:tcPr>
            <w:tcW w:w="20" w:type="dxa"/>
            <w:vAlign w:val="bottom"/>
          </w:tcPr>
          <w:p>
            <w:pPr>
              <w:spacing w:after="0"/>
              <w:rPr>
                <w:sz w:val="17"/>
                <w:szCs w:val="17"/>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6"/>
                <w:szCs w:val="16"/>
                <w:color w:val="auto"/>
                <w:w w:val="88"/>
              </w:rPr>
              <w:t>June 2022</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color w:val="auto"/>
                <w:w w:val="89"/>
              </w:rPr>
              <w:t>2023</w:t>
            </w:r>
          </w:p>
        </w:tc>
        <w:tc>
          <w:tcPr>
            <w:tcW w:w="20" w:type="dxa"/>
            <w:vAlign w:val="bottom"/>
          </w:tcPr>
          <w:p>
            <w:pPr>
              <w:spacing w:after="0"/>
              <w:rPr>
                <w:sz w:val="17"/>
                <w:szCs w:val="17"/>
                <w:color w:val="auto"/>
              </w:rPr>
            </w:pPr>
          </w:p>
        </w:tc>
        <w:tc>
          <w:tcPr>
            <w:tcW w:w="1100" w:type="dxa"/>
            <w:vAlign w:val="bottom"/>
            <w:gridSpan w:val="3"/>
          </w:tcPr>
          <w:p>
            <w:pPr>
              <w:jc w:val="center"/>
              <w:ind w:left="39"/>
              <w:spacing w:after="0"/>
              <w:rPr>
                <w:sz w:val="20"/>
                <w:szCs w:val="20"/>
                <w:color w:val="auto"/>
              </w:rPr>
            </w:pPr>
            <w:r>
              <w:rPr>
                <w:rFonts w:ascii="Arial" w:cs="Arial" w:eastAsia="Arial" w:hAnsi="Arial"/>
                <w:sz w:val="16"/>
                <w:szCs w:val="16"/>
                <w:color w:val="auto"/>
                <w:w w:val="91"/>
              </w:rPr>
              <w:t>1.3768-1.3836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auto"/>
                <w:w w:val="91"/>
              </w:rPr>
              <w:t>S$</w:t>
            </w:r>
          </w:p>
        </w:tc>
        <w:tc>
          <w:tcPr>
            <w:tcW w:w="800" w:type="dxa"/>
            <w:vAlign w:val="bottom"/>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08"/>
        </w:trPr>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GasLog</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5"/>
              </w:rPr>
              <w:t>OCBC</w:t>
            </w: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center"/>
              <w:ind w:right="180"/>
              <w:spacing w:after="0"/>
              <w:rPr>
                <w:sz w:val="20"/>
                <w:szCs w:val="20"/>
                <w:color w:val="auto"/>
              </w:rPr>
            </w:pPr>
            <w:r>
              <w:rPr>
                <w:rFonts w:ascii="Arial" w:cs="Arial" w:eastAsia="Arial" w:hAnsi="Arial"/>
                <w:sz w:val="16"/>
                <w:szCs w:val="16"/>
                <w:color w:val="auto"/>
                <w:w w:val="88"/>
              </w:rPr>
              <w:t>June 2022</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90"/>
              </w:rPr>
              <w:t>February 2023</w:t>
            </w:r>
          </w:p>
        </w:tc>
        <w:tc>
          <w:tcPr>
            <w:tcW w:w="110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89"/>
              </w:rPr>
              <w:t>1.3852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rPr>
              <w: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1"/>
              </w:rPr>
              <w: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38,000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Apart from the abovementioned contracts the Group did not enter any other forward foreign exchange contracts, while 43 contracts expired with staggered maturities from January to June 2022.</w:t>
      </w:r>
    </w:p>
    <w:p>
      <w:pPr>
        <w:spacing w:after="0" w:line="131"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The Group’s forward foreign exchange contracts were not designated as cash flow hedging instruments as of June 30, 2022. The change in the fair value of these contracts for the three and six months ended June 30, 2022, amounted to a net loss of $1,668 and a net loss of $1,974, respectively (for the three and six months ended June 30, 2021: a net gain of $331 and a net loss of $587, respectively), which was recognized against profit or loss in the period incurred and is included in (Loss)/gain on derivatives.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16. Financial Costs and Loss/(gain) on Derivatives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580" w:type="dxa"/>
            <w:vAlign w:val="bottom"/>
          </w:tcPr>
          <w:p>
            <w:pPr>
              <w:ind w:left="320"/>
              <w:spacing w:after="0"/>
              <w:rPr>
                <w:sz w:val="20"/>
                <w:szCs w:val="20"/>
                <w:color w:val="auto"/>
              </w:rPr>
            </w:pPr>
            <w:r>
              <w:rPr>
                <w:rFonts w:ascii="Arial" w:cs="Arial" w:eastAsia="Arial" w:hAnsi="Arial"/>
                <w:sz w:val="16"/>
                <w:szCs w:val="16"/>
                <w:color w:val="auto"/>
              </w:rPr>
              <w:t>An analysis of financial costs and loss/(gain) on derivatives is as follows: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240" w:type="dxa"/>
            <w:vAlign w:val="bottom"/>
            <w:gridSpan w:val="4"/>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2100" w:type="dxa"/>
            <w:vAlign w:val="bottom"/>
            <w:gridSpan w:val="4"/>
          </w:tcPr>
          <w:p>
            <w:pPr>
              <w:ind w:left="160"/>
              <w:spacing w:after="0"/>
              <w:rPr>
                <w:sz w:val="20"/>
                <w:szCs w:val="20"/>
                <w:color w:val="auto"/>
              </w:rPr>
            </w:pPr>
            <w:r>
              <w:rPr>
                <w:rFonts w:ascii="Arial" w:cs="Arial" w:eastAsia="Arial" w:hAnsi="Arial"/>
                <w:sz w:val="16"/>
                <w:szCs w:val="16"/>
                <w:b w:val="1"/>
                <w:bCs w:val="1"/>
                <w:color w:val="auto"/>
                <w:w w:val="98"/>
              </w:rPr>
              <w:t>For the 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2022</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w w:val="92"/>
              </w:rPr>
              <w:t>June 30, 2022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58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Amortization and write-off of deferred loan/bond issuance costs/premium and</w:t>
            </w: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discount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960" w:type="dxa"/>
            <w:vAlign w:val="bottom"/>
          </w:tcPr>
          <w:p>
            <w:pPr>
              <w:jc w:val="right"/>
              <w:spacing w:after="0"/>
              <w:rPr>
                <w:sz w:val="20"/>
                <w:szCs w:val="20"/>
                <w:color w:val="auto"/>
              </w:rPr>
            </w:pPr>
            <w:r>
              <w:rPr>
                <w:rFonts w:ascii="Arial" w:cs="Arial" w:eastAsia="Arial" w:hAnsi="Arial"/>
                <w:sz w:val="16"/>
                <w:szCs w:val="16"/>
                <w:color w:val="auto"/>
              </w:rPr>
              <w:t>20,592</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23,469</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41,364</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on bonds and realized loss on CCSs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8,129</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17,289</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Interest expense on leases</w:t>
            </w:r>
          </w:p>
        </w:tc>
        <w:tc>
          <w:tcPr>
            <w:tcW w:w="960" w:type="dxa"/>
            <w:vAlign w:val="bottom"/>
          </w:tcPr>
          <w:p>
            <w:pPr>
              <w:jc w:val="right"/>
              <w:spacing w:after="0"/>
              <w:rPr>
                <w:sz w:val="20"/>
                <w:szCs w:val="20"/>
                <w:color w:val="auto"/>
              </w:rPr>
            </w:pPr>
            <w:r>
              <w:rPr>
                <w:rFonts w:ascii="Arial" w:cs="Arial" w:eastAsia="Arial" w:hAnsi="Arial"/>
                <w:sz w:val="16"/>
                <w:szCs w:val="16"/>
                <w:color w:val="auto"/>
              </w:rPr>
              <w:t>2,412</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3,530</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4,826</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Other financial costs, net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16,001</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16,408</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financial costs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51,216</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39,466</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90,604</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76,835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Unrealized gain on derivative financial instruments held for trading (Note 15)</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(4,049)</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(14,422)</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(31,457)</w:t>
            </w:r>
          </w:p>
        </w:tc>
        <w:tc>
          <w:tcPr>
            <w:tcW w:w="960" w:type="dxa"/>
            <w:vAlign w:val="bottom"/>
          </w:tcPr>
          <w:p>
            <w:pPr>
              <w:jc w:val="right"/>
              <w:spacing w:after="0"/>
              <w:rPr>
                <w:sz w:val="20"/>
                <w:szCs w:val="20"/>
                <w:color w:val="auto"/>
              </w:rPr>
            </w:pPr>
            <w:r>
              <w:rPr>
                <w:rFonts w:ascii="Arial" w:cs="Arial" w:eastAsia="Arial" w:hAnsi="Arial"/>
                <w:sz w:val="16"/>
                <w:szCs w:val="16"/>
                <w:color w:val="auto"/>
              </w:rPr>
              <w:t>(59,902)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Realized loss on interest rate swaps held for trading</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8,946</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color w:val="auto"/>
              </w:rPr>
              <w:t>Realized (gain)/loss on forward foreign exchange contracts held for trading</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(105)</w:t>
            </w:r>
          </w:p>
        </w:tc>
        <w:tc>
          <w:tcPr>
            <w:tcW w:w="960" w:type="dxa"/>
            <w:vAlign w:val="bottom"/>
          </w:tcPr>
          <w:p>
            <w:pPr>
              <w:jc w:val="right"/>
              <w:spacing w:after="0"/>
              <w:rPr>
                <w:sz w:val="20"/>
                <w:szCs w:val="20"/>
                <w:color w:val="auto"/>
              </w:rPr>
            </w:pPr>
            <w:r>
              <w:rPr>
                <w:rFonts w:ascii="Arial" w:cs="Arial" w:eastAsia="Arial" w:hAnsi="Arial"/>
                <w:sz w:val="16"/>
                <w:szCs w:val="16"/>
                <w:color w:val="auto"/>
              </w:rPr>
              <w:t>1,192</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(55)</w:t>
            </w:r>
          </w:p>
        </w:tc>
        <w:tc>
          <w:tcPr>
            <w:tcW w:w="960" w:type="dxa"/>
            <w:vAlign w:val="bottom"/>
          </w:tcPr>
          <w:p>
            <w:pPr>
              <w:jc w:val="right"/>
              <w:spacing w:after="0"/>
              <w:rPr>
                <w:sz w:val="20"/>
                <w:szCs w:val="20"/>
                <w:color w:val="auto"/>
              </w:rPr>
            </w:pPr>
            <w:r>
              <w:rPr>
                <w:rFonts w:ascii="Arial" w:cs="Arial" w:eastAsia="Arial" w:hAnsi="Arial"/>
                <w:sz w:val="16"/>
                <w:szCs w:val="16"/>
                <w:color w:val="auto"/>
              </w:rPr>
              <w:t>1,827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Ineffective portion of cash flow hedges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6"/>
                <w:szCs w:val="16"/>
                <w:b w:val="1"/>
                <w:bCs w:val="1"/>
                <w:color w:val="auto"/>
              </w:rPr>
              <w:t>Total loss/(gain) on derivatives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6,310</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(8,330)</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(13,973)</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(45,731)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400" w:firstLine="324"/>
        <w:spacing w:after="0" w:line="278" w:lineRule="auto"/>
        <w:rPr>
          <w:sz w:val="20"/>
          <w:szCs w:val="20"/>
          <w:color w:val="auto"/>
        </w:rPr>
      </w:pPr>
      <w:r>
        <w:rPr>
          <w:rFonts w:ascii="Arial" w:cs="Arial" w:eastAsia="Arial" w:hAnsi="Arial"/>
          <w:sz w:val="16"/>
          <w:szCs w:val="16"/>
          <w:color w:val="auto"/>
        </w:rPr>
        <w:t>Other financial costs, net includes an amount of $15,652 for the three and six months ended June 30, 2021, respectively relating to fees (bank consent, legal fees, etc.) to obtain the third-party consents and waivers in connection with the de-listing of the Group’s shares from NYSE after the consummation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Cash Flow Reconciliations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reconciliation of the Group’s financing activities for the periods ended June 30, 2021, and June 30, 2022, are presented in the tables below:</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Deferred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comprehensive</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Non-cash</w:t>
            </w: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financing costs,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Cash flows</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income</w:t>
            </w:r>
          </w:p>
        </w:tc>
        <w:tc>
          <w:tcPr>
            <w:tcW w:w="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items</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0"/>
              </w:rPr>
              <w:t>assets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89"/>
              </w:rPr>
              <w:t>Borrowings</w:t>
            </w:r>
          </w:p>
        </w:tc>
        <w:tc>
          <w:tcPr>
            <w:tcW w:w="0" w:type="dxa"/>
            <w:vAlign w:val="bottom"/>
          </w:tcPr>
          <w:p>
            <w:pPr>
              <w:spacing w:after="0"/>
              <w:rPr>
                <w:sz w:val="1"/>
                <w:szCs w:val="1"/>
                <w:color w:val="auto"/>
              </w:rPr>
            </w:pPr>
          </w:p>
        </w:tc>
      </w:tr>
      <w:tr>
        <w:trPr>
          <w:trHeight w:val="202"/>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January 1, 2021</w:t>
            </w: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3,773,221</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20"/>
                <w:szCs w:val="20"/>
                <w:color w:val="auto"/>
              </w:rPr>
            </w:pPr>
            <w:r>
              <w:rPr>
                <w:rFonts w:ascii="Arial" w:cs="Arial" w:eastAsia="Arial" w:hAnsi="Arial"/>
                <w:sz w:val="16"/>
                <w:szCs w:val="16"/>
                <w:color w:val="auto"/>
              </w:rPr>
              <w:t>Proceeds from loans</w:t>
            </w:r>
          </w:p>
        </w:tc>
        <w:tc>
          <w:tcPr>
            <w:tcW w:w="760" w:type="dxa"/>
            <w:vAlign w:val="bottom"/>
          </w:tcPr>
          <w:p>
            <w:pPr>
              <w:jc w:val="right"/>
              <w:spacing w:after="0"/>
              <w:rPr>
                <w:sz w:val="20"/>
                <w:szCs w:val="20"/>
                <w:color w:val="auto"/>
              </w:rPr>
            </w:pPr>
            <w:r>
              <w:rPr>
                <w:rFonts w:ascii="Arial" w:cs="Arial" w:eastAsia="Arial" w:hAnsi="Arial"/>
                <w:sz w:val="16"/>
                <w:szCs w:val="16"/>
                <w:color w:val="auto"/>
              </w:rPr>
              <w:t>318,913</w:t>
            </w: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318,913</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Loan and bond repayments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(266,770)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(266,770)</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(4,329)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(392)</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(1,905)</w:t>
            </w:r>
          </w:p>
        </w:tc>
        <w:tc>
          <w:tcPr>
            <w:tcW w:w="820" w:type="dxa"/>
            <w:vAlign w:val="bottom"/>
          </w:tcPr>
          <w:p>
            <w:pPr>
              <w:jc w:val="right"/>
              <w:spacing w:after="0"/>
              <w:rPr>
                <w:sz w:val="20"/>
                <w:szCs w:val="20"/>
                <w:color w:val="auto"/>
              </w:rPr>
            </w:pPr>
            <w:r>
              <w:rPr>
                <w:rFonts w:ascii="Arial" w:cs="Arial" w:eastAsia="Arial" w:hAnsi="Arial"/>
                <w:sz w:val="16"/>
                <w:szCs w:val="16"/>
                <w:color w:val="auto"/>
              </w:rPr>
              <w:t>(6,626)</w:t>
            </w:r>
          </w:p>
        </w:tc>
        <w:tc>
          <w:tcPr>
            <w:tcW w:w="0" w:type="dxa"/>
            <w:vAlign w:val="bottom"/>
          </w:tcPr>
          <w:p>
            <w:pPr>
              <w:spacing w:after="0"/>
              <w:rPr>
                <w:sz w:val="1"/>
                <w:szCs w:val="1"/>
                <w:color w:val="auto"/>
              </w:rPr>
            </w:pPr>
          </w:p>
        </w:tc>
      </w:tr>
      <w:tr>
        <w:trPr>
          <w:trHeight w:val="193"/>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Amortization and write-off of deferred loan/bond issuance</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costs/premium (Note 16)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10,717</w:t>
            </w:r>
          </w:p>
        </w:tc>
        <w:tc>
          <w:tcPr>
            <w:tcW w:w="0" w:type="dxa"/>
            <w:vAlign w:val="bottom"/>
          </w:tcPr>
          <w:p>
            <w:pPr>
              <w:spacing w:after="0"/>
              <w:rPr>
                <w:sz w:val="1"/>
                <w:szCs w:val="1"/>
                <w:color w:val="auto"/>
              </w:rPr>
            </w:pPr>
          </w:p>
        </w:tc>
      </w:tr>
      <w:tr>
        <w:trPr>
          <w:trHeight w:val="202"/>
        </w:trPr>
        <w:tc>
          <w:tcPr>
            <w:tcW w:w="4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Retranslation of the NOK 2024 Bonds in USD</w:t>
            </w:r>
          </w:p>
        </w:tc>
        <w:tc>
          <w:tcPr>
            <w:tcW w:w="9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(207)</w:t>
            </w:r>
          </w:p>
        </w:tc>
        <w:tc>
          <w:tcPr>
            <w:tcW w:w="8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June 30, 2021</w:t>
            </w: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3,829,248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8"/>
              </w:rPr>
              <w:t>Other</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4"/>
              </w:rPr>
              <w:t>Deferred</w:t>
            </w: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comprehensive</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Non-cash</w:t>
            </w: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financing costs,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Cash flows</w:t>
            </w: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income</w:t>
            </w:r>
          </w:p>
        </w:tc>
        <w:tc>
          <w:tcPr>
            <w:tcW w:w="8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items</w:t>
            </w: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0"/>
              </w:rPr>
              <w:t>assets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89"/>
              </w:rPr>
              <w:t>Borrowings</w:t>
            </w:r>
          </w:p>
        </w:tc>
        <w:tc>
          <w:tcPr>
            <w:tcW w:w="0" w:type="dxa"/>
            <w:vAlign w:val="bottom"/>
          </w:tcPr>
          <w:p>
            <w:pPr>
              <w:spacing w:after="0"/>
              <w:rPr>
                <w:sz w:val="1"/>
                <w:szCs w:val="1"/>
                <w:color w:val="auto"/>
              </w:rPr>
            </w:pPr>
          </w:p>
        </w:tc>
      </w:tr>
      <w:tr>
        <w:trPr>
          <w:trHeight w:val="202"/>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January 1, 2022</w:t>
            </w: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3,658,220</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20"/>
                <w:szCs w:val="20"/>
                <w:color w:val="auto"/>
              </w:rPr>
            </w:pPr>
            <w:r>
              <w:rPr>
                <w:rFonts w:ascii="Arial" w:cs="Arial" w:eastAsia="Arial" w:hAnsi="Arial"/>
                <w:sz w:val="16"/>
                <w:szCs w:val="16"/>
                <w:color w:val="auto"/>
              </w:rPr>
              <w:t>Proceeds from loans and bonds, net of discount</w:t>
            </w:r>
          </w:p>
        </w:tc>
        <w:tc>
          <w:tcPr>
            <w:tcW w:w="760" w:type="dxa"/>
            <w:vAlign w:val="bottom"/>
          </w:tcPr>
          <w:p>
            <w:pPr>
              <w:jc w:val="right"/>
              <w:spacing w:after="0"/>
              <w:rPr>
                <w:sz w:val="20"/>
                <w:szCs w:val="20"/>
                <w:color w:val="auto"/>
              </w:rPr>
            </w:pPr>
            <w:r>
              <w:rPr>
                <w:rFonts w:ascii="Arial" w:cs="Arial" w:eastAsia="Arial" w:hAnsi="Arial"/>
                <w:sz w:val="16"/>
                <w:szCs w:val="16"/>
                <w:color w:val="auto"/>
              </w:rPr>
              <w:t>312,638</w:t>
            </w: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312,638</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Loan and bond repayments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(543,116)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(543,116)</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(1,580)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(188)</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(5,356)</w:t>
            </w:r>
          </w:p>
        </w:tc>
        <w:tc>
          <w:tcPr>
            <w:tcW w:w="820" w:type="dxa"/>
            <w:vAlign w:val="bottom"/>
          </w:tcPr>
          <w:p>
            <w:pPr>
              <w:jc w:val="right"/>
              <w:spacing w:after="0"/>
              <w:rPr>
                <w:sz w:val="20"/>
                <w:szCs w:val="20"/>
                <w:color w:val="auto"/>
              </w:rPr>
            </w:pPr>
            <w:r>
              <w:rPr>
                <w:rFonts w:ascii="Arial" w:cs="Arial" w:eastAsia="Arial" w:hAnsi="Arial"/>
                <w:sz w:val="16"/>
                <w:szCs w:val="16"/>
                <w:color w:val="auto"/>
              </w:rPr>
              <w:t>(7,124)</w:t>
            </w:r>
          </w:p>
        </w:tc>
        <w:tc>
          <w:tcPr>
            <w:tcW w:w="0" w:type="dxa"/>
            <w:vAlign w:val="bottom"/>
          </w:tcPr>
          <w:p>
            <w:pPr>
              <w:spacing w:after="0"/>
              <w:rPr>
                <w:sz w:val="1"/>
                <w:szCs w:val="1"/>
                <w:color w:val="auto"/>
              </w:rPr>
            </w:pPr>
          </w:p>
        </w:tc>
      </w:tr>
      <w:tr>
        <w:trPr>
          <w:trHeight w:val="193"/>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Amortization and write-off of deferred loan/bond issuance</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costs/premium and discount (Note 16)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8,337</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Retranslation of the NOK 2024 Bonds in USD</w:t>
            </w:r>
          </w:p>
        </w:tc>
        <w:tc>
          <w:tcPr>
            <w:tcW w:w="9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(11,174)</w:t>
            </w:r>
          </w:p>
        </w:tc>
        <w:tc>
          <w:tcPr>
            <w:tcW w:w="8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(11,174)</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June 30, 2022</w:t>
            </w: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3,417,781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80" w:type="dxa"/>
            <w:vAlign w:val="bottom"/>
          </w:tcPr>
          <w:p>
            <w:pPr>
              <w:ind w:left="340"/>
              <w:spacing w:after="0"/>
              <w:rPr>
                <w:sz w:val="20"/>
                <w:szCs w:val="20"/>
                <w:color w:val="auto"/>
              </w:rPr>
            </w:pPr>
            <w:r>
              <w:rPr>
                <w:rFonts w:ascii="Arial" w:cs="Arial" w:eastAsia="Arial" w:hAnsi="Arial"/>
                <w:sz w:val="16"/>
                <w:szCs w:val="16"/>
                <w:color w:val="auto"/>
              </w:rPr>
              <w:t>A reconciliation of derivatives arising from financing activities is as follows: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64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8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comprehensive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1"/>
              </w:rPr>
              <w:t>Net derivative</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74"/>
              </w:rPr>
              <w:t>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w w:val="92"/>
              </w:rPr>
              <w:t>Non-cash items</w:t>
            </w:r>
          </w:p>
        </w:tc>
        <w:tc>
          <w:tcPr>
            <w:tcW w:w="10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02"/>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January 1, 2021</w:t>
            </w: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107,760</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Unrealized gain on derivative financial instruments held for trading (Note 16)</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gridSpan w:val="5"/>
          </w:tcPr>
          <w:p>
            <w:pPr>
              <w:jc w:val="right"/>
              <w:ind w:right="60"/>
              <w:spacing w:after="0"/>
              <w:rPr>
                <w:sz w:val="20"/>
                <w:szCs w:val="20"/>
                <w:color w:val="auto"/>
              </w:rPr>
            </w:pPr>
            <w:r>
              <w:rPr>
                <w:rFonts w:ascii="Arial" w:cs="Arial" w:eastAsia="Arial" w:hAnsi="Arial"/>
                <w:sz w:val="16"/>
                <w:szCs w:val="16"/>
                <w:color w:val="auto"/>
              </w:rPr>
              <w:t>(31,457)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(31,457)</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Ineffective portion of cash flow hedges (Note 16)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3"/>
        </w:trPr>
        <w:tc>
          <w:tcPr>
            <w:tcW w:w="6480" w:type="dxa"/>
            <w:vAlign w:val="bottom"/>
          </w:tcPr>
          <w:p>
            <w:pPr>
              <w:spacing w:after="0"/>
              <w:rPr>
                <w:sz w:val="20"/>
                <w:szCs w:val="20"/>
                <w:color w:val="auto"/>
              </w:rPr>
            </w:pPr>
            <w:r>
              <w:rPr>
                <w:rFonts w:ascii="Arial" w:cs="Arial" w:eastAsia="Arial" w:hAnsi="Arial"/>
                <w:sz w:val="16"/>
                <w:szCs w:val="16"/>
                <w:color w:val="auto"/>
              </w:rPr>
              <w:t>Effective portion of changes in the fair value of derivatives designated as cash flow hedging</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80" w:type="dxa"/>
            <w:vAlign w:val="bottom"/>
          </w:tcPr>
          <w:p>
            <w:pPr>
              <w:ind w:left="140"/>
              <w:spacing w:after="0"/>
              <w:rPr>
                <w:sz w:val="20"/>
                <w:szCs w:val="20"/>
                <w:color w:val="auto"/>
              </w:rPr>
            </w:pPr>
            <w:r>
              <w:rPr>
                <w:rFonts w:ascii="Arial" w:cs="Arial" w:eastAsia="Arial" w:hAnsi="Arial"/>
                <w:sz w:val="16"/>
                <w:szCs w:val="16"/>
                <w:color w:val="auto"/>
              </w:rPr>
              <w:t>instruments</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199"/>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June 30, 2021</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76,499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48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comprehensive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1"/>
              </w:rPr>
              <w:t>Net derivative</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74"/>
              </w:rPr>
              <w:t>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w w:val="92"/>
              </w:rPr>
              <w:t>Non-cash items</w:t>
            </w:r>
          </w:p>
        </w:tc>
        <w:tc>
          <w:tcPr>
            <w:tcW w:w="10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02"/>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January 1, 2022</w:t>
            </w: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51,703</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Unrealized gain on derivative financial instruments held for trading (Note 16)</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gridSpan w:val="5"/>
          </w:tcPr>
          <w:p>
            <w:pPr>
              <w:jc w:val="right"/>
              <w:ind w:right="60"/>
              <w:spacing w:after="0"/>
              <w:rPr>
                <w:sz w:val="20"/>
                <w:szCs w:val="20"/>
                <w:color w:val="auto"/>
              </w:rPr>
            </w:pPr>
            <w:r>
              <w:rPr>
                <w:rFonts w:ascii="Arial" w:cs="Arial" w:eastAsia="Arial" w:hAnsi="Arial"/>
                <w:sz w:val="16"/>
                <w:szCs w:val="16"/>
                <w:color w:val="auto"/>
              </w:rPr>
              <w:t>(59,902)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(59,902)</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Ineffective portion of cash flow hedges (Note 16)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(752)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193"/>
        </w:trPr>
        <w:tc>
          <w:tcPr>
            <w:tcW w:w="6480" w:type="dxa"/>
            <w:vAlign w:val="bottom"/>
          </w:tcPr>
          <w:p>
            <w:pPr>
              <w:spacing w:after="0"/>
              <w:rPr>
                <w:sz w:val="20"/>
                <w:szCs w:val="20"/>
                <w:color w:val="auto"/>
              </w:rPr>
            </w:pPr>
            <w:r>
              <w:rPr>
                <w:rFonts w:ascii="Arial" w:cs="Arial" w:eastAsia="Arial" w:hAnsi="Arial"/>
                <w:sz w:val="16"/>
                <w:szCs w:val="16"/>
                <w:color w:val="auto"/>
              </w:rPr>
              <w:t>Effective portion of changes in the fair value of derivatives designated as cash flow hedging</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80" w:type="dxa"/>
            <w:vAlign w:val="bottom"/>
          </w:tcPr>
          <w:p>
            <w:pPr>
              <w:ind w:left="140"/>
              <w:spacing w:after="0"/>
              <w:rPr>
                <w:sz w:val="20"/>
                <w:szCs w:val="20"/>
                <w:color w:val="auto"/>
              </w:rPr>
            </w:pPr>
            <w:r>
              <w:rPr>
                <w:rFonts w:ascii="Arial" w:cs="Arial" w:eastAsia="Arial" w:hAnsi="Arial"/>
                <w:sz w:val="16"/>
                <w:szCs w:val="16"/>
                <w:color w:val="auto"/>
              </w:rPr>
              <w:t>instruments</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11,858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11,858</w:t>
            </w:r>
          </w:p>
        </w:tc>
        <w:tc>
          <w:tcPr>
            <w:tcW w:w="0" w:type="dxa"/>
            <w:vAlign w:val="bottom"/>
          </w:tcPr>
          <w:p>
            <w:pPr>
              <w:spacing w:after="0"/>
              <w:rPr>
                <w:sz w:val="1"/>
                <w:szCs w:val="1"/>
                <w:color w:val="auto"/>
              </w:rPr>
            </w:pPr>
          </w:p>
        </w:tc>
      </w:tr>
      <w:tr>
        <w:trPr>
          <w:trHeight w:val="199"/>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June 30, 2022</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2,907</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340"/>
              <w:spacing w:after="0"/>
              <w:rPr>
                <w:sz w:val="20"/>
                <w:szCs w:val="20"/>
                <w:color w:val="auto"/>
              </w:rPr>
            </w:pPr>
            <w:r>
              <w:rPr>
                <w:rFonts w:ascii="Arial" w:cs="Arial" w:eastAsia="Arial" w:hAnsi="Arial"/>
                <w:sz w:val="16"/>
                <w:szCs w:val="16"/>
                <w:color w:val="auto"/>
              </w:rPr>
              <w:t>A reconciliation of lease liabilities arising from financing activities is as follows:</w:t>
            </w: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4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Cash flows</w:t>
            </w:r>
          </w:p>
        </w:tc>
        <w:tc>
          <w:tcPr>
            <w:tcW w:w="8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6"/>
                <w:szCs w:val="16"/>
                <w:b w:val="1"/>
                <w:bCs w:val="1"/>
                <w:color w:val="auto"/>
              </w:rPr>
              <w:t>Non-cash items</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Lease liabilities</w:t>
            </w:r>
          </w:p>
        </w:tc>
        <w:tc>
          <w:tcPr>
            <w:tcW w:w="0" w:type="dxa"/>
            <w:vAlign w:val="bottom"/>
          </w:tcPr>
          <w:p>
            <w:pPr>
              <w:spacing w:after="0"/>
              <w:rPr>
                <w:sz w:val="1"/>
                <w:szCs w:val="1"/>
                <w:color w:val="auto"/>
              </w:rPr>
            </w:pPr>
          </w:p>
        </w:tc>
      </w:tr>
      <w:tr>
        <w:trPr>
          <w:trHeight w:val="202"/>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January 1, 2021</w:t>
            </w: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196,170</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Interest expense on leases (Note 16)</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4,826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4,826</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Additions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Payments for interest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(4,826)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(4,826)</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Principal elements of lease payments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(5,498)</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6"/>
                <w:szCs w:val="16"/>
                <w:b w:val="1"/>
                <w:bCs w:val="1"/>
                <w:color w:val="auto"/>
              </w:rPr>
              <w:t>June 30, 2021</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193,558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4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9"/>
              </w:rPr>
              <w:t>Cash flows</w:t>
            </w:r>
          </w:p>
        </w:tc>
        <w:tc>
          <w:tcPr>
            <w:tcW w:w="8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6"/>
                <w:szCs w:val="16"/>
                <w:b w:val="1"/>
                <w:bCs w:val="1"/>
                <w:color w:val="auto"/>
              </w:rPr>
              <w:t>Non-cash items</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Lease liabilities</w:t>
            </w:r>
          </w:p>
        </w:tc>
        <w:tc>
          <w:tcPr>
            <w:tcW w:w="0" w:type="dxa"/>
            <w:vAlign w:val="bottom"/>
          </w:tcPr>
          <w:p>
            <w:pPr>
              <w:spacing w:after="0"/>
              <w:rPr>
                <w:sz w:val="1"/>
                <w:szCs w:val="1"/>
                <w:color w:val="auto"/>
              </w:rPr>
            </w:pPr>
          </w:p>
        </w:tc>
      </w:tr>
      <w:tr>
        <w:trPr>
          <w:trHeight w:val="202"/>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January 1, 2022</w:t>
            </w: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302,850</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Interest expense on leases (Note 16)</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6,686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6,686</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Additions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58,147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58,147</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Payments for interest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(6,683)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(6,683)</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Principal elements of lease payments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(18,707)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(18,707)</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6"/>
                <w:szCs w:val="16"/>
                <w:b w:val="1"/>
                <w:bCs w:val="1"/>
                <w:color w:val="auto"/>
              </w:rPr>
              <w:t>June 30, 2022</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342,293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Subsequent Events</w:t>
      </w:r>
    </w:p>
    <w:p>
      <w:pPr>
        <w:spacing w:after="0" w:line="198" w:lineRule="exact"/>
        <w:rPr>
          <w:sz w:val="20"/>
          <w:szCs w:val="20"/>
          <w:color w:val="auto"/>
        </w:rPr>
      </w:pPr>
    </w:p>
    <w:p>
      <w:pPr>
        <w:ind w:firstLine="324"/>
        <w:spacing w:after="0" w:line="268" w:lineRule="auto"/>
        <w:rPr>
          <w:sz w:val="20"/>
          <w:szCs w:val="20"/>
          <w:color w:val="auto"/>
        </w:rPr>
      </w:pPr>
      <w:r>
        <w:rPr>
          <w:rFonts w:ascii="Arial" w:cs="Arial" w:eastAsia="Arial" w:hAnsi="Arial"/>
          <w:sz w:val="16"/>
          <w:szCs w:val="16"/>
          <w:color w:val="auto"/>
        </w:rPr>
        <w:t>On July 6, 2022, the Group entered into four sale and leaseback agreements that provide for the financing of the four LNG carriers on order at Daewoo with CMB Financial Leasing Co., Ltd. (“CMBFL”). The Group will sell the aforementioned newbuildings for a total amount of up to $762,604, raising 92.5% of the newbuilding contract price in form or pre- and post- delivery financing and will lease the newbuildings back for a period of ten years (under a 20-year profile) from each delivery date. GasLog has the option to repurchase the vessels no earlier than the third anniversary of each delivery date. The interest on the outstanding capital is calculated on a daily compounded Secured Overnight Financing Rate (“SOFR”) plus a margin. On July 15, 2022, the amount of $20,611 was drawn under these agreements to partially finance installments already paid by the Company to the shipyard. All future installments (including the delivery installment) will be financed by CMBFL. The delivery installment is subject to a fair market value test.</w:t>
      </w:r>
    </w:p>
    <w:p>
      <w:pPr>
        <w:spacing w:after="0" w:line="179" w:lineRule="exact"/>
        <w:rPr>
          <w:sz w:val="20"/>
          <w:szCs w:val="20"/>
          <w:color w:val="auto"/>
        </w:rPr>
      </w:pPr>
    </w:p>
    <w:p>
      <w:pPr>
        <w:ind w:right="820" w:firstLine="324"/>
        <w:spacing w:after="0" w:line="293" w:lineRule="auto"/>
        <w:rPr>
          <w:sz w:val="20"/>
          <w:szCs w:val="20"/>
          <w:color w:val="auto"/>
        </w:rPr>
      </w:pPr>
      <w:r>
        <w:rPr>
          <w:rFonts w:ascii="Arial" w:cs="Arial" w:eastAsia="Arial" w:hAnsi="Arial"/>
          <w:sz w:val="16"/>
          <w:szCs w:val="16"/>
          <w:color w:val="auto"/>
        </w:rPr>
        <w:t>On August 3, 2022, the board of directors declared a quarterly cash dividend of $0.15 per common share, payable on August 5, 2022 to shareholders of record as of August 4, 2022.</w:t>
      </w:r>
    </w:p>
    <w:p>
      <w:pPr>
        <w:spacing w:after="0" w:line="158"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On August 3, 2022, the board of directors declared a dividend on the Series A Preference Shares of $0.546875 per share, payable on October 3, 2022, to holders of record as of September 30, 2022.</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517" w:right="9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2022-08-04T16:05:09Z</dcterms:created>
  <dcterms:modified xsi:type="dcterms:W3CDTF">2022-08-04T16:05:09Z</dcterms:modified>
</cp:coreProperties>
</file>