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340" w:right="112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November 2023</w:t>
            </w:r>
          </w:p>
        </w:tc>
        <w:tc>
          <w:tcPr>
            <w:tcW w:w="122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220" w:type="dxa"/>
            <w:vAlign w:val="bottom"/>
          </w:tcPr>
          <w:p>
            <w:pPr>
              <w:spacing w:after="0"/>
              <w:rPr>
                <w:sz w:val="24"/>
                <w:szCs w:val="24"/>
                <w:color w:val="auto"/>
              </w:rPr>
            </w:pPr>
          </w:p>
        </w:tc>
      </w:tr>
      <w:tr>
        <w:trPr>
          <w:trHeight w:val="418"/>
        </w:trPr>
        <w:tc>
          <w:tcPr>
            <w:tcW w:w="10020" w:type="dxa"/>
            <w:vAlign w:val="bottom"/>
          </w:tcPr>
          <w:p>
            <w:pPr>
              <w:jc w:val="center"/>
              <w:ind w:left="1136"/>
              <w:spacing w:after="0"/>
              <w:rPr>
                <w:sz w:val="20"/>
                <w:szCs w:val="20"/>
                <w:color w:val="auto"/>
              </w:rPr>
            </w:pPr>
            <w:r>
              <w:rPr>
                <w:rFonts w:ascii="Arial" w:cs="Arial" w:eastAsia="Arial" w:hAnsi="Arial"/>
                <w:sz w:val="18"/>
                <w:szCs w:val="18"/>
                <w:b w:val="1"/>
                <w:bCs w:val="1"/>
                <w:color w:val="auto"/>
                <w:w w:val="91"/>
              </w:rPr>
              <w:t>GasLog Ltd.</w:t>
            </w:r>
          </w:p>
        </w:tc>
        <w:tc>
          <w:tcPr>
            <w:tcW w:w="1220" w:type="dxa"/>
            <w:vAlign w:val="bottom"/>
          </w:tcPr>
          <w:p>
            <w:pPr>
              <w:spacing w:after="0"/>
              <w:rPr>
                <w:sz w:val="24"/>
                <w:szCs w:val="24"/>
                <w:color w:val="auto"/>
              </w:rPr>
            </w:pPr>
          </w:p>
        </w:tc>
      </w:tr>
      <w:tr>
        <w:trPr>
          <w:trHeight w:val="230"/>
        </w:trPr>
        <w:tc>
          <w:tcPr>
            <w:tcW w:w="10020" w:type="dxa"/>
            <w:vAlign w:val="bottom"/>
          </w:tcPr>
          <w:p>
            <w:pPr>
              <w:jc w:val="center"/>
              <w:ind w:left="1136"/>
              <w:spacing w:after="0"/>
              <w:rPr>
                <w:sz w:val="20"/>
                <w:szCs w:val="20"/>
                <w:color w:val="auto"/>
              </w:rPr>
            </w:pPr>
            <w:r>
              <w:rPr>
                <w:rFonts w:ascii="Arial" w:cs="Arial" w:eastAsia="Arial" w:hAnsi="Arial"/>
                <w:sz w:val="18"/>
                <w:szCs w:val="18"/>
                <w:color w:val="auto"/>
                <w:w w:val="91"/>
              </w:rPr>
              <w:t>(Translation of registrant’s name into English)</w:t>
            </w:r>
          </w:p>
        </w:tc>
        <w:tc>
          <w:tcPr>
            <w:tcW w:w="1220" w:type="dxa"/>
            <w:vAlign w:val="bottom"/>
          </w:tcPr>
          <w:p>
            <w:pPr>
              <w:spacing w:after="0"/>
              <w:rPr>
                <w:sz w:val="20"/>
                <w:szCs w:val="20"/>
                <w:color w:val="auto"/>
              </w:rPr>
            </w:pPr>
          </w:p>
        </w:tc>
      </w:tr>
      <w:tr>
        <w:trPr>
          <w:trHeight w:val="418"/>
        </w:trPr>
        <w:tc>
          <w:tcPr>
            <w:tcW w:w="10020" w:type="dxa"/>
            <w:vAlign w:val="bottom"/>
          </w:tcPr>
          <w:p>
            <w:pPr>
              <w:jc w:val="center"/>
              <w:ind w:left="1136"/>
              <w:spacing w:after="0"/>
              <w:rPr>
                <w:sz w:val="20"/>
                <w:szCs w:val="20"/>
                <w:color w:val="auto"/>
              </w:rPr>
            </w:pPr>
            <w:r>
              <w:rPr>
                <w:rFonts w:ascii="Arial" w:cs="Arial" w:eastAsia="Arial" w:hAnsi="Arial"/>
                <w:sz w:val="18"/>
                <w:szCs w:val="18"/>
                <w:color w:val="auto"/>
                <w:w w:val="92"/>
              </w:rPr>
              <w:t>c/o GasLog LNG Services Ltd.</w:t>
            </w:r>
          </w:p>
        </w:tc>
        <w:tc>
          <w:tcPr>
            <w:tcW w:w="1220" w:type="dxa"/>
            <w:vAlign w:val="bottom"/>
          </w:tcPr>
          <w:p>
            <w:pPr>
              <w:spacing w:after="0"/>
              <w:rPr>
                <w:sz w:val="24"/>
                <w:szCs w:val="24"/>
                <w:color w:val="auto"/>
              </w:rPr>
            </w:pPr>
          </w:p>
        </w:tc>
      </w:tr>
      <w:tr>
        <w:trPr>
          <w:trHeight w:val="216"/>
        </w:trPr>
        <w:tc>
          <w:tcPr>
            <w:tcW w:w="10020" w:type="dxa"/>
            <w:vAlign w:val="bottom"/>
          </w:tcPr>
          <w:p>
            <w:pPr>
              <w:jc w:val="center"/>
              <w:ind w:left="1156"/>
              <w:spacing w:after="0"/>
              <w:rPr>
                <w:sz w:val="20"/>
                <w:szCs w:val="20"/>
                <w:color w:val="auto"/>
              </w:rPr>
            </w:pPr>
            <w:r>
              <w:rPr>
                <w:rFonts w:ascii="Arial" w:cs="Arial" w:eastAsia="Arial" w:hAnsi="Arial"/>
                <w:sz w:val="18"/>
                <w:szCs w:val="18"/>
                <w:color w:val="auto"/>
                <w:w w:val="95"/>
              </w:rPr>
              <w:t>69 Akti Miaouli, 18537</w:t>
            </w:r>
          </w:p>
        </w:tc>
        <w:tc>
          <w:tcPr>
            <w:tcW w:w="1220" w:type="dxa"/>
            <w:vAlign w:val="bottom"/>
          </w:tcPr>
          <w:p>
            <w:pPr>
              <w:spacing w:after="0"/>
              <w:rPr>
                <w:sz w:val="18"/>
                <w:szCs w:val="18"/>
                <w:color w:val="auto"/>
              </w:rPr>
            </w:pPr>
          </w:p>
        </w:tc>
      </w:tr>
      <w:tr>
        <w:trPr>
          <w:trHeight w:val="216"/>
        </w:trPr>
        <w:tc>
          <w:tcPr>
            <w:tcW w:w="10020" w:type="dxa"/>
            <w:vAlign w:val="bottom"/>
          </w:tcPr>
          <w:p>
            <w:pPr>
              <w:jc w:val="center"/>
              <w:ind w:left="1136"/>
              <w:spacing w:after="0"/>
              <w:rPr>
                <w:sz w:val="20"/>
                <w:szCs w:val="20"/>
                <w:color w:val="auto"/>
              </w:rPr>
            </w:pPr>
            <w:r>
              <w:rPr>
                <w:rFonts w:ascii="Arial" w:cs="Arial" w:eastAsia="Arial" w:hAnsi="Arial"/>
                <w:sz w:val="18"/>
                <w:szCs w:val="18"/>
                <w:color w:val="auto"/>
                <w:w w:val="86"/>
              </w:rPr>
              <w:t>Piraeus, Greece</w:t>
            </w:r>
          </w:p>
        </w:tc>
        <w:tc>
          <w:tcPr>
            <w:tcW w:w="1220" w:type="dxa"/>
            <w:vAlign w:val="bottom"/>
          </w:tcPr>
          <w:p>
            <w:pPr>
              <w:spacing w:after="0"/>
              <w:rPr>
                <w:sz w:val="18"/>
                <w:szCs w:val="18"/>
                <w:color w:val="auto"/>
              </w:rPr>
            </w:pPr>
          </w:p>
        </w:tc>
      </w:tr>
      <w:tr>
        <w:trPr>
          <w:trHeight w:val="230"/>
        </w:trPr>
        <w:tc>
          <w:tcPr>
            <w:tcW w:w="10020" w:type="dxa"/>
            <w:vAlign w:val="bottom"/>
          </w:tcPr>
          <w:p>
            <w:pPr>
              <w:jc w:val="center"/>
              <w:ind w:left="1156"/>
              <w:spacing w:after="0"/>
              <w:rPr>
                <w:sz w:val="20"/>
                <w:szCs w:val="20"/>
                <w:color w:val="auto"/>
              </w:rPr>
            </w:pPr>
            <w:r>
              <w:rPr>
                <w:rFonts w:ascii="Arial" w:cs="Arial" w:eastAsia="Arial" w:hAnsi="Arial"/>
                <w:sz w:val="18"/>
                <w:szCs w:val="18"/>
                <w:color w:val="auto"/>
                <w:w w:val="92"/>
              </w:rPr>
              <w:t>(Address of principal executive office)</w:t>
            </w:r>
          </w:p>
        </w:tc>
        <w:tc>
          <w:tcPr>
            <w:tcW w:w="122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220" w:type="dxa"/>
            <w:vAlign w:val="bottom"/>
          </w:tcPr>
          <w:p>
            <w:pPr>
              <w:spacing w:after="0"/>
              <w:rPr>
                <w:sz w:val="24"/>
                <w:szCs w:val="24"/>
                <w:color w:val="auto"/>
              </w:rPr>
            </w:pPr>
          </w:p>
        </w:tc>
      </w:tr>
      <w:tr>
        <w:trPr>
          <w:trHeight w:val="517"/>
        </w:trPr>
        <w:tc>
          <w:tcPr>
            <w:tcW w:w="10020" w:type="dxa"/>
            <w:vAlign w:val="bottom"/>
          </w:tcPr>
          <w:p>
            <w:pPr>
              <w:spacing w:after="0" w:line="207" w:lineRule="exact"/>
              <w:rPr>
                <w:sz w:val="20"/>
                <w:szCs w:val="20"/>
                <w:color w:val="auto"/>
              </w:rPr>
            </w:pPr>
            <w:r>
              <w:rPr>
                <w:rFonts w:ascii="Arial" w:cs="Arial" w:eastAsia="Arial" w:hAnsi="Arial"/>
                <w:sz w:val="18"/>
                <w:szCs w:val="18"/>
                <w:color w:val="auto"/>
                <w:w w:val="97"/>
              </w:rPr>
              <w:t xml:space="preserve">Form 20-FForm 40-F </w:t>
            </w:r>
            <w:r>
              <w:rPr>
                <w:rFonts w:ascii="MS PGothic" w:cs="MS PGothic" w:eastAsia="MS PGothic" w:hAnsi="MS PGothic"/>
                <w:sz w:val="18"/>
                <w:szCs w:val="18"/>
                <w:color w:val="auto"/>
                <w:w w:val="97"/>
              </w:rPr>
              <w:t>☐</w:t>
            </w:r>
          </w:p>
        </w:tc>
        <w:tc>
          <w:tcPr>
            <w:tcW w:w="1220" w:type="dxa"/>
            <w:vAlign w:val="bottom"/>
          </w:tcPr>
          <w:p>
            <w:pPr>
              <w:spacing w:after="0"/>
              <w:rPr>
                <w:sz w:val="24"/>
                <w:szCs w:val="24"/>
                <w:color w:val="auto"/>
              </w:rPr>
            </w:pPr>
          </w:p>
        </w:tc>
      </w:tr>
      <w:tr>
        <w:trPr>
          <w:trHeight w:val="456"/>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647"/>
        </w:trPr>
        <w:tc>
          <w:tcPr>
            <w:tcW w:w="100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ind w:firstLine="324"/>
        <w:spacing w:after="0" w:line="293" w:lineRule="auto"/>
        <w:rPr>
          <w:sz w:val="20"/>
          <w:szCs w:val="20"/>
          <w:color w:val="auto"/>
        </w:rPr>
      </w:pPr>
      <w:r>
        <w:rPr>
          <w:rFonts w:ascii="Arial" w:cs="Arial" w:eastAsia="Arial" w:hAnsi="Arial"/>
          <w:sz w:val="16"/>
          <w:szCs w:val="16"/>
          <w:color w:val="auto"/>
        </w:rPr>
        <w:t>The press release issued by GasLog Ltd. on November 16, 2023, relating to its results for the three-month period ended September 30, 2023 is attached hereto as Exhibit 99.1.</w:t>
      </w:r>
    </w:p>
    <w:p>
      <w:pPr>
        <w:spacing w:after="0" w:line="388"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EXHIBIT LIST</w:t>
      </w:r>
    </w:p>
    <w:p>
      <w:pPr>
        <w:spacing w:after="0" w:line="23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48"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u w:val="single" w:color="auto"/>
          <w:color w:val="0000EE"/>
        </w:rPr>
        <w:t>99.1</w:t>
      </w:r>
      <w:r>
        <w:rPr>
          <w:sz w:val="20"/>
          <w:szCs w:val="20"/>
          <w:color w:val="auto"/>
        </w:rPr>
        <w:tab/>
      </w:r>
      <w:r>
        <w:rPr>
          <w:rFonts w:ascii="Arial" w:cs="Arial" w:eastAsia="Arial" w:hAnsi="Arial"/>
          <w:sz w:val="14"/>
          <w:szCs w:val="14"/>
          <w:u w:val="single" w:color="auto"/>
          <w:color w:val="0000EE"/>
        </w:rPr>
        <w:t>Press Release dated November 16, 2023</w:t>
      </w:r>
    </w:p>
    <w:p>
      <w:pPr>
        <w:spacing w:after="0" w:line="200" w:lineRule="exact"/>
        <w:rPr>
          <w:sz w:val="20"/>
          <w:szCs w:val="20"/>
          <w:color w:val="auto"/>
        </w:rPr>
      </w:pPr>
    </w:p>
    <w:p>
      <w:pPr>
        <w:spacing w:after="0" w:line="282"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913" w:right="8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6"/>
          <w:szCs w:val="16"/>
          <w:color w:val="auto"/>
        </w:rPr>
        <w:t>SIGNATURES</w:t>
      </w:r>
    </w:p>
    <w:p>
      <w:pPr>
        <w:spacing w:after="0" w:line="23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16, 2023</w:t>
      </w: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GASLOG LTD.,</w:t>
      </w:r>
    </w:p>
    <w:p>
      <w:pPr>
        <w:spacing w:after="0" w:line="248" w:lineRule="exact"/>
        <w:rPr>
          <w:sz w:val="20"/>
          <w:szCs w:val="20"/>
          <w:color w:val="auto"/>
        </w:rPr>
      </w:pPr>
    </w:p>
    <w:p>
      <w:pPr>
        <w:ind w:left="6200"/>
        <w:spacing w:after="0"/>
        <w:tabs>
          <w:tab w:leader="none" w:pos="6500" w:val="left"/>
        </w:tabs>
        <w:rPr>
          <w:sz w:val="20"/>
          <w:szCs w:val="20"/>
          <w:color w:val="auto"/>
        </w:rPr>
      </w:pPr>
      <w:r>
        <w:rPr>
          <w:rFonts w:ascii="Arial" w:cs="Arial" w:eastAsia="Arial" w:hAnsi="Arial"/>
          <w:sz w:val="16"/>
          <w:szCs w:val="16"/>
          <w:color w:val="auto"/>
        </w:rPr>
        <w:t>by</w:t>
        <w:tab/>
        <w:t>/s/ Paolo Enoizi</w:t>
      </w:r>
    </w:p>
    <w:p>
      <w:pPr>
        <w:spacing w:after="0" w:line="22" w:lineRule="exact"/>
        <w:rPr>
          <w:sz w:val="20"/>
          <w:szCs w:val="20"/>
          <w:color w:val="auto"/>
        </w:rPr>
      </w:pPr>
    </w:p>
    <w:tbl>
      <w:tblPr>
        <w:tblLayout w:type="fixed"/>
        <w:tblInd w:w="6520" w:type="dxa"/>
        <w:tblCellMar>
          <w:top w:w="0" w:type="dxa"/>
          <w:left w:w="0" w:type="dxa"/>
          <w:bottom w:w="0" w:type="dxa"/>
          <w:right w:w="0" w:type="dxa"/>
        </w:tblCellMar>
      </w:tblPr>
      <w:tr>
        <w:trPr>
          <w:trHeight w:val="206"/>
        </w:trPr>
        <w:tc>
          <w:tcPr>
            <w:tcW w:w="5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Name:</w:t>
            </w:r>
          </w:p>
        </w:tc>
        <w:tc>
          <w:tcPr>
            <w:tcW w:w="328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Paolo Enoizi</w:t>
            </w:r>
          </w:p>
        </w:tc>
      </w:tr>
      <w:tr>
        <w:trPr>
          <w:trHeight w:val="206"/>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280" w:type="dxa"/>
            <w:vAlign w:val="bottom"/>
          </w:tcPr>
          <w:p>
            <w:pPr>
              <w:ind w:left="100"/>
              <w:spacing w:after="0"/>
              <w:rPr>
                <w:sz w:val="20"/>
                <w:szCs w:val="20"/>
                <w:color w:val="auto"/>
              </w:rPr>
            </w:pPr>
            <w:r>
              <w:rPr>
                <w:rFonts w:ascii="Arial" w:cs="Arial" w:eastAsia="Arial" w:hAnsi="Arial"/>
                <w:sz w:val="16"/>
                <w:szCs w:val="16"/>
                <w:color w:val="auto"/>
              </w:rPr>
              <w:t>Chief Executive Officer</w:t>
            </w:r>
          </w:p>
        </w:tc>
      </w:tr>
    </w:tbl>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899"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Ltd. Reports Financial Results for the Three-Month Period Ended September 30, 2023</w:t>
      </w:r>
    </w:p>
    <w:p>
      <w:pPr>
        <w:spacing w:after="0" w:line="235" w:lineRule="exact"/>
        <w:rPr>
          <w:sz w:val="20"/>
          <w:szCs w:val="20"/>
          <w:color w:val="auto"/>
        </w:rPr>
      </w:pPr>
    </w:p>
    <w:p>
      <w:pPr>
        <w:ind w:right="500"/>
        <w:spacing w:after="0" w:line="334" w:lineRule="auto"/>
        <w:rPr>
          <w:sz w:val="20"/>
          <w:szCs w:val="20"/>
          <w:color w:val="auto"/>
        </w:rPr>
      </w:pPr>
      <w:r>
        <w:rPr>
          <w:rFonts w:ascii="Arial" w:cs="Arial" w:eastAsia="Arial" w:hAnsi="Arial"/>
          <w:sz w:val="15"/>
          <w:szCs w:val="15"/>
          <w:b w:val="1"/>
          <w:bCs w:val="1"/>
          <w:color w:val="auto"/>
        </w:rPr>
        <w:t>Hamilton, Bermuda, November 16, 2023, GasLog Ltd. and its subsidiaries (“GasLog”, “Group” or “Company”) (NYSE: GLOG-PA)</w:t>
      </w:r>
      <w:r>
        <w:rPr>
          <w:rFonts w:ascii="Arial" w:cs="Arial" w:eastAsia="Arial" w:hAnsi="Arial"/>
          <w:sz w:val="15"/>
          <w:szCs w:val="15"/>
          <w:color w:val="auto"/>
        </w:rPr>
        <w:t>, an international owner,</w:t>
      </w:r>
      <w:r>
        <w:rPr>
          <w:rFonts w:ascii="Arial" w:cs="Arial" w:eastAsia="Arial" w:hAnsi="Arial"/>
          <w:sz w:val="15"/>
          <w:szCs w:val="15"/>
          <w:b w:val="1"/>
          <w:bCs w:val="1"/>
          <w:color w:val="auto"/>
        </w:rPr>
        <w:t xml:space="preserve"> </w:t>
      </w:r>
      <w:r>
        <w:rPr>
          <w:rFonts w:ascii="Arial" w:cs="Arial" w:eastAsia="Arial" w:hAnsi="Arial"/>
          <w:sz w:val="15"/>
          <w:szCs w:val="15"/>
          <w:color w:val="auto"/>
        </w:rPr>
        <w:t>operator and manager of liquefied natural gas (“LNG”) carriers, today reported its financial results for the quarter ended September 30, 2023.</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Merger Agreement with GasLog Partners</w:t>
      </w:r>
    </w:p>
    <w:p>
      <w:pPr>
        <w:spacing w:after="0" w:line="239" w:lineRule="exact"/>
        <w:rPr>
          <w:sz w:val="20"/>
          <w:szCs w:val="20"/>
          <w:color w:val="auto"/>
        </w:rPr>
      </w:pPr>
    </w:p>
    <w:p>
      <w:pPr>
        <w:ind w:right="500" w:firstLine="324"/>
        <w:spacing w:after="0" w:line="303" w:lineRule="auto"/>
        <w:rPr>
          <w:sz w:val="20"/>
          <w:szCs w:val="20"/>
          <w:color w:val="auto"/>
        </w:rPr>
      </w:pPr>
      <w:r>
        <w:rPr>
          <w:rFonts w:ascii="Arial" w:cs="Arial" w:eastAsia="Arial" w:hAnsi="Arial"/>
          <w:sz w:val="14"/>
          <w:szCs w:val="14"/>
          <w:color w:val="auto"/>
        </w:rPr>
        <w:t>On April 6, 2023, GasLog entered into an Agreement and Plan of Merger (the “Merger Agreement”) with GasLog Partners LP (“GasLog Partners” or the “Partnership”), GasLog Partners GP LLC, the general partner of the Partnership and Saturn Merger Sub LLC, a wholly owned subsidiary of GasLog (“Merger Sub”). Pursuant to the Merger Agreement, (i) Merger Sub would merge with and into the Partnership, with the Partnership surviving as a direct subsidiary of GasLog, and</w:t>
      </w:r>
    </w:p>
    <w:p>
      <w:pPr>
        <w:spacing w:after="0" w:line="2" w:lineRule="exact"/>
        <w:rPr>
          <w:sz w:val="20"/>
          <w:szCs w:val="20"/>
          <w:color w:val="auto"/>
        </w:rPr>
      </w:pPr>
    </w:p>
    <w:p>
      <w:pPr>
        <w:ind w:right="120" w:firstLine="8"/>
        <w:spacing w:after="0" w:line="272" w:lineRule="auto"/>
        <w:tabs>
          <w:tab w:leader="none" w:pos="238" w:val="left"/>
        </w:tabs>
        <w:numPr>
          <w:ilvl w:val="0"/>
          <w:numId w:val="1"/>
        </w:numPr>
        <w:rPr>
          <w:rFonts w:ascii="Arial" w:cs="Arial" w:eastAsia="Arial" w:hAnsi="Arial"/>
          <w:sz w:val="16"/>
          <w:szCs w:val="16"/>
          <w:color w:val="auto"/>
        </w:rPr>
      </w:pPr>
      <w:r>
        <w:rPr>
          <w:rFonts w:ascii="Arial" w:cs="Arial" w:eastAsia="Arial" w:hAnsi="Arial"/>
          <w:sz w:val="16"/>
          <w:szCs w:val="16"/>
          <w:color w:val="auto"/>
        </w:rPr>
        <w:t>GasLog would acquire the outstanding common units of the Partnership not beneficially owned by GasLog for overall consideration of $8.65 per common unit in cash (the “Transaction”), consisting in part of a special distribution by the Partnership of $3.28 per common unit in cash (the “Special Distribution”) that would be distributed to the Partnership’s unitholders in connection with the closing of the Transaction and the remainder to be paid by GasLog as merger consideration at the closing of the Transaction.</w:t>
      </w:r>
    </w:p>
    <w:p>
      <w:pPr>
        <w:spacing w:after="0" w:line="188" w:lineRule="exact"/>
        <w:rPr>
          <w:sz w:val="20"/>
          <w:szCs w:val="20"/>
          <w:color w:val="auto"/>
        </w:rPr>
      </w:pPr>
    </w:p>
    <w:p>
      <w:pPr>
        <w:ind w:right="60" w:firstLine="324"/>
        <w:spacing w:after="0" w:line="271" w:lineRule="auto"/>
        <w:rPr>
          <w:sz w:val="20"/>
          <w:szCs w:val="20"/>
          <w:color w:val="auto"/>
        </w:rPr>
      </w:pPr>
      <w:r>
        <w:rPr>
          <w:rFonts w:ascii="Arial" w:cs="Arial" w:eastAsia="Arial" w:hAnsi="Arial"/>
          <w:sz w:val="16"/>
          <w:szCs w:val="16"/>
          <w:color w:val="auto"/>
        </w:rPr>
        <w:t>The conflicts committee (the “Conflicts Committee”) of the Partnership’s board of directors, comprised solely of independent directors and advised by its own independent legal and financial advisors, unanimously recommended that the Partnership’s board of directors approve the Merger Agreement and determined that the Transaction was in the best interests of the Partnership and the holders of its common units unaffiliated with GasLog. Acting upon the recommendation and approval of the Conflicts Committee, the Partnership’s board of directors unanimously approved the Merger Agreement and the Transaction and recommended that the common unitholders of the Partnership vote in favor of the Transaction.</w:t>
      </w:r>
    </w:p>
    <w:p>
      <w:pPr>
        <w:spacing w:after="0" w:line="190" w:lineRule="exact"/>
        <w:rPr>
          <w:sz w:val="20"/>
          <w:szCs w:val="20"/>
          <w:color w:val="auto"/>
        </w:rPr>
      </w:pPr>
    </w:p>
    <w:p>
      <w:pPr>
        <w:ind w:right="20" w:firstLine="324"/>
        <w:spacing w:after="0" w:line="285" w:lineRule="auto"/>
        <w:rPr>
          <w:sz w:val="20"/>
          <w:szCs w:val="20"/>
          <w:color w:val="auto"/>
        </w:rPr>
      </w:pPr>
      <w:r>
        <w:rPr>
          <w:rFonts w:ascii="Arial" w:cs="Arial" w:eastAsia="Arial" w:hAnsi="Arial"/>
          <w:sz w:val="15"/>
          <w:szCs w:val="15"/>
          <w:color w:val="auto"/>
        </w:rPr>
        <w:t>The Transaction was approved at the special meeting of the common unitholders of the Partnership held on July 7, 2023, based on the affirmative vote (in person and in proxy) of the holders of at least a majority of the common units of the Partnership entitled to vote thereon, voting as a single class, subject to a cutback for certain unitholders beneficially owning more than 4.9% of the outstanding common units (as provided for in the Partnership’s Seventh Amended and Restated Agreement of Limited Partnership and described in the proxy statement of the Partnership dated June 5, 2023 as filed with the Securities Exchange Commission (“SEC”)). The payment date for the Special Distribution was July 12, 2023. The Transaction closed on July 13, 2023 at 6:30 a.m. Eastern Time (the “Effective Time”) upon the filing of the certificate of merger with the Marshall Islands Registrar of Corporations. At the Effective Time, each common unit that was issued and outstanding immediately prior to the Effective Time (other than common units that, as of immediately prior to the Effective Time, were held by GasLog) was converted into the right to receive $5.37 in cash, without interest and reduced by any applicable tax withholding, for each common unit. Accordingly, holders of common units not already beneficially owned by GasLog who held their common units both on the Special Distribution record date of July 10, 2023 (subject to the applicability of due-bill trading) and at the Effective Time received overall consideration of $8.65 per common unit. Trading in the Partnership’s common units on the New York Stock Exchange (“NYSE”) was suspended on July 13, 2023, and delisting of the common units took place on July 24, 2023. The Partnership’s 8.625% Series A Cumulative Redeemable Perpetual Fixed to Floating Rate Preference Units (the “Partnership’s Series A Preference Units”), 8.200% Series B Cumulative Redeemable Perpetual Fixed to Floating Rate Preference Units (the “Partnership’s Series B Preference Units”) and 8.500% Series C Cumulative Redeemable Perpetual Fixed to Floating Rate Preference Units (the “Partnership’s Series C Preference Units”) remain outstanding and continue to trade on the NYSE.</w:t>
      </w:r>
    </w:p>
    <w:p>
      <w:pPr>
        <w:spacing w:after="0" w:line="183" w:lineRule="exact"/>
        <w:rPr>
          <w:sz w:val="20"/>
          <w:szCs w:val="20"/>
          <w:color w:val="auto"/>
        </w:rPr>
      </w:pPr>
    </w:p>
    <w:p>
      <w:pPr>
        <w:ind w:right="120" w:firstLine="324"/>
        <w:spacing w:after="0" w:line="271" w:lineRule="auto"/>
        <w:rPr>
          <w:sz w:val="20"/>
          <w:szCs w:val="20"/>
          <w:color w:val="auto"/>
        </w:rPr>
      </w:pPr>
      <w:r>
        <w:rPr>
          <w:rFonts w:ascii="Arial" w:cs="Arial" w:eastAsia="Arial" w:hAnsi="Arial"/>
          <w:sz w:val="16"/>
          <w:szCs w:val="16"/>
          <w:color w:val="auto"/>
        </w:rPr>
        <w:t>The merger consideration was partially financed by the borrowing of a term loan in an aggregate principal amount of $50.0 million under a Bridge Facility Agreement dated July 3, 2023 (the “Bridge Facility Agreement”), among Merger Sub, as the original borrower, GasLog, as guarantor, DNB (UK) Ltd., as arranger and bookrunner, the lenders party thereto and DNB Bank ASA, London Branch, as agent, with the Partnership succeeding to the obligations of Merger Sub upon the consummation of the Transaction. The aggregate principal amount outstanding under the Bridge Facility Agreement was repaid in full, together with accrued and unpaid interest, on July 26, 2023.</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Charter Agreements</w:t>
      </w:r>
    </w:p>
    <w:p>
      <w:pPr>
        <w:spacing w:after="0" w:line="239"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 xml:space="preserve">During the third quarter of 2023, GasLog Partners extended by one year the time charter agreement of the </w:t>
      </w:r>
      <w:r>
        <w:rPr>
          <w:rFonts w:ascii="Arial" w:cs="Arial" w:eastAsia="Arial" w:hAnsi="Arial"/>
          <w:sz w:val="16"/>
          <w:szCs w:val="16"/>
          <w:i w:val="1"/>
          <w:iCs w:val="1"/>
          <w:color w:val="auto"/>
        </w:rPr>
        <w:t>Methane Alison Victoria</w:t>
      </w:r>
      <w:r>
        <w:rPr>
          <w:rFonts w:ascii="Arial" w:cs="Arial" w:eastAsia="Arial" w:hAnsi="Arial"/>
          <w:sz w:val="16"/>
          <w:szCs w:val="16"/>
          <w:color w:val="auto"/>
        </w:rPr>
        <w:t xml:space="preserve">, a steam turbine propulsion (“Steam”) LNG carrier, with CNTIC VPower Energy Ltd. (“CNTIC VPower”), an independent Chinese energy company, with the contract now to expire in 2024. In addition, GasLog Partners signed a multi-year time charter agreement for the </w:t>
      </w:r>
      <w:r>
        <w:rPr>
          <w:rFonts w:ascii="Arial" w:cs="Arial" w:eastAsia="Arial" w:hAnsi="Arial"/>
          <w:sz w:val="16"/>
          <w:szCs w:val="16"/>
          <w:i w:val="1"/>
          <w:iCs w:val="1"/>
          <w:color w:val="auto"/>
        </w:rPr>
        <w:t>Solaris</w:t>
      </w:r>
      <w:r>
        <w:rPr>
          <w:rFonts w:ascii="Arial" w:cs="Arial" w:eastAsia="Arial" w:hAnsi="Arial"/>
          <w:sz w:val="16"/>
          <w:szCs w:val="16"/>
          <w:color w:val="auto"/>
        </w:rPr>
        <w:t xml:space="preserve">, a tri-fuel diesel electric engine propulsion (“TFDE”) LNG carrier, with KE Fuel International Co., Ltd. (“Kansai”) and a multi-year time charter agreement for the </w:t>
      </w:r>
      <w:r>
        <w:rPr>
          <w:rFonts w:ascii="Arial" w:cs="Arial" w:eastAsia="Arial" w:hAnsi="Arial"/>
          <w:sz w:val="16"/>
          <w:szCs w:val="16"/>
          <w:i w:val="1"/>
          <w:iCs w:val="1"/>
          <w:color w:val="auto"/>
        </w:rPr>
        <w:t>Methane Rita Andrea</w:t>
      </w:r>
      <w:r>
        <w:rPr>
          <w:rFonts w:ascii="Arial" w:cs="Arial" w:eastAsia="Arial" w:hAnsi="Arial"/>
          <w:sz w:val="16"/>
          <w:szCs w:val="16"/>
          <w:color w:val="auto"/>
        </w:rPr>
        <w:t xml:space="preserve">, a Steam LNG carrier, with an Asian LNG buyer. Post-quarter end, GasLog extended by five years the time charter agreement of the </w:t>
      </w:r>
      <w:r>
        <w:rPr>
          <w:rFonts w:ascii="Arial" w:cs="Arial" w:eastAsia="Arial" w:hAnsi="Arial"/>
          <w:sz w:val="16"/>
          <w:szCs w:val="16"/>
          <w:i w:val="1"/>
          <w:iCs w:val="1"/>
          <w:color w:val="auto"/>
        </w:rPr>
        <w:t>GasLog Singapore</w:t>
      </w:r>
      <w:r>
        <w:rPr>
          <w:rFonts w:ascii="Arial" w:cs="Arial" w:eastAsia="Arial" w:hAnsi="Arial"/>
          <w:sz w:val="16"/>
          <w:szCs w:val="16"/>
          <w:color w:val="auto"/>
        </w:rPr>
        <w:t xml:space="preserve">, a TFDE LNG carrier, with New Fortress Energy Transport Partners LLC (“NFE Transport Partners LLC”), with the contract now due to expire in 2030. In addition, GasLog Partners signed a multi-year time charter agreement for the </w:t>
      </w:r>
      <w:r>
        <w:rPr>
          <w:rFonts w:ascii="Arial" w:cs="Arial" w:eastAsia="Arial" w:hAnsi="Arial"/>
          <w:sz w:val="16"/>
          <w:szCs w:val="16"/>
          <w:i w:val="1"/>
          <w:iCs w:val="1"/>
          <w:color w:val="auto"/>
        </w:rPr>
        <w:t>GasLog Santiago,</w:t>
      </w:r>
      <w:r>
        <w:rPr>
          <w:rFonts w:ascii="Arial" w:cs="Arial" w:eastAsia="Arial" w:hAnsi="Arial"/>
          <w:sz w:val="16"/>
          <w:szCs w:val="16"/>
          <w:color w:val="auto"/>
        </w:rPr>
        <w:t xml:space="preserve"> a TFDE LNG carrier, with a major energy exploration company.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New $2.8 billion Five-year Sustainability-linked Senior Secured Reducing Revolving Credit Facility</w:t>
      </w:r>
    </w:p>
    <w:p>
      <w:pPr>
        <w:spacing w:after="0" w:line="239" w:lineRule="exact"/>
        <w:rPr>
          <w:sz w:val="20"/>
          <w:szCs w:val="20"/>
          <w:color w:val="auto"/>
        </w:rPr>
      </w:pPr>
    </w:p>
    <w:p>
      <w:pPr>
        <w:ind w:right="240" w:firstLine="324"/>
        <w:spacing w:after="0" w:line="313" w:lineRule="auto"/>
        <w:rPr>
          <w:sz w:val="20"/>
          <w:szCs w:val="20"/>
          <w:color w:val="auto"/>
        </w:rPr>
      </w:pPr>
      <w:r>
        <w:rPr>
          <w:rFonts w:ascii="Arial" w:cs="Arial" w:eastAsia="Arial" w:hAnsi="Arial"/>
          <w:sz w:val="14"/>
          <w:szCs w:val="14"/>
          <w:color w:val="auto"/>
        </w:rPr>
        <w:t>On November 2, 2023, GasLog, signed a new Five-Year Sustainability-Linked Senior Secured Reducing Revolving Credit Facility in the amount of $2.8 billion (the “Facility”). This financing, involving 14 international banks, includes decarbonization and social key performance targets as a component of the Facility pricing. The Facility refinances all outstanding debt of $2.1 billion secured by 23 LNG carriers across both GasLog and GasLog Partners LP, following the acquisition by GasLog on July 13, 2023 of all the outstanding common units of GasLog Partners LP not already beneficially owned by GasLog. The 23 LNG carriers (12 GasLog vessels and 11 GasLog Partners vessels) included in the Facility are comprised of ten dual-fuel two-stroke engine propulsion (“X-DF”) LNG carriers, ten TFDE LNG carriers and three Steam LNG carriers. The Facility has a five-year tenor, includes two one-year extension options and simplifies GasLog’s debt structure, providing incremental available liquidity to the company while reducing interest cost and debt service requirements. Citibank, N.A., London Branch and BNP Paribas acted as joint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ind w:right="40"/>
        <w:spacing w:after="0" w:line="269" w:lineRule="auto"/>
        <w:rPr>
          <w:sz w:val="20"/>
          <w:szCs w:val="20"/>
          <w:color w:val="auto"/>
        </w:rPr>
      </w:pPr>
      <w:r>
        <w:rPr>
          <w:rFonts w:ascii="Arial" w:cs="Arial" w:eastAsia="Arial" w:hAnsi="Arial"/>
          <w:sz w:val="16"/>
          <w:szCs w:val="16"/>
          <w:color w:val="auto"/>
        </w:rPr>
        <w:t>coordinators on the Facility. DNB Bank ASA, London Branch has been appointed as agent and security agent and ABN AMRO BANK N.V. as sustainability co-ordinator. Alpha Bank S.A., Credit Suisse AG, a UBS Group Company, Danish Ship Finance A/S, ING Bank N.V., London Branch, National Bank of Greece S.A., Nordea Bank ABP, Filial I Norge, Oversea-Chinese Banking Corporation Limited, DNB (UK) Limited and Standard Chartered Bank (Singapore) Limited acted as bookrunners and mandated lead arrangers alongside the coordinators, the agent and the sustainability co-ordinator. National Australia Bank Limited and Skandinaviska Enskilda Banken AB (Publ) were mandated lead arrangers. The transaction was completed on November 13, 2023, with GasLog drawing down an amount of $2.1 billion and $672.0 million remaining available for general corporate purposes.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Dividend Declarations</w:t>
      </w:r>
    </w:p>
    <w:p>
      <w:pPr>
        <w:spacing w:after="0" w:line="23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On November 15, 2023, the board of directors of GasLog declared a quarterly cash dividend of $0.25 per common share of GasLog to GasLog’s shareholders of record as of November 16, 2023.</w:t>
      </w:r>
    </w:p>
    <w:p>
      <w:pPr>
        <w:spacing w:after="0" w:line="172" w:lineRule="exact"/>
        <w:rPr>
          <w:sz w:val="20"/>
          <w:szCs w:val="20"/>
          <w:color w:val="auto"/>
        </w:rPr>
      </w:pPr>
    </w:p>
    <w:p>
      <w:pPr>
        <w:ind w:right="460" w:firstLine="324"/>
        <w:spacing w:after="0" w:line="293" w:lineRule="auto"/>
        <w:rPr>
          <w:sz w:val="20"/>
          <w:szCs w:val="20"/>
          <w:color w:val="auto"/>
        </w:rPr>
      </w:pPr>
      <w:r>
        <w:rPr>
          <w:rFonts w:ascii="Arial" w:cs="Arial" w:eastAsia="Arial" w:hAnsi="Arial"/>
          <w:sz w:val="16"/>
          <w:szCs w:val="16"/>
          <w:color w:val="auto"/>
        </w:rPr>
        <w:t>On November 15, 2023, the board of directors of GasLog declared a dividend on GasLog’s 8.75% Series A Cumulative Redeemable Perpetual Preference Shares (“GasLog’s Preference Shares”) of $0.546875 per share payable on January 2, 2024, to holders of record as of December 29, 2023.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Dividend Declarations</w:t>
      </w:r>
    </w:p>
    <w:p>
      <w:pPr>
        <w:spacing w:after="0" w:line="239" w:lineRule="exact"/>
        <w:rPr>
          <w:sz w:val="20"/>
          <w:szCs w:val="20"/>
          <w:color w:val="auto"/>
        </w:rPr>
      </w:pPr>
    </w:p>
    <w:p>
      <w:pPr>
        <w:ind w:right="160" w:firstLine="324"/>
        <w:spacing w:after="0" w:line="335" w:lineRule="auto"/>
        <w:rPr>
          <w:sz w:val="20"/>
          <w:szCs w:val="20"/>
          <w:color w:val="auto"/>
        </w:rPr>
      </w:pPr>
      <w:r>
        <w:rPr>
          <w:rFonts w:ascii="Arial" w:cs="Arial" w:eastAsia="Arial" w:hAnsi="Arial"/>
          <w:sz w:val="14"/>
          <w:szCs w:val="14"/>
          <w:color w:val="auto"/>
        </w:rPr>
        <w:t>On November 15, 2023, the board of directors of GasLog Partners approved and declared a distribution on the Partnership’s Series A Preference Units of $0.5390625 per preference unit, a distribution on the Partnership’s Series B Preference Units of $0.7274123 per preference unit and a distribution on the Partnership’s Series C Preference Units of $0.53125 per preference unit. The cash distributions are payable on December 15, 2023 to all unitholders of record as of December 8,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GasLog Quarterly Financial Results</w:t>
            </w:r>
          </w:p>
        </w:tc>
        <w:tc>
          <w:tcPr>
            <w:tcW w:w="5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5"/>
        </w:trPr>
        <w:tc>
          <w:tcPr>
            <w:tcW w:w="76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600" w:type="dxa"/>
            <w:vAlign w:val="bottom"/>
          </w:tcPr>
          <w:p>
            <w:pPr>
              <w:spacing w:after="0"/>
              <w:rPr>
                <w:sz w:val="24"/>
                <w:szCs w:val="24"/>
                <w:color w:val="auto"/>
              </w:rPr>
            </w:pPr>
          </w:p>
        </w:tc>
        <w:tc>
          <w:tcPr>
            <w:tcW w:w="2980" w:type="dxa"/>
            <w:vAlign w:val="bottom"/>
            <w:gridSpan w:val="5"/>
          </w:tcPr>
          <w:p>
            <w:pPr>
              <w:ind w:left="18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25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140" w:type="dxa"/>
            <w:vAlign w:val="bottom"/>
            <w:gridSpan w:val="3"/>
          </w:tcPr>
          <w:p>
            <w:pPr>
              <w:ind w:left="42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2520" w:type="dxa"/>
            <w:vAlign w:val="bottom"/>
            <w:tcBorders>
              <w:bottom w:val="single" w:sz="8" w:color="E5FFFF"/>
            </w:tcBorders>
          </w:tcPr>
          <w:p>
            <w:pPr>
              <w:spacing w:after="0"/>
              <w:rPr>
                <w:sz w:val="18"/>
                <w:szCs w:val="18"/>
                <w:color w:val="auto"/>
              </w:rPr>
            </w:pPr>
          </w:p>
        </w:tc>
        <w:tc>
          <w:tcPr>
            <w:tcW w:w="5140" w:type="dxa"/>
            <w:vAlign w:val="bottom"/>
            <w:tcBorders>
              <w:bottom w:val="single" w:sz="8" w:color="E5FF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E5FFFF"/>
            </w:tcBorders>
          </w:tcPr>
          <w:p>
            <w:pPr>
              <w:spacing w:after="0"/>
              <w:rPr>
                <w:sz w:val="18"/>
                <w:szCs w:val="18"/>
                <w:color w:val="auto"/>
              </w:rPr>
            </w:pPr>
          </w:p>
        </w:tc>
      </w:tr>
      <w:tr>
        <w:trPr>
          <w:trHeight w:val="199"/>
        </w:trPr>
        <w:tc>
          <w:tcPr>
            <w:tcW w:w="76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60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241,918</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229,018</w:t>
            </w:r>
          </w:p>
        </w:tc>
        <w:tc>
          <w:tcPr>
            <w:tcW w:w="100" w:type="dxa"/>
            <w:vAlign w:val="bottom"/>
            <w:shd w:val="clear" w:color="auto" w:fill="E5FFFF"/>
          </w:tcPr>
          <w:p>
            <w:pPr>
              <w:spacing w:after="0"/>
              <w:rPr>
                <w:sz w:val="17"/>
                <w:szCs w:val="17"/>
                <w:color w:val="auto"/>
              </w:rPr>
            </w:pPr>
          </w:p>
        </w:tc>
      </w:tr>
      <w:tr>
        <w:trPr>
          <w:trHeight w:val="203"/>
        </w:trPr>
        <w:tc>
          <w:tcPr>
            <w:tcW w:w="766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109,123</w:t>
            </w:r>
          </w:p>
        </w:tc>
        <w:tc>
          <w:tcPr>
            <w:tcW w:w="32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46,451</w:t>
            </w:r>
          </w:p>
        </w:tc>
      </w:tr>
      <w:tr>
        <w:trPr>
          <w:trHeight w:val="243"/>
        </w:trPr>
        <w:tc>
          <w:tcPr>
            <w:tcW w:w="7660" w:type="dxa"/>
            <w:vAlign w:val="bottom"/>
            <w:gridSpan w:val="2"/>
            <w:shd w:val="clear" w:color="auto" w:fill="E5FFFF"/>
          </w:tcPr>
          <w:p>
            <w:pPr>
              <w:spacing w:after="0" w:line="243"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1</w:t>
            </w:r>
          </w:p>
        </w:tc>
        <w:tc>
          <w:tcPr>
            <w:tcW w:w="60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192,861</w:t>
            </w:r>
          </w:p>
        </w:tc>
        <w:tc>
          <w:tcPr>
            <w:tcW w:w="320" w:type="dxa"/>
            <w:vAlign w:val="bottom"/>
            <w:shd w:val="clear" w:color="auto" w:fill="E5FFFF"/>
          </w:tcPr>
          <w:p>
            <w:pPr>
              <w:spacing w:after="0"/>
              <w:rPr>
                <w:sz w:val="21"/>
                <w:szCs w:val="21"/>
                <w:color w:val="auto"/>
              </w:rPr>
            </w:pPr>
          </w:p>
        </w:tc>
        <w:tc>
          <w:tcPr>
            <w:tcW w:w="36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177,320</w:t>
            </w:r>
          </w:p>
        </w:tc>
      </w:tr>
      <w:tr>
        <w:trPr>
          <w:trHeight w:val="244"/>
        </w:trPr>
        <w:tc>
          <w:tcPr>
            <w:tcW w:w="7660" w:type="dxa"/>
            <w:vAlign w:val="bottom"/>
            <w:gridSpan w:val="2"/>
          </w:tcPr>
          <w:p>
            <w:pPr>
              <w:spacing w:after="0" w:line="245" w:lineRule="exact"/>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84,762</w:t>
            </w:r>
          </w:p>
        </w:tc>
        <w:tc>
          <w:tcPr>
            <w:tcW w:w="320" w:type="dxa"/>
            <w:vAlign w:val="bottom"/>
          </w:tcPr>
          <w:p>
            <w:pPr>
              <w:spacing w:after="0"/>
              <w:rPr>
                <w:sz w:val="21"/>
                <w:szCs w:val="21"/>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57,311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-960120</wp:posOffset>
            </wp:positionV>
            <wp:extent cx="68580" cy="52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5226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-308610</wp:posOffset>
            </wp:positionV>
            <wp:extent cx="6858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46" w:lineRule="exact"/>
        <w:rPr>
          <w:sz w:val="20"/>
          <w:szCs w:val="20"/>
          <w:color w:val="auto"/>
        </w:rPr>
      </w:pPr>
    </w:p>
    <w:p>
      <w:pPr>
        <w:jc w:val="both"/>
        <w:ind w:firstLine="48"/>
        <w:spacing w:after="0" w:line="180" w:lineRule="auto"/>
        <w:tabs>
          <w:tab w:leader="none" w:pos="153" w:val="left"/>
        </w:tabs>
        <w:numPr>
          <w:ilvl w:val="0"/>
          <w:numId w:val="2"/>
        </w:numPr>
        <w:rPr>
          <w:rFonts w:ascii="Arial" w:cs="Arial" w:eastAsia="Arial" w:hAnsi="Arial"/>
          <w:sz w:val="27"/>
          <w:szCs w:val="27"/>
          <w:color w:val="auto"/>
          <w:vertAlign w:val="superscript"/>
        </w:rPr>
      </w:pPr>
      <w:r>
        <w:rPr>
          <w:rFonts w:ascii="Arial" w:cs="Arial" w:eastAsia="Arial" w:hAnsi="Arial"/>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95" w:lineRule="exact"/>
        <w:rPr>
          <w:sz w:val="20"/>
          <w:szCs w:val="20"/>
          <w:color w:val="auto"/>
        </w:rPr>
      </w:pPr>
    </w:p>
    <w:p>
      <w:pPr>
        <w:ind w:right="60" w:firstLine="324"/>
        <w:spacing w:after="0" w:line="291" w:lineRule="auto"/>
        <w:rPr>
          <w:sz w:val="20"/>
          <w:szCs w:val="20"/>
          <w:color w:val="auto"/>
        </w:rPr>
      </w:pPr>
      <w:r>
        <w:rPr>
          <w:rFonts w:ascii="Arial" w:cs="Arial" w:eastAsia="Arial" w:hAnsi="Arial"/>
          <w:sz w:val="15"/>
          <w:szCs w:val="15"/>
          <w:color w:val="auto"/>
        </w:rPr>
        <w:t xml:space="preserve">There were 2,865 available days for the quarter ended September 30, 2023, as compared to 3,199 available days for the quarter ended September 30, 2022. Available days represent total calendar days in the period after deducting off-hire days where vessels are undergoing dry-dockings and unavailable days (for example, days before and after a dry-docking where the vessel has limited practical ability for chartering opportunities). The decrease in available days was attributable to the Floating Storage Regasification Unit (“FSRU”) conversion of the </w:t>
      </w:r>
      <w:r>
        <w:rPr>
          <w:rFonts w:ascii="Arial" w:cs="Arial" w:eastAsia="Arial" w:hAnsi="Arial"/>
          <w:sz w:val="15"/>
          <w:szCs w:val="15"/>
          <w:i w:val="1"/>
          <w:iCs w:val="1"/>
          <w:color w:val="auto"/>
        </w:rPr>
        <w:t>Alexandroupolis</w:t>
      </w:r>
      <w:r>
        <w:rPr>
          <w:rFonts w:ascii="Arial" w:cs="Arial" w:eastAsia="Arial" w:hAnsi="Arial"/>
          <w:sz w:val="15"/>
          <w:szCs w:val="15"/>
          <w:color w:val="auto"/>
        </w:rPr>
        <w:t xml:space="preserve"> that started in February 2023, the increase in off-hire days for scheduled dry-dockings and repairs (nil dry-docking off-hire days in the three-month period ended September 30, 2022, compared to 79 scheduled dry-docking and repair off-hire days in the three-month period ended September 30, 2023), the sale of the </w:t>
      </w:r>
      <w:r>
        <w:rPr>
          <w:rFonts w:ascii="Arial" w:cs="Arial" w:eastAsia="Arial" w:hAnsi="Arial"/>
          <w:sz w:val="15"/>
          <w:szCs w:val="15"/>
          <w:i w:val="1"/>
          <w:iCs w:val="1"/>
          <w:color w:val="auto"/>
        </w:rPr>
        <w:t>Methane Shirley Elisabeth</w:t>
      </w:r>
      <w:r>
        <w:rPr>
          <w:rFonts w:ascii="Arial" w:cs="Arial" w:eastAsia="Arial" w:hAnsi="Arial"/>
          <w:sz w:val="15"/>
          <w:szCs w:val="15"/>
          <w:color w:val="auto"/>
        </w:rPr>
        <w:t xml:space="preserve"> in September 2022 and the sale of the </w:t>
      </w:r>
      <w:r>
        <w:rPr>
          <w:rFonts w:ascii="Arial" w:cs="Arial" w:eastAsia="Arial" w:hAnsi="Arial"/>
          <w:sz w:val="15"/>
          <w:szCs w:val="15"/>
          <w:i w:val="1"/>
          <w:iCs w:val="1"/>
          <w:color w:val="auto"/>
        </w:rPr>
        <w:t>GasLog Athens</w:t>
      </w:r>
      <w:r>
        <w:rPr>
          <w:rFonts w:ascii="Arial" w:cs="Arial" w:eastAsia="Arial" w:hAnsi="Arial"/>
          <w:sz w:val="15"/>
          <w:szCs w:val="15"/>
          <w:color w:val="auto"/>
        </w:rPr>
        <w:t xml:space="preserve"> in July 2023.</w:t>
      </w:r>
    </w:p>
    <w:p>
      <w:pPr>
        <w:spacing w:after="0" w:line="176" w:lineRule="exact"/>
        <w:rPr>
          <w:sz w:val="20"/>
          <w:szCs w:val="20"/>
          <w:color w:val="auto"/>
        </w:rPr>
      </w:pPr>
    </w:p>
    <w:p>
      <w:pPr>
        <w:ind w:firstLine="324"/>
        <w:spacing w:after="0" w:line="278" w:lineRule="auto"/>
        <w:rPr>
          <w:sz w:val="20"/>
          <w:szCs w:val="20"/>
          <w:color w:val="auto"/>
        </w:rPr>
      </w:pPr>
      <w:r>
        <w:rPr>
          <w:rFonts w:ascii="Arial" w:cs="Arial" w:eastAsia="Arial" w:hAnsi="Arial"/>
          <w:sz w:val="16"/>
          <w:szCs w:val="16"/>
          <w:color w:val="auto"/>
        </w:rPr>
        <w:t>Revenues were $229.0 million for the quarter ended September 30, 2023 ($241.9 million for the quarter ended September 30, 2022). The decrease in revenues is mainly attributable to the decrease in available days explained above. This decrease was partially offset by a net increase in revenues from our vessels operating in the spot and short-term markets in the third quarter of 2023.</w:t>
      </w:r>
    </w:p>
    <w:p>
      <w:pPr>
        <w:spacing w:after="0" w:line="184" w:lineRule="exact"/>
        <w:rPr>
          <w:sz w:val="20"/>
          <w:szCs w:val="20"/>
          <w:color w:val="auto"/>
        </w:rPr>
      </w:pPr>
    </w:p>
    <w:p>
      <w:pPr>
        <w:ind w:right="20" w:firstLine="324"/>
        <w:spacing w:after="0" w:line="271" w:lineRule="auto"/>
        <w:rPr>
          <w:sz w:val="20"/>
          <w:szCs w:val="20"/>
          <w:color w:val="auto"/>
        </w:rPr>
      </w:pPr>
      <w:r>
        <w:rPr>
          <w:rFonts w:ascii="Arial" w:cs="Arial" w:eastAsia="Arial" w:hAnsi="Arial"/>
          <w:sz w:val="16"/>
          <w:szCs w:val="16"/>
          <w:color w:val="auto"/>
        </w:rPr>
        <w:t>Profit for the period was $46.5 million for the quarter ended September 30, 2023 ($109.1 million for the quarter ended September 30, 2022). The decrease in profit is mainly attributable to the decrease of $29.9 million in gain from the marked-to-market valuation of our derivative financial instruments carried at fair value through profit or loss due to changes in the forward yield curve, the increase of $17.2 million in financial costs, mainly attributable to the increase in interest expense on loans, all as a result of the increased interest rates in the third quarter of 2023 as compared to the same period in 2022 and the decrease of $12.9 million in revenues, as discussed above, partially offset by the decrease of $6.1 million in realized loss from derivatives held for trading.</w:t>
      </w:r>
    </w:p>
    <w:p>
      <w:pPr>
        <w:spacing w:after="0" w:line="190" w:lineRule="exact"/>
        <w:rPr>
          <w:sz w:val="20"/>
          <w:szCs w:val="20"/>
          <w:color w:val="auto"/>
        </w:rPr>
      </w:pPr>
    </w:p>
    <w:p>
      <w:pPr>
        <w:jc w:val="both"/>
        <w:ind w:right="100" w:firstLine="324"/>
        <w:spacing w:after="0" w:line="278" w:lineRule="auto"/>
        <w:rPr>
          <w:sz w:val="20"/>
          <w:szCs w:val="20"/>
          <w:color w:val="auto"/>
        </w:rPr>
      </w:pPr>
      <w:r>
        <w:rPr>
          <w:rFonts w:ascii="Arial" w:cs="Arial" w:eastAsia="Arial" w:hAnsi="Arial"/>
          <w:sz w:val="16"/>
          <w:szCs w:val="16"/>
          <w:color w:val="auto"/>
        </w:rPr>
        <w:t>Adjusted EBITDA was $177.3 million for the quarter ended September 30, 2023 ($192.9 million for the quarter ended September 30, 2022). The decrease in Adjusted EBITDA is mainly attributable to the decrease in revenues of $12.9 million, as discussed above, the increase of $1.7 million in general and administrative expenses and the increase of $1.1 million in vessel operating and supervision costs.</w:t>
      </w:r>
    </w:p>
    <w:p>
      <w:pPr>
        <w:spacing w:after="0" w:line="184" w:lineRule="exact"/>
        <w:rPr>
          <w:sz w:val="20"/>
          <w:szCs w:val="20"/>
          <w:color w:val="auto"/>
        </w:rPr>
      </w:pPr>
    </w:p>
    <w:p>
      <w:pPr>
        <w:ind w:right="80" w:firstLine="324"/>
        <w:spacing w:after="0" w:line="305" w:lineRule="auto"/>
        <w:rPr>
          <w:sz w:val="20"/>
          <w:szCs w:val="20"/>
          <w:color w:val="auto"/>
        </w:rPr>
      </w:pPr>
      <w:r>
        <w:rPr>
          <w:rFonts w:ascii="Arial" w:cs="Arial" w:eastAsia="Arial" w:hAnsi="Arial"/>
          <w:sz w:val="15"/>
          <w:szCs w:val="15"/>
          <w:color w:val="auto"/>
        </w:rPr>
        <w:t>Adjusted Profit was $57.3 million for the quarter ended September 30, 2023 ($84.8 million for the quarter ended September 30, 2022). The decrease in Adjusted Profit is mainly attributable to the decrease in Adjusted EBITDA and the increase in financial costs, partially offset by the increase in financial income, all as a result of the increase in interest rates in the third quarter of 2023 as compared to the same period in 2022 and the decrease in realized loss from derivatives held for trading.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2023, GasLog had $172.8 million of cash and cash equivalents. An additional amount of $38.6 million of time deposits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with an original duration greater than three months was classified under short-term cash deposits.</w:t>
      </w:r>
    </w:p>
    <w:p>
      <w:pPr>
        <w:spacing w:after="0" w:line="235" w:lineRule="exact"/>
        <w:rPr>
          <w:sz w:val="20"/>
          <w:szCs w:val="20"/>
          <w:color w:val="auto"/>
        </w:rPr>
      </w:pPr>
    </w:p>
    <w:p>
      <w:pPr>
        <w:ind w:right="200" w:firstLine="324"/>
        <w:spacing w:after="0" w:line="293" w:lineRule="auto"/>
        <w:rPr>
          <w:sz w:val="20"/>
          <w:szCs w:val="20"/>
          <w:color w:val="auto"/>
        </w:rPr>
      </w:pPr>
      <w:r>
        <w:rPr>
          <w:rFonts w:ascii="Arial" w:cs="Arial" w:eastAsia="Arial" w:hAnsi="Arial"/>
          <w:sz w:val="15"/>
          <w:szCs w:val="15"/>
          <w:color w:val="auto"/>
        </w:rPr>
        <w:t>As of September 30, 2023, GasLog had an aggregate of $2.9 billion of indebtedness outstanding under its credit facilities and bond agreements, of which $332.3 million is repayable within one year. Current bank borrowings include an amount of $148.2 million with respect to the credit facility of up to $450.0 million of GAS-four Ltd., GAS-sixteen Ltd. and GAS-seventeen Ltd. with Credit Suisse AG, Nordea Bank Abp, filial I Norge, Iyo Bank Ltd., Singapore Branch and the Development Bank of Japan, Inc. (the “2019 GasLog Partners Facility”) which matures in February 2024 (and which was refinanced under the Facility). Furthermore, as of September 30, 2023, we also had an aggregate of $400.9 million of lease liabilities</w:t>
      </w:r>
      <w:r>
        <w:rPr>
          <w:rFonts w:ascii="Arial" w:cs="Arial" w:eastAsia="Arial" w:hAnsi="Arial"/>
          <w:sz w:val="15"/>
          <w:szCs w:val="15"/>
          <w:i w:val="1"/>
          <w:iCs w:val="1"/>
          <w:color w:val="auto"/>
        </w:rPr>
        <w:t>,</w:t>
      </w:r>
      <w:r>
        <w:rPr>
          <w:rFonts w:ascii="Arial" w:cs="Arial" w:eastAsia="Arial" w:hAnsi="Arial"/>
          <w:sz w:val="15"/>
          <w:szCs w:val="15"/>
          <w:color w:val="auto"/>
        </w:rPr>
        <w:t xml:space="preserve"> of which $70.8 million is payable within one year.</w:t>
      </w:r>
    </w:p>
    <w:p>
      <w:pPr>
        <w:spacing w:after="0" w:line="176" w:lineRule="exact"/>
        <w:rPr>
          <w:sz w:val="20"/>
          <w:szCs w:val="20"/>
          <w:color w:val="auto"/>
        </w:rPr>
      </w:pPr>
    </w:p>
    <w:p>
      <w:pPr>
        <w:ind w:right="400" w:firstLine="324"/>
        <w:spacing w:after="0" w:line="328" w:lineRule="auto"/>
        <w:rPr>
          <w:sz w:val="20"/>
          <w:szCs w:val="20"/>
          <w:color w:val="auto"/>
        </w:rPr>
      </w:pPr>
      <w:r>
        <w:rPr>
          <w:rFonts w:ascii="Arial" w:cs="Arial" w:eastAsia="Arial" w:hAnsi="Arial"/>
          <w:sz w:val="15"/>
          <w:szCs w:val="15"/>
          <w:color w:val="auto"/>
        </w:rPr>
        <w:t>As of September 30, 2023, the total remaining balance of the contract prices of the four LNG carriers on order was $597.6 million, of which $330.9 million is due within 12 months and will be funded by the four sale and leaseback agreements entered into on July 6, 2022 with CMB Financial Leasing Co., Ltd. (“CMBFL”).</w:t>
      </w:r>
    </w:p>
    <w:p>
      <w:pPr>
        <w:spacing w:after="0" w:line="150" w:lineRule="exact"/>
        <w:rPr>
          <w:sz w:val="20"/>
          <w:szCs w:val="20"/>
          <w:color w:val="auto"/>
        </w:rPr>
      </w:pPr>
    </w:p>
    <w:p>
      <w:pPr>
        <w:ind w:right="20" w:firstLine="324"/>
        <w:spacing w:after="0" w:line="273" w:lineRule="auto"/>
        <w:rPr>
          <w:sz w:val="20"/>
          <w:szCs w:val="20"/>
          <w:color w:val="auto"/>
        </w:rPr>
      </w:pPr>
      <w:r>
        <w:rPr>
          <w:rFonts w:ascii="Arial" w:cs="Arial" w:eastAsia="Arial" w:hAnsi="Arial"/>
          <w:sz w:val="16"/>
          <w:szCs w:val="16"/>
          <w:color w:val="auto"/>
        </w:rPr>
        <w:t>As of September 30, 2023, GasLog’s current assets totaled $263.3 million, while current liabilities totaled $588.1 million, resulting in a negative working capital position of $324.8 million. Current liabilities include $148.2 million relating to the 2019 GasLog Partners Facility which matures in February 2024, as mentioned above, and $66.6 million of unearned revenue in relation to hires received in advance of September 30, 2023 (which represents a non-cash liability that will be recognized as revenue in October 2023 as the services are rendered).</w:t>
      </w:r>
    </w:p>
    <w:p>
      <w:pPr>
        <w:spacing w:after="0" w:line="189" w:lineRule="exact"/>
        <w:rPr>
          <w:sz w:val="20"/>
          <w:szCs w:val="20"/>
          <w:color w:val="auto"/>
        </w:rPr>
      </w:pPr>
    </w:p>
    <w:p>
      <w:pPr>
        <w:ind w:right="60" w:firstLine="324"/>
        <w:spacing w:after="0" w:line="293" w:lineRule="auto"/>
        <w:rPr>
          <w:sz w:val="20"/>
          <w:szCs w:val="20"/>
          <w:color w:val="auto"/>
        </w:rPr>
      </w:pPr>
      <w:r>
        <w:rPr>
          <w:rFonts w:ascii="Arial" w:cs="Arial" w:eastAsia="Arial" w:hAnsi="Arial"/>
          <w:sz w:val="15"/>
          <w:szCs w:val="15"/>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existing and future borrowings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2"/>
              </w:rPr>
              <w:t>GasLog Partners Quarterly Financial Results</w:t>
            </w:r>
          </w:p>
        </w:tc>
        <w:tc>
          <w:tcPr>
            <w:tcW w:w="4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5"/>
        </w:trPr>
        <w:tc>
          <w:tcPr>
            <w:tcW w:w="76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Amounts in thousands of U.S. dollars</w:t>
            </w:r>
          </w:p>
        </w:tc>
        <w:tc>
          <w:tcPr>
            <w:tcW w:w="600" w:type="dxa"/>
            <w:vAlign w:val="bottom"/>
          </w:tcPr>
          <w:p>
            <w:pPr>
              <w:spacing w:after="0"/>
              <w:rPr>
                <w:sz w:val="24"/>
                <w:szCs w:val="24"/>
                <w:color w:val="auto"/>
              </w:rPr>
            </w:pPr>
          </w:p>
        </w:tc>
        <w:tc>
          <w:tcPr>
            <w:tcW w:w="2980" w:type="dxa"/>
            <w:vAlign w:val="bottom"/>
            <w:gridSpan w:val="5"/>
          </w:tcPr>
          <w:p>
            <w:pPr>
              <w:ind w:left="180"/>
              <w:spacing w:after="0"/>
              <w:rPr>
                <w:sz w:val="20"/>
                <w:szCs w:val="20"/>
                <w:color w:val="auto"/>
              </w:rPr>
            </w:pPr>
            <w:r>
              <w:rPr>
                <w:rFonts w:ascii="Arial" w:cs="Arial" w:eastAsia="Arial" w:hAnsi="Arial"/>
                <w:sz w:val="16"/>
                <w:szCs w:val="16"/>
                <w:b w:val="1"/>
                <w:bCs w:val="1"/>
                <w:color w:val="auto"/>
              </w:rPr>
              <w:t>For the three months ended</w:t>
            </w:r>
          </w:p>
        </w:tc>
      </w:tr>
      <w:tr>
        <w:trPr>
          <w:trHeight w:val="203"/>
        </w:trPr>
        <w:tc>
          <w:tcPr>
            <w:tcW w:w="316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2140" w:type="dxa"/>
            <w:vAlign w:val="bottom"/>
            <w:gridSpan w:val="3"/>
          </w:tcPr>
          <w:p>
            <w:pPr>
              <w:ind w:left="42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30,</w:t>
            </w:r>
          </w:p>
        </w:tc>
      </w:tr>
      <w:tr>
        <w:trPr>
          <w:trHeight w:val="213"/>
        </w:trPr>
        <w:tc>
          <w:tcPr>
            <w:tcW w:w="3160" w:type="dxa"/>
            <w:vAlign w:val="bottom"/>
            <w:tcBorders>
              <w:bottom w:val="single" w:sz="8" w:color="E5FFFF"/>
            </w:tcBorders>
          </w:tcPr>
          <w:p>
            <w:pPr>
              <w:spacing w:after="0"/>
              <w:rPr>
                <w:sz w:val="18"/>
                <w:szCs w:val="18"/>
                <w:color w:val="auto"/>
              </w:rPr>
            </w:pPr>
          </w:p>
        </w:tc>
        <w:tc>
          <w:tcPr>
            <w:tcW w:w="4500" w:type="dxa"/>
            <w:vAlign w:val="bottom"/>
            <w:tcBorders>
              <w:bottom w:val="single" w:sz="8" w:color="E5FF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E5FFFF"/>
            </w:tcBorders>
          </w:tcPr>
          <w:p>
            <w:pPr>
              <w:spacing w:after="0"/>
              <w:rPr>
                <w:sz w:val="18"/>
                <w:szCs w:val="18"/>
                <w:color w:val="auto"/>
              </w:rPr>
            </w:pPr>
          </w:p>
        </w:tc>
      </w:tr>
      <w:tr>
        <w:trPr>
          <w:trHeight w:val="199"/>
        </w:trPr>
        <w:tc>
          <w:tcPr>
            <w:tcW w:w="76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60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95,679</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100,747</w:t>
            </w:r>
          </w:p>
        </w:tc>
        <w:tc>
          <w:tcPr>
            <w:tcW w:w="100" w:type="dxa"/>
            <w:vAlign w:val="bottom"/>
            <w:shd w:val="clear" w:color="auto" w:fill="E5FFFF"/>
          </w:tcPr>
          <w:p>
            <w:pPr>
              <w:spacing w:after="0"/>
              <w:rPr>
                <w:sz w:val="17"/>
                <w:szCs w:val="17"/>
                <w:color w:val="auto"/>
              </w:rPr>
            </w:pPr>
          </w:p>
        </w:tc>
      </w:tr>
      <w:tr>
        <w:trPr>
          <w:trHeight w:val="206"/>
        </w:trPr>
        <w:tc>
          <w:tcPr>
            <w:tcW w:w="7660" w:type="dxa"/>
            <w:vAlign w:val="bottom"/>
            <w:gridSpan w:val="2"/>
          </w:tcPr>
          <w:p>
            <w:pPr>
              <w:spacing w:after="0"/>
              <w:rPr>
                <w:sz w:val="20"/>
                <w:szCs w:val="20"/>
                <w:color w:val="auto"/>
              </w:rPr>
            </w:pPr>
            <w:r>
              <w:rPr>
                <w:rFonts w:ascii="Arial" w:cs="Arial" w:eastAsia="Arial" w:hAnsi="Arial"/>
                <w:sz w:val="16"/>
                <w:szCs w:val="16"/>
                <w:color w:val="auto"/>
              </w:rPr>
              <w:t>Profit for the period</w:t>
            </w: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42,651</w:t>
            </w:r>
          </w:p>
        </w:tc>
        <w:tc>
          <w:tcPr>
            <w:tcW w:w="32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30,939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-653415</wp:posOffset>
            </wp:positionV>
            <wp:extent cx="68580"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522605"/>
                    </a:xfrm>
                    <a:prstGeom prst="rect">
                      <a:avLst/>
                    </a:prstGeom>
                    <a:noFill/>
                  </pic:spPr>
                </pic:pic>
              </a:graphicData>
            </a:graphic>
          </wp:anchor>
        </w:drawing>
      </w:r>
    </w:p>
    <w:p>
      <w:pPr>
        <w:spacing w:after="0" w:line="182" w:lineRule="exact"/>
        <w:rPr>
          <w:sz w:val="20"/>
          <w:szCs w:val="20"/>
          <w:color w:val="auto"/>
        </w:rPr>
      </w:pPr>
    </w:p>
    <w:p>
      <w:pPr>
        <w:ind w:right="160" w:firstLine="324"/>
        <w:spacing w:after="0" w:line="273" w:lineRule="auto"/>
        <w:rPr>
          <w:sz w:val="20"/>
          <w:szCs w:val="20"/>
          <w:color w:val="auto"/>
        </w:rPr>
      </w:pPr>
      <w:r>
        <w:rPr>
          <w:rFonts w:ascii="Arial" w:cs="Arial" w:eastAsia="Arial" w:hAnsi="Arial"/>
          <w:sz w:val="16"/>
          <w:szCs w:val="16"/>
          <w:color w:val="auto"/>
        </w:rPr>
        <w:t xml:space="preserve">Revenues were $100.7 million for the third quarter of 2023 ($95.7 million for the same period in 2022). The increase of $5.0 million is mainly attributable to a net increase in revenues from our vessels operating in the spot market in the third quarter of 2023, partially offset by a decrease in revenues resulting from the 57 off-hire days due to the scheduled dry-dockings and repairs of two of our vessels in the third quarter of 2023 (compared to nil in the same period in 2022) and the sale of the </w:t>
      </w:r>
      <w:r>
        <w:rPr>
          <w:rFonts w:ascii="Arial" w:cs="Arial" w:eastAsia="Arial" w:hAnsi="Arial"/>
          <w:sz w:val="16"/>
          <w:szCs w:val="16"/>
          <w:i w:val="1"/>
          <w:iCs w:val="1"/>
          <w:color w:val="auto"/>
        </w:rPr>
        <w:t>Methane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Shirley Elisabeth </w:t>
      </w:r>
      <w:r>
        <w:rPr>
          <w:rFonts w:ascii="Arial" w:cs="Arial" w:eastAsia="Arial" w:hAnsi="Arial"/>
          <w:sz w:val="16"/>
          <w:szCs w:val="16"/>
          <w:color w:val="auto"/>
        </w:rPr>
        <w:t>in September 2022.</w:t>
      </w:r>
    </w:p>
    <w:p>
      <w:pPr>
        <w:spacing w:after="0" w:line="189" w:lineRule="exact"/>
        <w:rPr>
          <w:sz w:val="20"/>
          <w:szCs w:val="20"/>
          <w:color w:val="auto"/>
        </w:rPr>
      </w:pPr>
    </w:p>
    <w:p>
      <w:pPr>
        <w:ind w:right="280" w:firstLine="324"/>
        <w:spacing w:after="0" w:line="278" w:lineRule="auto"/>
        <w:rPr>
          <w:sz w:val="20"/>
          <w:szCs w:val="20"/>
          <w:color w:val="auto"/>
        </w:rPr>
      </w:pPr>
      <w:r>
        <w:rPr>
          <w:rFonts w:ascii="Arial" w:cs="Arial" w:eastAsia="Arial" w:hAnsi="Arial"/>
          <w:sz w:val="16"/>
          <w:szCs w:val="16"/>
          <w:color w:val="auto"/>
        </w:rPr>
        <w:t>Profit was $30.9 million for the third quarter of 2023 ($42.7 million for the same period in 2022). The decrease in profit of $11.8 million is mainly attributable to an increase of $4.1 million in financial costs, a decrease of $3.1 million in gain on derivatives, an increase of $2.5 million in general and administrative expenses and an increase of $1.7 million in voyage expenses and commissions.</w:t>
      </w:r>
    </w:p>
    <w:p>
      <w:pPr>
        <w:spacing w:after="0" w:line="184"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As of September 30, 2023, GasLog Partners had $68.8 million of cash and cash equivalents. An additional amount of $9.0 million of time deposits with an original duration greater than three months was classified under short-term cash deposits.</w:t>
      </w:r>
    </w:p>
    <w:p>
      <w:pPr>
        <w:spacing w:after="0" w:line="17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As of September 30, 2023, GasLog Partners had an aggregate of $763.3 million of bank borrowings outstanding under its credit facilities, of which $216.0 million was repayable within one year.</w:t>
      </w:r>
    </w:p>
    <w:p>
      <w:pPr>
        <w:spacing w:after="0" w:line="172"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5"/>
          <w:szCs w:val="15"/>
          <w:color w:val="auto"/>
        </w:rPr>
        <w:t>As of September 30, 2023, GasLog Partners’ current assets totaled $109.6 million and current liabilities totaled $301.8 million, resulting in a negative working capital position of $192.2 million. Current liabilities include $26.4 million of unearned revenue in relation to hires received in advance (which represents a non-cash liability that will be recognized as revenues after September 30, 2023, as the services are rendered). Current liabilities also include $148.2 million of current bank borrowings related to the 2019 GasLog Partners Facility, which matures in February 2024 (and which was refinanced under the Facility).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Partners Preference Unit Repurchase Programme</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the quarter ended September 30, 2023, there were no repurchases of preference units under GasLog Partners’ preference unit repurchase programme.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GasLog 8.75% Series A Cumulative Redeemable Perpetual Preference Shares Repurchase Programme</w:t>
      </w:r>
    </w:p>
    <w:p>
      <w:pPr>
        <w:spacing w:after="0" w:line="239" w:lineRule="exact"/>
        <w:rPr>
          <w:sz w:val="20"/>
          <w:szCs w:val="20"/>
          <w:color w:val="auto"/>
        </w:rPr>
      </w:pPr>
    </w:p>
    <w:p>
      <w:pPr>
        <w:ind w:right="80" w:firstLine="324"/>
        <w:spacing w:after="0" w:line="293" w:lineRule="auto"/>
        <w:rPr>
          <w:sz w:val="20"/>
          <w:szCs w:val="20"/>
          <w:color w:val="auto"/>
        </w:rPr>
      </w:pPr>
      <w:r>
        <w:rPr>
          <w:rFonts w:ascii="Arial" w:cs="Arial" w:eastAsia="Arial" w:hAnsi="Arial"/>
          <w:sz w:val="15"/>
          <w:szCs w:val="15"/>
          <w:color w:val="auto"/>
        </w:rPr>
        <w:t>On August 2, 2023, the board of directors of GasLog approved a preference share repurchase programme of up to $35.0 million of GasLog’s Preference Shares, effective immediately. Under the terms of the preference repurchase programme, GasLog may repurchase GasLog’s Preference Shares from time to time, at GasLog's discretion, on the open market, in privately negotiated transactions or through redemptions. Any repurchases are subject to market conditions, applicable legal requirements and other considerations. GasLog is not obligated under the preference repurchase programme to repurchase any specific dollar amount or number of GasLog’s Preference Shares, and the preference repurchase programme may be modified, suspended or discontinued at any time or never utilized.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third quarter of 2023, and since the inception of the repurchase programme, GasLog has repurchased an aggregate of 46,388 of</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 w:name="page7"/>
    <w:bookmarkEnd w:id="6"/>
    <w:p>
      <w:pPr>
        <w:ind w:right="60"/>
        <w:spacing w:after="0" w:line="293" w:lineRule="auto"/>
        <w:rPr>
          <w:sz w:val="20"/>
          <w:szCs w:val="20"/>
          <w:color w:val="auto"/>
        </w:rPr>
      </w:pPr>
      <w:r>
        <w:rPr>
          <w:rFonts w:ascii="Arial" w:cs="Arial" w:eastAsia="Arial" w:hAnsi="Arial"/>
          <w:sz w:val="16"/>
          <w:szCs w:val="16"/>
          <w:color w:val="auto"/>
        </w:rPr>
        <w:t>GasLog’s Preference Shares at a weighted average price of $24.59 per preference share. The total amount paid during the quarter ended September 30, 2023 for repurchases of GasLog’s Preference Shares was $1.1 million, including commissions.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Fleet Update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November 16, 2023, GasLog’s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Cargo</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Charter</w:t>
            </w: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Optional</w:t>
            </w: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40"/>
              <w:spacing w:after="0" w:line="163" w:lineRule="exact"/>
              <w:rPr>
                <w:sz w:val="20"/>
                <w:szCs w:val="20"/>
                <w:color w:val="auto"/>
              </w:rPr>
            </w:pPr>
            <w:r>
              <w:rPr>
                <w:rFonts w:ascii="Arial" w:cs="Arial" w:eastAsia="Arial" w:hAnsi="Arial"/>
                <w:sz w:val="16"/>
                <w:szCs w:val="16"/>
                <w:b w:val="1"/>
                <w:bCs w:val="1"/>
                <w:color w:val="auto"/>
              </w:rPr>
              <w:t>Year</w:t>
            </w:r>
          </w:p>
        </w:tc>
        <w:tc>
          <w:tcPr>
            <w:tcW w:w="1340" w:type="dxa"/>
            <w:vAlign w:val="bottom"/>
            <w:gridSpan w:val="2"/>
          </w:tcPr>
          <w:p>
            <w:pPr>
              <w:jc w:val="center"/>
              <w:ind w:right="100"/>
              <w:spacing w:after="0" w:line="163" w:lineRule="exact"/>
              <w:rPr>
                <w:sz w:val="20"/>
                <w:szCs w:val="20"/>
                <w:color w:val="auto"/>
              </w:rPr>
            </w:pPr>
            <w:r>
              <w:rPr>
                <w:rFonts w:ascii="Arial" w:cs="Arial" w:eastAsia="Arial" w:hAnsi="Arial"/>
                <w:sz w:val="16"/>
                <w:szCs w:val="16"/>
                <w:b w:val="1"/>
                <w:bCs w:val="1"/>
                <w:color w:val="auto"/>
                <w:w w:val="95"/>
              </w:rPr>
              <w:t>Capacity</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Borders>
              <w:bottom w:val="single" w:sz="8" w:color="E5FF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Built</w:t>
            </w:r>
          </w:p>
        </w:tc>
        <w:tc>
          <w:tcPr>
            <w:tcW w:w="120" w:type="dxa"/>
            <w:vAlign w:val="bottom"/>
            <w:tcBorders>
              <w:bottom w:val="single" w:sz="8" w:color="E5FF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00" w:type="dxa"/>
            <w:vAlign w:val="bottom"/>
            <w:tcBorders>
              <w:bottom w:val="single" w:sz="8" w:color="E5FFFF"/>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00" w:type="dxa"/>
            <w:vAlign w:val="bottom"/>
            <w:tcBorders>
              <w:bottom w:val="single" w:sz="8" w:color="E5FF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100" w:type="dxa"/>
            <w:vAlign w:val="bottom"/>
            <w:tcBorders>
              <w:bottom w:val="single" w:sz="8" w:color="E5FFFF"/>
            </w:tcBorders>
          </w:tcPr>
          <w:p>
            <w:pPr>
              <w:spacing w:after="0"/>
              <w:rPr>
                <w:sz w:val="22"/>
                <w:szCs w:val="22"/>
                <w:color w:val="auto"/>
              </w:rPr>
            </w:pPr>
          </w:p>
        </w:tc>
        <w:tc>
          <w:tcPr>
            <w:tcW w:w="158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Borders>
              <w:bottom w:val="single" w:sz="8" w:color="E5FFFF"/>
            </w:tcBorders>
          </w:tcPr>
          <w:p>
            <w:pPr>
              <w:spacing w:after="0"/>
              <w:rPr>
                <w:sz w:val="22"/>
                <w:szCs w:val="22"/>
                <w:color w:val="auto"/>
              </w:rPr>
            </w:pPr>
          </w:p>
        </w:tc>
        <w:tc>
          <w:tcPr>
            <w:tcW w:w="100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4"/>
              </w:rPr>
              <w:t>Period</w:t>
            </w:r>
            <w:r>
              <w:rPr>
                <w:rFonts w:ascii="Arial" w:cs="Arial" w:eastAsia="Arial" w:hAnsi="Arial"/>
                <w:sz w:val="26"/>
                <w:szCs w:val="26"/>
                <w:b w:val="1"/>
                <w:bCs w:val="1"/>
                <w:color w:val="auto"/>
                <w:w w:val="84"/>
                <w:vertAlign w:val="superscript"/>
              </w:rPr>
              <w:t>(2)</w:t>
            </w:r>
          </w:p>
        </w:tc>
        <w:tc>
          <w:tcPr>
            <w:tcW w:w="0" w:type="dxa"/>
            <w:vAlign w:val="bottom"/>
          </w:tcPr>
          <w:p>
            <w:pPr>
              <w:spacing w:after="0"/>
              <w:rPr>
                <w:sz w:val="1"/>
                <w:szCs w:val="1"/>
                <w:color w:val="auto"/>
              </w:rPr>
            </w:pPr>
          </w:p>
        </w:tc>
      </w:tr>
      <w:tr>
        <w:trPr>
          <w:trHeight w:val="237"/>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w:t>
            </w:r>
          </w:p>
        </w:tc>
        <w:tc>
          <w:tcPr>
            <w:tcW w:w="2860" w:type="dxa"/>
            <w:vAlign w:val="bottom"/>
            <w:shd w:val="clear" w:color="auto" w:fill="E5FFFF"/>
          </w:tcPr>
          <w:p>
            <w:pPr>
              <w:ind w:left="40"/>
              <w:spacing w:after="0" w:line="236" w:lineRule="exact"/>
              <w:rPr>
                <w:sz w:val="20"/>
                <w:szCs w:val="20"/>
                <w:color w:val="auto"/>
              </w:rPr>
            </w:pPr>
            <w:r>
              <w:rPr>
                <w:rFonts w:ascii="Arial" w:cs="Arial" w:eastAsia="Arial" w:hAnsi="Arial"/>
                <w:sz w:val="16"/>
                <w:szCs w:val="16"/>
                <w:i w:val="1"/>
                <w:iCs w:val="1"/>
                <w:color w:val="auto"/>
              </w:rPr>
              <w:t xml:space="preserve">Alexandroupolis </w:t>
            </w:r>
            <w:r>
              <w:rPr>
                <w:rFonts w:ascii="Arial" w:cs="Arial" w:eastAsia="Arial" w:hAnsi="Arial"/>
                <w:sz w:val="26"/>
                <w:szCs w:val="26"/>
                <w:color w:val="auto"/>
                <w:vertAlign w:val="superscript"/>
              </w:rPr>
              <w:t>(3)</w:t>
            </w:r>
          </w:p>
        </w:tc>
        <w:tc>
          <w:tcPr>
            <w:tcW w:w="120" w:type="dxa"/>
            <w:vAlign w:val="bottom"/>
            <w:shd w:val="clear" w:color="auto" w:fill="E5FFFF"/>
          </w:tcPr>
          <w:p>
            <w:pPr>
              <w:spacing w:after="0"/>
              <w:rPr>
                <w:sz w:val="20"/>
                <w:szCs w:val="20"/>
                <w:color w:val="auto"/>
              </w:rPr>
            </w:pP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E5FFFF"/>
          </w:tcPr>
          <w:p>
            <w:pPr>
              <w:spacing w:after="0"/>
              <w:rPr>
                <w:sz w:val="20"/>
                <w:szCs w:val="20"/>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153,600</w:t>
            </w:r>
          </w:p>
        </w:tc>
        <w:tc>
          <w:tcPr>
            <w:tcW w:w="100" w:type="dxa"/>
            <w:vAlign w:val="bottom"/>
            <w:shd w:val="clear" w:color="auto" w:fill="E5FFFF"/>
          </w:tcPr>
          <w:p>
            <w:pPr>
              <w:spacing w:after="0"/>
              <w:rPr>
                <w:sz w:val="20"/>
                <w:szCs w:val="20"/>
                <w:color w:val="auto"/>
              </w:rPr>
            </w:pPr>
          </w:p>
        </w:tc>
        <w:tc>
          <w:tcPr>
            <w:tcW w:w="168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n/a</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0"/>
              </w:rPr>
              <w:t>n/a</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n/a</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16"/>
                <w:szCs w:val="16"/>
                <w:b w:val="1"/>
                <w:bCs w:val="1"/>
                <w:color w:val="auto"/>
              </w:rPr>
              <w:t>2</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Jane Elizabeth*</w:t>
            </w:r>
          </w:p>
        </w:tc>
        <w:tc>
          <w:tcPr>
            <w:tcW w:w="800" w:type="dxa"/>
            <w:vAlign w:val="bottom"/>
          </w:tcPr>
          <w:p>
            <w:pPr>
              <w:ind w:left="240"/>
              <w:spacing w:after="0"/>
              <w:rPr>
                <w:sz w:val="20"/>
                <w:szCs w:val="20"/>
                <w:color w:val="auto"/>
              </w:rPr>
            </w:pPr>
            <w:r>
              <w:rPr>
                <w:rFonts w:ascii="Arial" w:cs="Arial" w:eastAsia="Arial" w:hAnsi="Arial"/>
                <w:sz w:val="16"/>
                <w:szCs w:val="16"/>
                <w:color w:val="auto"/>
              </w:rPr>
              <w:t>2006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(4)</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Steam</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2024</w:t>
            </w:r>
          </w:p>
        </w:tc>
        <w:tc>
          <w:tcPr>
            <w:tcW w:w="100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(4)</w:t>
            </w:r>
          </w:p>
        </w:tc>
        <w:tc>
          <w:tcPr>
            <w:tcW w:w="0" w:type="dxa"/>
            <w:vAlign w:val="bottom"/>
          </w:tcPr>
          <w:p>
            <w:pPr>
              <w:spacing w:after="0"/>
              <w:rPr>
                <w:sz w:val="1"/>
                <w:szCs w:val="1"/>
                <w:color w:val="auto"/>
              </w:rPr>
            </w:pPr>
          </w:p>
        </w:tc>
      </w:tr>
      <w:tr>
        <w:trPr>
          <w:trHeight w:val="192"/>
        </w:trPr>
        <w:tc>
          <w:tcPr>
            <w:tcW w:w="200" w:type="dxa"/>
            <w:vAlign w:val="bottom"/>
            <w:shd w:val="clear" w:color="auto" w:fill="E5FFFF"/>
          </w:tcPr>
          <w:p>
            <w:pPr>
              <w:spacing w:after="0"/>
              <w:rPr>
                <w:sz w:val="16"/>
                <w:szCs w:val="16"/>
                <w:color w:val="auto"/>
              </w:rPr>
            </w:pPr>
          </w:p>
        </w:tc>
        <w:tc>
          <w:tcPr>
            <w:tcW w:w="286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Energy Trading</w:t>
            </w:r>
          </w:p>
        </w:tc>
        <w:tc>
          <w:tcPr>
            <w:tcW w:w="13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58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0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3</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Seattle*</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E5FFFF"/>
          </w:tcPr>
          <w:p>
            <w:pPr>
              <w:spacing w:after="0"/>
              <w:rPr>
                <w:sz w:val="22"/>
                <w:szCs w:val="22"/>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00" w:type="dxa"/>
            <w:vAlign w:val="bottom"/>
            <w:shd w:val="clear" w:color="auto" w:fill="E5FFFF"/>
          </w:tcPr>
          <w:p>
            <w:pPr>
              <w:spacing w:after="0"/>
              <w:rPr>
                <w:sz w:val="22"/>
                <w:szCs w:val="22"/>
                <w:color w:val="auto"/>
              </w:rPr>
            </w:pPr>
          </w:p>
        </w:tc>
        <w:tc>
          <w:tcPr>
            <w:tcW w:w="1680" w:type="dxa"/>
            <w:vAlign w:val="bottom"/>
            <w:gridSpan w:val="2"/>
            <w:shd w:val="clear" w:color="auto" w:fill="E5FFFF"/>
          </w:tcPr>
          <w:p>
            <w:pPr>
              <w:jc w:val="center"/>
              <w:ind w:right="100"/>
              <w:spacing w:after="0" w:line="253" w:lineRule="exact"/>
              <w:rPr>
                <w:sz w:val="20"/>
                <w:szCs w:val="20"/>
                <w:color w:val="auto"/>
              </w:rPr>
            </w:pPr>
            <w:r>
              <w:rPr>
                <w:rFonts w:ascii="Arial" w:cs="Arial" w:eastAsia="Arial" w:hAnsi="Arial"/>
                <w:sz w:val="16"/>
                <w:szCs w:val="16"/>
                <w:color w:val="auto"/>
                <w:w w:val="87"/>
              </w:rPr>
              <w:t xml:space="preserve">Company </w:t>
            </w:r>
            <w:r>
              <w:rPr>
                <w:rFonts w:ascii="Arial" w:cs="Arial" w:eastAsia="Arial" w:hAnsi="Arial"/>
                <w:sz w:val="26"/>
                <w:szCs w:val="26"/>
                <w:color w:val="auto"/>
                <w:w w:val="87"/>
                <w:vertAlign w:val="superscript"/>
              </w:rPr>
              <w:t>(5)</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March 2024</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3"/>
        </w:trPr>
        <w:tc>
          <w:tcPr>
            <w:tcW w:w="200" w:type="dxa"/>
            <w:vAlign w:val="bottom"/>
            <w:vMerge w:val="restart"/>
          </w:tcPr>
          <w:p>
            <w:pPr>
              <w:spacing w:after="0"/>
              <w:rPr>
                <w:sz w:val="20"/>
                <w:szCs w:val="20"/>
                <w:color w:val="auto"/>
              </w:rPr>
            </w:pPr>
            <w:r>
              <w:rPr>
                <w:rFonts w:ascii="Arial" w:cs="Arial" w:eastAsia="Arial" w:hAnsi="Arial"/>
                <w:sz w:val="16"/>
                <w:szCs w:val="16"/>
                <w:b w:val="1"/>
                <w:bCs w:val="1"/>
                <w:color w:val="auto"/>
              </w:rPr>
              <w:t>4</w:t>
            </w:r>
          </w:p>
        </w:tc>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Multinational Oil and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(6)</w:t>
            </w:r>
          </w:p>
        </w:tc>
        <w:tc>
          <w:tcPr>
            <w:tcW w:w="0" w:type="dxa"/>
            <w:vAlign w:val="bottom"/>
          </w:tcPr>
          <w:p>
            <w:pPr>
              <w:spacing w:after="0"/>
              <w:rPr>
                <w:sz w:val="1"/>
                <w:szCs w:val="1"/>
                <w:color w:val="auto"/>
              </w:rPr>
            </w:pPr>
          </w:p>
        </w:tc>
      </w:tr>
      <w:tr>
        <w:trPr>
          <w:trHeight w:val="212"/>
        </w:trPr>
        <w:tc>
          <w:tcPr>
            <w:tcW w:w="200" w:type="dxa"/>
            <w:vAlign w:val="bottom"/>
            <w:vMerge w:val="continue"/>
          </w:tcPr>
          <w:p>
            <w:pPr>
              <w:spacing w:after="0"/>
              <w:rPr>
                <w:sz w:val="18"/>
                <w:szCs w:val="18"/>
                <w:color w:val="auto"/>
              </w:rPr>
            </w:pP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Savannah</w:t>
            </w:r>
          </w:p>
        </w:tc>
        <w:tc>
          <w:tcPr>
            <w:tcW w:w="800" w:type="dxa"/>
            <w:vAlign w:val="bottom"/>
          </w:tcPr>
          <w:p>
            <w:pPr>
              <w:ind w:left="2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0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Gas Company</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2024</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5</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Alison Victoria*</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2007</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6"/>
              </w:rPr>
              <w:t>CNTIC VPower</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Steam</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October 2024</w:t>
            </w:r>
          </w:p>
        </w:tc>
        <w:tc>
          <w:tcPr>
            <w:tcW w:w="10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4"/>
              </w:rPr>
              <w:t xml:space="preserve">2025 </w:t>
            </w:r>
            <w:r>
              <w:rPr>
                <w:rFonts w:ascii="Arial" w:cs="Arial" w:eastAsia="Arial" w:hAnsi="Arial"/>
                <w:sz w:val="26"/>
                <w:szCs w:val="26"/>
                <w:color w:val="auto"/>
                <w:w w:val="84"/>
                <w:vertAlign w:val="superscript"/>
              </w:rPr>
              <w:t>(7)</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16"/>
                <w:szCs w:val="16"/>
                <w:b w:val="1"/>
                <w:bCs w:val="1"/>
                <w:color w:val="auto"/>
              </w:rPr>
              <w:t>6</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Greece*</w:t>
            </w:r>
          </w:p>
        </w:tc>
        <w:tc>
          <w:tcPr>
            <w:tcW w:w="800" w:type="dxa"/>
            <w:vAlign w:val="bottom"/>
          </w:tcPr>
          <w:p>
            <w:pPr>
              <w:ind w:left="2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2026</w:t>
            </w:r>
          </w:p>
        </w:tc>
        <w:tc>
          <w:tcPr>
            <w:tcW w:w="100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16"/>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7</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Methane Rita Andrea*</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2006</w:t>
            </w: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0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Asian LNG buyer</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Steam</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March 2026</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r>
              <w:rPr>
                <w:rFonts w:ascii="Arial" w:cs="Arial" w:eastAsia="Arial" w:hAnsi="Arial"/>
                <w:sz w:val="16"/>
                <w:szCs w:val="16"/>
                <w:b w:val="1"/>
                <w:bCs w:val="1"/>
                <w:color w:val="auto"/>
              </w:rPr>
              <w:t>8</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Santiago*</w:t>
            </w:r>
          </w:p>
        </w:tc>
        <w:tc>
          <w:tcPr>
            <w:tcW w:w="800" w:type="dxa"/>
            <w:vAlign w:val="bottom"/>
          </w:tcPr>
          <w:p>
            <w:pPr>
              <w:ind w:left="240"/>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line="233" w:lineRule="exact"/>
              <w:rPr>
                <w:sz w:val="20"/>
                <w:szCs w:val="20"/>
                <w:color w:val="auto"/>
              </w:rPr>
            </w:pPr>
            <w:r>
              <w:rPr>
                <w:rFonts w:ascii="Arial" w:cs="Arial" w:eastAsia="Arial" w:hAnsi="Arial"/>
                <w:sz w:val="16"/>
                <w:szCs w:val="16"/>
                <w:color w:val="auto"/>
                <w:w w:val="91"/>
              </w:rPr>
              <w:t xml:space="preserve">Trafigura </w:t>
            </w:r>
            <w:r>
              <w:rPr>
                <w:rFonts w:ascii="Arial" w:cs="Arial" w:eastAsia="Arial" w:hAnsi="Arial"/>
                <w:sz w:val="26"/>
                <w:szCs w:val="26"/>
                <w:color w:val="auto"/>
                <w:w w:val="91"/>
                <w:vertAlign w:val="superscript"/>
              </w:rPr>
              <w:t>(9)</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December 2023</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Major Energy</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4"/>
              </w:rPr>
              <w:t xml:space="preserve">2027 </w:t>
            </w:r>
            <w:r>
              <w:rPr>
                <w:rFonts w:ascii="Arial" w:cs="Arial" w:eastAsia="Arial" w:hAnsi="Arial"/>
                <w:sz w:val="26"/>
                <w:szCs w:val="26"/>
                <w:color w:val="auto"/>
                <w:w w:val="84"/>
                <w:vertAlign w:val="superscript"/>
              </w:rPr>
              <w:t>(10)</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Exploration Company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2026</w:t>
            </w: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9</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Glasgow*</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2026</w:t>
            </w:r>
          </w:p>
        </w:tc>
        <w:tc>
          <w:tcPr>
            <w:tcW w:w="10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16"/>
                <w:szCs w:val="16"/>
                <w:b w:val="1"/>
                <w:bCs w:val="1"/>
                <w:color w:val="auto"/>
              </w:rPr>
              <w:t>10</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Genoa</w:t>
            </w:r>
          </w:p>
        </w:tc>
        <w:tc>
          <w:tcPr>
            <w:tcW w:w="800" w:type="dxa"/>
            <w:vAlign w:val="bottom"/>
          </w:tcPr>
          <w:p>
            <w:pPr>
              <w:ind w:left="2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2027</w:t>
            </w:r>
          </w:p>
        </w:tc>
        <w:tc>
          <w:tcPr>
            <w:tcW w:w="100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2030-2033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11</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Windsor</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86"/>
              </w:rPr>
              <w:t xml:space="preserve">Centrica </w:t>
            </w:r>
            <w:r>
              <w:rPr>
                <w:rFonts w:ascii="Arial" w:cs="Arial" w:eastAsia="Arial" w:hAnsi="Arial"/>
                <w:sz w:val="26"/>
                <w:szCs w:val="26"/>
                <w:color w:val="auto"/>
                <w:w w:val="86"/>
                <w:vertAlign w:val="superscript"/>
              </w:rPr>
              <w:t>(11)</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7"/>
              </w:rPr>
              <w:t>April 2027</w:t>
            </w:r>
          </w:p>
        </w:tc>
        <w:tc>
          <w:tcPr>
            <w:tcW w:w="10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5"/>
              </w:rPr>
              <w:t xml:space="preserve">2029-2033 </w:t>
            </w:r>
            <w:r>
              <w:rPr>
                <w:rFonts w:ascii="Arial" w:cs="Arial" w:eastAsia="Arial" w:hAnsi="Arial"/>
                <w:sz w:val="26"/>
                <w:szCs w:val="26"/>
                <w:color w:val="auto"/>
                <w:w w:val="85"/>
                <w:vertAlign w:val="superscript"/>
              </w:rPr>
              <w:t>(11)</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16"/>
                <w:szCs w:val="16"/>
                <w:b w:val="1"/>
                <w:bCs w:val="1"/>
                <w:color w:val="auto"/>
              </w:rPr>
              <w:t>12</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Westminster</w:t>
            </w:r>
          </w:p>
        </w:tc>
        <w:tc>
          <w:tcPr>
            <w:tcW w:w="800" w:type="dxa"/>
            <w:vAlign w:val="bottom"/>
          </w:tcPr>
          <w:p>
            <w:pPr>
              <w:ind w:left="2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Centrica</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July 2027</w:t>
            </w:r>
          </w:p>
        </w:tc>
        <w:tc>
          <w:tcPr>
            <w:tcW w:w="1000" w:type="dxa"/>
            <w:vAlign w:val="bottom"/>
          </w:tcPr>
          <w:p>
            <w:pPr>
              <w:jc w:val="center"/>
              <w:spacing w:after="0" w:line="243" w:lineRule="exact"/>
              <w:rPr>
                <w:sz w:val="20"/>
                <w:szCs w:val="20"/>
                <w:color w:val="auto"/>
              </w:rPr>
            </w:pPr>
            <w:r>
              <w:rPr>
                <w:rFonts w:ascii="Arial" w:cs="Arial" w:eastAsia="Arial" w:hAnsi="Arial"/>
                <w:sz w:val="16"/>
                <w:szCs w:val="16"/>
                <w:color w:val="auto"/>
                <w:w w:val="85"/>
              </w:rPr>
              <w:t xml:space="preserve">2029-2033 </w:t>
            </w:r>
            <w:r>
              <w:rPr>
                <w:rFonts w:ascii="Arial" w:cs="Arial" w:eastAsia="Arial" w:hAnsi="Arial"/>
                <w:sz w:val="26"/>
                <w:szCs w:val="26"/>
                <w:color w:val="auto"/>
                <w:w w:val="85"/>
                <w:vertAlign w:val="superscript"/>
              </w:rPr>
              <w:t>(11)</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13</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Georgetown</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2020</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Cheniere</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November 2027</w:t>
            </w:r>
          </w:p>
        </w:tc>
        <w:tc>
          <w:tcPr>
            <w:tcW w:w="10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8"/>
              </w:rPr>
              <w:t xml:space="preserve">2030-2034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16"/>
                <w:szCs w:val="16"/>
                <w:b w:val="1"/>
                <w:bCs w:val="1"/>
                <w:color w:val="auto"/>
              </w:rPr>
              <w:t>14</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Galveston</w:t>
            </w:r>
          </w:p>
        </w:tc>
        <w:tc>
          <w:tcPr>
            <w:tcW w:w="800" w:type="dxa"/>
            <w:vAlign w:val="bottom"/>
          </w:tcPr>
          <w:p>
            <w:pPr>
              <w:ind w:left="2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Cheniere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2028</w:t>
            </w:r>
          </w:p>
        </w:tc>
        <w:tc>
          <w:tcPr>
            <w:tcW w:w="100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15</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Wellington</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Cheniere</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2028</w:t>
            </w:r>
          </w:p>
        </w:tc>
        <w:tc>
          <w:tcPr>
            <w:tcW w:w="10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16"/>
                <w:szCs w:val="16"/>
                <w:b w:val="1"/>
                <w:bCs w:val="1"/>
                <w:color w:val="auto"/>
              </w:rPr>
              <w:t>16</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Winchester</w:t>
            </w:r>
          </w:p>
        </w:tc>
        <w:tc>
          <w:tcPr>
            <w:tcW w:w="800" w:type="dxa"/>
            <w:vAlign w:val="bottom"/>
          </w:tcPr>
          <w:p>
            <w:pPr>
              <w:ind w:left="2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Cheniere</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August 2028</w:t>
            </w:r>
          </w:p>
        </w:tc>
        <w:tc>
          <w:tcPr>
            <w:tcW w:w="1000" w:type="dxa"/>
            <w:vAlign w:val="bottom"/>
          </w:tcPr>
          <w:p>
            <w:pPr>
              <w:jc w:val="center"/>
              <w:spacing w:after="0" w:line="243" w:lineRule="exact"/>
              <w:rPr>
                <w:sz w:val="20"/>
                <w:szCs w:val="20"/>
                <w:color w:val="auto"/>
              </w:rPr>
            </w:pPr>
            <w:r>
              <w:rPr>
                <w:rFonts w:ascii="Arial" w:cs="Arial" w:eastAsia="Arial" w:hAnsi="Arial"/>
                <w:sz w:val="16"/>
                <w:szCs w:val="16"/>
                <w:color w:val="auto"/>
                <w:w w:val="88"/>
              </w:rPr>
              <w:t xml:space="preserve">2031-2035 </w:t>
            </w:r>
            <w:r>
              <w:rPr>
                <w:rFonts w:ascii="Arial" w:cs="Arial" w:eastAsia="Arial" w:hAnsi="Arial"/>
                <w:sz w:val="26"/>
                <w:szCs w:val="26"/>
                <w:color w:val="auto"/>
                <w:w w:val="88"/>
                <w:vertAlign w:val="superscript"/>
              </w:rPr>
              <w:t>(6)</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17</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Geneva*</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2016</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September 2028</w:t>
            </w:r>
          </w:p>
        </w:tc>
        <w:tc>
          <w:tcPr>
            <w:tcW w:w="10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0"/>
                <w:szCs w:val="20"/>
                <w:color w:val="auto"/>
              </w:rPr>
            </w:pPr>
            <w:r>
              <w:rPr>
                <w:rFonts w:ascii="Arial" w:cs="Arial" w:eastAsia="Arial" w:hAnsi="Arial"/>
                <w:sz w:val="16"/>
                <w:szCs w:val="16"/>
                <w:b w:val="1"/>
                <w:bCs w:val="1"/>
                <w:color w:val="auto"/>
              </w:rPr>
              <w:t>18</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Gibraltar*</w:t>
            </w:r>
          </w:p>
        </w:tc>
        <w:tc>
          <w:tcPr>
            <w:tcW w:w="800" w:type="dxa"/>
            <w:vAlign w:val="bottom"/>
          </w:tcPr>
          <w:p>
            <w:pPr>
              <w:ind w:left="2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2028</w:t>
            </w:r>
          </w:p>
        </w:tc>
        <w:tc>
          <w:tcPr>
            <w:tcW w:w="100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2031 </w:t>
            </w:r>
            <w:r>
              <w:rPr>
                <w:rFonts w:ascii="Arial" w:cs="Arial" w:eastAsia="Arial" w:hAnsi="Arial"/>
                <w:sz w:val="26"/>
                <w:szCs w:val="26"/>
                <w:color w:val="auto"/>
                <w:w w:val="84"/>
                <w:vertAlign w:val="superscript"/>
              </w:rPr>
              <w:t>(8)</w:t>
            </w:r>
          </w:p>
        </w:tc>
        <w:tc>
          <w:tcPr>
            <w:tcW w:w="0" w:type="dxa"/>
            <w:vAlign w:val="bottom"/>
          </w:tcPr>
          <w:p>
            <w:pPr>
              <w:spacing w:after="0"/>
              <w:rPr>
                <w:sz w:val="1"/>
                <w:szCs w:val="1"/>
                <w:color w:val="auto"/>
              </w:rPr>
            </w:pPr>
          </w:p>
        </w:tc>
      </w:tr>
      <w:tr>
        <w:trPr>
          <w:trHeight w:val="243"/>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19</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Gladstone</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E5FFFF"/>
          </w:tcPr>
          <w:p>
            <w:pPr>
              <w:jc w:val="center"/>
              <w:ind w:right="60"/>
              <w:spacing w:after="0"/>
              <w:rPr>
                <w:sz w:val="20"/>
                <w:szCs w:val="20"/>
                <w:color w:val="auto"/>
              </w:rPr>
            </w:pPr>
            <w:r>
              <w:rPr>
                <w:rFonts w:ascii="Arial" w:cs="Arial" w:eastAsia="Arial" w:hAnsi="Arial"/>
                <w:sz w:val="16"/>
                <w:szCs w:val="16"/>
                <w:color w:val="auto"/>
                <w:w w:val="88"/>
              </w:rPr>
              <w:t>January 2029</w:t>
            </w:r>
          </w:p>
        </w:tc>
        <w:tc>
          <w:tcPr>
            <w:tcW w:w="100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8"/>
              </w:rPr>
              <w:t xml:space="preserve">2032-2035 </w:t>
            </w:r>
            <w:r>
              <w:rPr>
                <w:rFonts w:ascii="Arial" w:cs="Arial" w:eastAsia="Arial" w:hAnsi="Arial"/>
                <w:sz w:val="26"/>
                <w:szCs w:val="26"/>
                <w:color w:val="auto"/>
                <w:w w:val="88"/>
                <w:vertAlign w:val="superscript"/>
              </w:rPr>
              <w:t>(8)</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20"/>
                <w:szCs w:val="20"/>
                <w:color w:val="auto"/>
              </w:rPr>
            </w:pPr>
            <w:r>
              <w:rPr>
                <w:rFonts w:ascii="Arial" w:cs="Arial" w:eastAsia="Arial" w:hAnsi="Arial"/>
                <w:sz w:val="16"/>
                <w:szCs w:val="16"/>
                <w:b w:val="1"/>
                <w:bCs w:val="1"/>
                <w:color w:val="auto"/>
              </w:rPr>
              <w:t>20</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Methane Becki Anne*</w:t>
            </w:r>
          </w:p>
        </w:tc>
        <w:tc>
          <w:tcPr>
            <w:tcW w:w="800" w:type="dxa"/>
            <w:vAlign w:val="bottom"/>
          </w:tcPr>
          <w:p>
            <w:pPr>
              <w:ind w:left="240"/>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170,000</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Shell</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2029</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6"/>
        </w:trPr>
        <w:tc>
          <w:tcPr>
            <w:tcW w:w="2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21</w:t>
            </w: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Warsaw</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E5FFFF"/>
          </w:tcPr>
          <w:p>
            <w:pPr>
              <w:spacing w:after="0"/>
              <w:rPr>
                <w:sz w:val="21"/>
                <w:szCs w:val="21"/>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shd w:val="clear" w:color="auto" w:fill="E5FFFF"/>
          </w:tcPr>
          <w:p>
            <w:pPr>
              <w:spacing w:after="0"/>
              <w:rPr>
                <w:sz w:val="21"/>
                <w:szCs w:val="21"/>
                <w:color w:val="auto"/>
              </w:rPr>
            </w:pPr>
          </w:p>
        </w:tc>
        <w:tc>
          <w:tcPr>
            <w:tcW w:w="1680" w:type="dxa"/>
            <w:vAlign w:val="bottom"/>
            <w:gridSpan w:val="2"/>
            <w:shd w:val="clear" w:color="auto" w:fill="E5FFFF"/>
          </w:tcPr>
          <w:p>
            <w:pPr>
              <w:jc w:val="center"/>
              <w:ind w:right="100"/>
              <w:spacing w:after="0" w:line="246" w:lineRule="exact"/>
              <w:rPr>
                <w:sz w:val="20"/>
                <w:szCs w:val="20"/>
                <w:color w:val="auto"/>
              </w:rPr>
            </w:pPr>
            <w:r>
              <w:rPr>
                <w:rFonts w:ascii="Arial" w:cs="Arial" w:eastAsia="Arial" w:hAnsi="Arial"/>
                <w:sz w:val="16"/>
                <w:szCs w:val="16"/>
                <w:color w:val="auto"/>
                <w:w w:val="82"/>
              </w:rPr>
              <w:t xml:space="preserve">Endesa </w:t>
            </w:r>
            <w:r>
              <w:rPr>
                <w:rFonts w:ascii="Arial" w:cs="Arial" w:eastAsia="Arial" w:hAnsi="Arial"/>
                <w:sz w:val="26"/>
                <w:szCs w:val="26"/>
                <w:color w:val="auto"/>
                <w:w w:val="82"/>
                <w:vertAlign w:val="superscript"/>
              </w:rPr>
              <w:t>(12)</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3"/>
              </w:rPr>
              <w:t>May 2029</w:t>
            </w:r>
          </w:p>
        </w:tc>
        <w:tc>
          <w:tcPr>
            <w:tcW w:w="1000" w:type="dxa"/>
            <w:vAlign w:val="bottom"/>
            <w:shd w:val="clear" w:color="auto" w:fill="E5FFFF"/>
          </w:tcPr>
          <w:p>
            <w:pPr>
              <w:jc w:val="center"/>
              <w:spacing w:after="0" w:line="246" w:lineRule="exact"/>
              <w:rPr>
                <w:sz w:val="20"/>
                <w:szCs w:val="20"/>
                <w:color w:val="auto"/>
              </w:rPr>
            </w:pPr>
            <w:r>
              <w:rPr>
                <w:rFonts w:ascii="Arial" w:cs="Arial" w:eastAsia="Arial" w:hAnsi="Arial"/>
                <w:sz w:val="16"/>
                <w:szCs w:val="16"/>
                <w:color w:val="auto"/>
                <w:w w:val="85"/>
              </w:rPr>
              <w:t xml:space="preserve">2035-2041 </w:t>
            </w:r>
            <w:r>
              <w:rPr>
                <w:rFonts w:ascii="Arial" w:cs="Arial" w:eastAsia="Arial" w:hAnsi="Arial"/>
                <w:sz w:val="26"/>
                <w:szCs w:val="26"/>
                <w:color w:val="auto"/>
                <w:w w:val="85"/>
                <w:vertAlign w:val="superscript"/>
              </w:rPr>
              <w:t>(12)</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20"/>
                <w:szCs w:val="20"/>
                <w:color w:val="auto"/>
              </w:rPr>
            </w:pPr>
            <w:r>
              <w:rPr>
                <w:rFonts w:ascii="Arial" w:cs="Arial" w:eastAsia="Arial" w:hAnsi="Arial"/>
                <w:sz w:val="16"/>
                <w:szCs w:val="16"/>
                <w:b w:val="1"/>
                <w:bCs w:val="1"/>
                <w:color w:val="auto"/>
              </w:rPr>
              <w:t>22</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Solaris*</w:t>
            </w:r>
          </w:p>
        </w:tc>
        <w:tc>
          <w:tcPr>
            <w:tcW w:w="800" w:type="dxa"/>
            <w:vAlign w:val="bottom"/>
          </w:tcPr>
          <w:p>
            <w:pPr>
              <w:ind w:left="240"/>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Kansai</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April 2030</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5"/>
        </w:trPr>
        <w:tc>
          <w:tcPr>
            <w:tcW w:w="200" w:type="dxa"/>
            <w:vAlign w:val="bottom"/>
            <w:vMerge w:val="restart"/>
            <w:shd w:val="clear" w:color="auto" w:fill="E5FFFF"/>
          </w:tcPr>
          <w:p>
            <w:pPr>
              <w:spacing w:after="0"/>
              <w:rPr>
                <w:sz w:val="20"/>
                <w:szCs w:val="20"/>
                <w:color w:val="auto"/>
              </w:rPr>
            </w:pPr>
            <w:r>
              <w:rPr>
                <w:rFonts w:ascii="Arial" w:cs="Arial" w:eastAsia="Arial" w:hAnsi="Arial"/>
                <w:sz w:val="16"/>
                <w:szCs w:val="16"/>
                <w:b w:val="1"/>
                <w:bCs w:val="1"/>
                <w:color w:val="auto"/>
              </w:rPr>
              <w:t>23</w:t>
            </w:r>
          </w:p>
        </w:tc>
        <w:tc>
          <w:tcPr>
            <w:tcW w:w="28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0"/>
              </w:rPr>
              <w:t>NFE Transport Partners</w:t>
            </w: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5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0" w:type="dxa"/>
            <w:vAlign w:val="bottom"/>
            <w:vMerge w:val="continue"/>
            <w:shd w:val="clear" w:color="auto" w:fill="E5FFFF"/>
          </w:tcPr>
          <w:p>
            <w:pPr>
              <w:spacing w:after="0"/>
              <w:rPr>
                <w:sz w:val="18"/>
                <w:szCs w:val="18"/>
                <w:color w:val="auto"/>
              </w:rPr>
            </w:pPr>
          </w:p>
        </w:tc>
        <w:tc>
          <w:tcPr>
            <w:tcW w:w="2980" w:type="dxa"/>
            <w:vAlign w:val="bottom"/>
            <w:gridSpan w:val="2"/>
            <w:shd w:val="clear" w:color="auto" w:fill="E5FFFF"/>
          </w:tcPr>
          <w:p>
            <w:pPr>
              <w:ind w:left="40"/>
              <w:spacing w:after="0"/>
              <w:rPr>
                <w:sz w:val="20"/>
                <w:szCs w:val="20"/>
                <w:color w:val="auto"/>
              </w:rPr>
            </w:pPr>
            <w:r>
              <w:rPr>
                <w:rFonts w:ascii="Arial" w:cs="Arial" w:eastAsia="Arial" w:hAnsi="Arial"/>
                <w:sz w:val="16"/>
                <w:szCs w:val="16"/>
                <w:i w:val="1"/>
                <w:iCs w:val="1"/>
                <w:color w:val="auto"/>
              </w:rPr>
              <w:t>GasLog Singapore</w:t>
            </w:r>
          </w:p>
        </w:tc>
        <w:tc>
          <w:tcPr>
            <w:tcW w:w="800" w:type="dxa"/>
            <w:vAlign w:val="bottom"/>
            <w:shd w:val="clear" w:color="auto" w:fill="E5FFFF"/>
          </w:tcPr>
          <w:p>
            <w:pPr>
              <w:ind w:left="240"/>
              <w:spacing w:after="0"/>
              <w:rPr>
                <w:sz w:val="20"/>
                <w:szCs w:val="20"/>
                <w:color w:val="auto"/>
              </w:rPr>
            </w:pPr>
            <w:r>
              <w:rPr>
                <w:rFonts w:ascii="Arial" w:cs="Arial" w:eastAsia="Arial" w:hAnsi="Arial"/>
                <w:sz w:val="16"/>
                <w:szCs w:val="16"/>
                <w:color w:val="auto"/>
              </w:rPr>
              <w:t>2010</w:t>
            </w:r>
          </w:p>
        </w:tc>
        <w:tc>
          <w:tcPr>
            <w:tcW w:w="120" w:type="dxa"/>
            <w:vAlign w:val="bottom"/>
            <w:shd w:val="clear" w:color="auto" w:fill="E5FFFF"/>
          </w:tcPr>
          <w:p>
            <w:pPr>
              <w:spacing w:after="0"/>
              <w:rPr>
                <w:sz w:val="18"/>
                <w:szCs w:val="18"/>
                <w:color w:val="auto"/>
              </w:rPr>
            </w:pPr>
          </w:p>
        </w:tc>
        <w:tc>
          <w:tcPr>
            <w:tcW w:w="12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00" w:type="dxa"/>
            <w:vAlign w:val="bottom"/>
            <w:shd w:val="clear" w:color="auto" w:fill="E5FFFF"/>
          </w:tcPr>
          <w:p>
            <w:pPr>
              <w:spacing w:after="0"/>
              <w:rPr>
                <w:sz w:val="18"/>
                <w:szCs w:val="18"/>
                <w:color w:val="auto"/>
              </w:rPr>
            </w:pP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LLC</w:t>
            </w:r>
          </w:p>
        </w:tc>
        <w:tc>
          <w:tcPr>
            <w:tcW w:w="144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rPr>
              <w:t>TFDE</w:t>
            </w:r>
          </w:p>
        </w:tc>
        <w:tc>
          <w:tcPr>
            <w:tcW w:w="16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8"/>
              </w:rPr>
              <w:t>June 2030</w:t>
            </w: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53"/>
        </w:trPr>
        <w:tc>
          <w:tcPr>
            <w:tcW w:w="200" w:type="dxa"/>
            <w:vAlign w:val="bottom"/>
          </w:tcPr>
          <w:p>
            <w:pPr>
              <w:spacing w:after="0"/>
              <w:rPr>
                <w:sz w:val="20"/>
                <w:szCs w:val="20"/>
                <w:color w:val="auto"/>
              </w:rPr>
            </w:pPr>
            <w:r>
              <w:rPr>
                <w:rFonts w:ascii="Arial" w:cs="Arial" w:eastAsia="Arial" w:hAnsi="Arial"/>
                <w:sz w:val="16"/>
                <w:szCs w:val="16"/>
                <w:b w:val="1"/>
                <w:bCs w:val="1"/>
                <w:color w:val="auto"/>
              </w:rPr>
              <w:t>24</w:t>
            </w:r>
          </w:p>
        </w:tc>
        <w:tc>
          <w:tcPr>
            <w:tcW w:w="2980" w:type="dxa"/>
            <w:vAlign w:val="bottom"/>
            <w:gridSpan w:val="2"/>
          </w:tcPr>
          <w:p>
            <w:pPr>
              <w:ind w:left="40"/>
              <w:spacing w:after="0"/>
              <w:rPr>
                <w:sz w:val="20"/>
                <w:szCs w:val="20"/>
                <w:color w:val="auto"/>
              </w:rPr>
            </w:pPr>
            <w:r>
              <w:rPr>
                <w:rFonts w:ascii="Arial" w:cs="Arial" w:eastAsia="Arial" w:hAnsi="Arial"/>
                <w:sz w:val="16"/>
                <w:szCs w:val="16"/>
                <w:i w:val="1"/>
                <w:iCs w:val="1"/>
                <w:color w:val="auto"/>
              </w:rPr>
              <w:t>GasLog Wales</w:t>
            </w:r>
          </w:p>
        </w:tc>
        <w:tc>
          <w:tcPr>
            <w:tcW w:w="800" w:type="dxa"/>
            <w:vAlign w:val="bottom"/>
          </w:tcPr>
          <w:p>
            <w:pPr>
              <w:ind w:left="2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180,000</w:t>
            </w: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1"/>
              </w:rPr>
              <w:t xml:space="preserve">Jera </w:t>
            </w:r>
            <w:r>
              <w:rPr>
                <w:rFonts w:ascii="Arial" w:cs="Arial" w:eastAsia="Arial" w:hAnsi="Arial"/>
                <w:sz w:val="26"/>
                <w:szCs w:val="26"/>
                <w:color w:val="auto"/>
                <w:w w:val="81"/>
                <w:vertAlign w:val="superscript"/>
              </w:rPr>
              <w:t>(13)</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color w:val="auto"/>
              </w:rPr>
              <w:t>X-DF</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March 2032</w:t>
            </w:r>
          </w:p>
        </w:tc>
        <w:tc>
          <w:tcPr>
            <w:tcW w:w="1000" w:type="dxa"/>
            <w:vAlign w:val="bottom"/>
          </w:tcPr>
          <w:p>
            <w:pPr>
              <w:jc w:val="center"/>
              <w:spacing w:after="0"/>
              <w:rPr>
                <w:sz w:val="20"/>
                <w:szCs w:val="20"/>
                <w:color w:val="auto"/>
              </w:rPr>
            </w:pPr>
            <w:r>
              <w:rPr>
                <w:rFonts w:ascii="Arial" w:cs="Arial" w:eastAsia="Arial" w:hAnsi="Arial"/>
                <w:sz w:val="16"/>
                <w:szCs w:val="16"/>
                <w:color w:val="auto"/>
                <w:w w:val="85"/>
              </w:rPr>
              <w:t xml:space="preserve">2035-2038 </w:t>
            </w:r>
            <w:r>
              <w:rPr>
                <w:rFonts w:ascii="Arial" w:cs="Arial" w:eastAsia="Arial" w:hAnsi="Arial"/>
                <w:sz w:val="26"/>
                <w:szCs w:val="26"/>
                <w:color w:val="auto"/>
                <w:w w:val="85"/>
                <w:vertAlign w:val="superscript"/>
              </w:rPr>
              <w:t>(13)</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Bareboat Vessels</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November 16, 2023, GasLog’s bareboat fleet consisted of the following vessels: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Charter</w:t>
            </w:r>
          </w:p>
        </w:tc>
        <w:tc>
          <w:tcPr>
            <w:tcW w:w="100" w:type="dxa"/>
            <w:vAlign w:val="bottom"/>
          </w:tcPr>
          <w:p>
            <w:pPr>
              <w:spacing w:after="0"/>
              <w:rPr>
                <w:sz w:val="17"/>
                <w:szCs w:val="17"/>
                <w:color w:val="auto"/>
              </w:rPr>
            </w:pPr>
          </w:p>
        </w:tc>
        <w:tc>
          <w:tcPr>
            <w:tcW w:w="10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Optional</w:t>
            </w:r>
          </w:p>
        </w:tc>
        <w:tc>
          <w:tcPr>
            <w:tcW w:w="0" w:type="dxa"/>
            <w:vAlign w:val="bottom"/>
          </w:tcPr>
          <w:p>
            <w:pPr>
              <w:spacing w:after="0"/>
              <w:rPr>
                <w:sz w:val="1"/>
                <w:szCs w:val="1"/>
                <w:color w:val="auto"/>
              </w:rPr>
            </w:pPr>
          </w:p>
        </w:tc>
      </w:tr>
      <w:tr>
        <w:trPr>
          <w:trHeight w:val="163"/>
        </w:trPr>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240"/>
              <w:spacing w:after="0" w:line="163" w:lineRule="exact"/>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4"/>
                <w:szCs w:val="14"/>
                <w:color w:val="auto"/>
              </w:rPr>
            </w:pPr>
          </w:p>
        </w:tc>
        <w:tc>
          <w:tcPr>
            <w:tcW w:w="122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w w:val="92"/>
              </w:rPr>
              <w:t>Capacity</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2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Vessel Name</w:t>
            </w:r>
          </w:p>
        </w:tc>
        <w:tc>
          <w:tcPr>
            <w:tcW w:w="120" w:type="dxa"/>
            <w:vAlign w:val="bottom"/>
          </w:tcPr>
          <w:p>
            <w:pPr>
              <w:spacing w:after="0"/>
              <w:rPr>
                <w:sz w:val="22"/>
                <w:szCs w:val="22"/>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Built</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(1)</w:t>
            </w:r>
          </w:p>
        </w:tc>
        <w:tc>
          <w:tcPr>
            <w:tcW w:w="100" w:type="dxa"/>
            <w:vAlign w:val="bottom"/>
          </w:tcPr>
          <w:p>
            <w:pPr>
              <w:spacing w:after="0"/>
              <w:rPr>
                <w:sz w:val="22"/>
                <w:szCs w:val="22"/>
                <w:color w:val="auto"/>
              </w:rPr>
            </w:pPr>
          </w:p>
        </w:tc>
        <w:tc>
          <w:tcPr>
            <w:tcW w:w="1000" w:type="dxa"/>
            <w:vAlign w:val="bottom"/>
            <w:tcBorders>
              <w:bottom w:val="single" w:sz="8" w:color="auto"/>
            </w:tcBorders>
          </w:tcPr>
          <w:p>
            <w:pPr>
              <w:ind w:left="200"/>
              <w:spacing w:after="0" w:line="256"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210"/>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1</w:t>
            </w:r>
          </w:p>
        </w:tc>
        <w:tc>
          <w:tcPr>
            <w:tcW w:w="288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GasLog Sydney*</w:t>
            </w:r>
          </w:p>
        </w:tc>
        <w:tc>
          <w:tcPr>
            <w:tcW w:w="900" w:type="dxa"/>
            <w:vAlign w:val="bottom"/>
            <w:gridSpan w:val="2"/>
            <w:shd w:val="clear" w:color="auto" w:fill="E5FFFF"/>
          </w:tcPr>
          <w:p>
            <w:pPr>
              <w:ind w:left="360"/>
              <w:spacing w:after="0"/>
              <w:rPr>
                <w:sz w:val="20"/>
                <w:szCs w:val="20"/>
                <w:color w:val="auto"/>
              </w:rPr>
            </w:pPr>
            <w:r>
              <w:rPr>
                <w:rFonts w:ascii="Arial" w:cs="Arial" w:eastAsia="Arial" w:hAnsi="Arial"/>
                <w:sz w:val="16"/>
                <w:szCs w:val="16"/>
                <w:color w:val="auto"/>
              </w:rPr>
              <w:t>2013</w:t>
            </w:r>
          </w:p>
        </w:tc>
        <w:tc>
          <w:tcPr>
            <w:tcW w:w="134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155,000</w:t>
            </w:r>
          </w:p>
        </w:tc>
        <w:tc>
          <w:tcPr>
            <w:tcW w:w="10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Centrica</w:t>
            </w: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May 2024</w:t>
            </w:r>
          </w:p>
        </w:tc>
        <w:tc>
          <w:tcPr>
            <w:tcW w:w="100" w:type="dxa"/>
            <w:vAlign w:val="bottom"/>
            <w:shd w:val="clear" w:color="auto" w:fill="E5FFFF"/>
          </w:tcPr>
          <w:p>
            <w:pPr>
              <w:spacing w:after="0"/>
              <w:rPr>
                <w:sz w:val="18"/>
                <w:szCs w:val="18"/>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2</w:t>
            </w:r>
          </w:p>
        </w:tc>
        <w:tc>
          <w:tcPr>
            <w:tcW w:w="2880" w:type="dxa"/>
            <w:vAlign w:val="bottom"/>
          </w:tcPr>
          <w:p>
            <w:pPr>
              <w:ind w:left="120"/>
              <w:spacing w:after="0"/>
              <w:rPr>
                <w:sz w:val="20"/>
                <w:szCs w:val="20"/>
                <w:color w:val="auto"/>
              </w:rPr>
            </w:pPr>
            <w:r>
              <w:rPr>
                <w:rFonts w:ascii="Arial" w:cs="Arial" w:eastAsia="Arial" w:hAnsi="Arial"/>
                <w:sz w:val="16"/>
                <w:szCs w:val="16"/>
                <w:i w:val="1"/>
                <w:iCs w:val="1"/>
                <w:color w:val="auto"/>
              </w:rPr>
              <w:t>GasLog Skagen</w:t>
            </w:r>
          </w:p>
        </w:tc>
        <w:tc>
          <w:tcPr>
            <w:tcW w:w="900" w:type="dxa"/>
            <w:vAlign w:val="bottom"/>
            <w:gridSpan w:val="2"/>
          </w:tcPr>
          <w:p>
            <w:pPr>
              <w:ind w:left="360"/>
              <w:spacing w:after="0"/>
              <w:rPr>
                <w:sz w:val="20"/>
                <w:szCs w:val="20"/>
                <w:color w:val="auto"/>
              </w:rPr>
            </w:pPr>
            <w:r>
              <w:rPr>
                <w:rFonts w:ascii="Arial" w:cs="Arial" w:eastAsia="Arial" w:hAnsi="Arial"/>
                <w:sz w:val="16"/>
                <w:szCs w:val="16"/>
                <w:color w:val="auto"/>
              </w:rPr>
              <w:t>2013</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155,000</w:t>
            </w:r>
          </w:p>
        </w:tc>
        <w:tc>
          <w:tcPr>
            <w:tcW w:w="100" w:type="dxa"/>
            <w:vAlign w:val="bottom"/>
          </w:tcPr>
          <w:p>
            <w:pPr>
              <w:spacing w:after="0"/>
              <w:rPr>
                <w:sz w:val="21"/>
                <w:szCs w:val="21"/>
                <w:color w:val="auto"/>
              </w:rPr>
            </w:pPr>
          </w:p>
        </w:tc>
        <w:tc>
          <w:tcPr>
            <w:tcW w:w="1580" w:type="dxa"/>
            <w:vAlign w:val="bottom"/>
          </w:tcPr>
          <w:p>
            <w:pPr>
              <w:jc w:val="center"/>
              <w:spacing w:after="0" w:line="243" w:lineRule="exact"/>
              <w:rPr>
                <w:sz w:val="20"/>
                <w:szCs w:val="20"/>
                <w:color w:val="auto"/>
              </w:rPr>
            </w:pPr>
            <w:r>
              <w:rPr>
                <w:rFonts w:ascii="Arial" w:cs="Arial" w:eastAsia="Arial" w:hAnsi="Arial"/>
                <w:sz w:val="16"/>
                <w:szCs w:val="16"/>
                <w:color w:val="auto"/>
                <w:w w:val="91"/>
              </w:rPr>
              <w:t xml:space="preserve">Tokyo LNG </w:t>
            </w:r>
            <w:r>
              <w:rPr>
                <w:rFonts w:ascii="Arial" w:cs="Arial" w:eastAsia="Arial" w:hAnsi="Arial"/>
                <w:sz w:val="26"/>
                <w:szCs w:val="26"/>
                <w:color w:val="auto"/>
                <w:w w:val="91"/>
                <w:vertAlign w:val="superscript"/>
              </w:rPr>
              <w:t>(14)</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2024</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3</w:t>
            </w:r>
          </w:p>
        </w:tc>
        <w:tc>
          <w:tcPr>
            <w:tcW w:w="288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GasLog Saratoga</w:t>
            </w:r>
          </w:p>
        </w:tc>
        <w:tc>
          <w:tcPr>
            <w:tcW w:w="900" w:type="dxa"/>
            <w:vAlign w:val="bottom"/>
            <w:gridSpan w:val="2"/>
            <w:shd w:val="clear" w:color="auto" w:fill="E5FFFF"/>
          </w:tcPr>
          <w:p>
            <w:pPr>
              <w:ind w:left="360"/>
              <w:spacing w:after="0"/>
              <w:rPr>
                <w:sz w:val="20"/>
                <w:szCs w:val="20"/>
                <w:color w:val="auto"/>
              </w:rPr>
            </w:pPr>
            <w:r>
              <w:rPr>
                <w:rFonts w:ascii="Arial" w:cs="Arial" w:eastAsia="Arial" w:hAnsi="Arial"/>
                <w:sz w:val="16"/>
                <w:szCs w:val="16"/>
                <w:color w:val="auto"/>
              </w:rPr>
              <w:t>2014</w:t>
            </w:r>
          </w:p>
        </w:tc>
        <w:tc>
          <w:tcPr>
            <w:tcW w:w="134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155,000</w:t>
            </w:r>
          </w:p>
        </w:tc>
        <w:tc>
          <w:tcPr>
            <w:tcW w:w="10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90"/>
              </w:rPr>
              <w:t xml:space="preserve">Mitsui </w:t>
            </w:r>
            <w:r>
              <w:rPr>
                <w:rFonts w:ascii="Arial" w:cs="Arial" w:eastAsia="Arial" w:hAnsi="Arial"/>
                <w:sz w:val="26"/>
                <w:szCs w:val="26"/>
                <w:color w:val="auto"/>
                <w:w w:val="90"/>
                <w:vertAlign w:val="superscript"/>
              </w:rPr>
              <w:t>(15)</w:t>
            </w:r>
          </w:p>
        </w:tc>
        <w:tc>
          <w:tcPr>
            <w:tcW w:w="10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September 2024</w:t>
            </w:r>
          </w:p>
        </w:tc>
        <w:tc>
          <w:tcPr>
            <w:tcW w:w="100" w:type="dxa"/>
            <w:vAlign w:val="bottom"/>
            <w:shd w:val="clear" w:color="auto" w:fill="E5FFFF"/>
          </w:tcPr>
          <w:p>
            <w:pPr>
              <w:spacing w:after="0"/>
              <w:rPr>
                <w:sz w:val="21"/>
                <w:szCs w:val="21"/>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4</w:t>
            </w:r>
          </w:p>
        </w:tc>
        <w:tc>
          <w:tcPr>
            <w:tcW w:w="2880" w:type="dxa"/>
            <w:vAlign w:val="bottom"/>
          </w:tcPr>
          <w:p>
            <w:pPr>
              <w:ind w:left="120"/>
              <w:spacing w:after="0"/>
              <w:rPr>
                <w:sz w:val="20"/>
                <w:szCs w:val="20"/>
                <w:color w:val="auto"/>
              </w:rPr>
            </w:pPr>
            <w:r>
              <w:rPr>
                <w:rFonts w:ascii="Arial" w:cs="Arial" w:eastAsia="Arial" w:hAnsi="Arial"/>
                <w:sz w:val="16"/>
                <w:szCs w:val="16"/>
                <w:i w:val="1"/>
                <w:iCs w:val="1"/>
                <w:color w:val="auto"/>
              </w:rPr>
              <w:t>GasLog Shanghai*</w:t>
            </w:r>
          </w:p>
        </w:tc>
        <w:tc>
          <w:tcPr>
            <w:tcW w:w="900" w:type="dxa"/>
            <w:vAlign w:val="bottom"/>
            <w:gridSpan w:val="2"/>
          </w:tcPr>
          <w:p>
            <w:pPr>
              <w:ind w:left="360"/>
              <w:spacing w:after="0"/>
              <w:rPr>
                <w:sz w:val="20"/>
                <w:szCs w:val="20"/>
                <w:color w:val="auto"/>
              </w:rPr>
            </w:pPr>
            <w:r>
              <w:rPr>
                <w:rFonts w:ascii="Arial" w:cs="Arial" w:eastAsia="Arial" w:hAnsi="Arial"/>
                <w:sz w:val="16"/>
                <w:szCs w:val="16"/>
                <w:color w:val="auto"/>
              </w:rPr>
              <w:t>2013</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155,000</w:t>
            </w:r>
          </w:p>
        </w:tc>
        <w:tc>
          <w:tcPr>
            <w:tcW w:w="100" w:type="dxa"/>
            <w:vAlign w:val="bottom"/>
          </w:tcPr>
          <w:p>
            <w:pPr>
              <w:spacing w:after="0"/>
              <w:rPr>
                <w:sz w:val="21"/>
                <w:szCs w:val="21"/>
                <w:color w:val="auto"/>
              </w:rPr>
            </w:pPr>
          </w:p>
        </w:tc>
        <w:tc>
          <w:tcPr>
            <w:tcW w:w="158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Woodside </w:t>
            </w:r>
            <w:r>
              <w:rPr>
                <w:rFonts w:ascii="Arial" w:cs="Arial" w:eastAsia="Arial" w:hAnsi="Arial"/>
                <w:sz w:val="26"/>
                <w:szCs w:val="26"/>
                <w:color w:val="auto"/>
                <w:w w:val="84"/>
                <w:vertAlign w:val="superscript"/>
              </w:rPr>
              <w:t>(16)</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March 2025</w:t>
            </w:r>
          </w:p>
        </w:tc>
        <w:tc>
          <w:tcPr>
            <w:tcW w:w="1100" w:type="dxa"/>
            <w:vAlign w:val="bottom"/>
            <w:gridSpan w:val="2"/>
          </w:tcPr>
          <w:p>
            <w:pPr>
              <w:jc w:val="center"/>
              <w:ind w:left="24"/>
              <w:spacing w:after="0" w:line="243" w:lineRule="exact"/>
              <w:rPr>
                <w:sz w:val="20"/>
                <w:szCs w:val="20"/>
                <w:color w:val="auto"/>
              </w:rPr>
            </w:pPr>
            <w:r>
              <w:rPr>
                <w:rFonts w:ascii="Arial" w:cs="Arial" w:eastAsia="Arial" w:hAnsi="Arial"/>
                <w:sz w:val="16"/>
                <w:szCs w:val="16"/>
                <w:color w:val="auto"/>
                <w:w w:val="84"/>
              </w:rPr>
              <w:t xml:space="preserve">2026 </w:t>
            </w:r>
            <w:r>
              <w:rPr>
                <w:rFonts w:ascii="Arial" w:cs="Arial" w:eastAsia="Arial" w:hAnsi="Arial"/>
                <w:sz w:val="26"/>
                <w:szCs w:val="26"/>
                <w:color w:val="auto"/>
                <w:w w:val="84"/>
                <w:vertAlign w:val="superscript"/>
              </w:rPr>
              <w:t>(16)</w:t>
            </w:r>
          </w:p>
        </w:tc>
        <w:tc>
          <w:tcPr>
            <w:tcW w:w="0" w:type="dxa"/>
            <w:vAlign w:val="bottom"/>
          </w:tcPr>
          <w:p>
            <w:pPr>
              <w:spacing w:after="0"/>
              <w:rPr>
                <w:sz w:val="1"/>
                <w:szCs w:val="1"/>
                <w:color w:val="auto"/>
              </w:rPr>
            </w:pPr>
          </w:p>
        </w:tc>
      </w:tr>
      <w:tr>
        <w:trPr>
          <w:trHeight w:val="243"/>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5</w:t>
            </w:r>
          </w:p>
        </w:tc>
        <w:tc>
          <w:tcPr>
            <w:tcW w:w="288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Methane Heather Sally*</w:t>
            </w:r>
          </w:p>
        </w:tc>
        <w:tc>
          <w:tcPr>
            <w:tcW w:w="900" w:type="dxa"/>
            <w:vAlign w:val="bottom"/>
            <w:gridSpan w:val="2"/>
            <w:shd w:val="clear" w:color="auto" w:fill="E5FFFF"/>
          </w:tcPr>
          <w:p>
            <w:pPr>
              <w:ind w:left="360"/>
              <w:spacing w:after="0"/>
              <w:rPr>
                <w:sz w:val="20"/>
                <w:szCs w:val="20"/>
                <w:color w:val="auto"/>
              </w:rPr>
            </w:pPr>
            <w:r>
              <w:rPr>
                <w:rFonts w:ascii="Arial" w:cs="Arial" w:eastAsia="Arial" w:hAnsi="Arial"/>
                <w:sz w:val="16"/>
                <w:szCs w:val="16"/>
                <w:color w:val="auto"/>
              </w:rPr>
              <w:t>2007</w:t>
            </w:r>
          </w:p>
        </w:tc>
        <w:tc>
          <w:tcPr>
            <w:tcW w:w="134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145,000</w:t>
            </w:r>
          </w:p>
        </w:tc>
        <w:tc>
          <w:tcPr>
            <w:tcW w:w="10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7"/>
              </w:rPr>
              <w:t xml:space="preserve">SEA Charterer </w:t>
            </w:r>
            <w:r>
              <w:rPr>
                <w:rFonts w:ascii="Arial" w:cs="Arial" w:eastAsia="Arial" w:hAnsi="Arial"/>
                <w:sz w:val="26"/>
                <w:szCs w:val="26"/>
                <w:color w:val="auto"/>
                <w:w w:val="87"/>
                <w:vertAlign w:val="superscript"/>
              </w:rPr>
              <w:t>(17)</w:t>
            </w:r>
          </w:p>
        </w:tc>
        <w:tc>
          <w:tcPr>
            <w:tcW w:w="10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Steam</w:t>
            </w:r>
          </w:p>
        </w:tc>
        <w:tc>
          <w:tcPr>
            <w:tcW w:w="10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0"/>
              </w:rPr>
              <w:t>July 2025</w:t>
            </w:r>
          </w:p>
        </w:tc>
        <w:tc>
          <w:tcPr>
            <w:tcW w:w="100" w:type="dxa"/>
            <w:vAlign w:val="bottom"/>
            <w:shd w:val="clear" w:color="auto" w:fill="E5FFFF"/>
          </w:tcPr>
          <w:p>
            <w:pPr>
              <w:spacing w:after="0"/>
              <w:rPr>
                <w:sz w:val="21"/>
                <w:szCs w:val="21"/>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3"/>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6</w:t>
            </w:r>
          </w:p>
        </w:tc>
        <w:tc>
          <w:tcPr>
            <w:tcW w:w="2880" w:type="dxa"/>
            <w:vAlign w:val="bottom"/>
          </w:tcPr>
          <w:p>
            <w:pPr>
              <w:ind w:left="120"/>
              <w:spacing w:after="0"/>
              <w:rPr>
                <w:sz w:val="20"/>
                <w:szCs w:val="20"/>
                <w:color w:val="auto"/>
              </w:rPr>
            </w:pPr>
            <w:r>
              <w:rPr>
                <w:rFonts w:ascii="Arial" w:cs="Arial" w:eastAsia="Arial" w:hAnsi="Arial"/>
                <w:sz w:val="16"/>
                <w:szCs w:val="16"/>
                <w:i w:val="1"/>
                <w:iCs w:val="1"/>
                <w:color w:val="auto"/>
              </w:rPr>
              <w:t>GasLog Hong Kong</w:t>
            </w:r>
          </w:p>
        </w:tc>
        <w:tc>
          <w:tcPr>
            <w:tcW w:w="900" w:type="dxa"/>
            <w:vAlign w:val="bottom"/>
            <w:gridSpan w:val="2"/>
          </w:tcPr>
          <w:p>
            <w:pPr>
              <w:ind w:left="360"/>
              <w:spacing w:after="0"/>
              <w:rPr>
                <w:sz w:val="20"/>
                <w:szCs w:val="20"/>
                <w:color w:val="auto"/>
              </w:rPr>
            </w:pPr>
            <w:r>
              <w:rPr>
                <w:rFonts w:ascii="Arial" w:cs="Arial" w:eastAsia="Arial" w:hAnsi="Arial"/>
                <w:sz w:val="16"/>
                <w:szCs w:val="16"/>
                <w:color w:val="auto"/>
              </w:rPr>
              <w:t>2018</w:t>
            </w:r>
          </w:p>
        </w:tc>
        <w:tc>
          <w:tcPr>
            <w:tcW w:w="134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174,000</w:t>
            </w:r>
          </w:p>
        </w:tc>
        <w:tc>
          <w:tcPr>
            <w:tcW w:w="100" w:type="dxa"/>
            <w:vAlign w:val="bottom"/>
          </w:tcPr>
          <w:p>
            <w:pPr>
              <w:spacing w:after="0"/>
              <w:rPr>
                <w:sz w:val="21"/>
                <w:szCs w:val="21"/>
                <w:color w:val="auto"/>
              </w:rPr>
            </w:pPr>
          </w:p>
        </w:tc>
        <w:tc>
          <w:tcPr>
            <w:tcW w:w="158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TotalEnergies </w:t>
            </w:r>
            <w:r>
              <w:rPr>
                <w:rFonts w:ascii="Arial" w:cs="Arial" w:eastAsia="Arial" w:hAnsi="Arial"/>
                <w:sz w:val="26"/>
                <w:szCs w:val="26"/>
                <w:color w:val="auto"/>
                <w:w w:val="86"/>
                <w:vertAlign w:val="superscript"/>
              </w:rPr>
              <w:t>(18)</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X-DF</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2025</w:t>
            </w:r>
          </w:p>
        </w:tc>
        <w:tc>
          <w:tcPr>
            <w:tcW w:w="1100" w:type="dxa"/>
            <w:vAlign w:val="bottom"/>
            <w:gridSpan w:val="2"/>
          </w:tcPr>
          <w:p>
            <w:pPr>
              <w:jc w:val="center"/>
              <w:ind w:left="24"/>
              <w:spacing w:after="0" w:line="243" w:lineRule="exact"/>
              <w:rPr>
                <w:sz w:val="20"/>
                <w:szCs w:val="20"/>
                <w:color w:val="auto"/>
              </w:rPr>
            </w:pPr>
            <w:r>
              <w:rPr>
                <w:rFonts w:ascii="Arial" w:cs="Arial" w:eastAsia="Arial" w:hAnsi="Arial"/>
                <w:sz w:val="16"/>
                <w:szCs w:val="16"/>
                <w:color w:val="auto"/>
                <w:w w:val="84"/>
              </w:rPr>
              <w:t xml:space="preserve">2028 </w:t>
            </w:r>
            <w:r>
              <w:rPr>
                <w:rFonts w:ascii="Arial" w:cs="Arial" w:eastAsia="Arial" w:hAnsi="Arial"/>
                <w:sz w:val="26"/>
                <w:szCs w:val="26"/>
                <w:color w:val="auto"/>
                <w:w w:val="84"/>
                <w:vertAlign w:val="superscript"/>
              </w:rPr>
              <w:t>(18)</w:t>
            </w:r>
          </w:p>
        </w:tc>
        <w:tc>
          <w:tcPr>
            <w:tcW w:w="0" w:type="dxa"/>
            <w:vAlign w:val="bottom"/>
          </w:tcPr>
          <w:p>
            <w:pPr>
              <w:spacing w:after="0"/>
              <w:rPr>
                <w:sz w:val="1"/>
                <w:szCs w:val="1"/>
                <w:color w:val="auto"/>
              </w:rPr>
            </w:pPr>
          </w:p>
        </w:tc>
      </w:tr>
      <w:tr>
        <w:trPr>
          <w:trHeight w:val="243"/>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7</w:t>
            </w:r>
          </w:p>
        </w:tc>
        <w:tc>
          <w:tcPr>
            <w:tcW w:w="288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GasLog Salem</w:t>
            </w:r>
          </w:p>
        </w:tc>
        <w:tc>
          <w:tcPr>
            <w:tcW w:w="900" w:type="dxa"/>
            <w:vAlign w:val="bottom"/>
            <w:gridSpan w:val="2"/>
            <w:shd w:val="clear" w:color="auto" w:fill="E5FFFF"/>
          </w:tcPr>
          <w:p>
            <w:pPr>
              <w:ind w:left="360"/>
              <w:spacing w:after="0"/>
              <w:rPr>
                <w:sz w:val="20"/>
                <w:szCs w:val="20"/>
                <w:color w:val="auto"/>
              </w:rPr>
            </w:pPr>
            <w:r>
              <w:rPr>
                <w:rFonts w:ascii="Arial" w:cs="Arial" w:eastAsia="Arial" w:hAnsi="Arial"/>
                <w:sz w:val="16"/>
                <w:szCs w:val="16"/>
                <w:color w:val="auto"/>
              </w:rPr>
              <w:t>2015</w:t>
            </w:r>
          </w:p>
        </w:tc>
        <w:tc>
          <w:tcPr>
            <w:tcW w:w="1340" w:type="dxa"/>
            <w:vAlign w:val="bottom"/>
            <w:gridSpan w:val="2"/>
            <w:shd w:val="clear" w:color="auto" w:fill="E5FFFF"/>
          </w:tcPr>
          <w:p>
            <w:pPr>
              <w:jc w:val="center"/>
              <w:ind w:left="19"/>
              <w:spacing w:after="0"/>
              <w:rPr>
                <w:sz w:val="20"/>
                <w:szCs w:val="20"/>
                <w:color w:val="auto"/>
              </w:rPr>
            </w:pPr>
            <w:r>
              <w:rPr>
                <w:rFonts w:ascii="Arial" w:cs="Arial" w:eastAsia="Arial" w:hAnsi="Arial"/>
                <w:sz w:val="16"/>
                <w:szCs w:val="16"/>
                <w:color w:val="auto"/>
                <w:w w:val="89"/>
              </w:rPr>
              <w:t>155,000</w:t>
            </w:r>
          </w:p>
        </w:tc>
        <w:tc>
          <w:tcPr>
            <w:tcW w:w="10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Gunvor </w:t>
            </w:r>
            <w:r>
              <w:rPr>
                <w:rFonts w:ascii="Arial" w:cs="Arial" w:eastAsia="Arial" w:hAnsi="Arial"/>
                <w:sz w:val="26"/>
                <w:szCs w:val="26"/>
                <w:color w:val="auto"/>
                <w:w w:val="86"/>
                <w:vertAlign w:val="superscript"/>
              </w:rPr>
              <w:t>(19)</w:t>
            </w:r>
          </w:p>
        </w:tc>
        <w:tc>
          <w:tcPr>
            <w:tcW w:w="100" w:type="dxa"/>
            <w:vAlign w:val="bottom"/>
            <w:shd w:val="clear" w:color="auto" w:fill="E5FFFF"/>
          </w:tcPr>
          <w:p>
            <w:pPr>
              <w:spacing w:after="0"/>
              <w:rPr>
                <w:sz w:val="21"/>
                <w:szCs w:val="21"/>
                <w:color w:val="auto"/>
              </w:rPr>
            </w:pPr>
          </w:p>
        </w:tc>
        <w:tc>
          <w:tcPr>
            <w:tcW w:w="134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March 2026</w:t>
            </w:r>
          </w:p>
        </w:tc>
        <w:tc>
          <w:tcPr>
            <w:tcW w:w="100" w:type="dxa"/>
            <w:vAlign w:val="bottom"/>
            <w:shd w:val="clear" w:color="auto" w:fill="E5FFFF"/>
          </w:tcPr>
          <w:p>
            <w:pPr>
              <w:spacing w:after="0"/>
              <w:rPr>
                <w:sz w:val="21"/>
                <w:szCs w:val="21"/>
                <w:color w:val="auto"/>
              </w:rPr>
            </w:pPr>
          </w:p>
        </w:tc>
        <w:tc>
          <w:tcPr>
            <w:tcW w:w="10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92"/>
        </w:trPr>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8</w:t>
            </w:r>
          </w:p>
        </w:tc>
        <w:tc>
          <w:tcPr>
            <w:tcW w:w="2880" w:type="dxa"/>
            <w:vAlign w:val="bottom"/>
          </w:tcPr>
          <w:p>
            <w:pPr>
              <w:ind w:left="120"/>
              <w:spacing w:after="0"/>
              <w:rPr>
                <w:sz w:val="20"/>
                <w:szCs w:val="20"/>
                <w:color w:val="auto"/>
              </w:rPr>
            </w:pPr>
            <w:r>
              <w:rPr>
                <w:rFonts w:ascii="Arial" w:cs="Arial" w:eastAsia="Arial" w:hAnsi="Arial"/>
                <w:sz w:val="16"/>
                <w:szCs w:val="16"/>
                <w:i w:val="1"/>
                <w:iCs w:val="1"/>
                <w:color w:val="auto"/>
              </w:rPr>
              <w:t>Methane Julia Louise</w:t>
            </w:r>
          </w:p>
        </w:tc>
        <w:tc>
          <w:tcPr>
            <w:tcW w:w="900" w:type="dxa"/>
            <w:vAlign w:val="bottom"/>
            <w:gridSpan w:val="2"/>
            <w:vMerge w:val="restart"/>
          </w:tcPr>
          <w:p>
            <w:pPr>
              <w:ind w:left="360"/>
              <w:spacing w:after="0"/>
              <w:rPr>
                <w:sz w:val="20"/>
                <w:szCs w:val="20"/>
                <w:color w:val="auto"/>
              </w:rPr>
            </w:pPr>
            <w:r>
              <w:rPr>
                <w:rFonts w:ascii="Arial" w:cs="Arial" w:eastAsia="Arial" w:hAnsi="Arial"/>
                <w:sz w:val="16"/>
                <w:szCs w:val="16"/>
                <w:color w:val="auto"/>
              </w:rPr>
              <w:t>2010</w:t>
            </w:r>
          </w:p>
        </w:tc>
        <w:tc>
          <w:tcPr>
            <w:tcW w:w="13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170,000</w:t>
            </w: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Shell</w:t>
            </w:r>
          </w:p>
        </w:tc>
        <w:tc>
          <w:tcPr>
            <w:tcW w:w="10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color w:val="auto"/>
              </w:rPr>
              <w:t>TFDE</w:t>
            </w:r>
          </w:p>
        </w:tc>
        <w:tc>
          <w:tcPr>
            <w:tcW w:w="10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2"/>
              </w:rPr>
              <w:t>March 2026</w:t>
            </w:r>
          </w:p>
        </w:tc>
        <w:tc>
          <w:tcPr>
            <w:tcW w:w="1100" w:type="dxa"/>
            <w:vAlign w:val="bottom"/>
            <w:gridSpan w:val="2"/>
          </w:tcPr>
          <w:p>
            <w:pPr>
              <w:jc w:val="center"/>
              <w:ind w:left="24"/>
              <w:spacing w:after="0"/>
              <w:rPr>
                <w:sz w:val="20"/>
                <w:szCs w:val="20"/>
                <w:color w:val="auto"/>
              </w:rPr>
            </w:pPr>
            <w:r>
              <w:rPr>
                <w:rFonts w:ascii="Arial" w:cs="Arial" w:eastAsia="Arial" w:hAnsi="Arial"/>
                <w:sz w:val="16"/>
                <w:szCs w:val="16"/>
                <w:color w:val="auto"/>
                <w:w w:val="94"/>
              </w:rPr>
              <w:t>2029-2031</w:t>
            </w:r>
          </w:p>
        </w:tc>
        <w:tc>
          <w:tcPr>
            <w:tcW w:w="0" w:type="dxa"/>
            <w:vAlign w:val="bottom"/>
          </w:tcPr>
          <w:p>
            <w:pPr>
              <w:spacing w:after="0"/>
              <w:rPr>
                <w:sz w:val="1"/>
                <w:szCs w:val="1"/>
                <w:color w:val="auto"/>
              </w:rPr>
            </w:pPr>
          </w:p>
        </w:tc>
      </w:tr>
      <w:tr>
        <w:trPr>
          <w:trHeight w:val="197"/>
        </w:trPr>
        <w:tc>
          <w:tcPr>
            <w:tcW w:w="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100" w:type="dxa"/>
            <w:vAlign w:val="bottom"/>
            <w:gridSpan w:val="2"/>
          </w:tcPr>
          <w:p>
            <w:pPr>
              <w:jc w:val="center"/>
              <w:ind w:left="24"/>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5"/>
        </w:trPr>
        <w:tc>
          <w:tcPr>
            <w:tcW w:w="220" w:type="dxa"/>
            <w:vAlign w:val="bottom"/>
            <w:shd w:val="clear" w:color="auto" w:fill="E5FFFF"/>
          </w:tcPr>
          <w:p>
            <w:pPr>
              <w:jc w:val="right"/>
              <w:ind w:right="64"/>
              <w:spacing w:after="0"/>
              <w:rPr>
                <w:sz w:val="20"/>
                <w:szCs w:val="20"/>
                <w:color w:val="auto"/>
              </w:rPr>
            </w:pPr>
            <w:r>
              <w:rPr>
                <w:rFonts w:ascii="Arial" w:cs="Arial" w:eastAsia="Arial" w:hAnsi="Arial"/>
                <w:sz w:val="15"/>
                <w:szCs w:val="15"/>
                <w:b w:val="1"/>
                <w:bCs w:val="1"/>
                <w:color w:val="auto"/>
                <w:w w:val="71"/>
              </w:rPr>
              <w:t>9</w:t>
            </w:r>
          </w:p>
        </w:tc>
        <w:tc>
          <w:tcPr>
            <w:tcW w:w="2880" w:type="dxa"/>
            <w:vAlign w:val="bottom"/>
            <w:shd w:val="clear" w:color="auto" w:fill="E5FFFF"/>
          </w:tcPr>
          <w:p>
            <w:pPr>
              <w:ind w:left="120"/>
              <w:spacing w:after="0"/>
              <w:rPr>
                <w:sz w:val="20"/>
                <w:szCs w:val="20"/>
                <w:color w:val="auto"/>
              </w:rPr>
            </w:pPr>
            <w:r>
              <w:rPr>
                <w:rFonts w:ascii="Arial" w:cs="Arial" w:eastAsia="Arial" w:hAnsi="Arial"/>
                <w:sz w:val="16"/>
                <w:szCs w:val="16"/>
                <w:i w:val="1"/>
                <w:iCs w:val="1"/>
                <w:color w:val="auto"/>
              </w:rPr>
              <w:t>GasLog Houston</w:t>
            </w:r>
          </w:p>
        </w:tc>
        <w:tc>
          <w:tcPr>
            <w:tcW w:w="900" w:type="dxa"/>
            <w:vAlign w:val="bottom"/>
            <w:gridSpan w:val="2"/>
            <w:vMerge w:val="restart"/>
            <w:shd w:val="clear" w:color="auto" w:fill="E5FFFF"/>
          </w:tcPr>
          <w:p>
            <w:pPr>
              <w:ind w:left="360"/>
              <w:spacing w:after="0"/>
              <w:rPr>
                <w:sz w:val="20"/>
                <w:szCs w:val="20"/>
                <w:color w:val="auto"/>
              </w:rPr>
            </w:pPr>
            <w:r>
              <w:rPr>
                <w:rFonts w:ascii="Arial" w:cs="Arial" w:eastAsia="Arial" w:hAnsi="Arial"/>
                <w:sz w:val="16"/>
                <w:szCs w:val="16"/>
                <w:color w:val="auto"/>
              </w:rPr>
              <w:t>2018</w:t>
            </w:r>
          </w:p>
        </w:tc>
        <w:tc>
          <w:tcPr>
            <w:tcW w:w="1340" w:type="dxa"/>
            <w:vAlign w:val="bottom"/>
            <w:gridSpan w:val="2"/>
            <w:vMerge w:val="restart"/>
            <w:shd w:val="clear" w:color="auto" w:fill="E5FFFF"/>
          </w:tcPr>
          <w:p>
            <w:pPr>
              <w:jc w:val="center"/>
              <w:ind w:left="19"/>
              <w:spacing w:after="0"/>
              <w:rPr>
                <w:sz w:val="20"/>
                <w:szCs w:val="20"/>
                <w:color w:val="auto"/>
              </w:rPr>
            </w:pPr>
            <w:r>
              <w:rPr>
                <w:rFonts w:ascii="Arial" w:cs="Arial" w:eastAsia="Arial" w:hAnsi="Arial"/>
                <w:sz w:val="16"/>
                <w:szCs w:val="16"/>
                <w:color w:val="auto"/>
                <w:w w:val="89"/>
              </w:rPr>
              <w:t>174,000</w:t>
            </w:r>
          </w:p>
        </w:tc>
        <w:tc>
          <w:tcPr>
            <w:tcW w:w="100" w:type="dxa"/>
            <w:vAlign w:val="bottom"/>
            <w:shd w:val="clear" w:color="auto" w:fill="E5FFFF"/>
          </w:tcPr>
          <w:p>
            <w:pPr>
              <w:spacing w:after="0"/>
              <w:rPr>
                <w:sz w:val="16"/>
                <w:szCs w:val="16"/>
                <w:color w:val="auto"/>
              </w:rPr>
            </w:pPr>
          </w:p>
        </w:tc>
        <w:tc>
          <w:tcPr>
            <w:tcW w:w="158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w w:val="95"/>
              </w:rPr>
              <w:t>Shell</w:t>
            </w:r>
          </w:p>
        </w:tc>
        <w:tc>
          <w:tcPr>
            <w:tcW w:w="100" w:type="dxa"/>
            <w:vAlign w:val="bottom"/>
            <w:shd w:val="clear" w:color="auto" w:fill="E5FFFF"/>
          </w:tcPr>
          <w:p>
            <w:pPr>
              <w:spacing w:after="0"/>
              <w:rPr>
                <w:sz w:val="16"/>
                <w:szCs w:val="16"/>
                <w:color w:val="auto"/>
              </w:rPr>
            </w:pPr>
          </w:p>
        </w:tc>
        <w:tc>
          <w:tcPr>
            <w:tcW w:w="134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rPr>
              <w:t>X-DF</w:t>
            </w:r>
          </w:p>
        </w:tc>
        <w:tc>
          <w:tcPr>
            <w:tcW w:w="100" w:type="dxa"/>
            <w:vAlign w:val="bottom"/>
            <w:shd w:val="clear" w:color="auto" w:fill="E5FFFF"/>
          </w:tcPr>
          <w:p>
            <w:pPr>
              <w:spacing w:after="0"/>
              <w:rPr>
                <w:sz w:val="16"/>
                <w:szCs w:val="16"/>
                <w:color w:val="auto"/>
              </w:rPr>
            </w:pPr>
          </w:p>
        </w:tc>
        <w:tc>
          <w:tcPr>
            <w:tcW w:w="1580" w:type="dxa"/>
            <w:vAlign w:val="bottom"/>
            <w:vMerge w:val="restart"/>
            <w:shd w:val="clear" w:color="auto" w:fill="E5FFFF"/>
          </w:tcPr>
          <w:p>
            <w:pPr>
              <w:jc w:val="center"/>
              <w:spacing w:after="0"/>
              <w:rPr>
                <w:sz w:val="20"/>
                <w:szCs w:val="20"/>
                <w:color w:val="auto"/>
              </w:rPr>
            </w:pPr>
            <w:r>
              <w:rPr>
                <w:rFonts w:ascii="Arial" w:cs="Arial" w:eastAsia="Arial" w:hAnsi="Arial"/>
                <w:sz w:val="16"/>
                <w:szCs w:val="16"/>
                <w:color w:val="auto"/>
                <w:w w:val="93"/>
              </w:rPr>
              <w:t>May 2028</w:t>
            </w:r>
          </w:p>
        </w:tc>
        <w:tc>
          <w:tcPr>
            <w:tcW w:w="1100" w:type="dxa"/>
            <w:vAlign w:val="bottom"/>
            <w:gridSpan w:val="2"/>
            <w:shd w:val="clear" w:color="auto" w:fill="E5FFFF"/>
          </w:tcPr>
          <w:p>
            <w:pPr>
              <w:jc w:val="center"/>
              <w:ind w:left="24"/>
              <w:spacing w:after="0"/>
              <w:rPr>
                <w:sz w:val="20"/>
                <w:szCs w:val="20"/>
                <w:color w:val="auto"/>
              </w:rPr>
            </w:pPr>
            <w:r>
              <w:rPr>
                <w:rFonts w:ascii="Arial" w:cs="Arial" w:eastAsia="Arial" w:hAnsi="Arial"/>
                <w:sz w:val="16"/>
                <w:szCs w:val="16"/>
                <w:color w:val="auto"/>
                <w:w w:val="94"/>
              </w:rPr>
              <w:t>2031-2034</w:t>
            </w:r>
          </w:p>
        </w:tc>
        <w:tc>
          <w:tcPr>
            <w:tcW w:w="0" w:type="dxa"/>
            <w:vAlign w:val="bottom"/>
          </w:tcPr>
          <w:p>
            <w:pPr>
              <w:spacing w:after="0"/>
              <w:rPr>
                <w:sz w:val="1"/>
                <w:szCs w:val="1"/>
                <w:color w:val="auto"/>
              </w:rPr>
            </w:pPr>
          </w:p>
        </w:tc>
      </w:tr>
      <w:tr>
        <w:trPr>
          <w:trHeight w:val="200"/>
        </w:trPr>
        <w:tc>
          <w:tcPr>
            <w:tcW w:w="220" w:type="dxa"/>
            <w:vAlign w:val="bottom"/>
            <w:shd w:val="clear" w:color="auto" w:fill="E5FFFF"/>
          </w:tcPr>
          <w:p>
            <w:pPr>
              <w:spacing w:after="0"/>
              <w:rPr>
                <w:sz w:val="17"/>
                <w:szCs w:val="17"/>
                <w:color w:val="auto"/>
              </w:rPr>
            </w:pPr>
          </w:p>
        </w:tc>
        <w:tc>
          <w:tcPr>
            <w:tcW w:w="2880" w:type="dxa"/>
            <w:vAlign w:val="bottom"/>
            <w:shd w:val="clear" w:color="auto" w:fill="E5FFFF"/>
          </w:tcPr>
          <w:p>
            <w:pPr>
              <w:spacing w:after="0"/>
              <w:rPr>
                <w:sz w:val="17"/>
                <w:szCs w:val="17"/>
                <w:color w:val="auto"/>
              </w:rPr>
            </w:pPr>
          </w:p>
        </w:tc>
        <w:tc>
          <w:tcPr>
            <w:tcW w:w="900" w:type="dxa"/>
            <w:vAlign w:val="bottom"/>
            <w:gridSpan w:val="2"/>
            <w:vMerge w:val="continue"/>
            <w:shd w:val="clear" w:color="auto" w:fill="E5FFFF"/>
          </w:tcPr>
          <w:p>
            <w:pPr>
              <w:spacing w:after="0"/>
              <w:rPr>
                <w:sz w:val="17"/>
                <w:szCs w:val="17"/>
                <w:color w:val="auto"/>
              </w:rPr>
            </w:pPr>
          </w:p>
        </w:tc>
        <w:tc>
          <w:tcPr>
            <w:tcW w:w="1340" w:type="dxa"/>
            <w:vAlign w:val="bottom"/>
            <w:gridSpan w:val="2"/>
            <w:vMerge w:val="continue"/>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580" w:type="dxa"/>
            <w:vAlign w:val="bottom"/>
            <w:vMerge w:val="continue"/>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vMerge w:val="continue"/>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580" w:type="dxa"/>
            <w:vAlign w:val="bottom"/>
            <w:vMerge w:val="continue"/>
            <w:shd w:val="clear" w:color="auto" w:fill="E5FFFF"/>
          </w:tcPr>
          <w:p>
            <w:pPr>
              <w:spacing w:after="0"/>
              <w:rPr>
                <w:sz w:val="17"/>
                <w:szCs w:val="17"/>
                <w:color w:val="auto"/>
              </w:rPr>
            </w:pPr>
          </w:p>
        </w:tc>
        <w:tc>
          <w:tcPr>
            <w:tcW w:w="1100" w:type="dxa"/>
            <w:vAlign w:val="bottom"/>
            <w:gridSpan w:val="2"/>
            <w:shd w:val="clear" w:color="auto" w:fill="E5FFFF"/>
          </w:tcPr>
          <w:p>
            <w:pPr>
              <w:jc w:val="center"/>
              <w:ind w:left="24"/>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32"/>
          <w:szCs w:val="32"/>
          <w:color w:val="auto"/>
          <w:vertAlign w:val="subscript"/>
        </w:rPr>
      </w:pPr>
      <w:r>
        <w:rPr>
          <w:rFonts w:ascii="Arial" w:cs="Arial" w:eastAsia="Arial" w:hAnsi="Arial"/>
          <w:sz w:val="14"/>
          <w:szCs w:val="14"/>
          <w:color w:val="auto"/>
        </w:rPr>
        <w:t>Indicates the Partnership’s owned and bareboat fleet as of November 16, 2023.</w:t>
      </w:r>
    </w:p>
    <w:p>
      <w:pPr>
        <w:spacing w:after="0" w:line="16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Indicates the expiration of the initial term.</w:t>
      </w:r>
    </w:p>
    <w:p>
      <w:pPr>
        <w:spacing w:after="0" w:line="163"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The period shown reflects the expiration of the minimum optional period and the maximum optional period.</w:t>
      </w:r>
    </w:p>
    <w:p>
      <w:pPr>
        <w:spacing w:after="0" w:line="163" w:lineRule="exact"/>
        <w:rPr>
          <w:rFonts w:ascii="Arial" w:cs="Arial" w:eastAsia="Arial" w:hAnsi="Arial"/>
          <w:sz w:val="12"/>
          <w:szCs w:val="12"/>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4"/>
          <w:szCs w:val="14"/>
          <w:color w:val="auto"/>
        </w:rPr>
        <w:t xml:space="preserve">The vessel </w:t>
      </w:r>
      <w:r>
        <w:rPr>
          <w:rFonts w:ascii="Arial" w:cs="Arial" w:eastAsia="Arial" w:hAnsi="Arial"/>
          <w:sz w:val="14"/>
          <w:szCs w:val="14"/>
          <w:i w:val="1"/>
          <w:iCs w:val="1"/>
          <w:color w:val="auto"/>
        </w:rPr>
        <w:t>GasLog Chelsea</w:t>
      </w:r>
      <w:r>
        <w:rPr>
          <w:rFonts w:ascii="Arial" w:cs="Arial" w:eastAsia="Arial" w:hAnsi="Arial"/>
          <w:sz w:val="14"/>
          <w:szCs w:val="14"/>
          <w:color w:val="auto"/>
        </w:rPr>
        <w:t xml:space="preserve"> was renamed to </w:t>
      </w:r>
      <w:r>
        <w:rPr>
          <w:rFonts w:ascii="Arial" w:cs="Arial" w:eastAsia="Arial" w:hAnsi="Arial"/>
          <w:sz w:val="14"/>
          <w:szCs w:val="14"/>
          <w:i w:val="1"/>
          <w:iCs w:val="1"/>
          <w:color w:val="auto"/>
        </w:rPr>
        <w:t>Alexandroupolis</w:t>
      </w:r>
      <w:r>
        <w:rPr>
          <w:rFonts w:ascii="Arial" w:cs="Arial" w:eastAsia="Arial" w:hAnsi="Arial"/>
          <w:sz w:val="14"/>
          <w:szCs w:val="14"/>
          <w:color w:val="auto"/>
        </w:rPr>
        <w:t xml:space="preserve"> in 2023. The vessel is currently undergoing conversion into an FSRU.</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7" w:right="339" w:bottom="0" w:gutter="0" w:footer="0" w:header="0"/>
        </w:sectPr>
      </w:pPr>
    </w:p>
    <w:bookmarkStart w:id="7" w:name="page8"/>
    <w:bookmarkEnd w:id="7"/>
    <w:p>
      <w:pPr>
        <w:jc w:val="both"/>
        <w:ind w:left="340" w:right="180" w:hanging="332"/>
        <w:spacing w:after="0" w:line="238"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 xml:space="preserve">The vessel is chartered to Cheniere Marketing International LLP, a wholly owned subsidiary of Cheniere Energy, Inc. (“Cheniere”). Cheniere has the right to extend the charters of (a) the </w:t>
      </w:r>
      <w:r>
        <w:rPr>
          <w:rFonts w:ascii="Arial" w:cs="Arial" w:eastAsia="Arial" w:hAnsi="Arial"/>
          <w:sz w:val="14"/>
          <w:szCs w:val="14"/>
          <w:i w:val="1"/>
          <w:iCs w:val="1"/>
          <w:color w:val="auto"/>
        </w:rPr>
        <w:t>GasLog Georgetown</w:t>
      </w:r>
      <w:r>
        <w:rPr>
          <w:rFonts w:ascii="Arial" w:cs="Arial" w:eastAsia="Arial" w:hAnsi="Arial"/>
          <w:sz w:val="14"/>
          <w:szCs w:val="14"/>
          <w:color w:val="auto"/>
        </w:rPr>
        <w:t>, the</w:t>
      </w:r>
      <w:r>
        <w:rPr>
          <w:rFonts w:ascii="Arial" w:cs="Arial" w:eastAsia="Arial" w:hAnsi="Arial"/>
          <w:sz w:val="14"/>
          <w:szCs w:val="14"/>
          <w:i w:val="1"/>
          <w:iCs w:val="1"/>
          <w:color w:val="auto"/>
        </w:rPr>
        <w:t xml:space="preserve"> GasLog Galveston, </w:t>
      </w:r>
      <w:r>
        <w:rPr>
          <w:rFonts w:ascii="Arial" w:cs="Arial" w:eastAsia="Arial" w:hAnsi="Arial"/>
          <w:sz w:val="14"/>
          <w:szCs w:val="14"/>
          <w:color w:val="auto"/>
        </w:rPr>
        <w:t>the</w:t>
      </w:r>
      <w:r>
        <w:rPr>
          <w:rFonts w:ascii="Arial" w:cs="Arial" w:eastAsia="Arial" w:hAnsi="Arial"/>
          <w:sz w:val="14"/>
          <w:szCs w:val="14"/>
          <w:i w:val="1"/>
          <w:iCs w:val="1"/>
          <w:color w:val="auto"/>
        </w:rPr>
        <w:t xml:space="preserve"> GasLog Wellington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GasLog Winchester </w:t>
      </w:r>
      <w:r>
        <w:rPr>
          <w:rFonts w:ascii="Arial" w:cs="Arial" w:eastAsia="Arial" w:hAnsi="Arial"/>
          <w:sz w:val="14"/>
          <w:szCs w:val="14"/>
          <w:color w:val="auto"/>
        </w:rPr>
        <w:t>by three consecutive periods of three years, two years and two years and (b) the</w:t>
      </w:r>
      <w:r>
        <w:rPr>
          <w:rFonts w:ascii="Arial" w:cs="Arial" w:eastAsia="Arial" w:hAnsi="Arial"/>
          <w:sz w:val="14"/>
          <w:szCs w:val="14"/>
          <w:i w:val="1"/>
          <w:iCs w:val="1"/>
          <w:color w:val="auto"/>
        </w:rPr>
        <w:t xml:space="preserve"> Methane Jane Elizabeth </w:t>
      </w:r>
      <w:r>
        <w:rPr>
          <w:rFonts w:ascii="Arial" w:cs="Arial" w:eastAsia="Arial" w:hAnsi="Arial"/>
          <w:sz w:val="14"/>
          <w:szCs w:val="14"/>
          <w:color w:val="auto"/>
        </w:rPr>
        <w:t>by an additional period of one year, provided that Cheniere gives us advance notice of the declarations.</w:t>
      </w:r>
    </w:p>
    <w:p>
      <w:pPr>
        <w:spacing w:after="0" w:line="182"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a Swiss-headquartered energy trading company.</w:t>
      </w:r>
    </w:p>
    <w:p>
      <w:pPr>
        <w:spacing w:after="0" w:line="244"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charterer has the right to extend the charter by an additional period of one year, provided that the charterer gives us advance notice of the declaration.</w:t>
      </w:r>
    </w:p>
    <w:p>
      <w:pPr>
        <w:spacing w:after="0" w:line="244"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CNTIC VPower may extend the term of the related charter by an additional period of one year, provided that the charterer gives us advance notice of declaration.</w:t>
      </w:r>
    </w:p>
    <w:p>
      <w:pPr>
        <w:spacing w:after="0" w:line="244" w:lineRule="exact"/>
        <w:rPr>
          <w:rFonts w:ascii="Arial" w:cs="Arial" w:eastAsia="Arial" w:hAnsi="Arial"/>
          <w:sz w:val="12"/>
          <w:szCs w:val="12"/>
          <w:color w:val="auto"/>
        </w:rPr>
      </w:pPr>
    </w:p>
    <w:p>
      <w:pPr>
        <w:ind w:left="340" w:right="220" w:hanging="332"/>
        <w:spacing w:after="0" w:line="264" w:lineRule="auto"/>
        <w:tabs>
          <w:tab w:leader="none" w:pos="340" w:val="left"/>
        </w:tabs>
        <w:numPr>
          <w:ilvl w:val="0"/>
          <w:numId w:val="5"/>
        </w:numPr>
        <w:rPr>
          <w:rFonts w:ascii="Arial" w:cs="Arial" w:eastAsia="Arial" w:hAnsi="Arial"/>
          <w:sz w:val="11"/>
          <w:szCs w:val="11"/>
          <w:color w:val="auto"/>
        </w:rPr>
      </w:pPr>
      <w:r>
        <w:rPr>
          <w:rFonts w:ascii="Arial" w:cs="Arial" w:eastAsia="Arial" w:hAnsi="Arial"/>
          <w:sz w:val="13"/>
          <w:szCs w:val="13"/>
          <w:color w:val="auto"/>
        </w:rPr>
        <w:t xml:space="preserve">The vessel is chartered to a wholly owned subsidiary of Shell plc (“Shell”). Shell has the right to extend the charters of (a) the </w:t>
      </w:r>
      <w:r>
        <w:rPr>
          <w:rFonts w:ascii="Arial" w:cs="Arial" w:eastAsia="Arial" w:hAnsi="Arial"/>
          <w:sz w:val="13"/>
          <w:szCs w:val="13"/>
          <w:i w:val="1"/>
          <w:iCs w:val="1"/>
          <w:color w:val="auto"/>
        </w:rPr>
        <w:t>GasLog Genoa</w:t>
      </w:r>
      <w:r>
        <w:rPr>
          <w:rFonts w:ascii="Arial" w:cs="Arial" w:eastAsia="Arial" w:hAnsi="Arial"/>
          <w:sz w:val="13"/>
          <w:szCs w:val="13"/>
          <w:color w:val="auto"/>
        </w:rPr>
        <w:t xml:space="preserve">, the </w:t>
      </w:r>
      <w:r>
        <w:rPr>
          <w:rFonts w:ascii="Arial" w:cs="Arial" w:eastAsia="Arial" w:hAnsi="Arial"/>
          <w:sz w:val="13"/>
          <w:szCs w:val="13"/>
          <w:i w:val="1"/>
          <w:iCs w:val="1"/>
          <w:color w:val="auto"/>
        </w:rPr>
        <w:t>GasLog Houston</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Gladstone </w:t>
      </w:r>
      <w:r>
        <w:rPr>
          <w:rFonts w:ascii="Arial" w:cs="Arial" w:eastAsia="Arial" w:hAnsi="Arial"/>
          <w:sz w:val="13"/>
          <w:szCs w:val="13"/>
          <w:color w:val="auto"/>
        </w:rPr>
        <w:t>by two additional periods of three years, (b) the</w:t>
      </w:r>
      <w:r>
        <w:rPr>
          <w:rFonts w:ascii="Arial" w:cs="Arial" w:eastAsia="Arial" w:hAnsi="Arial"/>
          <w:sz w:val="13"/>
          <w:szCs w:val="13"/>
          <w:i w:val="1"/>
          <w:iCs w:val="1"/>
          <w:color w:val="auto"/>
        </w:rPr>
        <w:t xml:space="preserve"> Methane Julia Louise </w:t>
      </w:r>
      <w:r>
        <w:rPr>
          <w:rFonts w:ascii="Arial" w:cs="Arial" w:eastAsia="Arial" w:hAnsi="Arial"/>
          <w:sz w:val="13"/>
          <w:szCs w:val="13"/>
          <w:color w:val="auto"/>
        </w:rPr>
        <w:t>for a period of either three or five years, (c) the</w:t>
      </w:r>
      <w:r>
        <w:rPr>
          <w:rFonts w:ascii="Arial" w:cs="Arial" w:eastAsia="Arial" w:hAnsi="Arial"/>
          <w:sz w:val="13"/>
          <w:szCs w:val="13"/>
          <w:i w:val="1"/>
          <w:iCs w:val="1"/>
          <w:color w:val="auto"/>
        </w:rPr>
        <w:t xml:space="preserve"> GasLog Greece </w:t>
      </w:r>
      <w:r>
        <w:rPr>
          <w:rFonts w:ascii="Arial" w:cs="Arial" w:eastAsia="Arial" w:hAnsi="Arial"/>
          <w:sz w:val="13"/>
          <w:szCs w:val="13"/>
          <w:color w:val="auto"/>
        </w:rPr>
        <w:t>and the</w:t>
      </w:r>
      <w:r>
        <w:rPr>
          <w:rFonts w:ascii="Arial" w:cs="Arial" w:eastAsia="Arial" w:hAnsi="Arial"/>
          <w:sz w:val="13"/>
          <w:szCs w:val="13"/>
          <w:i w:val="1"/>
          <w:iCs w:val="1"/>
          <w:color w:val="auto"/>
        </w:rPr>
        <w:t xml:space="preserve"> GasLog Glasgow </w:t>
      </w:r>
      <w:r>
        <w:rPr>
          <w:rFonts w:ascii="Arial" w:cs="Arial" w:eastAsia="Arial" w:hAnsi="Arial"/>
          <w:sz w:val="13"/>
          <w:szCs w:val="13"/>
          <w:color w:val="auto"/>
        </w:rPr>
        <w:t>for a period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five years and (d) the </w:t>
      </w:r>
      <w:r>
        <w:rPr>
          <w:rFonts w:ascii="Arial" w:cs="Arial" w:eastAsia="Arial" w:hAnsi="Arial"/>
          <w:sz w:val="13"/>
          <w:szCs w:val="13"/>
          <w:i w:val="1"/>
          <w:iCs w:val="1"/>
          <w:color w:val="auto"/>
        </w:rPr>
        <w:t>GasLog Geneva</w:t>
      </w:r>
      <w:r>
        <w:rPr>
          <w:rFonts w:ascii="Arial" w:cs="Arial" w:eastAsia="Arial" w:hAnsi="Arial"/>
          <w:sz w:val="13"/>
          <w:szCs w:val="13"/>
          <w:color w:val="auto"/>
        </w:rPr>
        <w:t xml:space="preserve"> and the </w:t>
      </w:r>
      <w:r>
        <w:rPr>
          <w:rFonts w:ascii="Arial" w:cs="Arial" w:eastAsia="Arial" w:hAnsi="Arial"/>
          <w:sz w:val="13"/>
          <w:szCs w:val="13"/>
          <w:i w:val="1"/>
          <w:iCs w:val="1"/>
          <w:color w:val="auto"/>
        </w:rPr>
        <w:t>GasLog Gibraltar</w:t>
      </w:r>
      <w:r>
        <w:rPr>
          <w:rFonts w:ascii="Arial" w:cs="Arial" w:eastAsia="Arial" w:hAnsi="Arial"/>
          <w:sz w:val="13"/>
          <w:szCs w:val="13"/>
          <w:color w:val="auto"/>
        </w:rPr>
        <w:t xml:space="preserve"> for a period of three years, provided that Shell gives us advance notice of the declarations.</w:t>
      </w:r>
    </w:p>
    <w:p>
      <w:pPr>
        <w:spacing w:after="0" w:line="168" w:lineRule="exact"/>
        <w:rPr>
          <w:rFonts w:ascii="Arial" w:cs="Arial" w:eastAsia="Arial" w:hAnsi="Arial"/>
          <w:sz w:val="11"/>
          <w:szCs w:val="11"/>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Trafigura Maritime Logistics PTE Ltd. (“Trafigura”).</w:t>
      </w:r>
    </w:p>
    <w:p>
      <w:pPr>
        <w:spacing w:after="0" w:line="244"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charterer has the right to extend the charter by an additional period of one year, provided that the charterer gives us advance notice of the declaration.</w:t>
      </w:r>
    </w:p>
    <w:p>
      <w:pPr>
        <w:spacing w:after="0" w:line="244" w:lineRule="exact"/>
        <w:rPr>
          <w:rFonts w:ascii="Arial" w:cs="Arial" w:eastAsia="Arial" w:hAnsi="Arial"/>
          <w:sz w:val="12"/>
          <w:szCs w:val="12"/>
          <w:color w:val="auto"/>
        </w:rPr>
      </w:pPr>
    </w:p>
    <w:p>
      <w:pPr>
        <w:ind w:left="340" w:right="160" w:hanging="332"/>
        <w:spacing w:after="0" w:line="253"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Pioneer Shipping Limited, a wholly owned subsidiary of Centrica plc (“Centrica”). Centrica has the right to extend the charter by three additional periods of two years, provided that Centrica gives us advance notice of declaration.</w:t>
      </w:r>
    </w:p>
    <w:p>
      <w:pPr>
        <w:spacing w:after="0" w:line="173" w:lineRule="exact"/>
        <w:rPr>
          <w:rFonts w:ascii="Arial" w:cs="Arial" w:eastAsia="Arial" w:hAnsi="Arial"/>
          <w:sz w:val="12"/>
          <w:szCs w:val="12"/>
          <w:color w:val="auto"/>
        </w:rPr>
      </w:pPr>
    </w:p>
    <w:p>
      <w:pPr>
        <w:ind w:left="340" w:hanging="332"/>
        <w:spacing w:after="0" w:line="253"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 xml:space="preserve">“Endesa” refers to Endesa S.A. Endesa has the right to extend the charter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by two additional periods of six years, provided that Endesa gives us advance notice of declaration.</w:t>
      </w:r>
    </w:p>
    <w:p>
      <w:pPr>
        <w:spacing w:after="0" w:line="173" w:lineRule="exact"/>
        <w:rPr>
          <w:rFonts w:ascii="Arial" w:cs="Arial" w:eastAsia="Arial" w:hAnsi="Arial"/>
          <w:sz w:val="12"/>
          <w:szCs w:val="12"/>
          <w:color w:val="auto"/>
        </w:rPr>
      </w:pPr>
    </w:p>
    <w:p>
      <w:pPr>
        <w:ind w:left="340" w:right="160" w:hanging="332"/>
        <w:spacing w:after="0" w:line="253"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Tokyo LNG Tanker Co. Ltd. (“Tokyo LNG”).</w:t>
      </w:r>
    </w:p>
    <w:p>
      <w:pPr>
        <w:spacing w:after="0" w:line="244"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Mitsui &amp; Co., Ltd. (“Mitsui”).</w:t>
      </w:r>
    </w:p>
    <w:p>
      <w:pPr>
        <w:spacing w:after="0" w:line="244" w:lineRule="exact"/>
        <w:rPr>
          <w:rFonts w:ascii="Arial" w:cs="Arial" w:eastAsia="Arial" w:hAnsi="Arial"/>
          <w:sz w:val="12"/>
          <w:szCs w:val="12"/>
          <w:color w:val="auto"/>
        </w:rPr>
      </w:pPr>
    </w:p>
    <w:p>
      <w:pPr>
        <w:ind w:left="340" w:right="20" w:hanging="332"/>
        <w:spacing w:after="0" w:line="253"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Woodside Energy Shipping Singapore Pte. Ltd. (“Woodside”). The charterer has the right to extend the charter by an additional period of one year, provided that the charterer gives us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a Southeast Asian charterer (“SEA Charterer”).</w:t>
      </w:r>
    </w:p>
    <w:p>
      <w:pPr>
        <w:spacing w:after="0" w:line="244" w:lineRule="exact"/>
        <w:rPr>
          <w:rFonts w:ascii="Arial" w:cs="Arial" w:eastAsia="Arial" w:hAnsi="Arial"/>
          <w:sz w:val="12"/>
          <w:szCs w:val="12"/>
          <w:color w:val="auto"/>
        </w:rPr>
      </w:pPr>
    </w:p>
    <w:p>
      <w:pPr>
        <w:ind w:left="340" w:hanging="332"/>
        <w:spacing w:after="0" w:line="253"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TotalEnergies Gas &amp; Power Limited, a wholly owned subsidiary of TotalEnergies SE (“TotalEnergies”). TotalEnergies has the right to extend the charter for a period of three years, provided that TotalEnergies provides us with advance notice of declaration.</w:t>
      </w:r>
    </w:p>
    <w:p>
      <w:pPr>
        <w:spacing w:after="0" w:line="173" w:lineRule="exact"/>
        <w:rPr>
          <w:rFonts w:ascii="Arial" w:cs="Arial" w:eastAsia="Arial" w:hAnsi="Arial"/>
          <w:sz w:val="12"/>
          <w:szCs w:val="12"/>
          <w:color w:val="auto"/>
        </w:rPr>
      </w:pPr>
    </w:p>
    <w:p>
      <w:pPr>
        <w:ind w:left="340" w:hanging="332"/>
        <w:spacing w:after="0"/>
        <w:tabs>
          <w:tab w:leader="none" w:pos="34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vessel is chartered to Clearlake Shipping Pte. Ltd., a wholly owned subsidiary of Gunvor Group Ltd. (“Gunvor”).</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Deliveries</w:t>
      </w:r>
    </w:p>
    <w:p>
      <w:pPr>
        <w:spacing w:after="0" w:line="23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As of November 16, 2023, GasLog has four newbuildings on order at Daewoo Shipbuilding and Marine Engineering Co., Ltd., which was acquired by Hanwha Ocean Co. Ltd., an affiliate of the Hanwha Group: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Cargo</w:t>
            </w: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Estimated Charter</w:t>
            </w:r>
          </w:p>
        </w:tc>
        <w:tc>
          <w:tcPr>
            <w:tcW w:w="0" w:type="dxa"/>
            <w:vAlign w:val="bottom"/>
          </w:tcPr>
          <w:p>
            <w:pPr>
              <w:spacing w:after="0"/>
              <w:rPr>
                <w:sz w:val="1"/>
                <w:szCs w:val="1"/>
                <w:color w:val="auto"/>
              </w:rPr>
            </w:pPr>
          </w:p>
        </w:tc>
      </w:tr>
      <w:tr>
        <w:trPr>
          <w:trHeight w:val="163"/>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00"/>
              <w:spacing w:after="0" w:line="163" w:lineRule="exact"/>
              <w:rPr>
                <w:sz w:val="20"/>
                <w:szCs w:val="20"/>
                <w:color w:val="auto"/>
              </w:rPr>
            </w:pPr>
            <w:r>
              <w:rPr>
                <w:rFonts w:ascii="Arial" w:cs="Arial" w:eastAsia="Arial" w:hAnsi="Arial"/>
                <w:sz w:val="16"/>
                <w:szCs w:val="16"/>
                <w:b w:val="1"/>
                <w:bCs w:val="1"/>
                <w:color w:val="auto"/>
                <w:w w:val="92"/>
              </w:rPr>
              <w:t>Capacity</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1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Expected Delivery</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(cbm)</w:t>
            </w: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Charterer</w:t>
            </w:r>
          </w:p>
        </w:tc>
        <w:tc>
          <w:tcPr>
            <w:tcW w:w="1340" w:type="dxa"/>
            <w:vAlign w:val="bottom"/>
            <w:gridSpan w:val="2"/>
          </w:tcPr>
          <w:p>
            <w:pPr>
              <w:jc w:val="center"/>
              <w:ind w:right="120"/>
              <w:spacing w:after="0" w:line="256" w:lineRule="exact"/>
              <w:rPr>
                <w:sz w:val="20"/>
                <w:szCs w:val="20"/>
                <w:color w:val="auto"/>
              </w:rPr>
            </w:pPr>
            <w:r>
              <w:rPr>
                <w:rFonts w:ascii="Arial" w:cs="Arial" w:eastAsia="Arial" w:hAnsi="Arial"/>
                <w:sz w:val="16"/>
                <w:szCs w:val="16"/>
                <w:b w:val="1"/>
                <w:bCs w:val="1"/>
                <w:color w:val="auto"/>
                <w:w w:val="85"/>
              </w:rPr>
              <w:t>Propulsion</w:t>
            </w:r>
            <w:r>
              <w:rPr>
                <w:rFonts w:ascii="Arial" w:cs="Arial" w:eastAsia="Arial" w:hAnsi="Arial"/>
                <w:sz w:val="26"/>
                <w:szCs w:val="26"/>
                <w:b w:val="1"/>
                <w:bCs w:val="1"/>
                <w:color w:val="auto"/>
                <w:w w:val="85"/>
                <w:vertAlign w:val="superscript"/>
              </w:rPr>
              <w:t>(1)</w:t>
            </w:r>
          </w:p>
        </w:tc>
        <w:tc>
          <w:tcPr>
            <w:tcW w:w="1900" w:type="dxa"/>
            <w:vAlign w:val="bottom"/>
            <w:gridSpan w:val="2"/>
          </w:tcPr>
          <w:p>
            <w:pPr>
              <w:jc w:val="center"/>
              <w:ind w:right="120"/>
              <w:spacing w:after="0" w:line="256" w:lineRule="exact"/>
              <w:rPr>
                <w:sz w:val="20"/>
                <w:szCs w:val="20"/>
                <w:color w:val="auto"/>
              </w:rPr>
            </w:pPr>
            <w:r>
              <w:rPr>
                <w:rFonts w:ascii="Arial" w:cs="Arial" w:eastAsia="Arial" w:hAnsi="Arial"/>
                <w:sz w:val="16"/>
                <w:szCs w:val="16"/>
                <w:b w:val="1"/>
                <w:bCs w:val="1"/>
                <w:color w:val="auto"/>
                <w:w w:val="90"/>
              </w:rPr>
              <w:t>Expiration</w:t>
            </w:r>
            <w:r>
              <w:rPr>
                <w:rFonts w:ascii="Arial" w:cs="Arial" w:eastAsia="Arial" w:hAnsi="Arial"/>
                <w:sz w:val="26"/>
                <w:szCs w:val="26"/>
                <w:b w:val="1"/>
                <w:bCs w:val="1"/>
                <w:color w:val="auto"/>
                <w:w w:val="90"/>
                <w:vertAlign w:val="superscript"/>
              </w:rPr>
              <w:t>(2)</w:t>
            </w:r>
          </w:p>
        </w:tc>
        <w:tc>
          <w:tcPr>
            <w:tcW w:w="0" w:type="dxa"/>
            <w:vAlign w:val="bottom"/>
          </w:tcPr>
          <w:p>
            <w:pPr>
              <w:spacing w:after="0"/>
              <w:rPr>
                <w:sz w:val="1"/>
                <w:szCs w:val="1"/>
                <w:color w:val="auto"/>
              </w:rPr>
            </w:pPr>
          </w:p>
        </w:tc>
      </w:tr>
      <w:tr>
        <w:trPr>
          <w:trHeight w:val="196"/>
        </w:trPr>
        <w:tc>
          <w:tcPr>
            <w:tcW w:w="204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6"/>
                <w:szCs w:val="16"/>
                <w:color w:val="auto"/>
              </w:rPr>
              <w:t>Hull No. 2532</w:t>
            </w:r>
          </w:p>
        </w:tc>
        <w:tc>
          <w:tcPr>
            <w:tcW w:w="1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1"/>
              </w:rPr>
              <w:t>Q3 2024</w:t>
            </w:r>
          </w:p>
        </w:tc>
        <w:tc>
          <w:tcPr>
            <w:tcW w:w="12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00" w:type="dxa"/>
            <w:vAlign w:val="bottom"/>
            <w:tcBorders>
              <w:top w:val="single" w:sz="8" w:color="E5FFFF"/>
            </w:tcBorders>
            <w:shd w:val="clear" w:color="auto" w:fill="E5FFFF"/>
          </w:tcPr>
          <w:p>
            <w:pPr>
              <w:spacing w:after="0"/>
              <w:rPr>
                <w:sz w:val="17"/>
                <w:szCs w:val="17"/>
                <w:color w:val="auto"/>
              </w:rPr>
            </w:pPr>
          </w:p>
        </w:tc>
        <w:tc>
          <w:tcPr>
            <w:tcW w:w="28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94"/>
              </w:rPr>
              <w:t>Multinational Oil and Gas Company</w:t>
            </w:r>
          </w:p>
        </w:tc>
        <w:tc>
          <w:tcPr>
            <w:tcW w:w="10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rPr>
              <w:t>MEGI</w:t>
            </w:r>
          </w:p>
        </w:tc>
        <w:tc>
          <w:tcPr>
            <w:tcW w:w="120" w:type="dxa"/>
            <w:vAlign w:val="bottom"/>
            <w:tcBorders>
              <w:top w:val="single" w:sz="8" w:color="E5FFFF"/>
            </w:tcBorders>
            <w:shd w:val="clear" w:color="auto" w:fill="E5FFFF"/>
          </w:tcPr>
          <w:p>
            <w:pPr>
              <w:spacing w:after="0"/>
              <w:rPr>
                <w:sz w:val="17"/>
                <w:szCs w:val="17"/>
                <w:color w:val="auto"/>
              </w:rPr>
            </w:pPr>
          </w:p>
        </w:tc>
        <w:tc>
          <w:tcPr>
            <w:tcW w:w="18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6"/>
                <w:szCs w:val="16"/>
                <w:color w:val="auto"/>
                <w:w w:val="89"/>
              </w:rPr>
              <w:t>2031</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gridSpan w:val="2"/>
          </w:tcPr>
          <w:p>
            <w:pPr>
              <w:spacing w:after="0"/>
              <w:rPr>
                <w:sz w:val="20"/>
                <w:szCs w:val="20"/>
                <w:color w:val="auto"/>
              </w:rPr>
            </w:pPr>
            <w:r>
              <w:rPr>
                <w:rFonts w:ascii="Arial" w:cs="Arial" w:eastAsia="Arial" w:hAnsi="Arial"/>
                <w:sz w:val="16"/>
                <w:szCs w:val="16"/>
                <w:color w:val="auto"/>
              </w:rPr>
              <w:t>Hull No. 2533</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Q3 2024</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00" w:type="dxa"/>
            <w:vAlign w:val="bottom"/>
          </w:tcPr>
          <w:p>
            <w:pPr>
              <w:spacing w:after="0"/>
              <w:rPr>
                <w:sz w:val="18"/>
                <w:szCs w:val="18"/>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rPr>
              <w:t>Mitsui</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MEGI</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Hull No. 2534</w:t>
            </w:r>
          </w:p>
        </w:tc>
        <w:tc>
          <w:tcPr>
            <w:tcW w:w="180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1"/>
              </w:rPr>
              <w:t>Q3 2025</w:t>
            </w:r>
          </w:p>
        </w:tc>
        <w:tc>
          <w:tcPr>
            <w:tcW w:w="102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174,000</w:t>
            </w:r>
          </w:p>
        </w:tc>
        <w:tc>
          <w:tcPr>
            <w:tcW w:w="100" w:type="dxa"/>
            <w:vAlign w:val="bottom"/>
            <w:shd w:val="clear" w:color="auto" w:fill="E5FFFF"/>
          </w:tcPr>
          <w:p>
            <w:pPr>
              <w:spacing w:after="0"/>
              <w:rPr>
                <w:sz w:val="19"/>
                <w:szCs w:val="19"/>
                <w:color w:val="auto"/>
              </w:rPr>
            </w:pPr>
          </w:p>
        </w:tc>
        <w:tc>
          <w:tcPr>
            <w:tcW w:w="292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2"/>
              </w:rPr>
              <w:t>Woodside</w:t>
            </w:r>
          </w:p>
        </w:tc>
        <w:tc>
          <w:tcPr>
            <w:tcW w:w="134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rPr>
              <w:t>MEGI</w:t>
            </w:r>
          </w:p>
        </w:tc>
        <w:tc>
          <w:tcPr>
            <w:tcW w:w="18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2035</w:t>
            </w:r>
          </w:p>
        </w:tc>
        <w:tc>
          <w:tcPr>
            <w:tcW w:w="1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60" w:type="dxa"/>
            <w:vAlign w:val="bottom"/>
            <w:gridSpan w:val="2"/>
          </w:tcPr>
          <w:p>
            <w:pPr>
              <w:spacing w:after="0"/>
              <w:rPr>
                <w:sz w:val="20"/>
                <w:szCs w:val="20"/>
                <w:color w:val="auto"/>
              </w:rPr>
            </w:pPr>
            <w:r>
              <w:rPr>
                <w:rFonts w:ascii="Arial" w:cs="Arial" w:eastAsia="Arial" w:hAnsi="Arial"/>
                <w:sz w:val="16"/>
                <w:szCs w:val="16"/>
                <w:color w:val="auto"/>
              </w:rPr>
              <w:t>Hull No. 2535</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Q4 2025</w:t>
            </w:r>
          </w:p>
        </w:tc>
        <w:tc>
          <w:tcPr>
            <w:tcW w:w="1020" w:type="dxa"/>
            <w:vAlign w:val="bottom"/>
          </w:tcPr>
          <w:p>
            <w:pPr>
              <w:jc w:val="center"/>
              <w:spacing w:after="0"/>
              <w:rPr>
                <w:sz w:val="20"/>
                <w:szCs w:val="20"/>
                <w:color w:val="auto"/>
              </w:rPr>
            </w:pPr>
            <w:r>
              <w:rPr>
                <w:rFonts w:ascii="Arial" w:cs="Arial" w:eastAsia="Arial" w:hAnsi="Arial"/>
                <w:sz w:val="16"/>
                <w:szCs w:val="16"/>
                <w:color w:val="auto"/>
                <w:w w:val="93"/>
              </w:rPr>
              <w:t>174,000</w:t>
            </w:r>
          </w:p>
        </w:tc>
        <w:tc>
          <w:tcPr>
            <w:tcW w:w="100" w:type="dxa"/>
            <w:vAlign w:val="bottom"/>
          </w:tcPr>
          <w:p>
            <w:pPr>
              <w:spacing w:after="0"/>
              <w:rPr>
                <w:sz w:val="17"/>
                <w:szCs w:val="17"/>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Woodside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rPr>
              <w:t>MEGI</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2035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40" w:type="dxa"/>
            <w:vAlign w:val="bottom"/>
          </w:tcPr>
          <w:p>
            <w:pPr>
              <w:spacing w:after="0"/>
              <w:rPr>
                <w:sz w:val="20"/>
                <w:szCs w:val="20"/>
                <w:color w:val="auto"/>
              </w:rPr>
            </w:pPr>
            <w:r>
              <w:rPr>
                <w:rFonts w:ascii="Arial" w:cs="Arial" w:eastAsia="Arial" w:hAnsi="Arial"/>
                <w:sz w:val="16"/>
                <w:szCs w:val="16"/>
                <w:color w:val="auto"/>
              </w:rPr>
              <w:t>____________</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4"/>
          <w:szCs w:val="14"/>
          <w:color w:val="auto"/>
        </w:rPr>
        <w:t>M-type, Electronically controlled Gas Injection (“MEGI”) engine.</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6"/>
        </w:numPr>
        <w:rPr>
          <w:rFonts w:ascii="Arial" w:cs="Arial" w:eastAsia="Arial" w:hAnsi="Arial"/>
          <w:sz w:val="12"/>
          <w:szCs w:val="12"/>
          <w:color w:val="auto"/>
        </w:rPr>
      </w:pPr>
      <w:r>
        <w:rPr>
          <w:rFonts w:ascii="Arial" w:cs="Arial" w:eastAsia="Arial" w:hAnsi="Arial"/>
          <w:sz w:val="14"/>
          <w:szCs w:val="14"/>
          <w:color w:val="auto"/>
        </w:rPr>
        <w:t>Charter expiration to be determined based upon actual date of delivery.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9" w:lineRule="exact"/>
        <w:rPr>
          <w:sz w:val="20"/>
          <w:szCs w:val="20"/>
          <w:color w:val="auto"/>
        </w:rPr>
      </w:pPr>
    </w:p>
    <w:p>
      <w:pPr>
        <w:ind w:right="20" w:firstLine="324"/>
        <w:spacing w:after="0" w:line="313" w:lineRule="auto"/>
        <w:rPr>
          <w:sz w:val="20"/>
          <w:szCs w:val="20"/>
          <w:color w:val="auto"/>
        </w:rPr>
      </w:pPr>
      <w:r>
        <w:rPr>
          <w:rFonts w:ascii="Arial" w:cs="Arial" w:eastAsia="Arial" w:hAnsi="Arial"/>
          <w:sz w:val="14"/>
          <w:szCs w:val="14"/>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the Partnership expect, project, believe or anticipate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Other factors that might cause future results and outcomes to differ include, but are not limited to, the other risks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line="293" w:lineRule="auto"/>
        <w:rPr>
          <w:sz w:val="20"/>
          <w:szCs w:val="20"/>
          <w:color w:val="auto"/>
        </w:rPr>
      </w:pPr>
      <w:r>
        <w:rPr>
          <w:rFonts w:ascii="Arial" w:cs="Arial" w:eastAsia="Arial" w:hAnsi="Arial"/>
          <w:sz w:val="16"/>
          <w:szCs w:val="16"/>
          <w:color w:val="auto"/>
        </w:rPr>
        <w:t>and uncertainties described in GasLog's Annual Report on Form 20-F filed with the SEC on March 3, 2023 and the Partnership's Annual Report on Form 20-F filed with the SEC on March 6, 2023, each available at http://www.sec.gov. Accordingly, you should not unduly rely on any forward-looking statements.</w:t>
      </w:r>
    </w:p>
    <w:p>
      <w:pPr>
        <w:spacing w:after="0" w:line="172" w:lineRule="exact"/>
        <w:rPr>
          <w:sz w:val="20"/>
          <w:szCs w:val="20"/>
          <w:color w:val="auto"/>
        </w:rPr>
      </w:pPr>
    </w:p>
    <w:p>
      <w:pPr>
        <w:jc w:val="both"/>
        <w:ind w:right="80" w:firstLine="324"/>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13" w:right="39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EXHIBIT I - Unaudited Interim Financial Information of GasLog Ltd. and its 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080" w:type="dxa"/>
            <w:vAlign w:val="bottom"/>
          </w:tcPr>
          <w:p>
            <w:pPr>
              <w:spacing w:after="0"/>
              <w:rPr>
                <w:sz w:val="20"/>
                <w:szCs w:val="20"/>
                <w:color w:val="auto"/>
              </w:rPr>
            </w:pPr>
            <w:r>
              <w:rPr>
                <w:rFonts w:ascii="Arial" w:cs="Arial" w:eastAsia="Arial" w:hAnsi="Arial"/>
                <w:sz w:val="16"/>
                <w:szCs w:val="16"/>
                <w:b w:val="1"/>
                <w:bCs w:val="1"/>
                <w:color w:val="auto"/>
                <w:w w:val="98"/>
              </w:rPr>
              <w:t>Unaudited condensed consolidated statements of financial position</w:t>
            </w:r>
          </w:p>
        </w:tc>
        <w:tc>
          <w:tcPr>
            <w:tcW w:w="2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As of December 31, 2022 and September 30, 2023</w:t>
            </w:r>
          </w:p>
        </w:tc>
        <w:tc>
          <w:tcPr>
            <w:tcW w:w="2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December 31, 2022</w:t>
            </w:r>
          </w:p>
        </w:tc>
        <w:tc>
          <w:tcPr>
            <w:tcW w:w="168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13"/>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Assets</w:t>
            </w:r>
          </w:p>
        </w:tc>
        <w:tc>
          <w:tcPr>
            <w:tcW w:w="2580" w:type="dxa"/>
            <w:vAlign w:val="bottom"/>
            <w:tcBorders>
              <w:top w:val="single" w:sz="8" w:color="E5FFFF"/>
            </w:tcBorders>
            <w:shd w:val="clear" w:color="auto" w:fill="E5FFFF"/>
          </w:tcPr>
          <w:p>
            <w:pPr>
              <w:spacing w:after="0"/>
              <w:rPr>
                <w:sz w:val="18"/>
                <w:szCs w:val="18"/>
                <w:color w:val="auto"/>
              </w:rPr>
            </w:pPr>
          </w:p>
        </w:tc>
        <w:tc>
          <w:tcPr>
            <w:tcW w:w="168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68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2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Goodwill</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9,511</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Investment in associates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28,823</w:t>
            </w:r>
          </w:p>
        </w:tc>
        <w:tc>
          <w:tcPr>
            <w:tcW w:w="1680" w:type="dxa"/>
            <w:vAlign w:val="bottom"/>
          </w:tcPr>
          <w:p>
            <w:pPr>
              <w:jc w:val="right"/>
              <w:spacing w:after="0"/>
              <w:rPr>
                <w:sz w:val="20"/>
                <w:szCs w:val="20"/>
                <w:color w:val="auto"/>
              </w:rPr>
            </w:pPr>
            <w:r>
              <w:rPr>
                <w:rFonts w:ascii="Arial" w:cs="Arial" w:eastAsia="Arial" w:hAnsi="Arial"/>
                <w:sz w:val="16"/>
                <w:szCs w:val="16"/>
                <w:color w:val="auto"/>
              </w:rPr>
              <w:t>43,209</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Deferred financing costs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8,778</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8,273</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2,092</w:t>
            </w:r>
          </w:p>
        </w:tc>
        <w:tc>
          <w:tcPr>
            <w:tcW w:w="1680" w:type="dxa"/>
            <w:vAlign w:val="bottom"/>
          </w:tcPr>
          <w:p>
            <w:pPr>
              <w:jc w:val="right"/>
              <w:spacing w:after="0"/>
              <w:rPr>
                <w:sz w:val="20"/>
                <w:szCs w:val="20"/>
                <w:color w:val="auto"/>
              </w:rPr>
            </w:pPr>
            <w:r>
              <w:rPr>
                <w:rFonts w:ascii="Arial" w:cs="Arial" w:eastAsia="Arial" w:hAnsi="Arial"/>
                <w:sz w:val="16"/>
                <w:szCs w:val="16"/>
                <w:color w:val="auto"/>
              </w:rPr>
              <w:t>3,767</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non-current portion</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13,225</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Tangible fixed assets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4,514,663</w:t>
            </w:r>
          </w:p>
        </w:tc>
        <w:tc>
          <w:tcPr>
            <w:tcW w:w="1680" w:type="dxa"/>
            <w:vAlign w:val="bottom"/>
          </w:tcPr>
          <w:p>
            <w:pPr>
              <w:jc w:val="right"/>
              <w:spacing w:after="0"/>
              <w:rPr>
                <w:sz w:val="20"/>
                <w:szCs w:val="20"/>
                <w:color w:val="auto"/>
              </w:rPr>
            </w:pPr>
            <w:r>
              <w:rPr>
                <w:rFonts w:ascii="Arial" w:cs="Arial" w:eastAsia="Arial" w:hAnsi="Arial"/>
                <w:sz w:val="16"/>
                <w:szCs w:val="16"/>
                <w:color w:val="auto"/>
              </w:rPr>
              <w:t>3,945,404</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Vessels under construction</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210,099</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476,560</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Right-of-use assets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416,485</w:t>
            </w:r>
          </w:p>
        </w:tc>
        <w:tc>
          <w:tcPr>
            <w:tcW w:w="1680" w:type="dxa"/>
            <w:vAlign w:val="bottom"/>
          </w:tcPr>
          <w:p>
            <w:pPr>
              <w:jc w:val="right"/>
              <w:spacing w:after="0"/>
              <w:rPr>
                <w:sz w:val="20"/>
                <w:szCs w:val="20"/>
                <w:color w:val="auto"/>
              </w:rPr>
            </w:pPr>
            <w:r>
              <w:rPr>
                <w:rFonts w:ascii="Arial" w:cs="Arial" w:eastAsia="Arial" w:hAnsi="Arial"/>
                <w:sz w:val="16"/>
                <w:szCs w:val="16"/>
                <w:color w:val="auto"/>
              </w:rPr>
              <w:t>494,056</w:t>
            </w:r>
          </w:p>
        </w:tc>
        <w:tc>
          <w:tcPr>
            <w:tcW w:w="0" w:type="dxa"/>
            <w:vAlign w:val="bottom"/>
          </w:tcPr>
          <w:p>
            <w:pPr>
              <w:spacing w:after="0"/>
              <w:rPr>
                <w:sz w:val="1"/>
                <w:szCs w:val="1"/>
                <w:color w:val="auto"/>
              </w:rPr>
            </w:pPr>
          </w:p>
        </w:tc>
      </w:tr>
      <w:tr>
        <w:trPr>
          <w:trHeight w:val="202"/>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25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5,203,676</w:t>
            </w:r>
          </w:p>
        </w:tc>
        <w:tc>
          <w:tcPr>
            <w:tcW w:w="2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4,980,780</w:t>
            </w:r>
          </w:p>
        </w:tc>
        <w:tc>
          <w:tcPr>
            <w:tcW w:w="0" w:type="dxa"/>
            <w:vAlign w:val="bottom"/>
          </w:tcPr>
          <w:p>
            <w:pPr>
              <w:spacing w:after="0"/>
              <w:rPr>
                <w:sz w:val="1"/>
                <w:szCs w:val="1"/>
                <w:color w:val="auto"/>
              </w:rPr>
            </w:pPr>
          </w:p>
        </w:tc>
      </w:tr>
      <w:tr>
        <w:trPr>
          <w:trHeight w:val="207"/>
        </w:trPr>
        <w:tc>
          <w:tcPr>
            <w:tcW w:w="50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22,897</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31,705</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Dividends receivable and other amounts due from related parties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61</w:t>
            </w:r>
          </w:p>
        </w:tc>
        <w:tc>
          <w:tcPr>
            <w:tcW w:w="168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 current portion</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25,383</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Inventories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8,483</w:t>
            </w:r>
          </w:p>
        </w:tc>
        <w:tc>
          <w:tcPr>
            <w:tcW w:w="1680" w:type="dxa"/>
            <w:vAlign w:val="bottom"/>
          </w:tcPr>
          <w:p>
            <w:pPr>
              <w:jc w:val="right"/>
              <w:spacing w:after="0"/>
              <w:rPr>
                <w:sz w:val="20"/>
                <w:szCs w:val="20"/>
                <w:color w:val="auto"/>
              </w:rPr>
            </w:pPr>
            <w:r>
              <w:rPr>
                <w:rFonts w:ascii="Arial" w:cs="Arial" w:eastAsia="Arial" w:hAnsi="Arial"/>
                <w:sz w:val="16"/>
                <w:szCs w:val="16"/>
                <w:color w:val="auto"/>
              </w:rPr>
              <w:t>8,509</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Prepayments and other current assets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7,262</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11,014</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Short-term cash deposits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36,000</w:t>
            </w:r>
          </w:p>
        </w:tc>
        <w:tc>
          <w:tcPr>
            <w:tcW w:w="1680" w:type="dxa"/>
            <w:vAlign w:val="bottom"/>
          </w:tcPr>
          <w:p>
            <w:pPr>
              <w:jc w:val="right"/>
              <w:spacing w:after="0"/>
              <w:rPr>
                <w:sz w:val="20"/>
                <w:szCs w:val="20"/>
                <w:color w:val="auto"/>
              </w:rPr>
            </w:pPr>
            <w:r>
              <w:rPr>
                <w:rFonts w:ascii="Arial" w:cs="Arial" w:eastAsia="Arial" w:hAnsi="Arial"/>
                <w:sz w:val="16"/>
                <w:szCs w:val="16"/>
                <w:color w:val="auto"/>
              </w:rPr>
              <w:t>38,582</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368,286</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172,828</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258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468,372</w:t>
            </w:r>
          </w:p>
        </w:tc>
        <w:tc>
          <w:tcPr>
            <w:tcW w:w="22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263,252</w:t>
            </w:r>
          </w:p>
        </w:tc>
        <w:tc>
          <w:tcPr>
            <w:tcW w:w="0" w:type="dxa"/>
            <w:vAlign w:val="bottom"/>
          </w:tcPr>
          <w:p>
            <w:pPr>
              <w:spacing w:after="0"/>
              <w:rPr>
                <w:sz w:val="1"/>
                <w:szCs w:val="1"/>
                <w:color w:val="auto"/>
              </w:rPr>
            </w:pPr>
          </w:p>
        </w:tc>
      </w:tr>
      <w:tr>
        <w:trPr>
          <w:trHeight w:val="220"/>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5,672,048</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5,244,032</w:t>
            </w:r>
          </w:p>
        </w:tc>
        <w:tc>
          <w:tcPr>
            <w:tcW w:w="0" w:type="dxa"/>
            <w:vAlign w:val="bottom"/>
          </w:tcPr>
          <w:p>
            <w:pPr>
              <w:spacing w:after="0"/>
              <w:rPr>
                <w:sz w:val="1"/>
                <w:szCs w:val="1"/>
                <w:color w:val="auto"/>
              </w:rPr>
            </w:pPr>
          </w:p>
        </w:tc>
      </w:tr>
      <w:tr>
        <w:trPr>
          <w:trHeight w:val="20"/>
        </w:trPr>
        <w:tc>
          <w:tcPr>
            <w:tcW w:w="50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2580" w:type="dxa"/>
            <w:vAlign w:val="bottom"/>
            <w:tcBorders>
              <w:top w:val="single" w:sz="8" w:color="E5FF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Equity</w:t>
            </w:r>
          </w:p>
        </w:tc>
        <w:tc>
          <w:tcPr>
            <w:tcW w:w="2580" w:type="dxa"/>
            <w:vAlign w:val="bottom"/>
            <w:shd w:val="clear" w:color="auto" w:fill="E5FFFF"/>
          </w:tcPr>
          <w:p>
            <w:pPr>
              <w:spacing w:after="0"/>
              <w:rPr>
                <w:sz w:val="19"/>
                <w:szCs w:val="19"/>
                <w:color w:val="auto"/>
              </w:rPr>
            </w:pPr>
          </w:p>
        </w:tc>
        <w:tc>
          <w:tcPr>
            <w:tcW w:w="1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6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Preference shares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46</w:t>
            </w:r>
          </w:p>
        </w:tc>
        <w:tc>
          <w:tcPr>
            <w:tcW w:w="16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Share capital</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954</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Contributed surplus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658,888</w:t>
            </w:r>
          </w:p>
        </w:tc>
        <w:tc>
          <w:tcPr>
            <w:tcW w:w="1680" w:type="dxa"/>
            <w:vAlign w:val="bottom"/>
          </w:tcPr>
          <w:p>
            <w:pPr>
              <w:jc w:val="right"/>
              <w:spacing w:after="0"/>
              <w:rPr>
                <w:sz w:val="20"/>
                <w:szCs w:val="20"/>
                <w:color w:val="auto"/>
              </w:rPr>
            </w:pPr>
            <w:r>
              <w:rPr>
                <w:rFonts w:ascii="Arial" w:cs="Arial" w:eastAsia="Arial" w:hAnsi="Arial"/>
                <w:sz w:val="16"/>
                <w:szCs w:val="16"/>
                <w:color w:val="auto"/>
              </w:rPr>
              <w:t>1,038,226</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Reserves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16,464</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14,494</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Retained earnings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108,685</w:t>
            </w:r>
          </w:p>
        </w:tc>
        <w:tc>
          <w:tcPr>
            <w:tcW w:w="1680" w:type="dxa"/>
            <w:vAlign w:val="bottom"/>
          </w:tcPr>
          <w:p>
            <w:pPr>
              <w:jc w:val="right"/>
              <w:spacing w:after="0"/>
              <w:rPr>
                <w:sz w:val="20"/>
                <w:szCs w:val="20"/>
                <w:color w:val="auto"/>
              </w:rPr>
            </w:pPr>
            <w:r>
              <w:rPr>
                <w:rFonts w:ascii="Arial" w:cs="Arial" w:eastAsia="Arial" w:hAnsi="Arial"/>
                <w:sz w:val="16"/>
                <w:szCs w:val="16"/>
                <w:color w:val="auto"/>
              </w:rPr>
              <w:t>162,579</w:t>
            </w:r>
          </w:p>
        </w:tc>
        <w:tc>
          <w:tcPr>
            <w:tcW w:w="0" w:type="dxa"/>
            <w:vAlign w:val="bottom"/>
          </w:tcPr>
          <w:p>
            <w:pPr>
              <w:spacing w:after="0"/>
              <w:rPr>
                <w:sz w:val="1"/>
                <w:szCs w:val="1"/>
                <w:color w:val="auto"/>
              </w:rPr>
            </w:pPr>
          </w:p>
        </w:tc>
      </w:tr>
      <w:tr>
        <w:trPr>
          <w:trHeight w:val="202"/>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Equity attributable to owners of the Group</w:t>
            </w:r>
          </w:p>
        </w:tc>
        <w:tc>
          <w:tcPr>
            <w:tcW w:w="25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785,037</w:t>
            </w:r>
          </w:p>
        </w:tc>
        <w:tc>
          <w:tcPr>
            <w:tcW w:w="2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1,216,299</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936,741</w:t>
            </w:r>
          </w:p>
        </w:tc>
        <w:tc>
          <w:tcPr>
            <w:tcW w:w="1680" w:type="dxa"/>
            <w:vAlign w:val="bottom"/>
          </w:tcPr>
          <w:p>
            <w:pPr>
              <w:jc w:val="right"/>
              <w:spacing w:after="0"/>
              <w:rPr>
                <w:sz w:val="20"/>
                <w:szCs w:val="20"/>
                <w:color w:val="auto"/>
              </w:rPr>
            </w:pPr>
            <w:r>
              <w:rPr>
                <w:rFonts w:ascii="Arial" w:cs="Arial" w:eastAsia="Arial" w:hAnsi="Arial"/>
                <w:sz w:val="16"/>
                <w:szCs w:val="16"/>
                <w:color w:val="auto"/>
              </w:rPr>
              <w:t>280,045</w:t>
            </w:r>
          </w:p>
        </w:tc>
        <w:tc>
          <w:tcPr>
            <w:tcW w:w="0" w:type="dxa"/>
            <w:vAlign w:val="bottom"/>
          </w:tcPr>
          <w:p>
            <w:pPr>
              <w:spacing w:after="0"/>
              <w:rPr>
                <w:sz w:val="1"/>
                <w:szCs w:val="1"/>
                <w:color w:val="auto"/>
              </w:rPr>
            </w:pPr>
          </w:p>
        </w:tc>
      </w:tr>
      <w:tr>
        <w:trPr>
          <w:trHeight w:val="202"/>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equity</w:t>
            </w:r>
          </w:p>
        </w:tc>
        <w:tc>
          <w:tcPr>
            <w:tcW w:w="258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1,721,778</w:t>
            </w:r>
          </w:p>
        </w:tc>
        <w:tc>
          <w:tcPr>
            <w:tcW w:w="2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1,496,344</w:t>
            </w:r>
          </w:p>
        </w:tc>
        <w:tc>
          <w:tcPr>
            <w:tcW w:w="0" w:type="dxa"/>
            <w:vAlign w:val="bottom"/>
          </w:tcPr>
          <w:p>
            <w:pPr>
              <w:spacing w:after="0"/>
              <w:rPr>
                <w:sz w:val="1"/>
                <w:szCs w:val="1"/>
                <w:color w:val="auto"/>
              </w:rPr>
            </w:pPr>
          </w:p>
        </w:tc>
      </w:tr>
      <w:tr>
        <w:trPr>
          <w:trHeight w:val="207"/>
        </w:trPr>
        <w:tc>
          <w:tcPr>
            <w:tcW w:w="50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19,725</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12,562</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Ship management creditors</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14</w:t>
            </w:r>
          </w:p>
        </w:tc>
        <w:tc>
          <w:tcPr>
            <w:tcW w:w="16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Amounts due to related parties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26</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Derivative financial instruments, current portion</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2,834</w:t>
            </w:r>
          </w:p>
        </w:tc>
        <w:tc>
          <w:tcPr>
            <w:tcW w:w="1680" w:type="dxa"/>
            <w:vAlign w:val="bottom"/>
          </w:tcPr>
          <w:p>
            <w:pPr>
              <w:jc w:val="right"/>
              <w:spacing w:after="0"/>
              <w:rPr>
                <w:sz w:val="20"/>
                <w:szCs w:val="20"/>
                <w:color w:val="auto"/>
              </w:rPr>
            </w:pPr>
            <w:r>
              <w:rPr>
                <w:rFonts w:ascii="Arial" w:cs="Arial" w:eastAsia="Arial" w:hAnsi="Arial"/>
                <w:sz w:val="16"/>
                <w:szCs w:val="16"/>
                <w:color w:val="auto"/>
              </w:rPr>
              <w:t>10,380</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Other payables and accruals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166,932</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161,749</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Borrowings, current portion</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294,977</w:t>
            </w:r>
          </w:p>
        </w:tc>
        <w:tc>
          <w:tcPr>
            <w:tcW w:w="1680" w:type="dxa"/>
            <w:vAlign w:val="bottom"/>
          </w:tcPr>
          <w:p>
            <w:pPr>
              <w:jc w:val="right"/>
              <w:spacing w:after="0"/>
              <w:rPr>
                <w:sz w:val="20"/>
                <w:szCs w:val="20"/>
                <w:color w:val="auto"/>
              </w:rPr>
            </w:pPr>
            <w:r>
              <w:rPr>
                <w:rFonts w:ascii="Arial" w:cs="Arial" w:eastAsia="Arial" w:hAnsi="Arial"/>
                <w:sz w:val="16"/>
                <w:szCs w:val="16"/>
                <w:color w:val="auto"/>
              </w:rPr>
              <w:t>332,305</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 current portion</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48,548</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70,837</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liabilities</w:t>
            </w:r>
          </w:p>
        </w:tc>
        <w:tc>
          <w:tcPr>
            <w:tcW w:w="258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533,056</w:t>
            </w:r>
          </w:p>
        </w:tc>
        <w:tc>
          <w:tcPr>
            <w:tcW w:w="22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588,119</w:t>
            </w:r>
          </w:p>
        </w:tc>
        <w:tc>
          <w:tcPr>
            <w:tcW w:w="0" w:type="dxa"/>
            <w:vAlign w:val="bottom"/>
          </w:tcPr>
          <w:p>
            <w:pPr>
              <w:spacing w:after="0"/>
              <w:rPr>
                <w:sz w:val="1"/>
                <w:szCs w:val="1"/>
                <w:color w:val="auto"/>
              </w:rPr>
            </w:pPr>
          </w:p>
        </w:tc>
      </w:tr>
      <w:tr>
        <w:trPr>
          <w:trHeight w:val="210"/>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Non-current liabilities</w:t>
            </w:r>
          </w:p>
        </w:tc>
        <w:tc>
          <w:tcPr>
            <w:tcW w:w="2580" w:type="dxa"/>
            <w:vAlign w:val="bottom"/>
            <w:shd w:val="clear" w:color="auto" w:fill="E5FFFF"/>
          </w:tcPr>
          <w:p>
            <w:pPr>
              <w:spacing w:after="0"/>
              <w:rPr>
                <w:sz w:val="18"/>
                <w:szCs w:val="18"/>
                <w:color w:val="auto"/>
              </w:rPr>
            </w:pPr>
          </w:p>
        </w:tc>
        <w:tc>
          <w:tcPr>
            <w:tcW w:w="16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6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Derivative financial instruments, non-current portion</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5,498</w:t>
            </w:r>
          </w:p>
        </w:tc>
        <w:tc>
          <w:tcPr>
            <w:tcW w:w="1680" w:type="dxa"/>
            <w:vAlign w:val="bottom"/>
          </w:tcPr>
          <w:p>
            <w:pPr>
              <w:jc w:val="right"/>
              <w:spacing w:after="0"/>
              <w:rPr>
                <w:sz w:val="20"/>
                <w:szCs w:val="20"/>
                <w:color w:val="auto"/>
              </w:rPr>
            </w:pPr>
            <w:r>
              <w:rPr>
                <w:rFonts w:ascii="Arial" w:cs="Arial" w:eastAsia="Arial" w:hAnsi="Arial"/>
                <w:sz w:val="16"/>
                <w:szCs w:val="16"/>
                <w:color w:val="auto"/>
              </w:rPr>
              <w:t>8,656</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Borrowings, non-current portion</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3,004,767</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2,590,309</w:t>
            </w: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Lease liabilities, non-current portion</w:t>
            </w:r>
          </w:p>
        </w:tc>
        <w:tc>
          <w:tcPr>
            <w:tcW w:w="4480" w:type="dxa"/>
            <w:vAlign w:val="bottom"/>
            <w:gridSpan w:val="3"/>
          </w:tcPr>
          <w:p>
            <w:pPr>
              <w:jc w:val="right"/>
              <w:ind w:right="200"/>
              <w:spacing w:after="0"/>
              <w:rPr>
                <w:sz w:val="20"/>
                <w:szCs w:val="20"/>
                <w:color w:val="auto"/>
              </w:rPr>
            </w:pPr>
            <w:r>
              <w:rPr>
                <w:rFonts w:ascii="Arial" w:cs="Arial" w:eastAsia="Arial" w:hAnsi="Arial"/>
                <w:sz w:val="16"/>
                <w:szCs w:val="16"/>
                <w:color w:val="auto"/>
              </w:rPr>
              <w:t>287,828</w:t>
            </w:r>
          </w:p>
        </w:tc>
        <w:tc>
          <w:tcPr>
            <w:tcW w:w="1680" w:type="dxa"/>
            <w:vAlign w:val="bottom"/>
          </w:tcPr>
          <w:p>
            <w:pPr>
              <w:jc w:val="right"/>
              <w:spacing w:after="0"/>
              <w:rPr>
                <w:sz w:val="20"/>
                <w:szCs w:val="20"/>
                <w:color w:val="auto"/>
              </w:rPr>
            </w:pPr>
            <w:r>
              <w:rPr>
                <w:rFonts w:ascii="Arial" w:cs="Arial" w:eastAsia="Arial" w:hAnsi="Arial"/>
                <w:sz w:val="16"/>
                <w:szCs w:val="16"/>
                <w:color w:val="auto"/>
              </w:rPr>
              <w:t>330,061</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color w:val="auto"/>
              </w:rPr>
              <w:t>119,121</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230,543</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258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3,417,214</w:t>
            </w:r>
          </w:p>
        </w:tc>
        <w:tc>
          <w:tcPr>
            <w:tcW w:w="220" w:type="dxa"/>
            <w:vAlign w:val="bottom"/>
            <w:tcBorders>
              <w:bottom w:val="single" w:sz="8" w:color="E5FFFF"/>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3,159,569</w:t>
            </w:r>
          </w:p>
        </w:tc>
        <w:tc>
          <w:tcPr>
            <w:tcW w:w="0" w:type="dxa"/>
            <w:vAlign w:val="bottom"/>
          </w:tcPr>
          <w:p>
            <w:pPr>
              <w:spacing w:after="0"/>
              <w:rPr>
                <w:sz w:val="1"/>
                <w:szCs w:val="1"/>
                <w:color w:val="auto"/>
              </w:rPr>
            </w:pPr>
          </w:p>
        </w:tc>
      </w:tr>
      <w:tr>
        <w:trPr>
          <w:trHeight w:val="220"/>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equity and liabilities</w:t>
            </w:r>
          </w:p>
        </w:tc>
        <w:tc>
          <w:tcPr>
            <w:tcW w:w="4480" w:type="dxa"/>
            <w:vAlign w:val="bottom"/>
            <w:gridSpan w:val="3"/>
            <w:shd w:val="clear" w:color="auto" w:fill="E5FFFF"/>
          </w:tcPr>
          <w:p>
            <w:pPr>
              <w:jc w:val="right"/>
              <w:ind w:right="200"/>
              <w:spacing w:after="0"/>
              <w:rPr>
                <w:sz w:val="20"/>
                <w:szCs w:val="20"/>
                <w:color w:val="auto"/>
              </w:rPr>
            </w:pPr>
            <w:r>
              <w:rPr>
                <w:rFonts w:ascii="Arial" w:cs="Arial" w:eastAsia="Arial" w:hAnsi="Arial"/>
                <w:sz w:val="16"/>
                <w:szCs w:val="16"/>
                <w:b w:val="1"/>
                <w:bCs w:val="1"/>
                <w:color w:val="auto"/>
              </w:rPr>
              <w:t>5,672,048</w:t>
            </w:r>
          </w:p>
        </w:tc>
        <w:tc>
          <w:tcPr>
            <w:tcW w:w="16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5,244,032</w:t>
            </w:r>
          </w:p>
        </w:tc>
        <w:tc>
          <w:tcPr>
            <w:tcW w:w="0" w:type="dxa"/>
            <w:vAlign w:val="bottom"/>
          </w:tcPr>
          <w:p>
            <w:pPr>
              <w:spacing w:after="0"/>
              <w:rPr>
                <w:sz w:val="1"/>
                <w:szCs w:val="1"/>
                <w:color w:val="auto"/>
              </w:rPr>
            </w:pPr>
          </w:p>
        </w:tc>
      </w:tr>
      <w:tr>
        <w:trPr>
          <w:trHeight w:val="20"/>
        </w:trPr>
        <w:tc>
          <w:tcPr>
            <w:tcW w:w="5080" w:type="dxa"/>
            <w:vAlign w:val="bottom"/>
            <w:tcBorders>
              <w:top w:val="single" w:sz="8" w:color="E5FFFF"/>
            </w:tcBorders>
          </w:tcPr>
          <w:p>
            <w:pPr>
              <w:spacing w:after="0" w:line="20" w:lineRule="exact"/>
              <w:rPr>
                <w:sz w:val="1"/>
                <w:szCs w:val="1"/>
                <w:color w:val="auto"/>
              </w:rPr>
            </w:pPr>
          </w:p>
        </w:tc>
        <w:tc>
          <w:tcPr>
            <w:tcW w:w="2580" w:type="dxa"/>
            <w:vAlign w:val="bottom"/>
            <w:tcBorders>
              <w:top w:val="single" w:sz="8" w:color="E5FFFF"/>
              <w:bottom w:val="single" w:sz="8" w:color="E5FFFF"/>
            </w:tcBorders>
            <w:vMerge w:val="restart"/>
          </w:tcPr>
          <w:p>
            <w:pPr>
              <w:jc w:val="right"/>
              <w:ind w:right="1919"/>
              <w:spacing w:after="0"/>
              <w:rPr>
                <w:sz w:val="20"/>
                <w:szCs w:val="20"/>
                <w:color w:val="auto"/>
              </w:rPr>
            </w:pPr>
            <w:r>
              <w:rPr>
                <w:rFonts w:ascii="Arial" w:cs="Arial" w:eastAsia="Arial" w:hAnsi="Arial"/>
                <w:sz w:val="14"/>
                <w:szCs w:val="14"/>
                <w:color w:val="auto"/>
              </w:rPr>
              <w:t>7</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50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vMerge w:val="continue"/>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0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10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00" w:type="dxa"/>
            <w:vAlign w:val="bottom"/>
          </w:tcPr>
          <w:p>
            <w:pPr>
              <w:spacing w:after="0"/>
              <w:rPr>
                <w:sz w:val="20"/>
                <w:szCs w:val="20"/>
                <w:color w:val="auto"/>
              </w:rPr>
            </w:pPr>
            <w:r>
              <w:rPr>
                <w:rFonts w:ascii="Arial" w:cs="Arial" w:eastAsia="Arial" w:hAnsi="Arial"/>
                <w:sz w:val="16"/>
                <w:szCs w:val="16"/>
                <w:b w:val="1"/>
                <w:bCs w:val="1"/>
                <w:color w:val="auto"/>
                <w:w w:val="99"/>
              </w:rPr>
              <w:t>For the three and nine months ended September 30, 2022 and 2023</w:t>
            </w:r>
          </w:p>
        </w:tc>
        <w:tc>
          <w:tcPr>
            <w:tcW w:w="1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60" w:type="dxa"/>
            <w:vAlign w:val="bottom"/>
            <w:gridSpan w:val="4"/>
          </w:tcPr>
          <w:p>
            <w:pPr>
              <w:jc w:val="right"/>
              <w:ind w:right="320"/>
              <w:spacing w:after="0"/>
              <w:rPr>
                <w:sz w:val="20"/>
                <w:szCs w:val="20"/>
                <w:color w:val="auto"/>
              </w:rPr>
            </w:pPr>
            <w:r>
              <w:rPr>
                <w:rFonts w:ascii="Arial" w:cs="Arial" w:eastAsia="Arial" w:hAnsi="Arial"/>
                <w:sz w:val="16"/>
                <w:szCs w:val="16"/>
                <w:b w:val="1"/>
                <w:bCs w:val="1"/>
                <w:color w:val="auto"/>
              </w:rPr>
              <w:t>For the three months ended</w:t>
            </w:r>
          </w:p>
        </w:tc>
        <w:tc>
          <w:tcPr>
            <w:tcW w:w="24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89"/>
        </w:trPr>
        <w:tc>
          <w:tcPr>
            <w:tcW w:w="5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September</w:t>
            </w: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23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30, 2022</w:t>
            </w:r>
          </w:p>
        </w:tc>
        <w:tc>
          <w:tcPr>
            <w:tcW w:w="12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30, 2023</w:t>
            </w:r>
          </w:p>
        </w:tc>
        <w:tc>
          <w:tcPr>
            <w:tcW w:w="10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30, 2022</w:t>
            </w:r>
          </w:p>
        </w:tc>
        <w:tc>
          <w:tcPr>
            <w:tcW w:w="12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Arial" w:cs="Arial" w:eastAsia="Arial" w:hAnsi="Arial"/>
                <w:sz w:val="16"/>
                <w:szCs w:val="16"/>
                <w:b w:val="1"/>
                <w:bCs w:val="1"/>
                <w:color w:val="auto"/>
              </w:rPr>
              <w:t>30, 2023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Revenues</w:t>
            </w:r>
          </w:p>
        </w:tc>
        <w:tc>
          <w:tcPr>
            <w:tcW w:w="12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241,918</w:t>
            </w: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229,018</w:t>
            </w:r>
          </w:p>
        </w:tc>
        <w:tc>
          <w:tcPr>
            <w:tcW w:w="1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671,737</w:t>
            </w: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688,083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2460" w:type="dxa"/>
            <w:vAlign w:val="bottom"/>
            <w:gridSpan w:val="3"/>
          </w:tcPr>
          <w:p>
            <w:pPr>
              <w:jc w:val="right"/>
              <w:ind w:right="60"/>
              <w:spacing w:after="0"/>
              <w:rPr>
                <w:sz w:val="20"/>
                <w:szCs w:val="20"/>
                <w:color w:val="auto"/>
              </w:rPr>
            </w:pPr>
            <w:r>
              <w:rPr>
                <w:rFonts w:ascii="Arial" w:cs="Arial" w:eastAsia="Arial" w:hAnsi="Arial"/>
                <w:sz w:val="16"/>
                <w:szCs w:val="16"/>
                <w:color w:val="auto"/>
              </w:rPr>
              <w:t>(3,757)</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(4,500)</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(11,084)</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(14,218)</w:t>
            </w:r>
          </w:p>
        </w:tc>
        <w:tc>
          <w:tcPr>
            <w:tcW w:w="0" w:type="dxa"/>
            <w:vAlign w:val="bottom"/>
          </w:tcPr>
          <w:p>
            <w:pPr>
              <w:spacing w:after="0"/>
              <w:rPr>
                <w:sz w:val="1"/>
                <w:szCs w:val="1"/>
                <w:color w:val="auto"/>
              </w:rPr>
            </w:pPr>
          </w:p>
        </w:tc>
      </w:tr>
      <w:tr>
        <w:trPr>
          <w:trHeight w:val="219"/>
        </w:trPr>
        <w:tc>
          <w:tcPr>
            <w:tcW w:w="510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and supervision costs</w:t>
            </w:r>
          </w:p>
        </w:tc>
        <w:tc>
          <w:tcPr>
            <w:tcW w:w="24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(39,091)</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(40,180)</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(125,174)</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(118,591)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Depreciation</w:t>
            </w:r>
          </w:p>
        </w:tc>
        <w:tc>
          <w:tcPr>
            <w:tcW w:w="2460" w:type="dxa"/>
            <w:vAlign w:val="bottom"/>
            <w:gridSpan w:val="3"/>
          </w:tcPr>
          <w:p>
            <w:pPr>
              <w:jc w:val="right"/>
              <w:ind w:right="60"/>
              <w:spacing w:after="0"/>
              <w:rPr>
                <w:sz w:val="20"/>
                <w:szCs w:val="20"/>
                <w:color w:val="auto"/>
              </w:rPr>
            </w:pPr>
            <w:r>
              <w:rPr>
                <w:rFonts w:ascii="Arial" w:cs="Arial" w:eastAsia="Arial" w:hAnsi="Arial"/>
                <w:sz w:val="16"/>
                <w:szCs w:val="16"/>
                <w:color w:val="auto"/>
              </w:rPr>
              <w:t>(57,233)</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(61,355)</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(170,074)</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(177,489)</w:t>
            </w:r>
          </w:p>
        </w:tc>
        <w:tc>
          <w:tcPr>
            <w:tcW w:w="0" w:type="dxa"/>
            <w:vAlign w:val="bottom"/>
          </w:tcPr>
          <w:p>
            <w:pPr>
              <w:spacing w:after="0"/>
              <w:rPr>
                <w:sz w:val="1"/>
                <w:szCs w:val="1"/>
                <w:color w:val="auto"/>
              </w:rPr>
            </w:pPr>
          </w:p>
        </w:tc>
      </w:tr>
      <w:tr>
        <w:trPr>
          <w:trHeight w:val="219"/>
        </w:trPr>
        <w:tc>
          <w:tcPr>
            <w:tcW w:w="51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w:t>
            </w:r>
          </w:p>
        </w:tc>
        <w:tc>
          <w:tcPr>
            <w:tcW w:w="1220" w:type="dxa"/>
            <w:vAlign w:val="bottom"/>
            <w:shd w:val="clear" w:color="auto" w:fill="E5FFFF"/>
          </w:tcPr>
          <w:p>
            <w:pPr>
              <w:spacing w:after="0"/>
              <w:rPr>
                <w:sz w:val="19"/>
                <w:szCs w:val="19"/>
                <w:color w:val="auto"/>
              </w:rPr>
            </w:pPr>
          </w:p>
        </w:tc>
        <w:tc>
          <w:tcPr>
            <w:tcW w:w="12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(56,911)</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2460" w:type="dxa"/>
            <w:vAlign w:val="bottom"/>
            <w:gridSpan w:val="3"/>
          </w:tcPr>
          <w:p>
            <w:pPr>
              <w:jc w:val="right"/>
              <w:ind w:right="60"/>
              <w:spacing w:after="0"/>
              <w:rPr>
                <w:sz w:val="20"/>
                <w:szCs w:val="20"/>
                <w:color w:val="auto"/>
              </w:rPr>
            </w:pPr>
            <w:r>
              <w:rPr>
                <w:rFonts w:ascii="Arial" w:cs="Arial" w:eastAsia="Arial" w:hAnsi="Arial"/>
                <w:sz w:val="16"/>
                <w:szCs w:val="16"/>
                <w:color w:val="auto"/>
              </w:rPr>
              <w:t>(167)</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(749)</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(744)</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19"/>
        </w:trPr>
        <w:tc>
          <w:tcPr>
            <w:tcW w:w="510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24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(5,706)</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(10,667)</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(22,608)</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 from operations</w:t>
            </w:r>
          </w:p>
        </w:tc>
        <w:tc>
          <w:tcPr>
            <w:tcW w:w="122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135,964</w:t>
            </w:r>
          </w:p>
        </w:tc>
        <w:tc>
          <w:tcPr>
            <w:tcW w:w="12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111,567</w:t>
            </w:r>
          </w:p>
        </w:tc>
        <w:tc>
          <w:tcPr>
            <w:tcW w:w="10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285,142</w:t>
            </w:r>
          </w:p>
        </w:tc>
        <w:tc>
          <w:tcPr>
            <w:tcW w:w="12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(49,338)</w:t>
            </w: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(66,500)</w:t>
            </w: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(126,173)</w:t>
            </w:r>
          </w:p>
        </w:tc>
        <w:tc>
          <w:tcPr>
            <w:tcW w:w="1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(194,554)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Financial income</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2,815</w:t>
            </w:r>
          </w:p>
        </w:tc>
        <w:tc>
          <w:tcPr>
            <w:tcW w:w="1120" w:type="dxa"/>
            <w:vAlign w:val="bottom"/>
          </w:tcPr>
          <w:p>
            <w:pPr>
              <w:jc w:val="right"/>
              <w:spacing w:after="0"/>
              <w:rPr>
                <w:sz w:val="20"/>
                <w:szCs w:val="20"/>
                <w:color w:val="auto"/>
              </w:rPr>
            </w:pPr>
            <w:r>
              <w:rPr>
                <w:rFonts w:ascii="Arial" w:cs="Arial" w:eastAsia="Arial" w:hAnsi="Arial"/>
                <w:sz w:val="16"/>
                <w:szCs w:val="16"/>
                <w:color w:val="auto"/>
              </w:rPr>
              <w:t>1,493</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12,740</w:t>
            </w:r>
          </w:p>
        </w:tc>
        <w:tc>
          <w:tcPr>
            <w:tcW w:w="0" w:type="dxa"/>
            <w:vAlign w:val="bottom"/>
          </w:tcPr>
          <w:p>
            <w:pPr>
              <w:spacing w:after="0"/>
              <w:rPr>
                <w:sz w:val="1"/>
                <w:szCs w:val="1"/>
                <w:color w:val="auto"/>
              </w:rPr>
            </w:pPr>
          </w:p>
        </w:tc>
      </w:tr>
      <w:tr>
        <w:trPr>
          <w:trHeight w:val="219"/>
        </w:trPr>
        <w:tc>
          <w:tcPr>
            <w:tcW w:w="510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246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21,611</w:t>
            </w:r>
          </w:p>
        </w:tc>
        <w:tc>
          <w:tcPr>
            <w:tcW w:w="12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(2,090)</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67,342</w:t>
            </w:r>
          </w:p>
        </w:tc>
        <w:tc>
          <w:tcPr>
            <w:tcW w:w="120" w:type="dxa"/>
            <w:vAlign w:val="bottom"/>
            <w:shd w:val="clear" w:color="auto" w:fill="E5FFFF"/>
          </w:tcPr>
          <w:p>
            <w:pPr>
              <w:spacing w:after="0"/>
              <w:rPr>
                <w:sz w:val="19"/>
                <w:szCs w:val="19"/>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Share of (loss)/profit of associates</w:t>
            </w:r>
          </w:p>
        </w:tc>
        <w:tc>
          <w:tcPr>
            <w:tcW w:w="2460" w:type="dxa"/>
            <w:vAlign w:val="bottom"/>
            <w:gridSpan w:val="3"/>
          </w:tcPr>
          <w:p>
            <w:pPr>
              <w:jc w:val="right"/>
              <w:ind w:right="60"/>
              <w:spacing w:after="0"/>
              <w:rPr>
                <w:sz w:val="20"/>
                <w:szCs w:val="20"/>
                <w:color w:val="auto"/>
              </w:rPr>
            </w:pPr>
            <w:r>
              <w:rPr>
                <w:rFonts w:ascii="Arial" w:cs="Arial" w:eastAsia="Arial" w:hAnsi="Arial"/>
                <w:sz w:val="16"/>
                <w:szCs w:val="16"/>
                <w:color w:val="auto"/>
              </w:rPr>
              <w:t>(195)</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659</w:t>
            </w:r>
          </w:p>
        </w:tc>
        <w:tc>
          <w:tcPr>
            <w:tcW w:w="1120" w:type="dxa"/>
            <w:vAlign w:val="bottom"/>
          </w:tcPr>
          <w:p>
            <w:pPr>
              <w:jc w:val="right"/>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2,184</w:t>
            </w:r>
          </w:p>
        </w:tc>
        <w:tc>
          <w:tcPr>
            <w:tcW w:w="0" w:type="dxa"/>
            <w:vAlign w:val="bottom"/>
          </w:tcPr>
          <w:p>
            <w:pPr>
              <w:spacing w:after="0"/>
              <w:rPr>
                <w:sz w:val="1"/>
                <w:szCs w:val="1"/>
                <w:color w:val="auto"/>
              </w:rPr>
            </w:pPr>
          </w:p>
        </w:tc>
      </w:tr>
      <w:tr>
        <w:trPr>
          <w:trHeight w:val="202"/>
        </w:trPr>
        <w:tc>
          <w:tcPr>
            <w:tcW w:w="5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other expenses, net</w:t>
            </w:r>
          </w:p>
        </w:tc>
        <w:tc>
          <w:tcPr>
            <w:tcW w:w="12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(26,841)</w:t>
            </w: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(65,116)</w:t>
            </w:r>
          </w:p>
        </w:tc>
        <w:tc>
          <w:tcPr>
            <w:tcW w:w="1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(56,598)</w:t>
            </w: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(171,247)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100" w:type="dxa"/>
            <w:vAlign w:val="bottom"/>
          </w:tcPr>
          <w:p>
            <w:pPr>
              <w:spacing w:after="0"/>
              <w:rPr>
                <w:sz w:val="20"/>
                <w:szCs w:val="20"/>
                <w:color w:val="auto"/>
              </w:rPr>
            </w:pPr>
            <w:r>
              <w:rPr>
                <w:rFonts w:ascii="Arial" w:cs="Arial" w:eastAsia="Arial" w:hAnsi="Arial"/>
                <w:sz w:val="16"/>
                <w:szCs w:val="16"/>
                <w:b w:val="1"/>
                <w:bCs w:val="1"/>
                <w:color w:val="auto"/>
              </w:rPr>
              <w:t>Profit for the period</w:t>
            </w:r>
          </w:p>
        </w:tc>
        <w:tc>
          <w:tcPr>
            <w:tcW w:w="23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109,123</w:t>
            </w: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46,451</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228,544</w:t>
            </w:r>
          </w:p>
        </w:tc>
        <w:tc>
          <w:tcPr>
            <w:tcW w:w="1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164,867</w:t>
            </w:r>
          </w:p>
        </w:tc>
        <w:tc>
          <w:tcPr>
            <w:tcW w:w="0" w:type="dxa"/>
            <w:vAlign w:val="bottom"/>
          </w:tcPr>
          <w:p>
            <w:pPr>
              <w:spacing w:after="0"/>
              <w:rPr>
                <w:sz w:val="1"/>
                <w:szCs w:val="1"/>
                <w:color w:val="auto"/>
              </w:rPr>
            </w:pPr>
          </w:p>
        </w:tc>
      </w:tr>
      <w:tr>
        <w:trPr>
          <w:trHeight w:val="199"/>
        </w:trPr>
        <w:tc>
          <w:tcPr>
            <w:tcW w:w="5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Attributable to:</w:t>
            </w:r>
          </w:p>
        </w:tc>
        <w:tc>
          <w:tcPr>
            <w:tcW w:w="12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Owners of the Group</w:t>
            </w:r>
          </w:p>
        </w:tc>
        <w:tc>
          <w:tcPr>
            <w:tcW w:w="2340" w:type="dxa"/>
            <w:vAlign w:val="bottom"/>
            <w:gridSpan w:val="2"/>
          </w:tcPr>
          <w:p>
            <w:pPr>
              <w:jc w:val="right"/>
              <w:spacing w:after="0"/>
              <w:rPr>
                <w:sz w:val="20"/>
                <w:szCs w:val="20"/>
                <w:color w:val="auto"/>
              </w:rPr>
            </w:pPr>
            <w:r>
              <w:rPr>
                <w:rFonts w:ascii="Arial" w:cs="Arial" w:eastAsia="Arial" w:hAnsi="Arial"/>
                <w:sz w:val="16"/>
                <w:szCs w:val="16"/>
                <w:color w:val="auto"/>
              </w:rPr>
              <w:t>77,917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39,513</w:t>
            </w:r>
          </w:p>
        </w:tc>
        <w:tc>
          <w:tcPr>
            <w:tcW w:w="1120" w:type="dxa"/>
            <w:vAlign w:val="bottom"/>
          </w:tcPr>
          <w:p>
            <w:pPr>
              <w:jc w:val="right"/>
              <w:spacing w:after="0"/>
              <w:rPr>
                <w:sz w:val="20"/>
                <w:szCs w:val="20"/>
                <w:color w:val="auto"/>
              </w:rPr>
            </w:pPr>
            <w:r>
              <w:rPr>
                <w:rFonts w:ascii="Arial" w:cs="Arial" w:eastAsia="Arial" w:hAnsi="Arial"/>
                <w:sz w:val="16"/>
                <w:szCs w:val="16"/>
                <w:color w:val="auto"/>
              </w:rPr>
              <w:t>168,441</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104,341</w:t>
            </w:r>
          </w:p>
        </w:tc>
        <w:tc>
          <w:tcPr>
            <w:tcW w:w="0" w:type="dxa"/>
            <w:vAlign w:val="bottom"/>
          </w:tcPr>
          <w:p>
            <w:pPr>
              <w:spacing w:after="0"/>
              <w:rPr>
                <w:sz w:val="1"/>
                <w:szCs w:val="1"/>
                <w:color w:val="auto"/>
              </w:rPr>
            </w:pPr>
          </w:p>
        </w:tc>
      </w:tr>
      <w:tr>
        <w:trPr>
          <w:trHeight w:val="216"/>
        </w:trPr>
        <w:tc>
          <w:tcPr>
            <w:tcW w:w="5100" w:type="dxa"/>
            <w:vAlign w:val="bottom"/>
            <w:shd w:val="clear" w:color="auto" w:fill="E5FFFF"/>
          </w:tcPr>
          <w:p>
            <w:pPr>
              <w:spacing w:after="0"/>
              <w:rPr>
                <w:sz w:val="20"/>
                <w:szCs w:val="20"/>
                <w:color w:val="auto"/>
              </w:rPr>
            </w:pPr>
            <w:r>
              <w:rPr>
                <w:rFonts w:ascii="Arial" w:cs="Arial" w:eastAsia="Arial" w:hAnsi="Arial"/>
                <w:sz w:val="16"/>
                <w:szCs w:val="16"/>
                <w:color w:val="auto"/>
              </w:rPr>
              <w:t>Non-controlling interests</w:t>
            </w:r>
          </w:p>
        </w:tc>
        <w:tc>
          <w:tcPr>
            <w:tcW w:w="1220" w:type="dxa"/>
            <w:vAlign w:val="bottom"/>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31,206</w:t>
            </w:r>
          </w:p>
        </w:tc>
        <w:tc>
          <w:tcPr>
            <w:tcW w:w="120" w:type="dxa"/>
            <w:vAlign w:val="bottom"/>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6,938</w:t>
            </w:r>
          </w:p>
        </w:tc>
        <w:tc>
          <w:tcPr>
            <w:tcW w:w="100" w:type="dxa"/>
            <w:vAlign w:val="bottom"/>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60,103</w:t>
            </w:r>
          </w:p>
        </w:tc>
        <w:tc>
          <w:tcPr>
            <w:tcW w:w="120" w:type="dxa"/>
            <w:vAlign w:val="bottom"/>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60,526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0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109,123</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46,451</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228,544</w:t>
            </w: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164,867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20" w:type="dxa"/>
            <w:vAlign w:val="bottom"/>
            <w:vMerge w:val="restart"/>
          </w:tcPr>
          <w:p>
            <w:pPr>
              <w:jc w:val="right"/>
              <w:ind w:right="580"/>
              <w:spacing w:after="0"/>
              <w:rPr>
                <w:sz w:val="20"/>
                <w:szCs w:val="20"/>
                <w:color w:val="auto"/>
              </w:rPr>
            </w:pPr>
            <w:r>
              <w:rPr>
                <w:rFonts w:ascii="Arial" w:cs="Arial" w:eastAsia="Arial" w:hAnsi="Arial"/>
                <w:sz w:val="14"/>
                <w:szCs w:val="14"/>
                <w:color w:val="auto"/>
              </w:rPr>
              <w:t>8</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 2022 and 2023</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shd w:val="clear" w:color="auto" w:fill="E5FFFF"/>
          </w:tcPr>
          <w:p>
            <w:pPr>
              <w:spacing w:after="0"/>
              <w:rPr>
                <w:sz w:val="17"/>
                <w:szCs w:val="17"/>
                <w:color w:val="auto"/>
              </w:rPr>
            </w:pPr>
          </w:p>
        </w:tc>
        <w:tc>
          <w:tcPr>
            <w:tcW w:w="3240" w:type="dxa"/>
            <w:vAlign w:val="bottom"/>
            <w:gridSpan w:val="5"/>
            <w:shd w:val="clear" w:color="auto" w:fill="E5FFFF"/>
          </w:tcPr>
          <w:p>
            <w:pPr>
              <w:jc w:val="right"/>
              <w:ind w:right="70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8000" w:type="dxa"/>
            <w:vAlign w:val="bottom"/>
            <w:shd w:val="clear" w:color="auto" w:fill="E5FFFF"/>
          </w:tcPr>
          <w:p>
            <w:pPr>
              <w:spacing w:after="0"/>
              <w:rPr>
                <w:sz w:val="17"/>
                <w:szCs w:val="17"/>
                <w:color w:val="auto"/>
              </w:rPr>
            </w:pPr>
          </w:p>
        </w:tc>
        <w:tc>
          <w:tcPr>
            <w:tcW w:w="1680" w:type="dxa"/>
            <w:vAlign w:val="bottom"/>
            <w:gridSpan w:val="2"/>
            <w:shd w:val="clear" w:color="auto" w:fill="E5FFFF"/>
          </w:tcPr>
          <w:p>
            <w:pPr>
              <w:jc w:val="right"/>
              <w:ind w:right="440"/>
              <w:spacing w:after="0"/>
              <w:rPr>
                <w:sz w:val="20"/>
                <w:szCs w:val="20"/>
                <w:color w:val="auto"/>
              </w:rPr>
            </w:pPr>
            <w:r>
              <w:rPr>
                <w:rFonts w:ascii="Arial" w:cs="Arial" w:eastAsia="Arial" w:hAnsi="Arial"/>
                <w:sz w:val="16"/>
                <w:szCs w:val="16"/>
                <w:b w:val="1"/>
                <w:bCs w:val="1"/>
                <w:color w:val="auto"/>
              </w:rPr>
              <w:t>September 30,</w:t>
            </w:r>
          </w:p>
        </w:tc>
        <w:tc>
          <w:tcPr>
            <w:tcW w:w="1560" w:type="dxa"/>
            <w:vAlign w:val="bottom"/>
            <w:gridSpan w:val="3"/>
            <w:shd w:val="clear" w:color="auto" w:fill="E5FFFF"/>
          </w:tcPr>
          <w:p>
            <w:pPr>
              <w:jc w:val="right"/>
              <w:ind w:right="340"/>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8000" w:type="dxa"/>
            <w:vAlign w:val="bottom"/>
            <w:tcBorders>
              <w:bottom w:val="single" w:sz="8" w:color="E5FFFF"/>
            </w:tcBorders>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E5FFFF"/>
            </w:tcBorders>
            <w:shd w:val="clear" w:color="auto" w:fill="E5FFFF"/>
          </w:tcPr>
          <w:p>
            <w:pPr>
              <w:spacing w:after="0"/>
              <w:rPr>
                <w:sz w:val="18"/>
                <w:szCs w:val="18"/>
                <w:color w:val="auto"/>
              </w:rPr>
            </w:pPr>
          </w:p>
        </w:tc>
        <w:tc>
          <w:tcPr>
            <w:tcW w:w="1460" w:type="dxa"/>
            <w:vAlign w:val="bottom"/>
            <w:tcBorders>
              <w:bottom w:val="single" w:sz="8" w:color="auto"/>
            </w:tcBorders>
            <w:shd w:val="clear" w:color="auto" w:fill="E5FFFF"/>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E5FFFF"/>
            </w:tcBorders>
            <w:shd w:val="clear" w:color="auto" w:fill="E5FFFF"/>
          </w:tcPr>
          <w:p>
            <w:pPr>
              <w:spacing w:after="0"/>
              <w:rPr>
                <w:sz w:val="18"/>
                <w:szCs w:val="18"/>
                <w:color w:val="auto"/>
              </w:rPr>
            </w:pPr>
          </w:p>
        </w:tc>
        <w:tc>
          <w:tcPr>
            <w:tcW w:w="80" w:type="dxa"/>
            <w:vAlign w:val="bottom"/>
            <w:tcBorders>
              <w:bottom w:val="single" w:sz="8" w:color="E5FFFF"/>
            </w:tcBorders>
            <w:shd w:val="clear" w:color="auto" w:fill="E5FFFF"/>
          </w:tcPr>
          <w:p>
            <w:pPr>
              <w:spacing w:after="0"/>
              <w:rPr>
                <w:sz w:val="18"/>
                <w:szCs w:val="18"/>
                <w:color w:val="auto"/>
              </w:rPr>
            </w:pPr>
          </w:p>
        </w:tc>
      </w:tr>
      <w:tr>
        <w:trPr>
          <w:trHeight w:val="210"/>
        </w:trPr>
        <w:tc>
          <w:tcPr>
            <w:tcW w:w="8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4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228,544</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164,867</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Adjustments for:</w:t>
            </w:r>
          </w:p>
        </w:tc>
        <w:tc>
          <w:tcPr>
            <w:tcW w:w="148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6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170,074</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177,489</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56,911</w:t>
            </w:r>
          </w:p>
        </w:tc>
        <w:tc>
          <w:tcPr>
            <w:tcW w:w="156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11,740</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non-current assets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744</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2,058</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Share of profit of associates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(740)</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(2,184)</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(1,493)</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(12,740)</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126,173</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194,554</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Gain on derivatives (excluding realized loss/gain on forward foreign exchange contracts held for trading)</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(71,218)</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(5,621)</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Unrealized foreign exchange losses on short-term cash deposits</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62</w:t>
            </w:r>
          </w:p>
        </w:tc>
        <w:tc>
          <w:tcPr>
            <w:tcW w:w="80" w:type="dxa"/>
            <w:vAlign w:val="bottom"/>
            <w:shd w:val="clear" w:color="auto" w:fill="E5FFFF"/>
          </w:tcPr>
          <w:p>
            <w:pPr>
              <w:spacing w:after="0"/>
              <w:rPr>
                <w:sz w:val="18"/>
                <w:szCs w:val="18"/>
                <w:color w:val="auto"/>
              </w:rPr>
            </w:pPr>
          </w:p>
        </w:tc>
      </w:tr>
      <w:tr>
        <w:trPr>
          <w:trHeight w:val="219"/>
        </w:trPr>
        <w:tc>
          <w:tcPr>
            <w:tcW w:w="80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612</w:t>
            </w:r>
          </w:p>
        </w:tc>
        <w:tc>
          <w:tcPr>
            <w:tcW w:w="200" w:type="dxa"/>
            <w:vAlign w:val="bottom"/>
            <w:tcBorders>
              <w:bottom w:val="single" w:sz="8" w:color="E5FFFF"/>
            </w:tcBorders>
            <w:shd w:val="clear" w:color="auto" w:fill="E5FFFF"/>
          </w:tcPr>
          <w:p>
            <w:pPr>
              <w:spacing w:after="0"/>
              <w:rPr>
                <w:sz w:val="19"/>
                <w:szCs w:val="19"/>
                <w:color w:val="auto"/>
              </w:rPr>
            </w:pPr>
          </w:p>
        </w:tc>
        <w:tc>
          <w:tcPr>
            <w:tcW w:w="148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1,357</w:t>
            </w:r>
          </w:p>
        </w:tc>
        <w:tc>
          <w:tcPr>
            <w:tcW w:w="80" w:type="dxa"/>
            <w:vAlign w:val="bottom"/>
            <w:tcBorders>
              <w:bottom w:val="single" w:sz="8" w:color="E5FFFF"/>
            </w:tcBorders>
            <w:shd w:val="clear" w:color="auto" w:fill="E5FFFF"/>
          </w:tcPr>
          <w:p>
            <w:pPr>
              <w:spacing w:after="0"/>
              <w:rPr>
                <w:sz w:val="19"/>
                <w:szCs w:val="19"/>
                <w:color w:val="auto"/>
              </w:rPr>
            </w:pPr>
          </w:p>
        </w:tc>
      </w:tr>
      <w:tr>
        <w:trPr>
          <w:trHeight w:val="206"/>
        </w:trPr>
        <w:tc>
          <w:tcPr>
            <w:tcW w:w="800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509,607</w:t>
            </w:r>
          </w:p>
        </w:tc>
        <w:tc>
          <w:tcPr>
            <w:tcW w:w="200" w:type="dxa"/>
            <w:vAlign w:val="bottom"/>
            <w:tcBorders>
              <w:bottom w:val="single" w:sz="8" w:color="E5FFFF"/>
            </w:tcBorders>
            <w:shd w:val="clear" w:color="auto" w:fill="E5FFFF"/>
          </w:tcPr>
          <w:p>
            <w:pPr>
              <w:spacing w:after="0"/>
              <w:rPr>
                <w:sz w:val="17"/>
                <w:szCs w:val="17"/>
                <w:color w:val="auto"/>
              </w:rPr>
            </w:pPr>
          </w:p>
        </w:tc>
        <w:tc>
          <w:tcPr>
            <w:tcW w:w="148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531,582</w:t>
            </w:r>
          </w:p>
        </w:tc>
        <w:tc>
          <w:tcPr>
            <w:tcW w:w="80" w:type="dxa"/>
            <w:vAlign w:val="bottom"/>
            <w:tcBorders>
              <w:bottom w:val="single" w:sz="8" w:color="E5FFFF"/>
            </w:tcBorders>
            <w:shd w:val="clear" w:color="auto" w:fill="E5FFFF"/>
          </w:tcPr>
          <w:p>
            <w:pPr>
              <w:spacing w:after="0"/>
              <w:rPr>
                <w:sz w:val="17"/>
                <w:szCs w:val="17"/>
                <w:color w:val="auto"/>
              </w:rPr>
            </w:pPr>
          </w:p>
        </w:tc>
      </w:tr>
      <w:tr>
        <w:trPr>
          <w:trHeight w:val="209"/>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(37,361)</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(28,624)</w:t>
            </w:r>
          </w:p>
        </w:tc>
      </w:tr>
      <w:tr>
        <w:trPr>
          <w:trHeight w:val="210"/>
        </w:trPr>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4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472,246</w:t>
            </w:r>
          </w:p>
        </w:tc>
        <w:tc>
          <w:tcPr>
            <w:tcW w:w="2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502,958</w:t>
            </w:r>
          </w:p>
        </w:tc>
        <w:tc>
          <w:tcPr>
            <w:tcW w:w="80" w:type="dxa"/>
            <w:vAlign w:val="bottom"/>
            <w:tcBorders>
              <w:top w:val="single" w:sz="8" w:color="E5FFFF"/>
            </w:tcBorders>
            <w:shd w:val="clear" w:color="auto" w:fill="E5FFFF"/>
          </w:tcPr>
          <w:p>
            <w:pPr>
              <w:spacing w:after="0"/>
              <w:rPr>
                <w:sz w:val="18"/>
                <w:szCs w:val="18"/>
                <w:color w:val="auto"/>
              </w:rPr>
            </w:pPr>
          </w:p>
        </w:tc>
      </w:tr>
      <w:tr>
        <w:trPr>
          <w:trHeight w:val="209"/>
        </w:trPr>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8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 and vessels under construction</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(125,847)</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(171,416)</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Proceeds from sale and sale and leasebacks of tangible fixed assets, net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177,032</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331,998</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Proceeds from FSRU forthcoming sale</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92,780</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107,088</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Other investments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(579)</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(13,377)</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Payments for right-of-use assets</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(8,998)</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Dividends received from associate</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750</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Purchase of short-term cash deposits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(25,000)</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(117,144)</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cash deposits</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114,500</w:t>
            </w:r>
          </w:p>
        </w:tc>
      </w:tr>
      <w:tr>
        <w:trPr>
          <w:trHeight w:val="216"/>
        </w:trPr>
        <w:tc>
          <w:tcPr>
            <w:tcW w:w="80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Financial income received</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1,004</w:t>
            </w:r>
          </w:p>
        </w:tc>
        <w:tc>
          <w:tcPr>
            <w:tcW w:w="200" w:type="dxa"/>
            <w:vAlign w:val="bottom"/>
            <w:tcBorders>
              <w:bottom w:val="single" w:sz="8" w:color="E5FFFF"/>
            </w:tcBorders>
            <w:shd w:val="clear" w:color="auto" w:fill="E5FFFF"/>
          </w:tcPr>
          <w:p>
            <w:pPr>
              <w:spacing w:after="0"/>
              <w:rPr>
                <w:sz w:val="18"/>
                <w:szCs w:val="18"/>
                <w:color w:val="auto"/>
              </w:rPr>
            </w:pPr>
          </w:p>
        </w:tc>
        <w:tc>
          <w:tcPr>
            <w:tcW w:w="148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12,489</w:t>
            </w:r>
          </w:p>
        </w:tc>
        <w:tc>
          <w:tcPr>
            <w:tcW w:w="80" w:type="dxa"/>
            <w:vAlign w:val="bottom"/>
            <w:tcBorders>
              <w:bottom w:val="single" w:sz="8" w:color="E5FFFF"/>
            </w:tcBorders>
            <w:shd w:val="clear" w:color="auto" w:fill="E5FFFF"/>
          </w:tcPr>
          <w:p>
            <w:pPr>
              <w:spacing w:after="0"/>
              <w:rPr>
                <w:sz w:val="18"/>
                <w:szCs w:val="18"/>
                <w:color w:val="auto"/>
              </w:rPr>
            </w:pPr>
          </w:p>
        </w:tc>
      </w:tr>
      <w:tr>
        <w:trPr>
          <w:trHeight w:val="210"/>
        </w:trPr>
        <w:tc>
          <w:tcPr>
            <w:tcW w:w="8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Net cash provided by investing activities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119,390</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255,890</w:t>
            </w:r>
          </w:p>
        </w:tc>
        <w:tc>
          <w:tcPr>
            <w:tcW w:w="80" w:type="dxa"/>
            <w:vAlign w:val="bottom"/>
            <w:shd w:val="clear" w:color="auto" w:fill="E5FFFF"/>
          </w:tcPr>
          <w:p>
            <w:pPr>
              <w:spacing w:after="0"/>
              <w:rPr>
                <w:sz w:val="18"/>
                <w:szCs w:val="18"/>
                <w:color w:val="auto"/>
              </w:rPr>
            </w:pPr>
          </w:p>
        </w:tc>
      </w:tr>
      <w:tr>
        <w:trPr>
          <w:trHeight w:val="209"/>
        </w:trPr>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8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Proceeds from loans and bonds, net of discount</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333,248</w:t>
            </w:r>
          </w:p>
        </w:tc>
        <w:tc>
          <w:tcPr>
            <w:tcW w:w="20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152,960</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Loan and bond repayments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(648,553)</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(533,207)</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Principal elements of lease payments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(29,835)</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(45,689)</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(122,105)</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(175,978)</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Release of cash collaterals for swaps</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990</w:t>
            </w:r>
          </w:p>
        </w:tc>
        <w:tc>
          <w:tcPr>
            <w:tcW w:w="200" w:type="dxa"/>
            <w:vAlign w:val="bottom"/>
            <w:shd w:val="clear" w:color="auto" w:fill="E5FFFF"/>
          </w:tcPr>
          <w:p>
            <w:pPr>
              <w:spacing w:after="0"/>
              <w:rPr>
                <w:sz w:val="18"/>
                <w:szCs w:val="18"/>
                <w:color w:val="auto"/>
              </w:rPr>
            </w:pPr>
          </w:p>
        </w:tc>
        <w:tc>
          <w:tcPr>
            <w:tcW w:w="156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Payment of loan and bond issuance costs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(4,652)</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(2,612)</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Proceeds from interest rate swaps termination</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35,789</w:t>
            </w:r>
          </w:p>
        </w:tc>
        <w:tc>
          <w:tcPr>
            <w:tcW w:w="80" w:type="dxa"/>
            <w:vAlign w:val="bottom"/>
            <w:shd w:val="clear" w:color="auto" w:fill="E5FFFF"/>
          </w:tcPr>
          <w:p>
            <w:pPr>
              <w:spacing w:after="0"/>
              <w:rPr>
                <w:sz w:val="18"/>
                <w:szCs w:val="18"/>
                <w:color w:val="auto"/>
              </w:rPr>
            </w:pP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Payment of equity raising costs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(20)</w:t>
            </w:r>
          </w:p>
        </w:tc>
        <w:tc>
          <w:tcPr>
            <w:tcW w:w="1560" w:type="dxa"/>
            <w:vAlign w:val="bottom"/>
            <w:gridSpan w:val="3"/>
            <w:shd w:val="clear" w:color="auto" w:fill="E5FFFF"/>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Merger consideration – Transaction</w:t>
            </w:r>
          </w:p>
        </w:tc>
        <w:tc>
          <w:tcPr>
            <w:tcW w:w="168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(197,528)</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Dividends paid (common and preference)</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(79,362)</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(187,170)</w:t>
            </w:r>
          </w:p>
        </w:tc>
      </w:tr>
      <w:tr>
        <w:trPr>
          <w:trHeight w:val="216"/>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Repurchase of GasLog’s and GasLog Partners’ preference shares/units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(38,740)</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6"/>
                <w:szCs w:val="16"/>
                <w:color w:val="auto"/>
              </w:rPr>
              <w:t>(1,142)</w:t>
            </w:r>
          </w:p>
        </w:tc>
      </w:tr>
      <w:tr>
        <w:trPr>
          <w:trHeight w:val="210"/>
        </w:trPr>
        <w:tc>
          <w:tcPr>
            <w:tcW w:w="80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(589,029)</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(954,577)</w:t>
            </w:r>
          </w:p>
        </w:tc>
        <w:tc>
          <w:tcPr>
            <w:tcW w:w="20" w:type="dxa"/>
            <w:vAlign w:val="bottom"/>
            <w:tcBorders>
              <w:top w:val="single" w:sz="8" w:color="E5FFFF"/>
              <w:bottom w:val="single" w:sz="8" w:color="auto"/>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9"/>
        </w:trPr>
        <w:tc>
          <w:tcPr>
            <w:tcW w:w="8000" w:type="dxa"/>
            <w:vAlign w:val="bottom"/>
            <w:shd w:val="clear" w:color="auto" w:fill="E5FF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68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(856)</w:t>
            </w: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271</w:t>
            </w:r>
          </w:p>
        </w:tc>
        <w:tc>
          <w:tcPr>
            <w:tcW w:w="80" w:type="dxa"/>
            <w:vAlign w:val="bottom"/>
            <w:shd w:val="clear" w:color="auto" w:fill="E5FFFF"/>
          </w:tcPr>
          <w:p>
            <w:pPr>
              <w:spacing w:after="0"/>
              <w:rPr>
                <w:sz w:val="18"/>
                <w:szCs w:val="18"/>
                <w:color w:val="auto"/>
              </w:rPr>
            </w:pPr>
          </w:p>
        </w:tc>
      </w:tr>
      <w:tr>
        <w:trPr>
          <w:trHeight w:val="210"/>
        </w:trPr>
        <w:tc>
          <w:tcPr>
            <w:tcW w:w="80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Increase/(decrease) in cash and cash equivalents</w:t>
            </w:r>
          </w:p>
        </w:tc>
        <w:tc>
          <w:tcPr>
            <w:tcW w:w="14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1,751</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(195,458)</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12"/>
        </w:trPr>
        <w:tc>
          <w:tcPr>
            <w:tcW w:w="80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Cash and cash equivalents, beginning of the period</w:t>
            </w:r>
          </w:p>
        </w:tc>
        <w:tc>
          <w:tcPr>
            <w:tcW w:w="14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282,246</w:t>
            </w:r>
          </w:p>
        </w:tc>
        <w:tc>
          <w:tcPr>
            <w:tcW w:w="200" w:type="dxa"/>
            <w:vAlign w:val="bottom"/>
            <w:tcBorders>
              <w:bottom w:val="single" w:sz="8" w:color="E5FFFF"/>
            </w:tcBorders>
            <w:shd w:val="clear" w:color="auto" w:fill="E5FFFF"/>
          </w:tcPr>
          <w:p>
            <w:pPr>
              <w:spacing w:after="0"/>
              <w:rPr>
                <w:sz w:val="18"/>
                <w:szCs w:val="18"/>
                <w:color w:val="auto"/>
              </w:rPr>
            </w:pPr>
          </w:p>
        </w:tc>
        <w:tc>
          <w:tcPr>
            <w:tcW w:w="1480" w:type="dxa"/>
            <w:vAlign w:val="bottom"/>
            <w:tcBorders>
              <w:bottom w:val="single" w:sz="8" w:color="auto"/>
            </w:tcBorders>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368,286</w:t>
            </w:r>
          </w:p>
        </w:tc>
        <w:tc>
          <w:tcPr>
            <w:tcW w:w="80" w:type="dxa"/>
            <w:vAlign w:val="bottom"/>
            <w:tcBorders>
              <w:bottom w:val="single" w:sz="8" w:color="E5FFFF"/>
            </w:tcBorders>
            <w:shd w:val="clear" w:color="auto" w:fill="E5FFFF"/>
          </w:tcPr>
          <w:p>
            <w:pPr>
              <w:spacing w:after="0"/>
              <w:rPr>
                <w:sz w:val="18"/>
                <w:szCs w:val="18"/>
                <w:color w:val="auto"/>
              </w:rPr>
            </w:pPr>
          </w:p>
        </w:tc>
      </w:tr>
      <w:tr>
        <w:trPr>
          <w:trHeight w:val="253"/>
        </w:trPr>
        <w:tc>
          <w:tcPr>
            <w:tcW w:w="80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period</w:t>
            </w:r>
          </w:p>
        </w:tc>
        <w:tc>
          <w:tcPr>
            <w:tcW w:w="148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283,997</w:t>
            </w:r>
          </w:p>
        </w:tc>
        <w:tc>
          <w:tcPr>
            <w:tcW w:w="200" w:type="dxa"/>
            <w:vAlign w:val="bottom"/>
            <w:shd w:val="clear" w:color="auto" w:fill="E5FFFF"/>
          </w:tcPr>
          <w:p>
            <w:pPr>
              <w:spacing w:after="0"/>
              <w:rPr>
                <w:sz w:val="21"/>
                <w:szCs w:val="21"/>
                <w:color w:val="auto"/>
              </w:rPr>
            </w:pPr>
          </w:p>
        </w:tc>
        <w:tc>
          <w:tcPr>
            <w:tcW w:w="14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172,828</w:t>
            </w:r>
          </w:p>
        </w:tc>
        <w:tc>
          <w:tcPr>
            <w:tcW w:w="80" w:type="dxa"/>
            <w:vAlign w:val="bottom"/>
            <w:shd w:val="clear" w:color="auto" w:fill="E5FFFF"/>
          </w:tcPr>
          <w:p>
            <w:pPr>
              <w:spacing w:after="0"/>
              <w:rPr>
                <w:sz w:val="21"/>
                <w:szCs w:val="21"/>
                <w:color w:val="auto"/>
              </w:rPr>
            </w:pPr>
          </w:p>
        </w:tc>
      </w:tr>
      <w:tr>
        <w:trPr>
          <w:trHeight w:val="561"/>
        </w:trPr>
        <w:tc>
          <w:tcPr>
            <w:tcW w:w="8000" w:type="dxa"/>
            <w:vAlign w:val="bottom"/>
            <w:tcBorders>
              <w:top w:val="single" w:sz="8" w:color="E5FFFF"/>
              <w:bottom w:val="single" w:sz="8" w:color="auto"/>
            </w:tcBorders>
          </w:tcPr>
          <w:p>
            <w:pPr>
              <w:ind w:left="5580"/>
              <w:spacing w:after="0"/>
              <w:rPr>
                <w:sz w:val="20"/>
                <w:szCs w:val="20"/>
                <w:color w:val="auto"/>
              </w:rPr>
            </w:pPr>
            <w:r>
              <w:rPr>
                <w:rFonts w:ascii="Arial" w:cs="Arial" w:eastAsia="Arial" w:hAnsi="Arial"/>
                <w:sz w:val="14"/>
                <w:szCs w:val="14"/>
                <w:color w:val="auto"/>
              </w:rPr>
              <w:t>9</w:t>
            </w:r>
          </w:p>
        </w:tc>
        <w:tc>
          <w:tcPr>
            <w:tcW w:w="14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E5FFFF"/>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E5FFFF"/>
              <w:bottom w:val="single" w:sz="8" w:color="auto"/>
            </w:tcBorders>
          </w:tcPr>
          <w:p>
            <w:pPr>
              <w:spacing w:after="0"/>
              <w:rPr>
                <w:sz w:val="24"/>
                <w:szCs w:val="24"/>
                <w:color w:val="auto"/>
              </w:rPr>
            </w:pPr>
          </w:p>
        </w:tc>
        <w:tc>
          <w:tcPr>
            <w:tcW w:w="80" w:type="dxa"/>
            <w:vAlign w:val="bottom"/>
            <w:tcBorders>
              <w:top w:val="single" w:sz="8" w:color="E5FFFF"/>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-6257290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-5982970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-5434330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-5160010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-4885690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-4602480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-4311015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-2365375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-1268095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EBITDA, Adjusted EBITDA and Adjusted Profit</w:t>
      </w:r>
    </w:p>
    <w:p>
      <w:pPr>
        <w:spacing w:after="0" w:line="239" w:lineRule="exact"/>
        <w:rPr>
          <w:sz w:val="20"/>
          <w:szCs w:val="20"/>
          <w:color w:val="auto"/>
        </w:rPr>
      </w:pPr>
    </w:p>
    <w:p>
      <w:pPr>
        <w:spacing w:after="0" w:line="302" w:lineRule="auto"/>
        <w:rPr>
          <w:sz w:val="20"/>
          <w:szCs w:val="20"/>
          <w:color w:val="auto"/>
        </w:rPr>
      </w:pPr>
      <w:r>
        <w:rPr>
          <w:rFonts w:ascii="Arial" w:cs="Arial" w:eastAsia="Arial" w:hAnsi="Arial"/>
          <w:sz w:val="14"/>
          <w:szCs w:val="14"/>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costs relating to the 2021 take-private transaction with BlackRock’s Global Energy &amp; Power Infrastructure team and the Transaction (collectively such costs, the “Transaction Costs”). Adjusted Profit represents earnings before write-off and accelerated amortization of unamortized loan fees/bond fees and premium/discount,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w:t>
      </w:r>
    </w:p>
    <w:p>
      <w:pPr>
        <w:spacing w:after="0" w:line="3" w:lineRule="exact"/>
        <w:rPr>
          <w:sz w:val="20"/>
          <w:szCs w:val="20"/>
          <w:color w:val="auto"/>
        </w:rPr>
      </w:pPr>
    </w:p>
    <w:p>
      <w:pPr>
        <w:ind w:right="20" w:firstLine="8"/>
        <w:spacing w:after="0" w:line="285" w:lineRule="auto"/>
        <w:tabs>
          <w:tab w:leader="none" w:pos="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premium/discount,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EBITDA, Adjusted EBITDA and Adjusted Profit have limitations as analytical tools and should not be considered as alternatives to, or as substitutes for, or superior to, profit, profit from operations,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4840" w:type="dxa"/>
            <w:vAlign w:val="bottom"/>
          </w:tcPr>
          <w:p>
            <w:pPr>
              <w:spacing w:after="0"/>
              <w:rPr>
                <w:sz w:val="20"/>
                <w:szCs w:val="20"/>
                <w:color w:val="auto"/>
              </w:rPr>
            </w:pPr>
            <w:r>
              <w:rPr>
                <w:rFonts w:ascii="Arial" w:cs="Arial" w:eastAsia="Arial" w:hAnsi="Arial"/>
                <w:sz w:val="16"/>
                <w:szCs w:val="16"/>
                <w:b w:val="1"/>
                <w:bCs w:val="1"/>
                <w:color w:val="auto"/>
              </w:rPr>
              <w:t>Reconciliation of Profit to EBITDA and Adjusted EBITDA:</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8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4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For the three months ended</w:t>
            </w:r>
          </w:p>
        </w:tc>
        <w:tc>
          <w:tcPr>
            <w:tcW w:w="2680" w:type="dxa"/>
            <w:vAlign w:val="bottom"/>
            <w:gridSpan w:val="4"/>
          </w:tcPr>
          <w:p>
            <w:pPr>
              <w:jc w:val="right"/>
              <w:ind w:right="520"/>
              <w:spacing w:after="0"/>
              <w:rPr>
                <w:sz w:val="20"/>
                <w:szCs w:val="20"/>
                <w:color w:val="auto"/>
              </w:rPr>
            </w:pPr>
            <w:r>
              <w:rPr>
                <w:rFonts w:ascii="Arial" w:cs="Arial" w:eastAsia="Arial" w:hAnsi="Arial"/>
                <w:sz w:val="16"/>
                <w:szCs w:val="16"/>
                <w:b w:val="1"/>
                <w:bCs w:val="1"/>
                <w:color w:val="auto"/>
              </w:rPr>
              <w:t>For the nine months ended</w:t>
            </w:r>
          </w:p>
        </w:tc>
      </w:tr>
      <w:tr>
        <w:trPr>
          <w:trHeight w:val="203"/>
        </w:trPr>
        <w:tc>
          <w:tcPr>
            <w:tcW w:w="4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3"/>
              </w:rPr>
              <w:t>September 30,</w:t>
            </w:r>
          </w:p>
        </w:tc>
        <w:tc>
          <w:tcPr>
            <w:tcW w:w="14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5"/>
              </w:rPr>
              <w:t>September 30,</w:t>
            </w:r>
          </w:p>
        </w:tc>
        <w:tc>
          <w:tcPr>
            <w:tcW w:w="14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5"/>
              </w:rPr>
              <w:t>September 30,</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September 30,</w:t>
            </w:r>
          </w:p>
        </w:tc>
      </w:tr>
      <w:tr>
        <w:trPr>
          <w:trHeight w:val="213"/>
        </w:trPr>
        <w:tc>
          <w:tcPr>
            <w:tcW w:w="4840" w:type="dxa"/>
            <w:vAlign w:val="bottom"/>
          </w:tcPr>
          <w:p>
            <w:pPr>
              <w:spacing w:after="0"/>
              <w:rPr>
                <w:sz w:val="18"/>
                <w:szCs w:val="18"/>
                <w:color w:val="auto"/>
              </w:rPr>
            </w:pPr>
          </w:p>
        </w:tc>
        <w:tc>
          <w:tcPr>
            <w:tcW w:w="20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199"/>
        </w:trPr>
        <w:tc>
          <w:tcPr>
            <w:tcW w:w="48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8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109,123</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46,451</w:t>
            </w:r>
          </w:p>
        </w:tc>
        <w:tc>
          <w:tcPr>
            <w:tcW w:w="20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228,544</w:t>
            </w:r>
          </w:p>
        </w:tc>
        <w:tc>
          <w:tcPr>
            <w:tcW w:w="22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164,867</w:t>
            </w:r>
          </w:p>
        </w:tc>
        <w:tc>
          <w:tcPr>
            <w:tcW w:w="100" w:type="dxa"/>
            <w:vAlign w:val="bottom"/>
          </w:tcPr>
          <w:p>
            <w:pPr>
              <w:spacing w:after="0"/>
              <w:rPr>
                <w:sz w:val="17"/>
                <w:szCs w:val="17"/>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Depreciation</w:t>
            </w:r>
          </w:p>
        </w:tc>
        <w:tc>
          <w:tcPr>
            <w:tcW w:w="2280" w:type="dxa"/>
            <w:vAlign w:val="bottom"/>
            <w:gridSpan w:val="3"/>
          </w:tcPr>
          <w:p>
            <w:pPr>
              <w:jc w:val="right"/>
              <w:ind w:right="220"/>
              <w:spacing w:after="0"/>
              <w:rPr>
                <w:sz w:val="20"/>
                <w:szCs w:val="20"/>
                <w:color w:val="auto"/>
              </w:rPr>
            </w:pPr>
            <w:r>
              <w:rPr>
                <w:rFonts w:ascii="Arial" w:cs="Arial" w:eastAsia="Arial" w:hAnsi="Arial"/>
                <w:sz w:val="16"/>
                <w:szCs w:val="16"/>
                <w:color w:val="auto"/>
              </w:rPr>
              <w:t>57,233</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61,355</w:t>
            </w:r>
          </w:p>
        </w:tc>
        <w:tc>
          <w:tcPr>
            <w:tcW w:w="1240" w:type="dxa"/>
            <w:vAlign w:val="bottom"/>
          </w:tcPr>
          <w:p>
            <w:pPr>
              <w:jc w:val="right"/>
              <w:spacing w:after="0"/>
              <w:rPr>
                <w:sz w:val="20"/>
                <w:szCs w:val="20"/>
                <w:color w:val="auto"/>
              </w:rPr>
            </w:pPr>
            <w:r>
              <w:rPr>
                <w:rFonts w:ascii="Arial" w:cs="Arial" w:eastAsia="Arial" w:hAnsi="Arial"/>
                <w:sz w:val="16"/>
                <w:szCs w:val="16"/>
                <w:color w:val="auto"/>
              </w:rPr>
              <w:t>170,074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177,489</w:t>
            </w:r>
          </w:p>
        </w:tc>
      </w:tr>
      <w:tr>
        <w:trPr>
          <w:trHeight w:val="219"/>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2280" w:type="dxa"/>
            <w:vAlign w:val="bottom"/>
            <w:gridSpan w:val="3"/>
            <w:shd w:val="clear" w:color="auto" w:fill="E5FFFF"/>
          </w:tcPr>
          <w:p>
            <w:pPr>
              <w:jc w:val="right"/>
              <w:ind w:right="220"/>
              <w:spacing w:after="0"/>
              <w:rPr>
                <w:sz w:val="20"/>
                <w:szCs w:val="20"/>
                <w:color w:val="auto"/>
              </w:rPr>
            </w:pPr>
            <w:r>
              <w:rPr>
                <w:rFonts w:ascii="Arial" w:cs="Arial" w:eastAsia="Arial" w:hAnsi="Arial"/>
                <w:sz w:val="16"/>
                <w:szCs w:val="16"/>
                <w:color w:val="auto"/>
              </w:rPr>
              <w:t>49,338</w:t>
            </w:r>
          </w:p>
        </w:tc>
        <w:tc>
          <w:tcPr>
            <w:tcW w:w="14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66,500</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126,173</w:t>
            </w:r>
          </w:p>
        </w:tc>
        <w:tc>
          <w:tcPr>
            <w:tcW w:w="220" w:type="dxa"/>
            <w:vAlign w:val="bottom"/>
            <w:shd w:val="clear" w:color="auto" w:fill="E5FFFF"/>
          </w:tcPr>
          <w:p>
            <w:pPr>
              <w:spacing w:after="0"/>
              <w:rPr>
                <w:sz w:val="19"/>
                <w:szCs w:val="19"/>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194,554</w:t>
            </w:r>
          </w:p>
        </w:tc>
        <w:tc>
          <w:tcPr>
            <w:tcW w:w="100" w:type="dxa"/>
            <w:vAlign w:val="bottom"/>
          </w:tcPr>
          <w:p>
            <w:pPr>
              <w:spacing w:after="0"/>
              <w:rPr>
                <w:sz w:val="19"/>
                <w:szCs w:val="19"/>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Financial income</w:t>
            </w:r>
          </w:p>
        </w:tc>
        <w:tc>
          <w:tcPr>
            <w:tcW w:w="2280" w:type="dxa"/>
            <w:vAlign w:val="bottom"/>
            <w:gridSpan w:val="3"/>
          </w:tcPr>
          <w:p>
            <w:pPr>
              <w:jc w:val="right"/>
              <w:ind w:right="180"/>
              <w:spacing w:after="0"/>
              <w:rPr>
                <w:sz w:val="20"/>
                <w:szCs w:val="20"/>
                <w:color w:val="auto"/>
              </w:rPr>
            </w:pPr>
            <w:r>
              <w:rPr>
                <w:rFonts w:ascii="Arial" w:cs="Arial" w:eastAsia="Arial" w:hAnsi="Arial"/>
                <w:sz w:val="16"/>
                <w:szCs w:val="16"/>
                <w:color w:val="auto"/>
              </w:rPr>
              <w:t>(1,081)</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(2,815)</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(1,493)</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(12,740)</w:t>
            </w:r>
          </w:p>
        </w:tc>
      </w:tr>
      <w:tr>
        <w:trPr>
          <w:trHeight w:val="219"/>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(Gain)/loss on derivatives</w:t>
            </w:r>
          </w:p>
        </w:tc>
        <w:tc>
          <w:tcPr>
            <w:tcW w:w="2280" w:type="dxa"/>
            <w:vAlign w:val="bottom"/>
            <w:gridSpan w:val="3"/>
            <w:shd w:val="clear" w:color="auto" w:fill="E5FFFF"/>
          </w:tcPr>
          <w:p>
            <w:pPr>
              <w:jc w:val="right"/>
              <w:ind w:right="180"/>
              <w:spacing w:after="0"/>
              <w:rPr>
                <w:sz w:val="20"/>
                <w:szCs w:val="20"/>
                <w:color w:val="auto"/>
              </w:rPr>
            </w:pPr>
            <w:r>
              <w:rPr>
                <w:rFonts w:ascii="Arial" w:cs="Arial" w:eastAsia="Arial" w:hAnsi="Arial"/>
                <w:sz w:val="16"/>
                <w:szCs w:val="16"/>
                <w:color w:val="auto"/>
              </w:rPr>
              <w:t>(21,611)</w:t>
            </w:r>
          </w:p>
        </w:tc>
        <w:tc>
          <w:tcPr>
            <w:tcW w:w="14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2,090</w:t>
            </w:r>
          </w:p>
        </w:tc>
        <w:tc>
          <w:tcPr>
            <w:tcW w:w="146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(67,342)</w:t>
            </w: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(8,383)</w:t>
            </w:r>
          </w:p>
        </w:tc>
        <w:tc>
          <w:tcPr>
            <w:tcW w:w="100" w:type="dxa"/>
            <w:vAlign w:val="bottom"/>
          </w:tcPr>
          <w:p>
            <w:pPr>
              <w:spacing w:after="0"/>
              <w:rPr>
                <w:sz w:val="19"/>
                <w:szCs w:val="19"/>
                <w:color w:val="auto"/>
              </w:rPr>
            </w:pPr>
          </w:p>
        </w:tc>
      </w:tr>
      <w:tr>
        <w:trPr>
          <w:trHeight w:val="196"/>
        </w:trPr>
        <w:tc>
          <w:tcPr>
            <w:tcW w:w="484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8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193,002</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173,581</w:t>
            </w:r>
          </w:p>
        </w:tc>
        <w:tc>
          <w:tcPr>
            <w:tcW w:w="20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455,956</w:t>
            </w:r>
          </w:p>
        </w:tc>
        <w:tc>
          <w:tcPr>
            <w:tcW w:w="22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515,787</w:t>
            </w:r>
          </w:p>
        </w:tc>
        <w:tc>
          <w:tcPr>
            <w:tcW w:w="100" w:type="dxa"/>
            <w:vAlign w:val="bottom"/>
          </w:tcPr>
          <w:p>
            <w:pPr>
              <w:spacing w:after="0"/>
              <w:rPr>
                <w:sz w:val="17"/>
                <w:szCs w:val="17"/>
                <w:color w:val="auto"/>
              </w:rPr>
            </w:pPr>
          </w:p>
        </w:tc>
      </w:tr>
      <w:tr>
        <w:trPr>
          <w:trHeight w:val="196"/>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Foreign exchange (gains)/losses, net</w:t>
            </w:r>
          </w:p>
        </w:tc>
        <w:tc>
          <w:tcPr>
            <w:tcW w:w="8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(304)</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725</w:t>
            </w:r>
          </w:p>
        </w:tc>
        <w:tc>
          <w:tcPr>
            <w:tcW w:w="20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(232)</w:t>
            </w:r>
          </w:p>
        </w:tc>
        <w:tc>
          <w:tcPr>
            <w:tcW w:w="220" w:type="dxa"/>
            <w:vAlign w:val="bottom"/>
            <w:shd w:val="clear" w:color="auto" w:fill="E5FFFF"/>
          </w:tcPr>
          <w:p>
            <w:pPr>
              <w:spacing w:after="0"/>
              <w:rPr>
                <w:sz w:val="17"/>
                <w:szCs w:val="17"/>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7"/>
                <w:szCs w:val="17"/>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Restructuring costs</w:t>
            </w:r>
          </w:p>
        </w:tc>
        <w:tc>
          <w:tcPr>
            <w:tcW w:w="2280" w:type="dxa"/>
            <w:vAlign w:val="bottom"/>
            <w:gridSpan w:val="3"/>
          </w:tcPr>
          <w:p>
            <w:pPr>
              <w:jc w:val="right"/>
              <w:ind w:right="180"/>
              <w:spacing w:after="0"/>
              <w:rPr>
                <w:sz w:val="20"/>
                <w:szCs w:val="20"/>
                <w:color w:val="auto"/>
              </w:rPr>
            </w:pPr>
            <w:r>
              <w:rPr>
                <w:rFonts w:ascii="Arial" w:cs="Arial" w:eastAsia="Arial" w:hAnsi="Arial"/>
                <w:sz w:val="16"/>
                <w:szCs w:val="16"/>
                <w:color w:val="auto"/>
              </w:rPr>
              <w:t>(4)</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1240" w:type="dxa"/>
            <w:vAlign w:val="bottom"/>
          </w:tcPr>
          <w:p>
            <w:pPr>
              <w:jc w:val="right"/>
              <w:spacing w:after="0"/>
              <w:rPr>
                <w:sz w:val="20"/>
                <w:szCs w:val="20"/>
                <w:color w:val="auto"/>
              </w:rPr>
            </w:pPr>
            <w:r>
              <w:rPr>
                <w:rFonts w:ascii="Arial" w:cs="Arial" w:eastAsia="Arial" w:hAnsi="Arial"/>
                <w:sz w:val="16"/>
                <w:szCs w:val="16"/>
                <w:color w:val="auto"/>
              </w:rPr>
              <w:t>1,685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126</w:t>
            </w:r>
          </w:p>
        </w:tc>
      </w:tr>
      <w:tr>
        <w:trPr>
          <w:trHeight w:val="219"/>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Transaction Costs</w:t>
            </w:r>
          </w:p>
        </w:tc>
        <w:tc>
          <w:tcPr>
            <w:tcW w:w="82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00"/>
              <w:spacing w:after="0"/>
              <w:rPr>
                <w:sz w:val="20"/>
                <w:szCs w:val="20"/>
                <w:color w:val="auto"/>
              </w:rPr>
            </w:pPr>
            <w:r>
              <w:rPr>
                <w:rFonts w:ascii="Arial" w:cs="Arial" w:eastAsia="Arial" w:hAnsi="Arial"/>
                <w:sz w:val="16"/>
                <w:szCs w:val="16"/>
                <w:color w:val="auto"/>
              </w:rPr>
              <w:t>2,275</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840</w:t>
            </w:r>
          </w:p>
        </w:tc>
        <w:tc>
          <w:tcPr>
            <w:tcW w:w="220" w:type="dxa"/>
            <w:vAlign w:val="bottom"/>
            <w:shd w:val="clear" w:color="auto" w:fill="E5FFFF"/>
          </w:tcPr>
          <w:p>
            <w:pPr>
              <w:spacing w:after="0"/>
              <w:rPr>
                <w:sz w:val="19"/>
                <w:szCs w:val="19"/>
                <w:color w:val="auto"/>
              </w:rPr>
            </w:pPr>
          </w:p>
        </w:tc>
        <w:tc>
          <w:tcPr>
            <w:tcW w:w="11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Pr>
          <w:p>
            <w:pPr>
              <w:spacing w:after="0"/>
              <w:rPr>
                <w:sz w:val="19"/>
                <w:szCs w:val="19"/>
                <w:color w:val="auto"/>
              </w:rPr>
            </w:pPr>
          </w:p>
        </w:tc>
      </w:tr>
      <w:tr>
        <w:trPr>
          <w:trHeight w:val="213"/>
        </w:trPr>
        <w:tc>
          <w:tcPr>
            <w:tcW w:w="4840" w:type="dxa"/>
            <w:vAlign w:val="bottom"/>
          </w:tcPr>
          <w:p>
            <w:pPr>
              <w:spacing w:after="0"/>
              <w:rPr>
                <w:sz w:val="20"/>
                <w:szCs w:val="20"/>
                <w:color w:val="auto"/>
              </w:rPr>
            </w:pPr>
            <w:r>
              <w:rPr>
                <w:rFonts w:ascii="Arial" w:cs="Arial" w:eastAsia="Arial" w:hAnsi="Arial"/>
                <w:sz w:val="16"/>
                <w:szCs w:val="16"/>
                <w:color w:val="auto"/>
              </w:rPr>
              <w:t>Impairment loss</w:t>
            </w:r>
          </w:p>
        </w:tc>
        <w:tc>
          <w:tcPr>
            <w:tcW w:w="8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56,911</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11,740</w:t>
            </w:r>
          </w:p>
        </w:tc>
      </w:tr>
      <w:tr>
        <w:trPr>
          <w:trHeight w:val="233"/>
        </w:trPr>
        <w:tc>
          <w:tcPr>
            <w:tcW w:w="484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non-current assets</w:t>
            </w:r>
          </w:p>
        </w:tc>
        <w:tc>
          <w:tcPr>
            <w:tcW w:w="820" w:type="dxa"/>
            <w:vAlign w:val="bottom"/>
            <w:shd w:val="clear" w:color="auto" w:fill="E5FFFF"/>
          </w:tcPr>
          <w:p>
            <w:pPr>
              <w:spacing w:after="0"/>
              <w:rPr>
                <w:sz w:val="20"/>
                <w:szCs w:val="20"/>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167</w:t>
            </w:r>
          </w:p>
        </w:tc>
        <w:tc>
          <w:tcPr>
            <w:tcW w:w="220" w:type="dxa"/>
            <w:vAlign w:val="bottom"/>
            <w:shd w:val="clear" w:color="auto" w:fill="E5FFFF"/>
          </w:tcPr>
          <w:p>
            <w:pPr>
              <w:spacing w:after="0"/>
              <w:rPr>
                <w:sz w:val="20"/>
                <w:szCs w:val="20"/>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749</w:t>
            </w:r>
          </w:p>
        </w:tc>
        <w:tc>
          <w:tcPr>
            <w:tcW w:w="200" w:type="dxa"/>
            <w:vAlign w:val="bottom"/>
            <w:shd w:val="clear" w:color="auto" w:fill="E5FFFF"/>
          </w:tcPr>
          <w:p>
            <w:pPr>
              <w:spacing w:after="0"/>
              <w:rPr>
                <w:sz w:val="20"/>
                <w:szCs w:val="20"/>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744</w:t>
            </w:r>
          </w:p>
        </w:tc>
        <w:tc>
          <w:tcPr>
            <w:tcW w:w="220" w:type="dxa"/>
            <w:vAlign w:val="bottom"/>
            <w:shd w:val="clear" w:color="auto" w:fill="E5FFFF"/>
          </w:tcPr>
          <w:p>
            <w:pPr>
              <w:spacing w:after="0"/>
              <w:rPr>
                <w:sz w:val="20"/>
                <w:szCs w:val="20"/>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20"/>
                <w:szCs w:val="20"/>
                <w:color w:val="auto"/>
              </w:rPr>
            </w:pPr>
          </w:p>
        </w:tc>
      </w:tr>
      <w:tr>
        <w:trPr>
          <w:trHeight w:val="220"/>
        </w:trPr>
        <w:tc>
          <w:tcPr>
            <w:tcW w:w="484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22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192,861</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177,320</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515,904</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535,931</w:t>
            </w:r>
          </w:p>
        </w:tc>
      </w:tr>
      <w:tr>
        <w:trPr>
          <w:trHeight w:val="20"/>
        </w:trPr>
        <w:tc>
          <w:tcPr>
            <w:tcW w:w="4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48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1119"/>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20"/>
                <w:szCs w:val="20"/>
                <w:color w:val="auto"/>
              </w:rPr>
            </w:pPr>
            <w:r>
              <w:rPr>
                <w:rFonts w:ascii="Arial" w:cs="Arial" w:eastAsia="Arial" w:hAnsi="Arial"/>
                <w:sz w:val="16"/>
                <w:szCs w:val="16"/>
                <w:b w:val="1"/>
                <w:bCs w:val="1"/>
                <w:color w:val="auto"/>
              </w:rPr>
              <w:t>GasLog Ltd. and its Subsidiaries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540" w:type="dxa"/>
            <w:vAlign w:val="bottom"/>
          </w:tcPr>
          <w:p>
            <w:pPr>
              <w:spacing w:after="0"/>
              <w:rPr>
                <w:sz w:val="20"/>
                <w:szCs w:val="20"/>
                <w:color w:val="auto"/>
              </w:rPr>
            </w:pPr>
            <w:r>
              <w:rPr>
                <w:rFonts w:ascii="Arial" w:cs="Arial" w:eastAsia="Arial" w:hAnsi="Arial"/>
                <w:sz w:val="16"/>
                <w:szCs w:val="16"/>
                <w:b w:val="1"/>
                <w:bCs w:val="1"/>
                <w:color w:val="auto"/>
              </w:rPr>
              <w:t>Reconciliation of Profit to Adjusted Profit:</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6"/>
                <w:szCs w:val="16"/>
                <w:b w:val="1"/>
                <w:bCs w:val="1"/>
                <w:color w:val="auto"/>
              </w:rPr>
              <w:t>(Amounts expressed in thousands of U.S. Dollars)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540" w:type="dxa"/>
            <w:vAlign w:val="bottom"/>
          </w:tcPr>
          <w:p>
            <w:pPr>
              <w:spacing w:after="0"/>
              <w:rPr>
                <w:sz w:val="24"/>
                <w:szCs w:val="24"/>
                <w:color w:val="auto"/>
              </w:rPr>
            </w:pPr>
          </w:p>
        </w:tc>
        <w:tc>
          <w:tcPr>
            <w:tcW w:w="292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three months ended</w:t>
            </w:r>
          </w:p>
        </w:tc>
        <w:tc>
          <w:tcPr>
            <w:tcW w:w="278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5"/>
              </w:rPr>
              <w:t>September 30,</w:t>
            </w:r>
          </w:p>
        </w:tc>
        <w:tc>
          <w:tcPr>
            <w:tcW w:w="14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3"/>
              </w:rPr>
              <w:t>September 30,</w:t>
            </w:r>
          </w:p>
        </w:tc>
        <w:tc>
          <w:tcPr>
            <w:tcW w:w="14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5"/>
              </w:rPr>
              <w:t>September 30,</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3"/>
        </w:trPr>
        <w:tc>
          <w:tcPr>
            <w:tcW w:w="55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4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period</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109,123</w:t>
            </w:r>
          </w:p>
        </w:tc>
        <w:tc>
          <w:tcPr>
            <w:tcW w:w="24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46,451</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228,544</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164,867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(24,890)</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4,896</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(85,544)</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5,666</w:t>
            </w:r>
          </w:p>
        </w:tc>
        <w:tc>
          <w:tcPr>
            <w:tcW w:w="0" w:type="dxa"/>
            <w:vAlign w:val="bottom"/>
          </w:tcPr>
          <w:p>
            <w:pPr>
              <w:spacing w:after="0"/>
              <w:rPr>
                <w:sz w:val="1"/>
                <w:szCs w:val="1"/>
                <w:color w:val="auto"/>
              </w:rPr>
            </w:pPr>
          </w:p>
        </w:tc>
      </w:tr>
      <w:tr>
        <w:trPr>
          <w:trHeight w:val="219"/>
        </w:trPr>
        <w:tc>
          <w:tcPr>
            <w:tcW w:w="5540" w:type="dxa"/>
            <w:vAlign w:val="bottom"/>
            <w:shd w:val="clear" w:color="auto" w:fill="E5FFFF"/>
          </w:tcPr>
          <w:p>
            <w:pPr>
              <w:spacing w:after="0"/>
              <w:rPr>
                <w:sz w:val="20"/>
                <w:szCs w:val="20"/>
                <w:color w:val="auto"/>
              </w:rPr>
            </w:pPr>
            <w:r>
              <w:rPr>
                <w:rFonts w:ascii="Arial" w:cs="Arial" w:eastAsia="Arial" w:hAnsi="Arial"/>
                <w:sz w:val="16"/>
                <w:szCs w:val="16"/>
                <w:color w:val="auto"/>
              </w:rPr>
              <w:t>Write-off of unamortized loan fees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294</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1,848</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1,444</w:t>
            </w:r>
          </w:p>
        </w:tc>
        <w:tc>
          <w:tcPr>
            <w:tcW w:w="22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Foreign exchange (gains)/losses, net</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(304)</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725</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(232)</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219"/>
        </w:trPr>
        <w:tc>
          <w:tcPr>
            <w:tcW w:w="5540" w:type="dxa"/>
            <w:vAlign w:val="bottom"/>
            <w:shd w:val="clear" w:color="auto" w:fill="E5FFFF"/>
          </w:tcPr>
          <w:p>
            <w:pPr>
              <w:spacing w:after="0"/>
              <w:rPr>
                <w:sz w:val="20"/>
                <w:szCs w:val="20"/>
                <w:color w:val="auto"/>
              </w:rPr>
            </w:pPr>
            <w:r>
              <w:rPr>
                <w:rFonts w:ascii="Arial" w:cs="Arial" w:eastAsia="Arial" w:hAnsi="Arial"/>
                <w:sz w:val="16"/>
                <w:szCs w:val="16"/>
                <w:color w:val="auto"/>
              </w:rPr>
              <w:t>Restructuring costs</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6"/>
                <w:szCs w:val="16"/>
                <w:color w:val="auto"/>
              </w:rPr>
              <w:t>(4)</w:t>
            </w:r>
          </w:p>
        </w:tc>
        <w:tc>
          <w:tcPr>
            <w:tcW w:w="144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(10)</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1,685</w:t>
            </w:r>
          </w:p>
        </w:tc>
        <w:tc>
          <w:tcPr>
            <w:tcW w:w="22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Transaction Costs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2,275</w:t>
            </w:r>
          </w:p>
        </w:tc>
        <w:tc>
          <w:tcPr>
            <w:tcW w:w="1220" w:type="dxa"/>
            <w:vAlign w:val="bottom"/>
          </w:tcPr>
          <w:p>
            <w:pPr>
              <w:jc w:val="right"/>
              <w:spacing w:after="0"/>
              <w:rPr>
                <w:sz w:val="20"/>
                <w:szCs w:val="20"/>
                <w:color w:val="auto"/>
              </w:rPr>
            </w:pPr>
            <w:r>
              <w:rPr>
                <w:rFonts w:ascii="Arial" w:cs="Arial" w:eastAsia="Arial" w:hAnsi="Arial"/>
                <w:sz w:val="16"/>
                <w:szCs w:val="16"/>
                <w:color w:val="auto"/>
              </w:rPr>
              <w:t>840</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219"/>
        </w:trPr>
        <w:tc>
          <w:tcPr>
            <w:tcW w:w="554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56,911</w:t>
            </w: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Loss on disposal of non-current assets</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167</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749</w:t>
            </w:r>
          </w:p>
        </w:tc>
        <w:tc>
          <w:tcPr>
            <w:tcW w:w="1220" w:type="dxa"/>
            <w:vAlign w:val="bottom"/>
          </w:tcPr>
          <w:p>
            <w:pPr>
              <w:jc w:val="right"/>
              <w:spacing w:after="0"/>
              <w:rPr>
                <w:sz w:val="20"/>
                <w:szCs w:val="20"/>
                <w:color w:val="auto"/>
              </w:rPr>
            </w:pPr>
            <w:r>
              <w:rPr>
                <w:rFonts w:ascii="Arial" w:cs="Arial" w:eastAsia="Arial" w:hAnsi="Arial"/>
                <w:sz w:val="16"/>
                <w:szCs w:val="16"/>
                <w:color w:val="auto"/>
              </w:rPr>
              <w:t>744</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2,058</w:t>
            </w:r>
          </w:p>
        </w:tc>
        <w:tc>
          <w:tcPr>
            <w:tcW w:w="0" w:type="dxa"/>
            <w:vAlign w:val="bottom"/>
          </w:tcPr>
          <w:p>
            <w:pPr>
              <w:spacing w:after="0"/>
              <w:rPr>
                <w:sz w:val="1"/>
                <w:szCs w:val="1"/>
                <w:color w:val="auto"/>
              </w:rPr>
            </w:pPr>
          </w:p>
        </w:tc>
      </w:tr>
      <w:tr>
        <w:trPr>
          <w:trHeight w:val="233"/>
        </w:trPr>
        <w:tc>
          <w:tcPr>
            <w:tcW w:w="5540" w:type="dxa"/>
            <w:vAlign w:val="bottom"/>
            <w:shd w:val="clear" w:color="auto" w:fill="E5FFFF"/>
          </w:tcPr>
          <w:p>
            <w:pPr>
              <w:spacing w:after="0"/>
              <w:rPr>
                <w:sz w:val="20"/>
                <w:szCs w:val="20"/>
                <w:color w:val="auto"/>
              </w:rPr>
            </w:pPr>
            <w:r>
              <w:rPr>
                <w:rFonts w:ascii="Arial" w:cs="Arial" w:eastAsia="Arial" w:hAnsi="Arial"/>
                <w:sz w:val="16"/>
                <w:szCs w:val="16"/>
                <w:color w:val="auto"/>
              </w:rPr>
              <w:t>Unrealized foreign exchange losses/(gains), net on cash</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6"/>
                <w:szCs w:val="16"/>
                <w:color w:val="auto"/>
              </w:rPr>
              <w:t>376</w:t>
            </w:r>
          </w:p>
        </w:tc>
        <w:tc>
          <w:tcPr>
            <w:tcW w:w="1440" w:type="dxa"/>
            <w:vAlign w:val="bottom"/>
            <w:gridSpan w:val="2"/>
            <w:shd w:val="clear" w:color="auto" w:fill="E5FFFF"/>
          </w:tcPr>
          <w:p>
            <w:pPr>
              <w:jc w:val="right"/>
              <w:ind w:right="220"/>
              <w:spacing w:after="0"/>
              <w:rPr>
                <w:sz w:val="20"/>
                <w:szCs w:val="20"/>
                <w:color w:val="auto"/>
              </w:rPr>
            </w:pPr>
            <w:r>
              <w:rPr>
                <w:rFonts w:ascii="Arial" w:cs="Arial" w:eastAsia="Arial" w:hAnsi="Arial"/>
                <w:sz w:val="16"/>
                <w:szCs w:val="16"/>
                <w:color w:val="auto"/>
              </w:rPr>
              <w:t>377</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856</w:t>
            </w:r>
          </w:p>
        </w:tc>
        <w:tc>
          <w:tcPr>
            <w:tcW w:w="220" w:type="dxa"/>
            <w:vAlign w:val="bottom"/>
            <w:shd w:val="clear" w:color="auto" w:fill="E5FFFF"/>
          </w:tcPr>
          <w:p>
            <w:pPr>
              <w:spacing w:after="0"/>
              <w:rPr>
                <w:sz w:val="20"/>
                <w:szCs w:val="20"/>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6"/>
                <w:szCs w:val="16"/>
                <w:b w:val="1"/>
                <w:bCs w:val="1"/>
                <w:color w:val="auto"/>
              </w:rPr>
              <w:t>Adjusted Profit</w:t>
            </w: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40" w:type="dxa"/>
            <w:vAlign w:val="bottom"/>
            <w:vMerge w:val="continue"/>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84,762</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57,311</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205,248</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193,930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5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00"/>
              <w:spacing w:after="0"/>
              <w:rPr>
                <w:sz w:val="20"/>
                <w:szCs w:val="20"/>
                <w:color w:val="auto"/>
              </w:rPr>
            </w:pPr>
            <w:r>
              <w:rPr>
                <w:rFonts w:ascii="Arial" w:cs="Arial" w:eastAsia="Arial" w:hAnsi="Arial"/>
                <w:sz w:val="14"/>
                <w:szCs w:val="14"/>
                <w:color w:val="auto"/>
                <w:w w:val="89"/>
              </w:rPr>
              <w:t>11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EXHIBIT III –Unaudited Interim Financial Information of GasLog Partners LP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GasLog Partners LP</w:t>
            </w:r>
          </w:p>
        </w:tc>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080" w:type="dxa"/>
            <w:vAlign w:val="bottom"/>
          </w:tcPr>
          <w:p>
            <w:pPr>
              <w:spacing w:after="0"/>
              <w:rPr>
                <w:sz w:val="20"/>
                <w:szCs w:val="20"/>
                <w:color w:val="auto"/>
              </w:rPr>
            </w:pPr>
            <w:r>
              <w:rPr>
                <w:rFonts w:ascii="Arial" w:cs="Arial" w:eastAsia="Arial" w:hAnsi="Arial"/>
                <w:sz w:val="16"/>
                <w:szCs w:val="16"/>
                <w:b w:val="1"/>
                <w:bCs w:val="1"/>
                <w:color w:val="auto"/>
                <w:w w:val="98"/>
              </w:rPr>
              <w:t>Unaudited condensed consolidated statements of financial position</w:t>
            </w:r>
          </w:p>
        </w:tc>
        <w:tc>
          <w:tcPr>
            <w:tcW w:w="3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As of December 31, 2022 and September 30, 2023</w:t>
            </w:r>
          </w:p>
        </w:tc>
        <w:tc>
          <w:tcPr>
            <w:tcW w:w="3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w:t>
            </w:r>
          </w:p>
        </w:tc>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0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December 31, 2022</w:t>
            </w: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0" w:type="dxa"/>
            <w:vAlign w:val="bottom"/>
          </w:tcPr>
          <w:p>
            <w:pPr>
              <w:spacing w:after="0"/>
              <w:rPr>
                <w:sz w:val="1"/>
                <w:szCs w:val="1"/>
                <w:color w:val="auto"/>
              </w:rPr>
            </w:pPr>
          </w:p>
        </w:tc>
      </w:tr>
      <w:tr>
        <w:trPr>
          <w:trHeight w:val="212"/>
        </w:trPr>
        <w:tc>
          <w:tcPr>
            <w:tcW w:w="5080" w:type="dxa"/>
            <w:vAlign w:val="bottom"/>
            <w:tcBorders>
              <w:top w:val="single" w:sz="8" w:color="E9FFFF"/>
            </w:tcBorders>
            <w:shd w:val="clear" w:color="auto" w:fill="E9FFFF"/>
          </w:tcPr>
          <w:p>
            <w:pPr>
              <w:spacing w:after="0"/>
              <w:rPr>
                <w:sz w:val="20"/>
                <w:szCs w:val="20"/>
                <w:color w:val="auto"/>
              </w:rPr>
            </w:pPr>
            <w:r>
              <w:rPr>
                <w:rFonts w:ascii="Arial" w:cs="Arial" w:eastAsia="Arial" w:hAnsi="Arial"/>
                <w:sz w:val="16"/>
                <w:szCs w:val="16"/>
                <w:b w:val="1"/>
                <w:bCs w:val="1"/>
                <w:color w:val="auto"/>
              </w:rPr>
              <w:t>Assets</w:t>
            </w:r>
          </w:p>
        </w:tc>
        <w:tc>
          <w:tcPr>
            <w:tcW w:w="3020" w:type="dxa"/>
            <w:vAlign w:val="bottom"/>
            <w:tcBorders>
              <w:top w:val="single" w:sz="8" w:color="E9FFFF"/>
            </w:tcBorders>
            <w:shd w:val="clear" w:color="auto" w:fill="E9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169</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Derivative financial instruments—non-current portion</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1,136</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Tangible fixed assets</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1,677,771</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1,490,672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Right-of-use assets</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93,325</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137,331</w:t>
            </w:r>
          </w:p>
        </w:tc>
        <w:tc>
          <w:tcPr>
            <w:tcW w:w="0" w:type="dxa"/>
            <w:vAlign w:val="bottom"/>
          </w:tcPr>
          <w:p>
            <w:pPr>
              <w:spacing w:after="0"/>
              <w:rPr>
                <w:sz w:val="1"/>
                <w:szCs w:val="1"/>
                <w:color w:val="auto"/>
              </w:rPr>
            </w:pPr>
          </w:p>
        </w:tc>
      </w:tr>
      <w:tr>
        <w:trPr>
          <w:trHeight w:val="202"/>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assets</w:t>
            </w:r>
          </w:p>
        </w:tc>
        <w:tc>
          <w:tcPr>
            <w:tcW w:w="30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1,772,401</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1,629,791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Trade and other receivables</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11,185</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Inventories</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2,894</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Due from related parties</w:t>
            </w:r>
          </w:p>
        </w:tc>
        <w:tc>
          <w:tcPr>
            <w:tcW w:w="3020" w:type="dxa"/>
            <w:vAlign w:val="bottom"/>
            <w:shd w:val="clear" w:color="auto" w:fill="E5FFFF"/>
          </w:tcPr>
          <w:p>
            <w:pPr>
              <w:spacing w:after="0"/>
              <w:rPr>
                <w:sz w:val="19"/>
                <w:szCs w:val="19"/>
                <w:color w:val="auto"/>
              </w:rPr>
            </w:pP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3,392</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6,394</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instruments—current portion</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2,440</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Short-term cash deposits</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25,000</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198,122</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30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243,033</w:t>
            </w:r>
          </w:p>
        </w:tc>
        <w:tc>
          <w:tcPr>
            <w:tcW w:w="1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2,015,434</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1,739,347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302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3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3020" w:type="dxa"/>
            <w:vAlign w:val="bottom"/>
            <w:shd w:val="clear" w:color="auto" w:fill="E5FFFF"/>
          </w:tcPr>
          <w:p>
            <w:pPr>
              <w:spacing w:after="0"/>
              <w:rPr>
                <w:sz w:val="19"/>
                <w:szCs w:val="19"/>
                <w:color w:val="auto"/>
              </w:rPr>
            </w:pPr>
          </w:p>
        </w:tc>
        <w:tc>
          <w:tcPr>
            <w:tcW w:w="146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460" w:type="dxa"/>
            <w:vAlign w:val="bottom"/>
            <w:shd w:val="clear" w:color="auto" w:fill="E5FF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Common unitholders</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668,953</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528,645</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General partner</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12,608</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Preference unitholders</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279,349</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280,048</w:t>
            </w:r>
          </w:p>
        </w:tc>
        <w:tc>
          <w:tcPr>
            <w:tcW w:w="0" w:type="dxa"/>
            <w:vAlign w:val="bottom"/>
          </w:tcPr>
          <w:p>
            <w:pPr>
              <w:spacing w:after="0"/>
              <w:rPr>
                <w:sz w:val="1"/>
                <w:szCs w:val="1"/>
                <w:color w:val="auto"/>
              </w:rPr>
            </w:pPr>
          </w:p>
        </w:tc>
      </w:tr>
      <w:tr>
        <w:trPr>
          <w:trHeight w:val="202"/>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30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960,910</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817,212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9,300</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Due to related parties</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2,873</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instruments—current portion</w:t>
            </w:r>
          </w:p>
        </w:tc>
        <w:tc>
          <w:tcPr>
            <w:tcW w:w="3020" w:type="dxa"/>
            <w:vAlign w:val="bottom"/>
            <w:shd w:val="clear" w:color="auto" w:fill="E5FFFF"/>
          </w:tcPr>
          <w:p>
            <w:pPr>
              <w:spacing w:after="0"/>
              <w:rPr>
                <w:sz w:val="19"/>
                <w:szCs w:val="19"/>
                <w:color w:val="auto"/>
              </w:rPr>
            </w:pPr>
          </w:p>
        </w:tc>
        <w:tc>
          <w:tcPr>
            <w:tcW w:w="15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57,266</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50,795</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90,358</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216,047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Lease liabilities—current portion</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17,433</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28,420</w:t>
            </w:r>
          </w:p>
        </w:tc>
        <w:tc>
          <w:tcPr>
            <w:tcW w:w="0" w:type="dxa"/>
            <w:vAlign w:val="bottom"/>
          </w:tcPr>
          <w:p>
            <w:pPr>
              <w:spacing w:after="0"/>
              <w:rPr>
                <w:sz w:val="1"/>
                <w:szCs w:val="1"/>
                <w:color w:val="auto"/>
              </w:rPr>
            </w:pPr>
          </w:p>
        </w:tc>
      </w:tr>
      <w:tr>
        <w:trPr>
          <w:trHeight w:val="202"/>
        </w:trPr>
        <w:tc>
          <w:tcPr>
            <w:tcW w:w="50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30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177,230</w:t>
            </w:r>
          </w:p>
        </w:tc>
        <w:tc>
          <w:tcPr>
            <w:tcW w:w="120" w:type="dxa"/>
            <w:vAlign w:val="bottom"/>
            <w:tcBorders>
              <w:top w:val="single" w:sz="8" w:color="E5FFFF"/>
            </w:tcBorders>
            <w:shd w:val="clear" w:color="auto" w:fill="E5FFFF"/>
          </w:tcPr>
          <w:p>
            <w:pPr>
              <w:spacing w:after="0"/>
              <w:rPr>
                <w:sz w:val="17"/>
                <w:szCs w:val="17"/>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301,817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3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Borrowings—non-current portion</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831,588</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547,263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20"/>
                <w:szCs w:val="20"/>
                <w:color w:val="auto"/>
              </w:rPr>
            </w:pPr>
            <w:r>
              <w:rPr>
                <w:rFonts w:ascii="Arial" w:cs="Arial" w:eastAsia="Arial" w:hAnsi="Arial"/>
                <w:sz w:val="16"/>
                <w:szCs w:val="16"/>
                <w:color w:val="auto"/>
              </w:rPr>
              <w:t>Lease liabilities—non-current portion</w:t>
            </w:r>
          </w:p>
        </w:tc>
        <w:tc>
          <w:tcPr>
            <w:tcW w:w="4600" w:type="dxa"/>
            <w:vAlign w:val="bottom"/>
            <w:gridSpan w:val="3"/>
          </w:tcPr>
          <w:p>
            <w:pPr>
              <w:jc w:val="right"/>
              <w:ind w:right="120"/>
              <w:spacing w:after="0"/>
              <w:rPr>
                <w:sz w:val="20"/>
                <w:szCs w:val="20"/>
                <w:color w:val="auto"/>
              </w:rPr>
            </w:pPr>
            <w:r>
              <w:rPr>
                <w:rFonts w:ascii="Arial" w:cs="Arial" w:eastAsia="Arial" w:hAnsi="Arial"/>
                <w:sz w:val="16"/>
                <w:szCs w:val="16"/>
                <w:color w:val="auto"/>
              </w:rPr>
              <w:t>45,136</w:t>
            </w:r>
          </w:p>
        </w:tc>
        <w:tc>
          <w:tcPr>
            <w:tcW w:w="1560" w:type="dxa"/>
            <w:vAlign w:val="bottom"/>
            <w:gridSpan w:val="2"/>
          </w:tcPr>
          <w:p>
            <w:pPr>
              <w:jc w:val="right"/>
              <w:ind w:right="100"/>
              <w:spacing w:after="0"/>
              <w:rPr>
                <w:sz w:val="20"/>
                <w:szCs w:val="20"/>
                <w:color w:val="auto"/>
              </w:rPr>
            </w:pPr>
            <w:r>
              <w:rPr>
                <w:rFonts w:ascii="Arial" w:cs="Arial" w:eastAsia="Arial" w:hAnsi="Arial"/>
                <w:sz w:val="16"/>
                <w:szCs w:val="16"/>
                <w:color w:val="auto"/>
              </w:rPr>
              <w:t>72,634</w:t>
            </w:r>
          </w:p>
        </w:tc>
        <w:tc>
          <w:tcPr>
            <w:tcW w:w="0" w:type="dxa"/>
            <w:vAlign w:val="bottom"/>
          </w:tcPr>
          <w:p>
            <w:pPr>
              <w:spacing w:after="0"/>
              <w:rPr>
                <w:sz w:val="1"/>
                <w:szCs w:val="1"/>
                <w:color w:val="auto"/>
              </w:rPr>
            </w:pPr>
          </w:p>
        </w:tc>
      </w:tr>
      <w:tr>
        <w:trPr>
          <w:trHeight w:val="219"/>
        </w:trPr>
        <w:tc>
          <w:tcPr>
            <w:tcW w:w="508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liabilities</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570</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liabilities</w:t>
            </w:r>
          </w:p>
        </w:tc>
        <w:tc>
          <w:tcPr>
            <w:tcW w:w="30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877,294</w:t>
            </w:r>
          </w:p>
        </w:tc>
        <w:tc>
          <w:tcPr>
            <w:tcW w:w="120" w:type="dxa"/>
            <w:vAlign w:val="bottom"/>
            <w:tcBorders>
              <w:bottom w:val="single" w:sz="8" w:color="E5FF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8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460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b w:val="1"/>
                <w:bCs w:val="1"/>
                <w:color w:val="auto"/>
              </w:rPr>
              <w:t>2,015,434</w:t>
            </w:r>
          </w:p>
        </w:tc>
        <w:tc>
          <w:tcPr>
            <w:tcW w:w="146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1,739,347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E5FFFF"/>
            </w:tcBorders>
          </w:tcPr>
          <w:p>
            <w:pPr>
              <w:spacing w:after="0" w:line="20" w:lineRule="exact"/>
              <w:rPr>
                <w:sz w:val="1"/>
                <w:szCs w:val="1"/>
                <w:color w:val="auto"/>
              </w:rPr>
            </w:pPr>
          </w:p>
        </w:tc>
        <w:tc>
          <w:tcPr>
            <w:tcW w:w="3020" w:type="dxa"/>
            <w:vAlign w:val="bottom"/>
            <w:tcBorders>
              <w:top w:val="single" w:sz="8" w:color="E5FFFF"/>
              <w:bottom w:val="single" w:sz="8" w:color="E5FFFF"/>
            </w:tcBorders>
            <w:vMerge w:val="restart"/>
          </w:tcPr>
          <w:p>
            <w:pPr>
              <w:jc w:val="right"/>
              <w:ind w:right="2319"/>
              <w:spacing w:after="0"/>
              <w:rPr>
                <w:sz w:val="20"/>
                <w:szCs w:val="20"/>
                <w:color w:val="auto"/>
              </w:rPr>
            </w:pPr>
            <w:r>
              <w:rPr>
                <w:rFonts w:ascii="Arial" w:cs="Arial" w:eastAsia="Arial" w:hAnsi="Arial"/>
                <w:sz w:val="14"/>
                <w:szCs w:val="14"/>
                <w:color w:val="auto"/>
              </w:rPr>
              <w:t>12</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50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GasLog Partners LP</w:t>
      </w: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 condensed consolidated statements of profit or loss</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5"/>
          <w:szCs w:val="15"/>
          <w:b w:val="1"/>
          <w:bCs w:val="1"/>
          <w:color w:val="auto"/>
        </w:rPr>
        <w:t>For the three and nine months ended September 30, 2022 and 2023 (All 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Voyage expenses and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Vessel operating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vessel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loss on vessels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from operations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Gain/(loss) on derivatives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for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160" w:type="dxa"/>
            <w:vAlign w:val="bottom"/>
            <w:gridSpan w:val="4"/>
          </w:tcPr>
          <w:p>
            <w:pPr>
              <w:jc w:val="right"/>
              <w:ind w:right="680"/>
              <w:spacing w:after="0"/>
              <w:rPr>
                <w:sz w:val="20"/>
                <w:szCs w:val="20"/>
                <w:color w:val="auto"/>
              </w:rPr>
            </w:pPr>
            <w:r>
              <w:rPr>
                <w:rFonts w:ascii="Arial" w:cs="Arial" w:eastAsia="Arial" w:hAnsi="Arial"/>
                <w:sz w:val="16"/>
                <w:szCs w:val="16"/>
                <w:b w:val="1"/>
                <w:bCs w:val="1"/>
                <w:color w:val="auto"/>
              </w:rPr>
              <w:t>For the three months ended</w:t>
            </w:r>
          </w:p>
        </w:tc>
        <w:tc>
          <w:tcPr>
            <w:tcW w:w="282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15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14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460" w:type="dxa"/>
            <w:vAlign w:val="bottom"/>
          </w:tcPr>
          <w:p>
            <w:pPr>
              <w:jc w:val="right"/>
              <w:spacing w:after="0"/>
              <w:rPr>
                <w:sz w:val="20"/>
                <w:szCs w:val="20"/>
                <w:color w:val="auto"/>
              </w:rPr>
            </w:pPr>
            <w:r>
              <w:rPr>
                <w:rFonts w:ascii="Arial" w:cs="Arial" w:eastAsia="Arial" w:hAnsi="Arial"/>
                <w:sz w:val="16"/>
                <w:szCs w:val="16"/>
                <w:color w:val="auto"/>
              </w:rPr>
              <w:t>95,679</w:t>
            </w:r>
          </w:p>
        </w:tc>
        <w:tc>
          <w:tcPr>
            <w:tcW w:w="12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100,747</w:t>
            </w:r>
          </w:p>
        </w:tc>
        <w:tc>
          <w:tcPr>
            <w:tcW w:w="1320" w:type="dxa"/>
            <w:vAlign w:val="bottom"/>
          </w:tcPr>
          <w:p>
            <w:pPr>
              <w:jc w:val="right"/>
              <w:spacing w:after="0"/>
              <w:rPr>
                <w:sz w:val="20"/>
                <w:szCs w:val="20"/>
                <w:color w:val="auto"/>
              </w:rPr>
            </w:pPr>
            <w:r>
              <w:rPr>
                <w:rFonts w:ascii="Arial" w:cs="Arial" w:eastAsia="Arial" w:hAnsi="Arial"/>
                <w:sz w:val="16"/>
                <w:szCs w:val="16"/>
                <w:color w:val="auto"/>
              </w:rPr>
              <w:t>266,060</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296,777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(1,383)</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(3,128)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(5,016)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(7,766)</w:t>
            </w:r>
          </w:p>
        </w:tc>
        <w:tc>
          <w:tcPr>
            <w:tcW w:w="0" w:type="dxa"/>
            <w:vAlign w:val="bottom"/>
          </w:tcPr>
          <w:p>
            <w:pPr>
              <w:spacing w:after="0"/>
              <w:rPr>
                <w:sz w:val="1"/>
                <w:szCs w:val="1"/>
                <w:color w:val="auto"/>
              </w:rPr>
            </w:pPr>
          </w:p>
        </w:tc>
      </w:tr>
      <w:tr>
        <w:trPr>
          <w:trHeight w:val="216"/>
        </w:trPr>
        <w:tc>
          <w:tcPr>
            <w:tcW w:w="1580" w:type="dxa"/>
            <w:vAlign w:val="bottom"/>
            <w:gridSpan w:val="2"/>
          </w:tcPr>
          <w:p>
            <w:pPr>
              <w:jc w:val="right"/>
              <w:spacing w:after="0"/>
              <w:rPr>
                <w:sz w:val="20"/>
                <w:szCs w:val="20"/>
                <w:color w:val="auto"/>
              </w:rPr>
            </w:pPr>
            <w:r>
              <w:rPr>
                <w:rFonts w:ascii="Arial" w:cs="Arial" w:eastAsia="Arial" w:hAnsi="Arial"/>
                <w:sz w:val="16"/>
                <w:szCs w:val="16"/>
                <w:color w:val="auto"/>
              </w:rPr>
              <w:t>(16,744)</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(17,969)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(54,365)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(49,649)</w:t>
            </w:r>
          </w:p>
        </w:tc>
        <w:tc>
          <w:tcPr>
            <w:tcW w:w="0" w:type="dxa"/>
            <w:vAlign w:val="bottom"/>
          </w:tcPr>
          <w:p>
            <w:pPr>
              <w:spacing w:after="0"/>
              <w:rPr>
                <w:sz w:val="1"/>
                <w:szCs w:val="1"/>
                <w:color w:val="auto"/>
              </w:rPr>
            </w:pPr>
          </w:p>
        </w:tc>
      </w:tr>
      <w:tr>
        <w:trPr>
          <w:trHeight w:val="216"/>
        </w:trPr>
        <w:tc>
          <w:tcPr>
            <w:tcW w:w="1580" w:type="dxa"/>
            <w:vAlign w:val="bottom"/>
            <w:gridSpan w:val="2"/>
          </w:tcPr>
          <w:p>
            <w:pPr>
              <w:jc w:val="right"/>
              <w:spacing w:after="0"/>
              <w:rPr>
                <w:sz w:val="20"/>
                <w:szCs w:val="20"/>
                <w:color w:val="auto"/>
              </w:rPr>
            </w:pPr>
            <w:r>
              <w:rPr>
                <w:rFonts w:ascii="Arial" w:cs="Arial" w:eastAsia="Arial" w:hAnsi="Arial"/>
                <w:sz w:val="16"/>
                <w:szCs w:val="16"/>
                <w:color w:val="auto"/>
              </w:rPr>
              <w:t>(20,696)</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(25,625)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(64,907)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(73,152)</w:t>
            </w:r>
          </w:p>
        </w:tc>
        <w:tc>
          <w:tcPr>
            <w:tcW w:w="0" w:type="dxa"/>
            <w:vAlign w:val="bottom"/>
          </w:tcPr>
          <w:p>
            <w:pPr>
              <w:spacing w:after="0"/>
              <w:rPr>
                <w:sz w:val="1"/>
                <w:szCs w:val="1"/>
                <w:color w:val="auto"/>
              </w:rPr>
            </w:pPr>
          </w:p>
        </w:tc>
      </w:tr>
      <w:tr>
        <w:trPr>
          <w:trHeight w:val="216"/>
        </w:trPr>
        <w:tc>
          <w:tcPr>
            <w:tcW w:w="1580" w:type="dxa"/>
            <w:vAlign w:val="bottom"/>
            <w:gridSpan w:val="2"/>
          </w:tcPr>
          <w:p>
            <w:pPr>
              <w:jc w:val="right"/>
              <w:spacing w:after="0"/>
              <w:rPr>
                <w:sz w:val="20"/>
                <w:szCs w:val="20"/>
                <w:color w:val="auto"/>
              </w:rPr>
            </w:pPr>
            <w:r>
              <w:rPr>
                <w:rFonts w:ascii="Arial" w:cs="Arial" w:eastAsia="Arial" w:hAnsi="Arial"/>
                <w:sz w:val="16"/>
                <w:szCs w:val="16"/>
                <w:color w:val="auto"/>
              </w:rPr>
              <w:t>(4,263)</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(6,843)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(13,334)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(18,709)</w:t>
            </w:r>
          </w:p>
        </w:tc>
        <w:tc>
          <w:tcPr>
            <w:tcW w:w="0" w:type="dxa"/>
            <w:vAlign w:val="bottom"/>
          </w:tcPr>
          <w:p>
            <w:pPr>
              <w:spacing w:after="0"/>
              <w:rPr>
                <w:sz w:val="1"/>
                <w:szCs w:val="1"/>
                <w:color w:val="auto"/>
              </w:rPr>
            </w:pPr>
          </w:p>
        </w:tc>
      </w:tr>
      <w:tr>
        <w:trPr>
          <w:trHeight w:val="216"/>
        </w:trPr>
        <w:tc>
          <w:tcPr>
            <w:tcW w:w="1580" w:type="dxa"/>
            <w:vAlign w:val="bottom"/>
            <w:gridSpan w:val="2"/>
          </w:tcPr>
          <w:p>
            <w:pPr>
              <w:jc w:val="right"/>
              <w:spacing w:after="0"/>
              <w:rPr>
                <w:sz w:val="20"/>
                <w:szCs w:val="20"/>
                <w:color w:val="auto"/>
              </w:rPr>
            </w:pPr>
            <w:r>
              <w:rPr>
                <w:rFonts w:ascii="Arial" w:cs="Arial" w:eastAsia="Arial" w:hAnsi="Arial"/>
                <w:sz w:val="16"/>
                <w:szCs w:val="16"/>
                <w:color w:val="auto"/>
              </w:rPr>
              <w:t>(166)</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(166)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(1,033)</w:t>
            </w:r>
          </w:p>
        </w:tc>
        <w:tc>
          <w:tcPr>
            <w:tcW w:w="0" w:type="dxa"/>
            <w:vAlign w:val="bottom"/>
          </w:tcPr>
          <w:p>
            <w:pPr>
              <w:spacing w:after="0"/>
              <w:rPr>
                <w:sz w:val="1"/>
                <w:szCs w:val="1"/>
                <w:color w:val="auto"/>
              </w:rPr>
            </w:pPr>
          </w:p>
        </w:tc>
      </w:tr>
      <w:tr>
        <w:trPr>
          <w:trHeight w:val="220"/>
        </w:trPr>
        <w:tc>
          <w:tcPr>
            <w:tcW w:w="15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(28,027)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2"/>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52,427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47,182</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100,245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146,326</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0"/>
        </w:trPr>
        <w:tc>
          <w:tcPr>
            <w:tcW w:w="1460" w:type="dxa"/>
            <w:vAlign w:val="bottom"/>
          </w:tcPr>
          <w:p>
            <w:pPr>
              <w:jc w:val="right"/>
              <w:spacing w:after="0"/>
              <w:rPr>
                <w:sz w:val="20"/>
                <w:szCs w:val="20"/>
                <w:color w:val="auto"/>
              </w:rPr>
            </w:pPr>
            <w:r>
              <w:rPr>
                <w:rFonts w:ascii="Arial" w:cs="Arial" w:eastAsia="Arial" w:hAnsi="Arial"/>
                <w:sz w:val="16"/>
                <w:szCs w:val="16"/>
                <w:color w:val="auto"/>
              </w:rPr>
              <w:t>(13,381</w:t>
            </w:r>
          </w:p>
        </w:tc>
        <w:tc>
          <w:tcPr>
            <w:tcW w:w="120" w:type="dxa"/>
            <w:vAlign w:val="bottom"/>
            <w:vMerge w:val="continue"/>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(17,450)</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(31,940</w:t>
            </w:r>
          </w:p>
        </w:tc>
        <w:tc>
          <w:tcPr>
            <w:tcW w:w="120" w:type="dxa"/>
            <w:vAlign w:val="bottom"/>
            <w:vMerge w:val="continue"/>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(51,847</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6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1,287</w:t>
            </w:r>
          </w:p>
        </w:tc>
        <w:tc>
          <w:tcPr>
            <w:tcW w:w="1320" w:type="dxa"/>
            <w:vAlign w:val="bottom"/>
          </w:tcPr>
          <w:p>
            <w:pPr>
              <w:jc w:val="right"/>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Pr>
          <w:p>
            <w:pPr>
              <w:jc w:val="right"/>
              <w:spacing w:after="0"/>
              <w:rPr>
                <w:sz w:val="20"/>
                <w:szCs w:val="20"/>
                <w:color w:val="auto"/>
              </w:rPr>
            </w:pPr>
            <w:r>
              <w:rPr>
                <w:rFonts w:ascii="Arial" w:cs="Arial" w:eastAsia="Arial" w:hAnsi="Arial"/>
                <w:sz w:val="16"/>
                <w:szCs w:val="16"/>
                <w:color w:val="auto"/>
              </w:rPr>
              <w:t>2,993</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c>
          <w:tcPr>
            <w:tcW w:w="1320" w:type="dxa"/>
            <w:vAlign w:val="bottom"/>
          </w:tcPr>
          <w:p>
            <w:pPr>
              <w:jc w:val="right"/>
              <w:spacing w:after="0"/>
              <w:rPr>
                <w:sz w:val="20"/>
                <w:szCs w:val="20"/>
                <w:color w:val="auto"/>
              </w:rPr>
            </w:pPr>
            <w:r>
              <w:rPr>
                <w:rFonts w:ascii="Arial" w:cs="Arial" w:eastAsia="Arial" w:hAnsi="Arial"/>
                <w:sz w:val="16"/>
                <w:szCs w:val="16"/>
                <w:color w:val="auto"/>
              </w:rPr>
              <w:t>9,216</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1,459</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2"/>
        </w:trPr>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(9,776</w:t>
            </w:r>
          </w:p>
        </w:tc>
        <w:tc>
          <w:tcPr>
            <w:tcW w:w="120" w:type="dxa"/>
            <w:vAlign w:val="bottom"/>
            <w:vMerge w:val="continue"/>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(16,243)</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(21,852</w:t>
            </w:r>
          </w:p>
        </w:tc>
        <w:tc>
          <w:tcPr>
            <w:tcW w:w="120" w:type="dxa"/>
            <w:vAlign w:val="bottom"/>
            <w:vMerge w:val="continue"/>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(43,309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42,651</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30,939</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78,393</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103,017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1460" w:type="dxa"/>
            <w:vAlign w:val="bottom"/>
          </w:tcPr>
          <w:p>
            <w:pPr>
              <w:jc w:val="right"/>
              <w:ind w:right="88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-2203450</wp:posOffset>
            </wp:positionV>
            <wp:extent cx="706374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-1929130</wp:posOffset>
            </wp:positionV>
            <wp:extent cx="706374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-1654810</wp:posOffset>
            </wp:positionV>
            <wp:extent cx="706374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-1380490</wp:posOffset>
            </wp:positionV>
            <wp:extent cx="706374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-1106170</wp:posOffset>
            </wp:positionV>
            <wp:extent cx="706374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-831850</wp:posOffset>
            </wp:positionV>
            <wp:extent cx="706374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-557530</wp:posOffset>
            </wp:positionV>
            <wp:extent cx="706374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63740" cy="16319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-8890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4620" w:space="580"/>
        <w:col w:w="5980"/>
      </w:cols>
      <w:pgMar w:left="320" w:top="90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2"/>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2023-11-16T05:48:03Z</dcterms:created>
  <dcterms:modified xsi:type="dcterms:W3CDTF">2023-11-16T05:48:03Z</dcterms:modified>
</cp:coreProperties>
</file>