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424(b)(1)</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333-239797</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7,900,000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151701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Shares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161290</wp:posOffset>
            </wp:positionV>
            <wp:extent cx="18688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This prospectus relates to the possible resale, from time to time, of up to 7,900,000 shares of our common shares, par value $0.01 per share, by the selling shareholders named herein or their pledgees, donees, transferees or other successors in interest. We will not receive any of the proceeds from any such sales of common shares. Such common shares may also be sold in transactions exempt from registration under the Securities Act of 1933 as amended (the "Securities Act"), rather than under this prospectus.</w:t>
      </w:r>
    </w:p>
    <w:p>
      <w:pPr>
        <w:spacing w:after="0" w:line="197" w:lineRule="exact"/>
        <w:rPr>
          <w:sz w:val="24"/>
          <w:szCs w:val="24"/>
          <w:color w:val="auto"/>
        </w:rPr>
      </w:pPr>
    </w:p>
    <w:p>
      <w:pPr>
        <w:jc w:val="both"/>
        <w:ind w:right="40" w:firstLine="348"/>
        <w:spacing w:after="0" w:line="335" w:lineRule="auto"/>
        <w:rPr>
          <w:sz w:val="20"/>
          <w:szCs w:val="20"/>
          <w:color w:val="auto"/>
        </w:rPr>
      </w:pPr>
      <w:r>
        <w:rPr>
          <w:rFonts w:ascii="Arial" w:cs="Arial" w:eastAsia="Arial" w:hAnsi="Arial"/>
          <w:sz w:val="15"/>
          <w:szCs w:val="15"/>
          <w:color w:val="auto"/>
        </w:rPr>
        <w:t>The common shares covered by this prospectus may be offered and sold from time to time in one or more transactions, which may be through one or more underwriters, dealers and agents, or directly to the purchasers. The names of any underwriters, dealers or agents, if any, will be included in a supplement to this prospectus. For additional information on the methods of sale that may be used by the selling shareholders, please read "Plan of Distribution".</w:t>
      </w:r>
    </w:p>
    <w:p>
      <w:pPr>
        <w:spacing w:after="0" w:line="142" w:lineRule="exact"/>
        <w:rPr>
          <w:sz w:val="24"/>
          <w:szCs w:val="24"/>
          <w:color w:val="auto"/>
        </w:rPr>
      </w:pPr>
    </w:p>
    <w:p>
      <w:pPr>
        <w:ind w:right="40" w:firstLine="348"/>
        <w:spacing w:after="0" w:line="306" w:lineRule="auto"/>
        <w:rPr>
          <w:sz w:val="20"/>
          <w:szCs w:val="20"/>
          <w:color w:val="auto"/>
        </w:rPr>
      </w:pPr>
      <w:r>
        <w:rPr>
          <w:rFonts w:ascii="Arial" w:cs="Arial" w:eastAsia="Arial" w:hAnsi="Arial"/>
          <w:sz w:val="16"/>
          <w:szCs w:val="16"/>
          <w:color w:val="auto"/>
        </w:rPr>
        <w:t>This prospectus describes some of the general terms that may apply to these common shares and the general manner in which they may be offered. The specific terms of any common shares to be offered, and the specific manner in which they may be offered, may be described in one or more supplements to this prospectus. A prospectus supplement may also add, update or change information contained in this prospectus.</w:t>
      </w:r>
    </w:p>
    <w:p>
      <w:pPr>
        <w:spacing w:after="0" w:line="16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Our common shares are traded on the New York Stock Exchange under the symbol "GLOG".</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Our principal executive offices are located at 69 Akti Miaouli 18537, Piraeus Greece. Our telephone number at such address is +30 210 459 1000.</w:t>
      </w:r>
    </w:p>
    <w:p>
      <w:pPr>
        <w:spacing w:after="0" w:line="229" w:lineRule="exact"/>
        <w:rPr>
          <w:sz w:val="24"/>
          <w:szCs w:val="24"/>
          <w:color w:val="auto"/>
        </w:rPr>
      </w:pPr>
    </w:p>
    <w:p>
      <w:pPr>
        <w:ind w:right="32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5" w:lineRule="exact"/>
        <w:rPr>
          <w:sz w:val="24"/>
          <w:szCs w:val="24"/>
          <w:color w:val="auto"/>
        </w:rPr>
      </w:pPr>
    </w:p>
    <w:p>
      <w:pPr>
        <w:ind w:right="6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4"/>
          <w:szCs w:val="24"/>
          <w:color w:val="auto"/>
        </w:rPr>
      </w:pPr>
    </w:p>
    <w:p>
      <w:pPr>
        <w:ind w:right="20" w:firstLine="351"/>
        <w:spacing w:after="0" w:line="291" w:lineRule="auto"/>
        <w:rPr>
          <w:sz w:val="20"/>
          <w:szCs w:val="20"/>
          <w:color w:val="auto"/>
        </w:rPr>
      </w:pPr>
      <w:r>
        <w:rPr>
          <w:rFonts w:ascii="Arial" w:cs="Arial" w:eastAsia="Arial" w:hAnsi="Arial"/>
          <w:sz w:val="16"/>
          <w:szCs w:val="16"/>
          <w:color w:val="auto"/>
        </w:rPr>
        <w:t>Consent under the Bermuda Exchange Control Act 1972 (and its related regulations) has been obtained from the Bermuda Monetary Authority for the issue and transfer of our offered common shares to and between residents and non-residents of Bermuda for exchange control purposes provided our common shares remain listed on an appointed stock exchange, which includes the New York Stock Exchange. This prospectus may be filed with the Registrar of Companies in Bermuda in accordance with Bermuda law. In granting such consent and in accepting this prospectus for filing, neither the Bermuda Monetary Authority nor the Registrar of Companies in Bermuda accepts any responsibility for our financial soundness or the correctness of any of the statements made or opinions expressed in this prospectus.</w:t>
      </w:r>
    </w:p>
    <w:p>
      <w:pPr>
        <w:sectPr>
          <w:pgSz w:w="11900" w:h="16838" w:orient="portrait"/>
          <w:cols w:equalWidth="0" w:num="1">
            <w:col w:w="11240"/>
          </w:cols>
          <w:pgMar w:left="320" w:top="685" w:right="339" w:bottom="1440" w:gutter="0" w:footer="0" w:header="0"/>
        </w:sect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The date of this prospectus is July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82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880" w:type="dxa"/>
            <w:vAlign w:val="bottom"/>
          </w:tcPr>
          <w:p>
            <w:pPr>
              <w:spacing w:after="0"/>
              <w:rPr>
                <w:sz w:val="19"/>
                <w:szCs w:val="19"/>
                <w:color w:val="auto"/>
              </w:rPr>
            </w:pPr>
          </w:p>
        </w:tc>
      </w:tr>
      <w:tr>
        <w:trPr>
          <w:trHeight w:val="648"/>
        </w:trPr>
        <w:tc>
          <w:tcPr>
            <w:tcW w:w="8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4"/>
                <w:szCs w:val="24"/>
                <w:color w:val="auto"/>
              </w:rPr>
            </w:pPr>
          </w:p>
        </w:tc>
      </w:tr>
      <w:tr>
        <w:trPr>
          <w:trHeight w:val="426"/>
        </w:trPr>
        <w:tc>
          <w:tcPr>
            <w:tcW w:w="8240" w:type="dxa"/>
            <w:vAlign w:val="bottom"/>
          </w:tcPr>
          <w:p>
            <w:pPr>
              <w:ind w:left="1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THE COMPANY</w:t>
              </w:r>
            </w:hyperlink>
          </w:p>
        </w:tc>
        <w:tc>
          <w:tcPr>
            <w:tcW w:w="18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SERVICE OF PROCESS AND ENFORCEMENT OF LIABILITIES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ABOUT THIS PROSPECTUS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WHERE YOU CAN FIND ADDITIONAL INFORMATION</w:t>
              </w:r>
            </w:hyperlink>
          </w:p>
        </w:tc>
        <w:tc>
          <w:tcPr>
            <w:tcW w:w="188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INCORPORATION OF CERTAIN INFORMATION BY REFERENCE</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CAPITALIZATION AND INDEBTEDNESS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SHARE CAPITAL</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10</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SELLING SHAREHOLDERS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11</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PLAN OF DISTRIBUTION</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EXPENSES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16</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LEGAL MATTERS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222"/>
        </w:trPr>
        <w:tc>
          <w:tcPr>
            <w:tcW w:w="8240" w:type="dxa"/>
            <w:vAlign w:val="bottom"/>
          </w:tcPr>
          <w:p>
            <w:pPr>
              <w:ind w:left="1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EXPERTS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bl>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All statements in this prospectus (and the documents incorporated by reference herein)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38"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potential disruption to the LNG, LNG shipping and financial markets caused by global shutdown as a result of the COVID-19 pandemic;</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52"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38"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discussed in the section entitled "Risk Factors" of this prospectus (and in the "Risk Factors" described in our Annual Report on Form 20-F as well as the updated risk factors included in Exhibit 99.2 of our Report on Form 6-K furnished to the SEC on May 7, 2020, each as incorporated herein by reference).</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the common shares.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Unless otherwise indicated, references in this prospectus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the "Company", the "Group", the "Issuer","we", "our", "us" or similar terms refer to GasLog Ltd. or any one or more of its subsidiaries (including GasLog Partners LP) or their predecessors, or to such entities collectively, except that when such terms are used in this prospectus in reference to the common shares they refer to GasLog Ltd.;</w:t>
      </w:r>
    </w:p>
    <w:p>
      <w:pPr>
        <w:spacing w:after="0" w:line="220" w:lineRule="exact"/>
        <w:rPr>
          <w:rFonts w:ascii="Arial" w:cs="Arial" w:eastAsia="Arial" w:hAnsi="Arial"/>
          <w:sz w:val="18"/>
          <w:szCs w:val="18"/>
          <w:color w:val="auto"/>
        </w:rPr>
      </w:pPr>
    </w:p>
    <w:p>
      <w:pPr>
        <w:ind w:left="1080" w:right="200" w:hanging="532"/>
        <w:spacing w:after="0" w:line="33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"GasLog Partners" or the "Partnership", refers to GasLog Partners LP, a master limited partnership formed by GasLog to acquire, own and operate liquefied natural gas carriers under multi-year charters, or any one or more of GasLog Partners' subsidiaries;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LNG Services" refers to GasLog LNG Services Ltd., our wholly owned subsidiary;</w:t>
      </w:r>
    </w:p>
    <w:p>
      <w:pPr>
        <w:spacing w:after="0" w:line="238"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"Samsung" refers to Samsung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"NYSE" refers to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"SEC" refers to the U.S.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"dollars" and "$" refers to, and amounts are presented in, U.S. dollars;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"LNG" refers to liquefied natural gas;</w:t>
      </w:r>
    </w:p>
    <w:p>
      <w:pPr>
        <w:spacing w:after="0" w:line="225"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Our owned and bareboat fleet as of July 10, 2020, consists of 35 LNG carriers, including 30 ships on the water and five LNG carriers on order at Samsung. This includes 15 LNG carriers in operation that are owned by GasLog Partners, with which we have entered into certain agreements governing our relationship, including purchase options for certain of our ships. We currently manage and operate 30 LNG carriers including our 14 wholly-owned ships in operation, 14 of the 15 ships contributed or sold to the Partnership (the other is managed by a subsidiary of Shell), the bareboat vessel and one LNG carrier owned by an entity in which we have a 25.0% interest. We are also supervising the construction of our newbuildings. We operate our vessels primarily under term charters of one year or longer with nine vessels, of which four are owned by GasLog Partners, currently trading in the spot and short-term market. As of March 31, 2020, these contracts are expected to provide total contracted revenues of $3.8 billion during their initial terms, which expire between 2020 and 2032.</w:t>
      </w:r>
    </w:p>
    <w:p>
      <w:pPr>
        <w:spacing w:after="0" w:line="173"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Our wholly-owned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management and reporting. With over 19 years of technical management experience, including 16 years as sole technical manager of BG Group plc's owned fleet of LNG carriers, we have established a track record for the efficient, safe and reliable operation of LNG carriers which is evidenced by our safety performance and the limited off-hire days of the 30 ships currently operating under our management.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common shares are listed on the NYSE under the ticker symbol "GLOG". If any securities are to be listed or quoted on any other securities exchange or quotation system, the applicable prospectus supplement will so state.</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maintain our principal executive offices at 69 Akti Miaouli, 18537 Piraeus, Greece. Our telephone number at that address is +30 210 459 1000. We are registered with the Registrar of Companies in Bermuda under registration number 33928. We maintain a registered office in Bermuda at Clarendon House, 2 Church Street, Hamilton, HM 11, Bermuda.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Investing in the common shares to be offered pursuant to this prospectus may involve a high degree of risk. You should carefully consider the important factors set forth under the heading "Risk Factors" in our most recent Annual Report on Form 20-F as well as the updated risk factors included in Exhibit 99.2 of our Report on Form 6-K filed with the SEC on May 7, 2020, each filed with the SEC and incorporated herein by reference and in the accompanying prospectus supplement for such issuance before investing in any common shares that may be offered. For further details, see the section entitled "Where You Can Find Additional Information".</w:t>
      </w:r>
    </w:p>
    <w:p>
      <w:pPr>
        <w:spacing w:after="0" w:line="20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pay dividends and lower the trading price of our common shares. The risks referred to above are not the only ones that may exist. Additional risks not currently known by us or that we deem immaterial may also impair our business operations. You may lose all or a part of your investment.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a Bermuda exempted company. Our registered address in Bermuda is Clarendon House, 2 Church Street, Hamilton, HM 11, Bermuda. As a result, the rights of holders of our common shares will be governed by Bermuda law and our memorandum of association and bye-laws. The rights of shareholders under Bermuda law may differ from the rights of shareholders of companies incorporated in other jurisdictions.</w:t>
      </w:r>
    </w:p>
    <w:p>
      <w:pPr>
        <w:spacing w:after="0" w:line="160"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majority of our directors and some of the named experts referred to in this prospectus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9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This prospectus relates to the possible resale, from time to time, of up to 7,900,000 of our common shares, par value $0.01 per share, by the selling shareholders named herein or their pledgees, donees, transferees or other successors in interest. This prospectus provides you with a general description of the common shares such selling shareholders may offer. This prospectus does not cover the issuance of any of our common shares by us to the selling shareholders, and we will not receive any of the proceeds from any sale of common shares by the selling shareholders. Except for underwriting discounts and selling commissions, if any, transfer taxes, if any, and the fees and expenses of any underwriters, dealers or agents, we have agreed to pay the expenses incurred in connection with the registration of the common shares owned by the selling shareholders covered by this prospectus.</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Each time the selling shareholders, or their pledgees, donees, transferees or other successors in interest, sell common shares, we will provide you with this prospectus, and in some cases a prospectus supplement that will contain specific information about the terms of that offering. That prospectus supplement may include additional risk factors or other special considerations applicable to those particular common shares.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headings "Incorporation of Certain Information by Reference" and "Where You Can Find Additional Information".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common shares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common shares offered by this prospectus and GasLog Ltd., reference is made to the registration statement.</w:t>
      </w:r>
    </w:p>
    <w:p>
      <w:pPr>
        <w:spacing w:after="0" w:line="17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u w:val="single" w:color="auto"/>
          <w:color w:val="0000EE"/>
        </w:rPr>
      </w:pPr>
      <w:hyperlink r:id="rId19">
        <w:r>
          <w:rPr>
            <w:rFonts w:ascii="Arial" w:cs="Arial" w:eastAsia="Arial" w:hAnsi="Arial"/>
            <w:sz w:val="16"/>
            <w:szCs w:val="16"/>
            <w:u w:val="single" w:color="auto"/>
            <w:color w:val="0000EE"/>
          </w:rPr>
          <w:t>our Annual Report on Form 20-F for the year ended December 31, 2019, filed with the SEC on March 6, 2020 (the "2019 Annual Report");</w:t>
        </w:r>
      </w:hyperlink>
    </w:p>
    <w:p>
      <w:pPr>
        <w:spacing w:after="0" w:line="275" w:lineRule="exact"/>
        <w:rPr>
          <w:rFonts w:ascii="Arial" w:cs="Arial" w:eastAsia="Arial" w:hAnsi="Arial"/>
          <w:sz w:val="16"/>
          <w:szCs w:val="16"/>
          <w:u w:val="single" w:color="auto"/>
          <w:color w:val="0000EE"/>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0000EE"/>
        </w:rPr>
      </w:pPr>
      <w:hyperlink r:id="rId20">
        <w:r>
          <w:rPr>
            <w:rFonts w:ascii="Arial" w:cs="Arial" w:eastAsia="Arial" w:hAnsi="Arial"/>
            <w:sz w:val="18"/>
            <w:szCs w:val="18"/>
            <w:color w:val="auto"/>
          </w:rPr>
          <w:t xml:space="preserve">our Current Reports on Form 6-K furnished to the SEC on </w:t>
        </w:r>
        <w:r>
          <w:rPr>
            <w:rFonts w:ascii="Arial" w:cs="Arial" w:eastAsia="Arial" w:hAnsi="Arial"/>
            <w:sz w:val="18"/>
            <w:szCs w:val="18"/>
            <w:u w:val="single" w:color="auto"/>
            <w:color w:val="0000EE"/>
          </w:rPr>
          <w:t>March 16,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June 22, 2020</w:t>
        </w:r>
      </w:hyperlink>
      <w:hyperlink r:id="rId2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June 29, 2020 and July 16, 2020</w:t>
        </w:r>
      </w:hyperlink>
      <w:hyperlink r:id="rId20">
        <w:r>
          <w:rPr>
            <w:rFonts w:ascii="Arial" w:cs="Arial" w:eastAsia="Arial" w:hAnsi="Arial"/>
            <w:sz w:val="18"/>
            <w:szCs w:val="18"/>
            <w:color w:val="000000"/>
          </w:rPr>
          <w:t>; and</w:t>
        </w:r>
      </w:hyperlink>
    </w:p>
    <w:p>
      <w:pPr>
        <w:spacing w:after="0" w:line="199" w:lineRule="exact"/>
        <w:rPr>
          <w:rFonts w:ascii="Arial" w:cs="Arial" w:eastAsia="Arial" w:hAnsi="Arial"/>
          <w:sz w:val="18"/>
          <w:szCs w:val="18"/>
          <w:color w:val="0000EE"/>
        </w:rPr>
      </w:pPr>
    </w:p>
    <w:p>
      <w:pPr>
        <w:ind w:left="1080" w:hanging="532"/>
        <w:spacing w:after="0" w:line="268" w:lineRule="auto"/>
        <w:tabs>
          <w:tab w:leader="none" w:pos="1080" w:val="left"/>
        </w:tabs>
        <w:numPr>
          <w:ilvl w:val="0"/>
          <w:numId w:val="4"/>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the description of our common shares which is contained in our registration statement on Form 8-A (File No. 001-35466), filed with the SEC on</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March 21, 2012, including any amendment or report filed for the purpose of updating such description.</w:t>
        </w:r>
      </w:hyperlink>
    </w:p>
    <w:p>
      <w:pPr>
        <w:spacing w:after="0" w:line="186" w:lineRule="exact"/>
        <w:rPr>
          <w:rFonts w:ascii="Arial" w:cs="Arial" w:eastAsia="Arial" w:hAnsi="Arial"/>
          <w:sz w:val="18"/>
          <w:szCs w:val="18"/>
          <w:color w:val="auto"/>
        </w:rPr>
      </w:pPr>
    </w:p>
    <w:p>
      <w:pPr>
        <w:ind w:right="360"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our common shares made by this prospectus has been terminated. In all cases, you should rely on the later information over different information included in this prospectus or any accompanying prospectus supplement.</w:t>
      </w:r>
    </w:p>
    <w:p>
      <w:pPr>
        <w:spacing w:after="0" w:line="166" w:lineRule="exact"/>
        <w:rPr>
          <w:rFonts w:ascii="Arial" w:cs="Arial" w:eastAsia="Arial" w:hAnsi="Arial"/>
          <w:sz w:val="18"/>
          <w:szCs w:val="18"/>
          <w:color w:val="auto"/>
        </w:rPr>
      </w:pPr>
    </w:p>
    <w:p>
      <w:pPr>
        <w:ind w:right="120" w:firstLine="348"/>
        <w:spacing w:after="0" w:line="256" w:lineRule="auto"/>
        <w:rPr>
          <w:sz w:val="20"/>
          <w:szCs w:val="20"/>
          <w:color w:val="auto"/>
        </w:rPr>
      </w:pPr>
      <w:r>
        <w:rPr>
          <w:rFonts w:ascii="Arial" w:cs="Arial" w:eastAsia="Arial" w:hAnsi="Arial"/>
          <w:sz w:val="18"/>
          <w:szCs w:val="18"/>
          <w:color w:val="auto"/>
        </w:rPr>
        <w:t xml:space="preserve">We will provide, free of charge upon written or oral request, to each person to whom this prospectus is delivered, including any beneficial owner of the common shares,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8"/>
          <w:szCs w:val="18"/>
          <w:i w:val="1"/>
          <w:iCs w:val="1"/>
          <w:color w:val="auto"/>
        </w:rPr>
        <w:t>www.gaslogltd.com</w:t>
      </w:r>
      <w:r>
        <w:rPr>
          <w:rFonts w:ascii="Arial" w:cs="Arial" w:eastAsia="Arial" w:hAnsi="Arial"/>
          <w:sz w:val="18"/>
          <w:szCs w:val="18"/>
          <w:color w:val="auto"/>
        </w:rPr>
        <w:t>. Requests for such information should be made to us at the following address: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GasLog Ltd.</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69 Akti Miaouli</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18537 Piraeus, Greece</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+30 210 459 1000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rFonts w:ascii="Arial" w:cs="Arial" w:eastAsia="Arial" w:hAnsi="Arial"/>
          <w:sz w:val="18"/>
          <w:szCs w:val="18"/>
          <w:color w:val="auto"/>
        </w:rPr>
      </w:pPr>
    </w:p>
    <w:p>
      <w:pPr>
        <w:ind w:right="360" w:firstLine="344"/>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not receive any of the proceeds from any sale of common shares by the selling shareholders, or by their respective pledgees, donees, transferees or other successors in interest.</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following table sets forth our capitalization as of March 31, 2020. You should read this information in conjunction with the financial information incorporated by reference into this prospectus. Because we will not receive any of the proceeds from any sale of common shares by the selling shareholders, the capitalization information below is not adjusted to reflect such sales.</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-165100</wp:posOffset>
            </wp:positionV>
            <wp:extent cx="498919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line="184" w:lineRule="auto"/>
        <w:rPr>
          <w:sz w:val="20"/>
          <w:szCs w:val="20"/>
          <w:color w:val="auto"/>
        </w:rPr>
      </w:pPr>
      <w:r>
        <w:rPr>
          <w:rFonts w:ascii="Arial" w:cs="Arial" w:eastAsia="Arial" w:hAnsi="Arial"/>
          <w:sz w:val="18"/>
          <w:szCs w:val="18"/>
          <w:color w:val="auto"/>
        </w:rPr>
        <w:t>Borrowings, current portion</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ind w:left="1700"/>
        <w:spacing w:after="0" w:line="207" w:lineRule="auto"/>
        <w:rPr>
          <w:sz w:val="20"/>
          <w:szCs w:val="20"/>
          <w:color w:val="auto"/>
        </w:rPr>
      </w:pPr>
      <w:r>
        <w:rPr>
          <w:rFonts w:ascii="Arial" w:cs="Arial" w:eastAsia="Arial" w:hAnsi="Arial"/>
          <w:sz w:val="16"/>
          <w:szCs w:val="16"/>
          <w:color w:val="auto"/>
        </w:rPr>
        <w:t>Borrowings, non-current portion</w:t>
      </w:r>
      <w:r>
        <w:rPr>
          <w:rFonts w:ascii="Arial" w:cs="Arial" w:eastAsia="Arial" w:hAnsi="Arial"/>
          <w:sz w:val="26"/>
          <w:szCs w:val="26"/>
          <w:color w:val="auto"/>
          <w:vertAlign w:val="superscript"/>
        </w:rPr>
        <w:t>(2)</w:t>
      </w:r>
    </w:p>
    <w:p>
      <w:pPr>
        <w:ind w:left="1700"/>
        <w:spacing w:after="0"/>
        <w:rPr>
          <w:sz w:val="20"/>
          <w:szCs w:val="20"/>
          <w:color w:val="auto"/>
        </w:rPr>
      </w:pPr>
      <w:r>
        <w:rPr>
          <w:rFonts w:ascii="Arial" w:cs="Arial" w:eastAsia="Arial" w:hAnsi="Arial"/>
          <w:sz w:val="18"/>
          <w:szCs w:val="18"/>
          <w:color w:val="auto"/>
        </w:rPr>
        <w:t>Lease liability, current portion</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Lease liability,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-114935</wp:posOffset>
            </wp:positionV>
            <wp:extent cx="49891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debt</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line="204" w:lineRule="auto"/>
        <w:rPr>
          <w:sz w:val="20"/>
          <w:szCs w:val="20"/>
          <w:color w:val="auto"/>
        </w:rPr>
      </w:pPr>
      <w:r>
        <w:rPr>
          <w:rFonts w:ascii="Arial" w:cs="Arial" w:eastAsia="Arial" w:hAnsi="Arial"/>
          <w:sz w:val="18"/>
          <w:szCs w:val="18"/>
          <w:color w:val="auto"/>
        </w:rPr>
        <w:t>Preference Shares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line="185" w:lineRule="auto"/>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(3)</w:t>
      </w:r>
    </w:p>
    <w:p>
      <w:pPr>
        <w:ind w:left="1700"/>
        <w:spacing w:after="0" w:line="185" w:lineRule="auto"/>
        <w:rPr>
          <w:sz w:val="20"/>
          <w:szCs w:val="20"/>
          <w:color w:val="auto"/>
        </w:rPr>
      </w:pPr>
      <w:r>
        <w:rPr>
          <w:rFonts w:ascii="Arial" w:cs="Arial" w:eastAsia="Arial" w:hAnsi="Arial"/>
          <w:sz w:val="18"/>
          <w:szCs w:val="18"/>
          <w:color w:val="auto"/>
        </w:rPr>
        <w:t>Contributed surplus</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wp:posOffset>
            </wp:positionV>
            <wp:extent cx="49891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Reserves</w:t>
      </w:r>
    </w:p>
    <w:p>
      <w:pPr>
        <w:ind w:left="1700"/>
        <w:spacing w:after="0" w:line="191" w:lineRule="auto"/>
        <w:rPr>
          <w:sz w:val="20"/>
          <w:szCs w:val="20"/>
          <w:color w:val="auto"/>
        </w:rPr>
      </w:pPr>
      <w:r>
        <w:rPr>
          <w:rFonts w:ascii="Arial" w:cs="Arial" w:eastAsia="Arial" w:hAnsi="Arial"/>
          <w:sz w:val="18"/>
          <w:szCs w:val="18"/>
          <w:color w:val="auto"/>
        </w:rPr>
        <w:t>Treasury shares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wp:posOffset>
            </wp:positionV>
            <wp:extent cx="49891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Accumulated deficit</w:t>
      </w:r>
    </w:p>
    <w:p>
      <w:pPr>
        <w:ind w:left="1700"/>
        <w:spacing w:after="0" w:line="200" w:lineRule="auto"/>
        <w:rPr>
          <w:sz w:val="20"/>
          <w:szCs w:val="20"/>
          <w:color w:val="auto"/>
        </w:rPr>
      </w:pPr>
      <w:r>
        <w:rPr>
          <w:rFonts w:ascii="Arial" w:cs="Arial" w:eastAsia="Arial" w:hAnsi="Arial"/>
          <w:sz w:val="18"/>
          <w:szCs w:val="18"/>
          <w:color w:val="auto"/>
        </w:rPr>
        <w:t>Non-controlling interest</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wp:posOffset>
            </wp:positionV>
            <wp:extent cx="49891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b w:val="1"/>
          <w:bCs w:val="1"/>
          <w:color w:val="auto"/>
        </w:rPr>
        <w:t>Total equity</w:t>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109220</wp:posOffset>
            </wp:positionV>
            <wp:extent cx="13112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940"/>
        <w:spacing w:after="0"/>
        <w:rPr>
          <w:sz w:val="20"/>
          <w:szCs w:val="20"/>
          <w:color w:val="auto"/>
        </w:rPr>
      </w:pPr>
      <w:r>
        <w:rPr>
          <w:rFonts w:ascii="Arial" w:cs="Arial" w:eastAsia="Arial" w:hAnsi="Arial"/>
          <w:sz w:val="12"/>
          <w:szCs w:val="12"/>
          <w:b w:val="1"/>
          <w:bCs w:val="1"/>
          <w:color w:val="auto"/>
        </w:rPr>
        <w:t>As of March 31,</w:t>
      </w:r>
    </w:p>
    <w:p>
      <w:pPr>
        <w:spacing w:after="0" w:line="25"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-635</wp:posOffset>
            </wp:positionV>
            <wp:extent cx="720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jc w:val="center"/>
        <w:ind w:right="1940"/>
        <w:spacing w:after="0"/>
        <w:rPr>
          <w:sz w:val="20"/>
          <w:szCs w:val="20"/>
          <w:color w:val="auto"/>
        </w:rPr>
      </w:pPr>
      <w:r>
        <w:rPr>
          <w:rFonts w:ascii="Arial" w:cs="Arial" w:eastAsia="Arial" w:hAnsi="Arial"/>
          <w:sz w:val="11"/>
          <w:szCs w:val="11"/>
          <w:b w:val="1"/>
          <w:bCs w:val="1"/>
          <w:color w:val="auto"/>
        </w:rPr>
        <w:t>(in thousands of</w:t>
      </w:r>
    </w:p>
    <w:p>
      <w:pPr>
        <w:spacing w:after="0" w:line="24"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U.S. dollars)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214,700</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3,028,319</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9,694</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193,445</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3,446,158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-115570</wp:posOffset>
            </wp:positionV>
            <wp:extent cx="7200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29210</wp:posOffset>
            </wp:positionV>
            <wp:extent cx="7200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8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810</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746,073</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13,854</w:t>
      </w:r>
    </w:p>
    <w:p>
      <w:pPr>
        <w:spacing w:after="0" w:line="6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(4,159)</w:t>
      </w:r>
    </w:p>
    <w:p>
      <w:pPr>
        <w:spacing w:after="0" w:line="15"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(139,311)</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946,861</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1,564,174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-115570</wp:posOffset>
            </wp:positionV>
            <wp:extent cx="720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5,010,332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-115570</wp:posOffset>
            </wp:positionV>
            <wp:extent cx="720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29210</wp:posOffset>
            </wp:positionV>
            <wp:extent cx="7200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46355</wp:posOffset>
            </wp:positionV>
            <wp:extent cx="7200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2860"/>
          </w:cols>
          <w:pgMar w:left="320" w:top="131" w:right="359" w:bottom="1440" w:gutter="0" w:footer="0" w:header="0"/>
          <w:type w:val="continuous"/>
        </w:sectPr>
      </w:pPr>
    </w:p>
    <w:p>
      <w:pPr>
        <w:spacing w:after="0" w:line="193" w:lineRule="exact"/>
        <w:rPr>
          <w:sz w:val="20"/>
          <w:szCs w:val="20"/>
          <w:color w:val="auto"/>
        </w:rPr>
      </w:pPr>
    </w:p>
    <w:p>
      <w:pPr>
        <w:ind w:left="2240" w:right="20" w:hanging="547"/>
        <w:spacing w:after="0" w:line="257" w:lineRule="auto"/>
        <w:tabs>
          <w:tab w:leader="none" w:pos="224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Our indebtedness, other than under our NOK denominated bonds issued under the agreement signed on November 27, 2019, between GasLog and the bond trustee, as amended (the "NOK 2024 Bonds") and the 8.875% senior unsecured notes due in 2022 and issued in March 2017 and May 2019 (the "8.875% Senior Notes"), is secured by mortgages on our owned ships and is guaranteed by the Company or a combination of the Company and GasLog Partners, in the case of the Partnership's indebtedness. The NOK 2024 Bonds and the 8.875% Senior Notes (the carrying amounts of which, net of unamortized financing costs and premium as of March 31, 2020, are $84.2 million and $323.1 million, respectively) are unsecured. Borrowings presented do not include our scheduled debt payments and our prepayments since March 31, 2020 totaling</w:t>
      </w:r>
    </w:p>
    <w:p>
      <w:pPr>
        <w:spacing w:after="0" w:line="3" w:lineRule="exact"/>
        <w:rPr>
          <w:rFonts w:ascii="Arial" w:cs="Arial" w:eastAsia="Arial" w:hAnsi="Arial"/>
          <w:sz w:val="27"/>
          <w:szCs w:val="27"/>
          <w:color w:val="auto"/>
          <w:vertAlign w:val="superscript"/>
        </w:rPr>
      </w:pPr>
    </w:p>
    <w:p>
      <w:pPr>
        <w:ind w:left="2240"/>
        <w:spacing w:after="0"/>
        <w:rPr>
          <w:rFonts w:ascii="Arial" w:cs="Arial" w:eastAsia="Arial" w:hAnsi="Arial"/>
          <w:sz w:val="27"/>
          <w:szCs w:val="27"/>
          <w:color w:val="auto"/>
          <w:vertAlign w:val="superscript"/>
        </w:rPr>
      </w:pPr>
      <w:r>
        <w:rPr>
          <w:rFonts w:ascii="Arial" w:cs="Arial" w:eastAsia="Arial" w:hAnsi="Arial"/>
          <w:sz w:val="18"/>
          <w:szCs w:val="18"/>
          <w:color w:val="auto"/>
        </w:rPr>
        <w:t>$69.4 million and our debt proceeds of $298.7 million.</w:t>
      </w:r>
    </w:p>
    <w:p>
      <w:pPr>
        <w:spacing w:after="0" w:line="232" w:lineRule="exact"/>
        <w:rPr>
          <w:rFonts w:ascii="Arial" w:cs="Arial" w:eastAsia="Arial" w:hAnsi="Arial"/>
          <w:sz w:val="27"/>
          <w:szCs w:val="27"/>
          <w:color w:val="auto"/>
          <w:vertAlign w:val="superscript"/>
        </w:rPr>
      </w:pPr>
    </w:p>
    <w:p>
      <w:pPr>
        <w:ind w:left="2240" w:right="200" w:hanging="547"/>
        <w:spacing w:after="0" w:line="194" w:lineRule="auto"/>
        <w:tabs>
          <w:tab w:leader="none" w:pos="2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Borrowings presented at March 31, 2020, are shown net of $52.4 million of loan issuance costs that are being amortized over the term of the respective borrowings.</w:t>
      </w:r>
    </w:p>
    <w:p>
      <w:pPr>
        <w:spacing w:after="0" w:line="111" w:lineRule="exact"/>
        <w:rPr>
          <w:rFonts w:ascii="Arial" w:cs="Arial" w:eastAsia="Arial" w:hAnsi="Arial"/>
          <w:sz w:val="29"/>
          <w:szCs w:val="29"/>
          <w:color w:val="auto"/>
          <w:vertAlign w:val="superscript"/>
        </w:rPr>
      </w:pPr>
    </w:p>
    <w:p>
      <w:pPr>
        <w:ind w:left="2240" w:hanging="547"/>
        <w:spacing w:after="0"/>
        <w:tabs>
          <w:tab w:leader="none" w:pos="22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Does not include any shares that may be issued under the Company's 2013 Omnibus Incentive Compensation Plan. At</w:t>
      </w:r>
    </w:p>
    <w:p>
      <w:pPr>
        <w:spacing w:after="0" w:line="7" w:lineRule="exact"/>
        <w:rPr>
          <w:rFonts w:ascii="Arial" w:cs="Arial" w:eastAsia="Arial" w:hAnsi="Arial"/>
          <w:sz w:val="28"/>
          <w:szCs w:val="28"/>
          <w:color w:val="auto"/>
          <w:vertAlign w:val="superscript"/>
        </w:rPr>
      </w:pPr>
    </w:p>
    <w:p>
      <w:pPr>
        <w:ind w:left="2240"/>
        <w:spacing w:after="0" w:line="313" w:lineRule="auto"/>
        <w:rPr>
          <w:rFonts w:ascii="Arial" w:cs="Arial" w:eastAsia="Arial" w:hAnsi="Arial"/>
          <w:sz w:val="28"/>
          <w:szCs w:val="28"/>
          <w:color w:val="auto"/>
          <w:vertAlign w:val="superscript"/>
        </w:rPr>
      </w:pPr>
      <w:r>
        <w:rPr>
          <w:rFonts w:ascii="Arial" w:cs="Arial" w:eastAsia="Arial" w:hAnsi="Arial"/>
          <w:sz w:val="16"/>
          <w:szCs w:val="16"/>
          <w:color w:val="auto"/>
        </w:rPr>
        <w:t>March 31, 2020, our share capital consisted of 80,993,126 issued common shares, 445,375 issued treasury shares and 4,600,000 Preference Shares issued and outstanding. Does not include the 14,400,000 common shares issued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pursuant to the private placements of unregistered common shares (the "Private Placements") since March 31, 2020.</w:t>
      </w:r>
    </w:p>
    <w:p>
      <w:pPr>
        <w:spacing w:after="0" w:line="248" w:lineRule="exact"/>
        <w:rPr>
          <w:sz w:val="20"/>
          <w:szCs w:val="20"/>
          <w:color w:val="auto"/>
        </w:rPr>
      </w:pPr>
    </w:p>
    <w:p>
      <w:pPr>
        <w:ind w:left="2240" w:right="60" w:hanging="547"/>
        <w:spacing w:after="0" w:line="194" w:lineRule="auto"/>
        <w:tabs>
          <w:tab w:leader="none" w:pos="22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Does not include the total gross proceeds of $36.0 million through the Private Placements and the $6.6 million common and preferred dividends declared since March 31, 2020.</w:t>
      </w:r>
    </w:p>
    <w:p>
      <w:pPr>
        <w:spacing w:after="0" w:line="113" w:lineRule="exact"/>
        <w:rPr>
          <w:rFonts w:ascii="Arial" w:cs="Arial" w:eastAsia="Arial" w:hAnsi="Arial"/>
          <w:sz w:val="29"/>
          <w:szCs w:val="29"/>
          <w:color w:val="auto"/>
          <w:vertAlign w:val="superscript"/>
        </w:rPr>
      </w:pPr>
    </w:p>
    <w:p>
      <w:pPr>
        <w:ind w:left="2240" w:hanging="547"/>
        <w:spacing w:after="0"/>
        <w:tabs>
          <w:tab w:leader="none" w:pos="22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Does not include the $11.6 million common and preferred dividends declared since March 31, 2020.</w:t>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More information on our share capital is included under "Item 10. Additional Information" in the 2019 Annual Report.</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description of our common shares can be found in our registration statement on the description of our common shares which is contained in our registration statement on Form 8-A (File No. 001-35466), filed with the SEC on March 21, 2012, including any amendment or report filed for the purpose of updating such description.</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This prospectus covers the public resale of the shares owned by the selling shareholders named below. All of the 7,900,000 common shares registered hereby were originally issued and sold by the Company in private placements that closed on June 29 2020. The Company entered into stock purchase agreements, each dated June 22, 2020 (the "Stock Purchase Agreements"), with each of the selling shareholders named below, pursuant to which 7,900,000 common shares were sold at $2.50 per share.</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is registering these 7,900,000 common shares to permit the selling shareholders, or their pledgees, donees, transferees or other successors in interest, to resell or otherwise dispose of the common shares in the manner contemplated under "Plan of Distribution" below. Information concerning the selling shareholders may change from time to time. Any changes to the information provided below will be set forth in a supplement to this prospectus, in a post-effective amendment or in filings we make with the SEC under the Exchange Act, which are incorporated by reference into this prospectus if and when necessary.</w:t>
      </w:r>
    </w:p>
    <w:p>
      <w:pPr>
        <w:spacing w:after="0" w:line="20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table below, which was prepared based on information publicly filed or supplied to us by the selling shareholders, lists the selling shareholders and other information regarding the beneficial ownership of the common shares held by the selling shareholders (determined in accordance with the rules and regulations of the SEC). The third and fourth columns list the number and percentage of common shares beneficially owned by each selling shareholder prior to this offering, assuming for the purpose of such percentage, 95,114,166 common shares outstanding as of June 29, 2020. The fifth column lists the maximum number of common shares being offered in this prospectus by each selling shareholder. The sixth and seventh columns list the number and percentage of common shares owned by each selling shareholder after this offering, assuming the sale of all of the common shares offered by the selling shareholders pursuant to this prospectus. The selling shareholders may sell all, some or none of their shares pursuant to this prospectus.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Common Shares</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Common Shares</w:t>
            </w:r>
          </w:p>
        </w:tc>
        <w:tc>
          <w:tcPr>
            <w:tcW w:w="1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Common Shares</w:t>
            </w:r>
          </w:p>
        </w:tc>
      </w:tr>
      <w:tr>
        <w:trPr>
          <w:trHeight w:val="149"/>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3"/>
              </w:rPr>
              <w:t>Beneficially Owned</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Registered Hereby</w:t>
            </w:r>
          </w:p>
        </w:tc>
        <w:tc>
          <w:tcPr>
            <w:tcW w:w="1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3"/>
              </w:rPr>
              <w:t>Beneficially Owned</w:t>
            </w:r>
          </w:p>
        </w:tc>
      </w:tr>
      <w:tr>
        <w:trPr>
          <w:trHeight w:val="161"/>
        </w:trPr>
        <w:tc>
          <w:tcPr>
            <w:tcW w:w="1000" w:type="dxa"/>
            <w:vAlign w:val="bottom"/>
          </w:tcPr>
          <w:p>
            <w:pPr>
              <w:spacing w:after="0"/>
              <w:rPr>
                <w:sz w:val="14"/>
                <w:szCs w:val="14"/>
                <w:color w:val="auto"/>
              </w:rPr>
            </w:pPr>
          </w:p>
        </w:tc>
        <w:tc>
          <w:tcPr>
            <w:tcW w:w="2580" w:type="dxa"/>
            <w:vAlign w:val="bottom"/>
            <w:gridSpan w:val="3"/>
          </w:tcPr>
          <w:p>
            <w:pPr>
              <w:ind w:left="200"/>
              <w:spacing w:after="0"/>
              <w:rPr>
                <w:sz w:val="20"/>
                <w:szCs w:val="20"/>
                <w:color w:val="auto"/>
              </w:rPr>
            </w:pPr>
            <w:r>
              <w:rPr>
                <w:rFonts w:ascii="Arial" w:cs="Arial" w:eastAsia="Arial" w:hAnsi="Arial"/>
                <w:sz w:val="13"/>
                <w:szCs w:val="13"/>
                <w:b w:val="1"/>
                <w:bCs w:val="1"/>
                <w:color w:val="auto"/>
              </w:rPr>
              <w:t>Selling Shareholders</w:t>
            </w:r>
          </w:p>
        </w:tc>
        <w:tc>
          <w:tcPr>
            <w:tcW w:w="160" w:type="dxa"/>
            <w:vAlign w:val="bottom"/>
          </w:tcPr>
          <w:p>
            <w:pPr>
              <w:spacing w:after="0"/>
              <w:rPr>
                <w:sz w:val="14"/>
                <w:szCs w:val="14"/>
                <w:color w:val="auto"/>
              </w:rPr>
            </w:pPr>
          </w:p>
        </w:tc>
        <w:tc>
          <w:tcPr>
            <w:tcW w:w="20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7"/>
              </w:rPr>
              <w:t>Prior to Offering</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for Sale</w:t>
            </w:r>
          </w:p>
        </w:tc>
        <w:tc>
          <w:tcPr>
            <w:tcW w:w="1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9"/>
              </w:rPr>
              <w:t>After Offering</w:t>
            </w:r>
          </w:p>
        </w:tc>
      </w:tr>
      <w:tr>
        <w:trPr>
          <w:trHeight w:val="142"/>
        </w:trPr>
        <w:tc>
          <w:tcPr>
            <w:tcW w:w="17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3"/>
                <w:szCs w:val="13"/>
                <w:b w:val="1"/>
                <w:bCs w:val="1"/>
                <w:color w:val="auto"/>
              </w:rPr>
              <w:t>Beneficial Owner</w:t>
            </w:r>
          </w:p>
        </w:tc>
        <w:tc>
          <w:tcPr>
            <w:tcW w:w="18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3"/>
                <w:szCs w:val="13"/>
                <w:b w:val="1"/>
                <w:bCs w:val="1"/>
                <w:color w:val="auto"/>
              </w:rPr>
              <w:t>Selling Shareholder</w:t>
            </w:r>
          </w:p>
        </w:tc>
        <w:tc>
          <w:tcPr>
            <w:tcW w:w="160" w:type="dxa"/>
            <w:vAlign w:val="bottom"/>
          </w:tcPr>
          <w:p>
            <w:pPr>
              <w:spacing w:after="0"/>
              <w:rPr>
                <w:sz w:val="12"/>
                <w:szCs w:val="12"/>
                <w:color w:val="auto"/>
              </w:rPr>
            </w:pPr>
          </w:p>
        </w:tc>
        <w:tc>
          <w:tcPr>
            <w:tcW w:w="10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Number</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Number</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9"/>
              </w:rPr>
              <w:t>Percentage</w:t>
            </w:r>
          </w:p>
        </w:tc>
        <w:tc>
          <w:tcPr>
            <w:tcW w:w="160" w:type="dxa"/>
            <w:vAlign w:val="bottom"/>
          </w:tcPr>
          <w:p>
            <w:pPr>
              <w:spacing w:after="0"/>
              <w:rPr>
                <w:sz w:val="12"/>
                <w:szCs w:val="12"/>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17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w w:val="98"/>
              </w:rPr>
              <w:t>Alexander S. Onassis</w:t>
            </w:r>
          </w:p>
        </w:tc>
        <w:tc>
          <w:tcPr>
            <w:tcW w:w="1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Olympic LNG</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4"/>
        </w:trPr>
        <w:tc>
          <w:tcPr>
            <w:tcW w:w="1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Foundation</w:t>
            </w:r>
          </w:p>
        </w:tc>
        <w:tc>
          <w:tcPr>
            <w:tcW w:w="18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Investments Ltd.</w:t>
            </w:r>
            <w:r>
              <w:rPr>
                <w:rFonts w:ascii="Arial" w:cs="Arial" w:eastAsia="Arial" w:hAnsi="Arial"/>
                <w:sz w:val="29"/>
                <w:szCs w:val="29"/>
                <w:color w:val="auto"/>
                <w:vertAlign w:val="superscript"/>
              </w:rPr>
              <w:t>(1)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11,164,904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7,164,904</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09"/>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Fabbian Investments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1740" w:type="dxa"/>
            <w:vAlign w:val="bottom"/>
            <w:gridSpan w:val="3"/>
          </w:tcPr>
          <w:p>
            <w:pPr>
              <w:ind w:left="20"/>
              <w:spacing w:after="0"/>
              <w:rPr>
                <w:sz w:val="20"/>
                <w:szCs w:val="20"/>
                <w:color w:val="auto"/>
              </w:rPr>
            </w:pPr>
            <w:r>
              <w:rPr>
                <w:rFonts w:ascii="Arial" w:cs="Arial" w:eastAsia="Arial" w:hAnsi="Arial"/>
                <w:sz w:val="18"/>
                <w:szCs w:val="18"/>
                <w:color w:val="auto"/>
              </w:rPr>
              <w:t>Mr. Tung Chee Chen</w:t>
            </w:r>
          </w:p>
        </w:tc>
        <w:tc>
          <w:tcPr>
            <w:tcW w:w="1840" w:type="dxa"/>
            <w:vAlign w:val="bottom"/>
          </w:tcPr>
          <w:p>
            <w:pPr>
              <w:ind w:left="20"/>
              <w:spacing w:after="0" w:line="263" w:lineRule="exact"/>
              <w:rPr>
                <w:sz w:val="20"/>
                <w:szCs w:val="20"/>
                <w:color w:val="auto"/>
              </w:rPr>
            </w:pPr>
            <w:r>
              <w:rPr>
                <w:rFonts w:ascii="Arial" w:cs="Arial" w:eastAsia="Arial" w:hAnsi="Arial"/>
                <w:sz w:val="18"/>
                <w:szCs w:val="18"/>
                <w:color w:val="auto"/>
              </w:rPr>
              <w:t>Limited</w:t>
            </w:r>
            <w:r>
              <w:rPr>
                <w:rFonts w:ascii="Arial" w:cs="Arial" w:eastAsia="Arial" w:hAnsi="Arial"/>
                <w:sz w:val="29"/>
                <w:szCs w:val="29"/>
                <w:color w:val="auto"/>
                <w:vertAlign w:val="superscript"/>
              </w:rPr>
              <w:t>(2)</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2,000,000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2,000,000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Ship Finance Maritime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1740" w:type="dxa"/>
            <w:vAlign w:val="bottom"/>
            <w:gridSpan w:val="3"/>
            <w:shd w:val="clear" w:color="auto" w:fill="CCEEFF"/>
          </w:tcPr>
          <w:p>
            <w:pPr>
              <w:ind w:left="20"/>
              <w:spacing w:after="0" w:line="263" w:lineRule="exact"/>
              <w:rPr>
                <w:sz w:val="20"/>
                <w:szCs w:val="20"/>
                <w:color w:val="auto"/>
              </w:rPr>
            </w:pPr>
            <w:r>
              <w:rPr>
                <w:rFonts w:ascii="Arial" w:cs="Arial" w:eastAsia="Arial" w:hAnsi="Arial"/>
                <w:sz w:val="18"/>
                <w:szCs w:val="18"/>
                <w:color w:val="auto"/>
              </w:rPr>
              <w:t>Various</w:t>
            </w:r>
            <w:r>
              <w:rPr>
                <w:rFonts w:ascii="Arial" w:cs="Arial" w:eastAsia="Arial" w:hAnsi="Arial"/>
                <w:sz w:val="29"/>
                <w:szCs w:val="29"/>
                <w:color w:val="auto"/>
                <w:vertAlign w:val="superscript"/>
              </w:rPr>
              <w:t>(3)</w:t>
            </w:r>
          </w:p>
        </w:tc>
        <w:tc>
          <w:tcPr>
            <w:tcW w:w="18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Corporation</w:t>
            </w:r>
            <w:r>
              <w:rPr>
                <w:rFonts w:ascii="Arial" w:cs="Arial" w:eastAsia="Arial" w:hAnsi="Arial"/>
                <w:sz w:val="29"/>
                <w:szCs w:val="29"/>
                <w:color w:val="auto"/>
                <w:vertAlign w:val="superscript"/>
              </w:rPr>
              <w:t>(4)</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345,000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1740" w:type="dxa"/>
            <w:vAlign w:val="bottom"/>
            <w:gridSpan w:val="3"/>
          </w:tcPr>
          <w:p>
            <w:pPr>
              <w:ind w:left="20"/>
              <w:spacing w:after="0"/>
              <w:rPr>
                <w:sz w:val="20"/>
                <w:szCs w:val="20"/>
                <w:color w:val="auto"/>
              </w:rPr>
            </w:pPr>
            <w:r>
              <w:rPr>
                <w:rFonts w:ascii="Arial" w:cs="Arial" w:eastAsia="Arial" w:hAnsi="Arial"/>
                <w:sz w:val="18"/>
                <w:szCs w:val="18"/>
                <w:color w:val="auto"/>
              </w:rPr>
              <w:t>Mark Denning</w:t>
            </w:r>
          </w:p>
        </w:tc>
        <w:tc>
          <w:tcPr>
            <w:tcW w:w="1840" w:type="dxa"/>
            <w:vAlign w:val="bottom"/>
          </w:tcPr>
          <w:p>
            <w:pPr>
              <w:ind w:left="20"/>
              <w:spacing w:after="0" w:line="256" w:lineRule="exact"/>
              <w:rPr>
                <w:sz w:val="20"/>
                <w:szCs w:val="20"/>
                <w:color w:val="auto"/>
              </w:rPr>
            </w:pPr>
            <w:r>
              <w:rPr>
                <w:rFonts w:ascii="Arial" w:cs="Arial" w:eastAsia="Arial" w:hAnsi="Arial"/>
                <w:sz w:val="18"/>
                <w:szCs w:val="18"/>
                <w:color w:val="auto"/>
              </w:rPr>
              <w:t>Mark Denning</w:t>
            </w:r>
            <w:r>
              <w:rPr>
                <w:rFonts w:ascii="Arial" w:cs="Arial" w:eastAsia="Arial" w:hAnsi="Arial"/>
                <w:sz w:val="29"/>
                <w:szCs w:val="29"/>
                <w:color w:val="auto"/>
                <w:vertAlign w:val="superscript"/>
              </w:rPr>
              <w:t>(5)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692,850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292,850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Bruce Blythe</w:t>
            </w:r>
            <w:r>
              <w:rPr>
                <w:rFonts w:ascii="Arial" w:cs="Arial" w:eastAsia="Arial" w:hAnsi="Arial"/>
                <w:sz w:val="29"/>
                <w:szCs w:val="29"/>
                <w:color w:val="auto"/>
                <w:vertAlign w:val="superscript"/>
              </w:rPr>
              <w:t>(6)</w:t>
            </w:r>
          </w:p>
        </w:tc>
        <w:tc>
          <w:tcPr>
            <w:tcW w:w="18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Bruce Blythe</w:t>
            </w:r>
            <w:r>
              <w:rPr>
                <w:rFonts w:ascii="Arial" w:cs="Arial" w:eastAsia="Arial" w:hAnsi="Arial"/>
                <w:sz w:val="29"/>
                <w:szCs w:val="29"/>
                <w:color w:val="auto"/>
                <w:vertAlign w:val="superscript"/>
              </w:rPr>
              <w:t>(7)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1,200,000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365"/>
        </w:trPr>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Jean Haramis</w:t>
            </w:r>
          </w:p>
        </w:tc>
        <w:tc>
          <w:tcPr>
            <w:tcW w:w="12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Jean Haramis</w:t>
            </w:r>
            <w:r>
              <w:rPr>
                <w:rFonts w:ascii="Arial" w:cs="Arial" w:eastAsia="Arial" w:hAnsi="Arial"/>
                <w:sz w:val="29"/>
                <w:szCs w:val="29"/>
                <w:color w:val="auto"/>
                <w:vertAlign w:val="superscript"/>
              </w:rPr>
              <w:t>(8)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338,700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238,700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21" w:lineRule="exact"/>
        <w:rPr>
          <w:sz w:val="20"/>
          <w:szCs w:val="20"/>
          <w:color w:val="auto"/>
        </w:rPr>
      </w:pPr>
    </w:p>
    <w:p>
      <w:pPr>
        <w:ind w:left="1680" w:hanging="549"/>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1.0% of our outstanding common shares.</w:t>
      </w:r>
    </w:p>
    <w:p>
      <w:pPr>
        <w:spacing w:after="0" w:line="239" w:lineRule="exact"/>
        <w:rPr>
          <w:sz w:val="20"/>
          <w:szCs w:val="20"/>
          <w:color w:val="auto"/>
        </w:rPr>
      </w:pPr>
    </w:p>
    <w:p>
      <w:pPr>
        <w:ind w:left="1680" w:right="660" w:hanging="549"/>
        <w:spacing w:after="0" w:line="194" w:lineRule="auto"/>
        <w:tabs>
          <w:tab w:leader="none" w:pos="16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The business address of Olympic LNG Investments Ltd. is Conyers Corporate Services (Bermuda) Limited, Clarendon House, 2 Church Street, Hamilton, HM 11, Bermuda.</w:t>
      </w:r>
    </w:p>
    <w:p>
      <w:pPr>
        <w:spacing w:after="0" w:line="211" w:lineRule="exact"/>
        <w:rPr>
          <w:rFonts w:ascii="Arial" w:cs="Arial" w:eastAsia="Arial" w:hAnsi="Arial"/>
          <w:sz w:val="29"/>
          <w:szCs w:val="29"/>
          <w:color w:val="auto"/>
          <w:vertAlign w:val="superscript"/>
        </w:rPr>
      </w:pPr>
    </w:p>
    <w:p>
      <w:pPr>
        <w:ind w:left="5540" w:right="400" w:hanging="4409"/>
        <w:spacing w:after="0" w:line="372" w:lineRule="auto"/>
        <w:tabs>
          <w:tab w:leader="none" w:pos="1672"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The business address of Fabbian Investments Limited is c/o SFSL, 33/F Harbour Centre, 25 Harbour Road, Wanchai, Hong Kong.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hanging="549"/>
        <w:spacing w:after="0" w:line="251" w:lineRule="auto"/>
        <w:tabs>
          <w:tab w:leader="none" w:pos="168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Paolo Mondini owns 55% of the common shares held by Ship Finance Maritime Corporation and may have beneficial ownership over all of the common shares held by Ship Finance Maritime Corporation. Olivier Felter, Riccardo Ravano, Mario Spaventi, Massimo Banchero, Yannis Haramis, Fabio Montauti d'Harcourt, Sebastiano Portunato, Giuseppe Pratolongo, Norifumi Yamamoto, Lenko Milin and Luigi Pratolongo each own less than 10% of the common shares held by Ship Finance Maritime Corporation and disclaim beneficial ownership of these common shares except to the extent of their pecuniary interest therein.</w:t>
      </w:r>
    </w:p>
    <w:p>
      <w:pPr>
        <w:spacing w:after="0" w:line="215" w:lineRule="exact"/>
        <w:rPr>
          <w:rFonts w:ascii="Arial" w:cs="Arial" w:eastAsia="Arial" w:hAnsi="Arial"/>
          <w:sz w:val="27"/>
          <w:szCs w:val="27"/>
          <w:color w:val="auto"/>
          <w:vertAlign w:val="superscript"/>
        </w:rPr>
      </w:pPr>
    </w:p>
    <w:p>
      <w:pPr>
        <w:ind w:left="1680" w:right="340" w:hanging="549"/>
        <w:spacing w:after="0" w:line="194" w:lineRule="auto"/>
        <w:tabs>
          <w:tab w:leader="none" w:pos="16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business address of Ship Finance Maritime Corporation is c/o Shamrock Maritime SARL, 6 Boulevard des Moulins, Monaco, Monaco MC98000.</w:t>
      </w:r>
    </w:p>
    <w:p>
      <w:pPr>
        <w:spacing w:after="0" w:line="100" w:lineRule="exact"/>
        <w:rPr>
          <w:rFonts w:ascii="Arial" w:cs="Arial" w:eastAsia="Arial" w:hAnsi="Arial"/>
          <w:sz w:val="29"/>
          <w:szCs w:val="29"/>
          <w:color w:val="auto"/>
          <w:vertAlign w:val="superscript"/>
        </w:rPr>
      </w:pPr>
    </w:p>
    <w:p>
      <w:pPr>
        <w:ind w:left="1680" w:hanging="549"/>
        <w:spacing w:after="0"/>
        <w:tabs>
          <w:tab w:leader="none" w:pos="16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address of Mark Denning is Lot 9 The Albany, South Ocean Boulevard, New Providence Island, The Bahamas.</w:t>
      </w:r>
    </w:p>
    <w:p>
      <w:pPr>
        <w:spacing w:after="0" w:line="160" w:lineRule="exact"/>
        <w:rPr>
          <w:rFonts w:ascii="Arial" w:cs="Arial" w:eastAsia="Arial" w:hAnsi="Arial"/>
          <w:sz w:val="29"/>
          <w:szCs w:val="29"/>
          <w:color w:val="auto"/>
          <w:vertAlign w:val="superscript"/>
        </w:rPr>
      </w:pPr>
    </w:p>
    <w:p>
      <w:pPr>
        <w:ind w:left="1680" w:hanging="549"/>
        <w:spacing w:after="0" w:line="195" w:lineRule="auto"/>
        <w:tabs>
          <w:tab w:leader="none" w:pos="16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Bruce Blythe is a member of our board of directors.</w:t>
      </w:r>
    </w:p>
    <w:p>
      <w:pPr>
        <w:spacing w:after="0" w:line="161" w:lineRule="exact"/>
        <w:rPr>
          <w:rFonts w:ascii="Arial" w:cs="Arial" w:eastAsia="Arial" w:hAnsi="Arial"/>
          <w:sz w:val="29"/>
          <w:szCs w:val="29"/>
          <w:color w:val="auto"/>
          <w:vertAlign w:val="superscript"/>
        </w:rPr>
      </w:pPr>
    </w:p>
    <w:p>
      <w:pPr>
        <w:ind w:left="1680" w:hanging="549"/>
        <w:spacing w:after="0" w:line="205" w:lineRule="auto"/>
        <w:tabs>
          <w:tab w:leader="none" w:pos="16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address of Bruce Blythe is 22 Minera Mews, London, United Kingdom SW1 W9JD.</w:t>
      </w:r>
    </w:p>
    <w:p>
      <w:pPr>
        <w:spacing w:after="0" w:line="147" w:lineRule="exact"/>
        <w:rPr>
          <w:rFonts w:ascii="Arial" w:cs="Arial" w:eastAsia="Arial" w:hAnsi="Arial"/>
          <w:sz w:val="29"/>
          <w:szCs w:val="29"/>
          <w:color w:val="auto"/>
          <w:vertAlign w:val="superscript"/>
        </w:rPr>
      </w:pPr>
    </w:p>
    <w:p>
      <w:pPr>
        <w:ind w:left="1680" w:hanging="549"/>
        <w:spacing w:after="0" w:line="205" w:lineRule="auto"/>
        <w:tabs>
          <w:tab w:leader="none" w:pos="16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address of Jean Haramis is Le Continental Bloc A, 7th Fl Place de Moulins, Monaco, Monaco MC 98000.</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Any selling shareholder, or their pledgees, donees, transferees or other successors in interest, may offer and sell, from time to time, the common shares covered by this prospectus and any applicable prospectus supplement. We have registered the common shares covered by this prospectus for offer and sale to permit the selling shareholders to sell such common shares without restriction in the open market. Registration of the common shares covered by this prospectus does not mean, however, that those common shares necessarily will be offered or sold.</w:t>
      </w:r>
    </w:p>
    <w:p>
      <w:pPr>
        <w:spacing w:after="0" w:line="16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common shares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7" w:lineRule="exact"/>
        <w:rPr>
          <w:sz w:val="20"/>
          <w:szCs w:val="20"/>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shares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Broker-dealer transactions may include:</w:t>
      </w:r>
    </w:p>
    <w:p>
      <w:pPr>
        <w:spacing w:after="0" w:line="199" w:lineRule="exact"/>
        <w:rPr>
          <w:sz w:val="20"/>
          <w:szCs w:val="20"/>
          <w:color w:val="auto"/>
        </w:rPr>
      </w:pPr>
    </w:p>
    <w:p>
      <w:pPr>
        <w:ind w:left="1080" w:right="1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of the common shares by a broker-dealer as principal and resales of the common shares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In addition, the selling shareholders, or their pledgees, donees, transferees or other successors in interest, may sell any common shares covered by this prospectus in private transactions or under Rule 144 of the Securities Act, rather than pursuant to this prospectus.</w:t>
      </w:r>
    </w:p>
    <w:p>
      <w:pPr>
        <w:spacing w:after="0" w:line="14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connection with the sale of common shares covered by this prospectus, broker-dealers may receive commissions or other compensation from the selling shareholders in the form of commissions, discounts or concessions. Broker-dealers may also receive compensation from purchasers of the common shares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the selling shareholders or from purchasers of the common shares for whom they act as agents. Underwriters may sell the common shares to or through dealers, and such dealers may receive compensation in the form of discounts, concessions or commissions from the underwriters and/or commissions from the purchasers for whom they may act as agents. The selling shareholders and any underwriters, broker-dealers or agents that participate in the distribution of the common shares may be deemed to be "underwriters" within the meaning of the Securities Act, and any profit on the sale of the common shares by them and any discounts, commissions or concessions received by any of those underwriters, broker-dealers or agents may be deemed to be underwriting discounts and commissions under the Securities Act.</w:t>
      </w:r>
    </w:p>
    <w:p>
      <w:pPr>
        <w:spacing w:after="0" w:line="17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distribution of the common shares covered by this prospectus or otherwise, the selling shareholders, or their pledgees, donees, transferees or other successors in interest, may enter into hedging transactions with broker-dealers or other financial institutions to the extent permitted by our trading policy. In connection with such transactions, broker-dealers or other financial institutions may engage in short sales of our common shares in the course of hedging the positions they assume with the selling shareholders. The selling shareholders may also sell common shares short and deliver the common shares offered by this prospectus to close out our short positions. The selling shareholders may also enter into option or other transactions with broker-dealers or other financial institutions, which require the delivery to such broker-dealer or other financial institution of common shares offered by this prospectus, which common shares such broker-dealer or other financial institution may resell pursuant to this prospectus, as supplemented or amended to reflect such transaction. The selling shareholders may also from time to time pledge common shares pursuant to the margin provisions of any customer agreements with brokers. Upon default, the broker may offer and sell such pledged common shares from time to time pursuant to this prospectus, as supplemented or amended to reflect such transaction. In addition, the shares may be sold by banks to hedge derivative positions entered into with those banks by the selling shareholders, relating to their shares, to the extent any such transactions are permitted under the company trading policy.</w:t>
      </w:r>
    </w:p>
    <w:p>
      <w:pPr>
        <w:spacing w:after="0" w:line="180" w:lineRule="exact"/>
        <w:rPr>
          <w:sz w:val="20"/>
          <w:szCs w:val="20"/>
          <w:color w:val="auto"/>
        </w:rPr>
      </w:pPr>
    </w:p>
    <w:p>
      <w:pPr>
        <w:ind w:right="20" w:firstLine="341"/>
        <w:spacing w:after="0" w:line="309" w:lineRule="auto"/>
        <w:rPr>
          <w:sz w:val="20"/>
          <w:szCs w:val="20"/>
          <w:color w:val="auto"/>
        </w:rPr>
      </w:pPr>
      <w:r>
        <w:rPr>
          <w:rFonts w:ascii="Arial" w:cs="Arial" w:eastAsia="Arial" w:hAnsi="Arial"/>
          <w:sz w:val="15"/>
          <w:szCs w:val="15"/>
          <w:color w:val="auto"/>
        </w:rPr>
        <w:t>At any time a particular offer of the common shares covered by this prospectus is made, a revised prospectus or prospectus supplement, if required, will be distributed which will set forth the aggregate amount of common shares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common shares, name or names of any underwriters, dealers, brokers or agents, any discounts, commissions, concessions and other items constituting compensation from the selling shareholders, any discounts, commissions or concessions allowed or re-allowed or paid to dealers and the names of the selling shareholders and the number of common shares being offered by them. Such prospectus supplement, and, if necessary, a post-effective amendment to the registration statement of which this prospectus is a part, will be filed with the SEC to reflect the disclosure of additional information with respect to the distribution of the common shares covered by this prospectus. In order to comply with the securities laws of certain states, if applicable, the common shares sold under this prospectus may only be sold through registered or licensed broker-dealers.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addition, in some states the common shares may not be sold unless they have been registered or qualified for sale in the applicable state or an exemption from registration or qualification requirements is available and is complied with.</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connection with an underwritten offering, the selling shareholders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common shares will be obligated to purchase all of the covered common shares if any such common shares are purchased. The selling shareholders may grant to the underwriter or underwriters an option to purchase additional common shares at the public offering price, as may be set forth in the revised prospectus or applicable prospectus supplement. If the selling shareholders grant any such option, the terms of the option will be set forth in the revised prospectus or applicable prospectus supplement.</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a requirement by the Financial Industry Regulatory Authority ("FINRA"), the maximum commission or discount to be received by any FINRA member or independent broker-dealer may not be greater than 8% of the gross proceeds received by any selling shareholder for the sale of any common shares being registered pursuant to SEC Rule 415 under the Securities Act. If more than 5% of the net proceeds of any offering of common shares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Underwriters, agents, brokers or dealers may be entitled, pursuant to relevant agreements entered into with the selling shareholders, to indemnification by the selling shareholders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20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Except for underwriting discounts and selling commissions, if any, transfer taxes, if any, and the fees and expenses of any underwriters, dealers or agents, which are to be paid by the selling shareholders, we have agreed to pay the expenses incurred in connection with the registration of the common shares owned by the selling shareholders covered by this prospectus.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common shares registered under this registration statement.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7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2,850.67</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Printing</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NYSE Fees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FINRA Fee</w:t>
            </w:r>
          </w:p>
        </w:tc>
        <w:tc>
          <w:tcPr>
            <w:tcW w:w="37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3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281,850.</w:t>
            </w:r>
            <w:r>
              <w:rPr>
                <w:rFonts w:ascii="Arial" w:cs="Arial" w:eastAsia="Arial" w:hAnsi="Arial"/>
                <w:sz w:val="18"/>
                <w:szCs w:val="18"/>
                <w:u w:val="single" w:color="auto"/>
                <w:color w:val="auto"/>
                <w:w w:val="93"/>
              </w:rPr>
              <w:t>67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20" w:type="dxa"/>
            <w:vAlign w:val="bottom"/>
            <w:vMerge w:val="restart"/>
          </w:tcPr>
          <w:p>
            <w:pPr>
              <w:jc w:val="right"/>
              <w:ind w:right="2572"/>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validity of the common shares offered hereby and certain other matters relating to Bermuda law will be passed upon for us by Conyers Dill &amp; Pearman Limited, Bermuda. We are also advised by Cravath, Swaine &amp; Moore LLP, New York, New York.</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20-F and the effectiveness of GasLog Ltd.'s internal control over financial reporting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1 New Street Square, EC4A 3HQ, London, United Kingdom.</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9" Type="http://schemas.openxmlformats.org/officeDocument/2006/relationships/hyperlink" Target="http://www.sec.gov/Archives/edgar/data/1534126/000104746920001264/a2240842z20-f.htm" TargetMode="External"/><Relationship Id="rId20" Type="http://schemas.openxmlformats.org/officeDocument/2006/relationships/hyperlink" Target="http://www.sec.gov/Archives/edgar/data/1534126/000110465920062031/a20-19547_26k.htm" TargetMode="External"/><Relationship Id="rId21" Type="http://schemas.openxmlformats.org/officeDocument/2006/relationships/hyperlink" Target="http://www.sec.gov/Archives/edgar/data/1534126/000110465920075500/a20-23125_16k.htm" TargetMode="External"/><Relationship Id="rId22" Type="http://schemas.openxmlformats.org/officeDocument/2006/relationships/hyperlink" Target="http://www.sec.gov/Archives/edgar/data/1534126/000110465920078018/a20-23632_16k.htm" TargetMode="External"/><Relationship Id="rId23" Type="http://schemas.openxmlformats.org/officeDocument/2006/relationships/hyperlink" Target="http://www.sec.gov/Archives/edgar/data/1534126/000093041312001706/c68993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2020-07-23T09:05:41Z</dcterms:created>
  <dcterms:modified xsi:type="dcterms:W3CDTF">2020-07-23T09:05:41Z</dcterms:modified>
</cp:coreProperties>
</file>