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15d-16 UNDER THE SECURITIES EXCHANGE ACT OF 1934</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July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 Number 001-35466</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484848"/>
        </w:rPr>
        <w:t>GasLog Ltd.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 GasLog LNG Services Ltd.</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69 Akti Miaouli 18537</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Piraeus Greece</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spacing w:after="0" w:line="207" w:lineRule="exact"/>
        <w:tabs>
          <w:tab w:leader="none" w:pos="1260" w:val="left"/>
          <w:tab w:leader="none" w:pos="222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submitting the Form 6-K in paper as permitted by Regulation S-T Rule 101(b)(1): ________</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submitting the Form 6-K in paper as permitted by Regulation S-T Rule 101(b)(7): 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458"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color w:val="auto"/>
        </w:rPr>
        <w:t>The press release issued by GasLog Ltd. on July 14, 2022 announcing the availability of 2021 Sustainability Report is attached hereto as 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EXHIBIT LIST</w:t>
      </w:r>
    </w:p>
    <w:p>
      <w:pPr>
        <w:spacing w:after="0" w:line="2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Exhibit</w:t>
      </w:r>
      <w:r>
        <w:rPr>
          <w:sz w:val="20"/>
          <w:szCs w:val="20"/>
          <w:color w:val="auto"/>
        </w:rPr>
        <w:tab/>
      </w:r>
      <w:r>
        <w:rPr>
          <w:rFonts w:ascii="Times New Roman" w:cs="Times New Roman" w:eastAsia="Times New Roman" w:hAnsi="Times New Roman"/>
          <w:sz w:val="18"/>
          <w:szCs w:val="18"/>
          <w:color w:val="auto"/>
        </w:rPr>
        <w:t>Description</w:t>
      </w:r>
    </w:p>
    <w:p>
      <w:pPr>
        <w:spacing w:after="0" w:line="23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July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9" w:right="1440" w:bottom="1440" w:gutter="0" w:footer="0" w:header="0"/>
        </w:sectPr>
      </w:pPr>
    </w:p>
    <w:bookmarkStart w:id="2" w:name="page3"/>
    <w:bookmarkEnd w:id="2"/>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14, 2022</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GASLOG LTD.,</w:t>
      </w:r>
    </w:p>
    <w:p>
      <w:pPr>
        <w:spacing w:after="0" w:line="225" w:lineRule="exact"/>
        <w:rPr>
          <w:sz w:val="20"/>
          <w:szCs w:val="20"/>
          <w:color w:val="auto"/>
        </w:rPr>
      </w:pPr>
    </w:p>
    <w:p>
      <w:pPr>
        <w:ind w:left="6100"/>
        <w:spacing w:after="0"/>
        <w:tabs>
          <w:tab w:leader="none" w:pos="6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219"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Name: Paolo Enoizi</w:t>
      </w:r>
    </w:p>
    <w:p>
      <w:pPr>
        <w:spacing w:after="0" w:line="27" w:lineRule="exact"/>
        <w:rPr>
          <w:sz w:val="20"/>
          <w:szCs w:val="20"/>
          <w:color w:val="auto"/>
        </w:rPr>
      </w:pPr>
    </w:p>
    <w:p>
      <w:pPr>
        <w:ind w:left="6420"/>
        <w:spacing w:after="0"/>
        <w:tabs>
          <w:tab w:leader="none" w:pos="6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84848"/>
        </w:rPr>
        <w:t>GasLog Ltd. Announces Availability of 2021 Sustainability Report</w:t>
      </w:r>
    </w:p>
    <w:p>
      <w:pPr>
        <w:spacing w:after="0" w:line="20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484848"/>
        </w:rPr>
        <w:t>Hamilton, Bermuda, July 14, 2022 (GLOBE NEWSWIRE) — GasLog Ltd. (“GasLog” or the “Company”) (NYSE: GLOG PRA) today announced the availability of the Company’s 2021 Sustainability Report. The Sustainability Report, which can be accessed on the Company’s website, has been compiled in general compliance with the Sustainability Accounting Standards Board (“SASB”) Marine Transportation standard. In the Report, GasLog summarizes progress delivered around the focus areas of decarbonization, safety and wellbeing, and diversity, equity and inclusion, among other areas.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84848"/>
        </w:rPr>
        <w:t>GasLog 2021 Sustainability Report: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3883CE"/>
        </w:rPr>
        <w:t>www.gaslogltd.com/investors/sustainability/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84848"/>
        </w:rPr>
        <w:t>Contacts: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 Papadimitriou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1E72C7"/>
        </w:rPr>
        <w:t>ir@gaslogltd.com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484848"/>
        </w:rPr>
        <w:t>About GasLog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484848"/>
        </w:rPr>
        <w:t>GasLog is an international owner, operator and manager of LNG carriers providing support to international energy companies as part of their LNG logistics chain. GasLog’s consolidated fleet consists of 39 LNG carriers (35 on the water plus 4 under construction). Of these vessels, 19 are owned by GasLog, five have been sold and leased back by GasLog under long-term bareboat charters and of the remaining 15 LNG carriers, 14 are owned by the Company’s subsidiary, GasLog Partners LP, and one has been sold and leased back by GasLog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2022-07-14T05:52:12Z</dcterms:created>
  <dcterms:modified xsi:type="dcterms:W3CDTF">2022-07-14T05:52:12Z</dcterms:modified>
</cp:coreProperties>
</file>