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form6-k.htm"/>
      <w:bookmarkStart w:id="1" w:name="ksform6k"/>
      <w:bookmarkStart w:id="2" w:name="form6-k.htm"/>
      <w:bookmarkStart w:id="3" w:name="ksform6k"/>
      <w:bookmarkEnd w:id="2"/>
      <w:bookmarkEnd w:id="3"/>
    </w:p>
    <w:p>
      <w:pPr>
        <w:pStyle w:val="HorizontalLine"/>
        <w:bidi w:val="0"/>
        <w:jc w:val="left"/>
        <w:rPr/>
      </w:pPr>
      <w:r>
        <w:rPr/>
      </w:r>
    </w:p>
    <w:p>
      <w:pPr>
        <w:pStyle w:val="TextBody"/>
        <w:bidi w:val="0"/>
        <w:spacing w:before="0" w:after="0"/>
        <w:jc w:val="center"/>
        <w:rPr>
          <w:b/>
          <w:color w:val="000000"/>
          <w:sz w:val="28"/>
        </w:rPr>
      </w:pPr>
      <w:r>
        <w:rPr>
          <w:b/>
          <w:color w:val="000000"/>
          <w:sz w:val="28"/>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2"/>
        </w:rPr>
      </w:pPr>
      <w:r>
        <w:rPr>
          <w:rFonts w:ascii="Times New Roman" w:hAnsi="Times New Roman"/>
          <w:b/>
          <w:color w:val="000000"/>
          <w:sz w:val="22"/>
        </w:rPr>
        <w:t>Washington, D.C. 20549</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REPORT OF FOREIGN PRIVATE ISSUER PURSUANT TO RULE 13a-16 OR 15d-16 UNDER THE SECURITIES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EXCHANGE ACT OF 1934</w:t>
      </w:r>
    </w:p>
    <w:p>
      <w:pPr>
        <w:pStyle w:val="TextBody"/>
        <w:bidi w:val="0"/>
        <w:spacing w:before="0" w:after="0"/>
        <w:jc w:val="center"/>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the month of April 2024</w:t>
      </w:r>
    </w:p>
    <w:p>
      <w:pPr>
        <w:pStyle w:val="TextBody"/>
        <w:bidi w:val="0"/>
        <w:spacing w:before="0" w:after="0"/>
        <w:jc w:val="center"/>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Commission File Number 001-35466</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GasLog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 GasLog LNG Services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69 Akti Miaouli, 18537</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Piraeus, Greece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spacing w:before="0" w:after="0"/>
        <w:jc w:val="center"/>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Form 20-F  ☑     Form 40-F  ☐</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396"/>
        <w:jc w:val="left"/>
        <w:rPr>
          <w:rFonts w:ascii="Times New Roman" w:hAnsi="Times New Roman"/>
          <w:color w:val="000000"/>
          <w:sz w:val="20"/>
        </w:rPr>
      </w:pPr>
      <w:r>
        <w:rPr>
          <w:rFonts w:ascii="Times New Roman" w:hAnsi="Times New Roman"/>
          <w:color w:val="000000"/>
          <w:sz w:val="20"/>
        </w:rPr>
        <w:t>The press release issued by GasLog Ltd. on April 26, 2024 announcing the full redemption of its remaining outstanding Series A Preference Shares and intent to voluntarily delist and deregister is attached hereto as 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EXHIBIT LIST</w:t>
      </w:r>
    </w:p>
    <w:p>
      <w:pPr>
        <w:pStyle w:val="TextBody"/>
        <w:bidi w:val="0"/>
        <w:spacing w:before="0" w:after="0"/>
        <w:jc w:val="center"/>
        <w:rPr>
          <w:color w:val="000000"/>
        </w:rPr>
      </w:pPr>
      <w:r>
        <w:rPr>
          <w:color w:val="000000"/>
        </w:rPr>
        <w:t> </w:t>
      </w:r>
    </w:p>
    <w:tbl>
      <w:tblPr>
        <w:tblW w:w="4135" w:type="dxa"/>
        <w:jc w:val="left"/>
        <w:tblInd w:w="0" w:type="dxa"/>
        <w:tblLayout w:type="fixed"/>
        <w:tblCellMar>
          <w:top w:w="0" w:type="dxa"/>
          <w:left w:w="0" w:type="dxa"/>
          <w:bottom w:w="0" w:type="dxa"/>
          <w:right w:w="0" w:type="dxa"/>
        </w:tblCellMar>
      </w:tblPr>
      <w:tblGrid>
        <w:gridCol w:w="725"/>
        <w:gridCol w:w="60"/>
        <w:gridCol w:w="3350"/>
      </w:tblGrid>
      <w:tr>
        <w:trPr/>
        <w:tc>
          <w:tcPr>
            <w:tcW w:w="725" w:type="dxa"/>
            <w:tcBorders/>
            <w:vAlign w:val="center"/>
          </w:tcPr>
          <w:p>
            <w:pPr>
              <w:pStyle w:val="TableContents"/>
              <w:bidi w:val="0"/>
              <w:spacing w:before="0" w:after="0"/>
              <w:jc w:val="left"/>
              <w:rPr>
                <w:color w:val="000000"/>
              </w:rPr>
            </w:pPr>
            <w:r>
              <w:rPr>
                <w:color w:val="000000"/>
              </w:rPr>
              <w:t>Exhibit</w:t>
            </w:r>
          </w:p>
        </w:tc>
        <w:tc>
          <w:tcPr>
            <w:tcW w:w="60" w:type="dxa"/>
            <w:tcBorders/>
            <w:vAlign w:val="center"/>
          </w:tcPr>
          <w:p>
            <w:pPr>
              <w:pStyle w:val="TableContents"/>
              <w:bidi w:val="0"/>
              <w:spacing w:before="0" w:after="0"/>
              <w:jc w:val="left"/>
              <w:rPr>
                <w:color w:val="000000"/>
              </w:rPr>
            </w:pPr>
            <w:r>
              <w:rPr>
                <w:color w:val="000000"/>
              </w:rPr>
              <w:t> </w:t>
            </w:r>
          </w:p>
        </w:tc>
        <w:tc>
          <w:tcPr>
            <w:tcW w:w="3350" w:type="dxa"/>
            <w:tcBorders/>
            <w:vAlign w:val="center"/>
          </w:tcPr>
          <w:p>
            <w:pPr>
              <w:pStyle w:val="TableContents"/>
              <w:bidi w:val="0"/>
              <w:spacing w:before="0" w:after="0"/>
              <w:jc w:val="left"/>
              <w:rPr>
                <w:color w:val="000000"/>
              </w:rPr>
            </w:pPr>
            <w:r>
              <w:rPr>
                <w:color w:val="000000"/>
              </w:rPr>
              <w:t>Description</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pPr>
            <w:hyperlink w:anchor="ex99-1.htm">
              <w:r>
                <w:rPr>
                  <w:rStyle w:val="InternetLink"/>
                  <w:color w:val="000000"/>
                </w:rPr>
                <w:t>99.1</w:t>
              </w:r>
            </w:hyperlink>
          </w:p>
        </w:tc>
        <w:tc>
          <w:tcPr>
            <w:tcW w:w="60" w:type="dxa"/>
            <w:tcBorders/>
            <w:vAlign w:val="center"/>
          </w:tcPr>
          <w:p>
            <w:pPr>
              <w:pStyle w:val="TableContents"/>
              <w:bidi w:val="0"/>
              <w:spacing w:before="0" w:after="0"/>
              <w:jc w:val="left"/>
              <w:rPr>
                <w:color w:val="000000"/>
              </w:rPr>
            </w:pPr>
            <w:r>
              <w:rPr>
                <w:color w:val="000000"/>
              </w:rPr>
              <w:t> </w:t>
            </w:r>
          </w:p>
        </w:tc>
        <w:tc>
          <w:tcPr>
            <w:tcW w:w="3350" w:type="dxa"/>
            <w:tcBorders/>
            <w:vAlign w:val="center"/>
          </w:tcPr>
          <w:p>
            <w:pPr>
              <w:pStyle w:val="TableContents"/>
              <w:bidi w:val="0"/>
              <w:spacing w:before="0" w:after="0"/>
              <w:jc w:val="left"/>
              <w:rPr/>
            </w:pPr>
            <w:hyperlink w:anchor="ex99-1.htm">
              <w:r>
                <w:rPr>
                  <w:rStyle w:val="InternetLink"/>
                  <w:color w:val="000000"/>
                </w:rPr>
                <w:t>Press Release dated April 26, 2024</w:t>
              </w:r>
            </w:hyperlink>
          </w:p>
        </w:tc>
      </w:tr>
      <w:tr>
        <w:trPr/>
        <w:tc>
          <w:tcPr>
            <w:tcW w:w="725"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350" w:type="dxa"/>
            <w:tcBorders/>
            <w:vAlign w:val="center"/>
          </w:tcPr>
          <w:p>
            <w:pPr>
              <w:pStyle w:val="TableContents"/>
              <w:bidi w:val="0"/>
              <w:spacing w:before="0" w:after="0"/>
              <w:jc w:val="left"/>
              <w:rPr>
                <w:color w:val="000000"/>
              </w:rPr>
            </w:pPr>
            <w:r>
              <w:rPr>
                <w:color w:val="000000"/>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0" w:after="0"/>
        <w:jc w:val="left"/>
        <w:rPr/>
      </w:pPr>
      <w:r>
        <w:rPr/>
      </w:r>
    </w:p>
    <w:p>
      <w:pPr>
        <w:pStyle w:val="TextBody"/>
        <w:bidi w:val="0"/>
        <w:spacing w:before="0" w:after="0"/>
        <w:ind w:left="0" w:right="0" w:firstLine="396"/>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olor w:val="000000"/>
        </w:rPr>
      </w:pPr>
      <w:r>
        <w:rPr>
          <w:color w:val="000000"/>
        </w:rPr>
        <w:t> </w:t>
      </w:r>
    </w:p>
    <w:tbl>
      <w:tblPr>
        <w:tblW w:w="5240" w:type="dxa"/>
        <w:jc w:val="left"/>
        <w:tblInd w:w="0" w:type="dxa"/>
        <w:tblLayout w:type="fixed"/>
        <w:tblCellMar>
          <w:top w:w="0" w:type="dxa"/>
          <w:left w:w="0" w:type="dxa"/>
          <w:bottom w:w="0" w:type="dxa"/>
          <w:right w:w="0" w:type="dxa"/>
        </w:tblCellMar>
      </w:tblPr>
      <w:tblGrid>
        <w:gridCol w:w="1985"/>
        <w:gridCol w:w="260"/>
        <w:gridCol w:w="650"/>
        <w:gridCol w:w="2285"/>
        <w:gridCol w:w="60"/>
      </w:tblGrid>
      <w:tr>
        <w:trPr/>
        <w:tc>
          <w:tcPr>
            <w:tcW w:w="1985" w:type="dxa"/>
            <w:tcBorders/>
            <w:vAlign w:val="center"/>
          </w:tcPr>
          <w:p>
            <w:pPr>
              <w:pStyle w:val="TableContents"/>
              <w:bidi w:val="0"/>
              <w:spacing w:before="0" w:after="0"/>
              <w:jc w:val="left"/>
              <w:rPr>
                <w:color w:val="000000"/>
              </w:rPr>
            </w:pPr>
            <w:r>
              <w:rPr>
                <w:color w:val="000000"/>
              </w:rPr>
              <w:t>Date: April 26, 2024</w:t>
            </w:r>
          </w:p>
        </w:tc>
        <w:tc>
          <w:tcPr>
            <w:tcW w:w="3255" w:type="dxa"/>
            <w:gridSpan w:val="4"/>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color w:val="000000"/>
              </w:rPr>
            </w:pPr>
            <w:r>
              <w:rPr>
                <w:color w:val="000000"/>
              </w:rPr>
              <w:t> </w:t>
            </w:r>
          </w:p>
        </w:tc>
        <w:tc>
          <w:tcPr>
            <w:tcW w:w="3255" w:type="dxa"/>
            <w:gridSpan w:val="4"/>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color w:val="000000"/>
              </w:rPr>
            </w:pPr>
            <w:r>
              <w:rPr>
                <w:color w:val="000000"/>
              </w:rPr>
              <w:t> </w:t>
            </w:r>
          </w:p>
        </w:tc>
        <w:tc>
          <w:tcPr>
            <w:tcW w:w="3255" w:type="dxa"/>
            <w:gridSpan w:val="4"/>
            <w:tcBorders/>
            <w:vAlign w:val="center"/>
          </w:tcPr>
          <w:p>
            <w:pPr>
              <w:pStyle w:val="TableContents"/>
              <w:bidi w:val="0"/>
              <w:spacing w:before="0" w:after="0"/>
              <w:jc w:val="left"/>
              <w:rPr>
                <w:color w:val="000000"/>
              </w:rPr>
            </w:pPr>
            <w:r>
              <w:rPr>
                <w:color w:val="000000"/>
              </w:rPr>
              <w:t>GASLOG LTD.,</w:t>
            </w:r>
          </w:p>
        </w:tc>
      </w:tr>
      <w:tr>
        <w:trPr/>
        <w:tc>
          <w:tcPr>
            <w:tcW w:w="1985" w:type="dxa"/>
            <w:tcBorders/>
            <w:vAlign w:val="center"/>
          </w:tcPr>
          <w:p>
            <w:pPr>
              <w:pStyle w:val="TableContents"/>
              <w:bidi w:val="0"/>
              <w:spacing w:before="0" w:after="0"/>
              <w:jc w:val="left"/>
              <w:rPr>
                <w:color w:val="000000"/>
              </w:rPr>
            </w:pPr>
            <w:r>
              <w:rPr>
                <w:color w:val="000000"/>
              </w:rPr>
              <w:t> </w:t>
            </w:r>
          </w:p>
        </w:tc>
        <w:tc>
          <w:tcPr>
            <w:tcW w:w="319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1985" w:type="dxa"/>
            <w:tcBorders/>
            <w:vAlign w:val="center"/>
          </w:tcPr>
          <w:p>
            <w:pPr>
              <w:pStyle w:val="TableContents"/>
              <w:bidi w:val="0"/>
              <w:spacing w:before="0" w:after="0"/>
              <w:jc w:val="left"/>
              <w:rPr>
                <w:color w:val="000000"/>
              </w:rPr>
            </w:pPr>
            <w:r>
              <w:rPr>
                <w:color w:val="000000"/>
              </w:rPr>
              <w:t> </w:t>
            </w:r>
          </w:p>
        </w:tc>
        <w:tc>
          <w:tcPr>
            <w:tcW w:w="260" w:type="dxa"/>
            <w:tcBorders/>
            <w:vAlign w:val="center"/>
          </w:tcPr>
          <w:p>
            <w:pPr>
              <w:pStyle w:val="TableContents"/>
              <w:bidi w:val="0"/>
              <w:spacing w:before="0" w:after="0"/>
              <w:jc w:val="left"/>
              <w:rPr>
                <w:color w:val="000000"/>
              </w:rPr>
            </w:pPr>
            <w:r>
              <w:rPr>
                <w:color w:val="000000"/>
              </w:rPr>
              <w:t>by</w:t>
            </w:r>
          </w:p>
        </w:tc>
        <w:tc>
          <w:tcPr>
            <w:tcW w:w="2935" w:type="dxa"/>
            <w:gridSpan w:val="2"/>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Paolo Enoizi</w:t>
            </w:r>
          </w:p>
        </w:tc>
        <w:tc>
          <w:tcPr>
            <w:tcW w:w="60" w:type="dxa"/>
            <w:tcBorders/>
            <w:vAlign w:val="center"/>
          </w:tcPr>
          <w:p>
            <w:pPr>
              <w:pStyle w:val="TableContents"/>
              <w:bidi w:val="0"/>
              <w:spacing w:before="0" w:after="0"/>
              <w:jc w:val="left"/>
              <w:rPr>
                <w:color w:val="000000"/>
              </w:rPr>
            </w:pPr>
            <w:r>
              <w:rPr>
                <w:color w:val="000000"/>
              </w:rPr>
              <w:t> </w:t>
            </w:r>
          </w:p>
        </w:tc>
      </w:tr>
      <w:tr>
        <w:trPr/>
        <w:tc>
          <w:tcPr>
            <w:tcW w:w="1985" w:type="dxa"/>
            <w:tcBorders/>
            <w:vAlign w:val="center"/>
          </w:tcPr>
          <w:p>
            <w:pPr>
              <w:pStyle w:val="TableContents"/>
              <w:bidi w:val="0"/>
              <w:spacing w:before="0" w:after="0"/>
              <w:jc w:val="left"/>
              <w:rPr>
                <w:color w:val="000000"/>
              </w:rPr>
            </w:pPr>
            <w:r>
              <w:rPr>
                <w:color w:val="000000"/>
              </w:rPr>
              <w:t> </w:t>
            </w:r>
          </w:p>
        </w:tc>
        <w:tc>
          <w:tcPr>
            <w:tcW w:w="2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Name:</w:t>
            </w:r>
          </w:p>
        </w:tc>
        <w:tc>
          <w:tcPr>
            <w:tcW w:w="2285" w:type="dxa"/>
            <w:tcBorders/>
            <w:vAlign w:val="center"/>
          </w:tcPr>
          <w:p>
            <w:pPr>
              <w:pStyle w:val="TableContents"/>
              <w:bidi w:val="0"/>
              <w:spacing w:before="0" w:after="0"/>
              <w:ind w:left="66" w:right="0" w:hanging="0"/>
              <w:jc w:val="left"/>
              <w:rPr>
                <w:color w:val="000000"/>
              </w:rPr>
            </w:pPr>
            <w:r>
              <w:rPr>
                <w:color w:val="000000"/>
              </w:rPr>
              <w:t>Paolo Enoizi</w:t>
            </w:r>
          </w:p>
        </w:tc>
        <w:tc>
          <w:tcPr>
            <w:tcW w:w="60" w:type="dxa"/>
            <w:tcBorders/>
            <w:vAlign w:val="center"/>
          </w:tcPr>
          <w:p>
            <w:pPr>
              <w:pStyle w:val="TableContents"/>
              <w:bidi w:val="0"/>
              <w:spacing w:before="0" w:after="0"/>
              <w:jc w:val="left"/>
              <w:rPr>
                <w:color w:val="000000"/>
              </w:rPr>
            </w:pPr>
            <w:r>
              <w:rPr>
                <w:color w:val="000000"/>
              </w:rPr>
              <w:t> </w:t>
            </w:r>
          </w:p>
        </w:tc>
      </w:tr>
      <w:tr>
        <w:trPr/>
        <w:tc>
          <w:tcPr>
            <w:tcW w:w="1985" w:type="dxa"/>
            <w:tcBorders/>
            <w:vAlign w:val="center"/>
          </w:tcPr>
          <w:p>
            <w:pPr>
              <w:pStyle w:val="TableContents"/>
              <w:bidi w:val="0"/>
              <w:spacing w:before="0" w:after="0"/>
              <w:jc w:val="left"/>
              <w:rPr>
                <w:color w:val="000000"/>
              </w:rPr>
            </w:pPr>
            <w:r>
              <w:rPr>
                <w:color w:val="000000"/>
              </w:rPr>
              <w:t> </w:t>
            </w:r>
          </w:p>
        </w:tc>
        <w:tc>
          <w:tcPr>
            <w:tcW w:w="2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Title:</w:t>
            </w:r>
          </w:p>
        </w:tc>
        <w:tc>
          <w:tcPr>
            <w:tcW w:w="2285" w:type="dxa"/>
            <w:tcBorders/>
            <w:vAlign w:val="center"/>
          </w:tcPr>
          <w:p>
            <w:pPr>
              <w:pStyle w:val="TableContents"/>
              <w:bidi w:val="0"/>
              <w:spacing w:before="0" w:after="0"/>
              <w:ind w:left="66" w:right="0" w:hanging="0"/>
              <w:jc w:val="left"/>
              <w:rPr>
                <w:color w:val="000000"/>
              </w:rPr>
            </w:pPr>
            <w:r>
              <w:rPr>
                <w:color w:val="000000"/>
              </w:rPr>
              <w:t>Chief Executive Officer</w:t>
            </w:r>
          </w:p>
        </w:tc>
        <w:tc>
          <w:tcPr>
            <w:tcW w:w="60" w:type="dxa"/>
            <w:tcBorders/>
            <w:vAlign w:val="center"/>
          </w:tcPr>
          <w:p>
            <w:pPr>
              <w:pStyle w:val="TableContents"/>
              <w:bidi w:val="0"/>
              <w:spacing w:before="0" w:after="0"/>
              <w:jc w:val="left"/>
              <w:rPr>
                <w:color w:val="000000"/>
              </w:rPr>
            </w:pPr>
            <w:r>
              <w:rPr>
                <w:color w:val="000000"/>
              </w:rPr>
              <w:t> </w:t>
            </w:r>
          </w:p>
        </w:tc>
      </w:tr>
    </w:tbl>
    <w:p>
      <w:pPr>
        <w:pStyle w:val="TextBody"/>
        <w:bidi w:val="0"/>
        <w:spacing w:before="0" w:after="0"/>
        <w:jc w:val="left"/>
        <w:rPr/>
      </w:pPr>
      <w:r>
        <w:rPr/>
      </w:r>
    </w:p>
    <w:p>
      <w:pPr>
        <w:pStyle w:val="TextBody"/>
        <w:bidi w:val="0"/>
        <w:spacing w:before="0" w:after="0"/>
        <w:jc w:val="left"/>
        <w:rPr>
          <w:color w:val="000000"/>
        </w:rPr>
      </w:pPr>
      <w:r>
        <w:rPr>
          <w:color w:val="000000"/>
        </w:rPr>
        <w:t xml:space="preserve">  </w:t>
      </w:r>
    </w:p>
    <w:p>
      <w:pPr>
        <w:pStyle w:val="TextBody"/>
        <w:bidi w:val="0"/>
        <w:spacing w:before="0" w:after="0"/>
        <w:jc w:val="left"/>
        <w:rPr/>
      </w:pPr>
      <w:r>
        <w:rPr/>
      </w:r>
    </w:p>
    <w:p>
      <w:pPr>
        <w:pStyle w:val="TextBody"/>
        <w:bidi w:val="0"/>
        <w:jc w:val="left"/>
        <w:rPr/>
      </w:pPr>
      <w:r>
        <w:rPr/>
      </w:r>
    </w:p>
    <w:p>
      <w:pPr>
        <w:pStyle w:val="TextBody"/>
        <w:bidi w:val="0"/>
        <w:spacing w:before="0" w:after="0"/>
        <w:jc w:val="left"/>
        <w:rPr>
          <w:b/>
        </w:rPr>
      </w:pPr>
      <w:r>
        <w:rPr>
          <w:b/>
        </w:rPr>
      </w:r>
      <w:bookmarkStart w:id="4" w:name="ex99-1.htm"/>
      <w:bookmarkStart w:id="5" w:name="ksex991"/>
      <w:bookmarkStart w:id="6" w:name="ex99-1.htm"/>
      <w:bookmarkStart w:id="7" w:name="ksex991"/>
      <w:bookmarkEnd w:id="6"/>
      <w:bookmarkEnd w:id="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GasLog Ltd. Announces Full Redemption of Remaining Outstanding Series A Preference Shares and Intent to Voluntarily Delist and Deregister</w:t>
      </w:r>
    </w:p>
    <w:p>
      <w:pPr>
        <w:pStyle w:val="TextBody"/>
        <w:bidi w:val="0"/>
        <w:spacing w:before="0" w:after="0"/>
        <w:jc w:val="left"/>
        <w:rPr/>
      </w:pPr>
      <w:r>
        <w:rPr/>
      </w:r>
    </w:p>
    <w:p>
      <w:pPr>
        <w:pStyle w:val="TextBody"/>
        <w:bidi w:val="0"/>
        <w:spacing w:before="0" w:after="0"/>
        <w:ind w:left="0" w:right="200" w:hanging="0"/>
        <w:jc w:val="left"/>
        <w:rPr>
          <w:rFonts w:ascii="Times New Roman" w:hAnsi="Times New Roman"/>
          <w:color w:val="000000"/>
          <w:sz w:val="20"/>
        </w:rPr>
      </w:pPr>
      <w:r>
        <w:rPr>
          <w:rFonts w:ascii="Times New Roman" w:hAnsi="Times New Roman"/>
          <w:b/>
          <w:color w:val="000000"/>
          <w:sz w:val="20"/>
        </w:rPr>
        <w:t xml:space="preserve">Hamilton, Bermuda, April 26, 2024 — </w:t>
      </w:r>
      <w:r>
        <w:rPr>
          <w:rFonts w:ascii="Times New Roman" w:hAnsi="Times New Roman"/>
          <w:color w:val="000000"/>
          <w:sz w:val="20"/>
        </w:rPr>
        <w:t>GasLog Ltd. (“GasLog” or “Company”) (NYSE: GLOG.PRA) today announced that the Company will redeem all of its remaining outstanding 8.75% Series A Cumulative Redeemable Perpetual Preference Shares (the “Series A Preference Shares”, and the redemption thereof, the “Redemption”) held by shareholders (the “Holders”), pursuant to that certain Certificate of Designations, dated as of March 30, 2015 (the “Certificate of Designations”). The Company expects the redemption date for the Series A Preference Shares to occur on May 28, 2024 (the “Redemption Date”). The redemption price of the Series A Preference Shares will be $25.00 per share plus accrued and unpaid dividends in respect of the Series A Preference Shares up to, but not including, the Redemption Date (the “Redemption Price”). As of the date of this press release, there were 200,000 Series A Preference Shares outstanding.</w:t>
      </w:r>
    </w:p>
    <w:p>
      <w:pPr>
        <w:pStyle w:val="TextBody"/>
        <w:bidi w:val="0"/>
        <w:spacing w:before="0" w:after="0"/>
        <w:jc w:val="left"/>
        <w:rPr/>
      </w:pPr>
      <w:r>
        <w:rPr/>
      </w:r>
    </w:p>
    <w:p>
      <w:pPr>
        <w:pStyle w:val="TextBody"/>
        <w:bidi w:val="0"/>
        <w:spacing w:before="0" w:after="0"/>
        <w:ind w:left="0" w:right="200" w:hanging="0"/>
        <w:jc w:val="left"/>
        <w:rPr>
          <w:rFonts w:ascii="Times New Roman" w:hAnsi="Times New Roman"/>
          <w:color w:val="000000"/>
          <w:sz w:val="20"/>
        </w:rPr>
      </w:pPr>
      <w:r>
        <w:rPr>
          <w:rFonts w:ascii="Times New Roman" w:hAnsi="Times New Roman"/>
          <w:color w:val="000000"/>
          <w:sz w:val="20"/>
        </w:rPr>
        <w:t>Upon the Redemption, no Series A Preference Shares will remain outstanding, and all rights with respect to such stock will cease and terminate other than the right to receive payment of the Redemption Price. The information contained in this Press Release does not constitute a notice of redemption with respect to the Series A Preference Shares.</w:t>
      </w:r>
    </w:p>
    <w:p>
      <w:pPr>
        <w:pStyle w:val="TextBody"/>
        <w:bidi w:val="0"/>
        <w:spacing w:before="0" w:after="0"/>
        <w:jc w:val="left"/>
        <w:rPr/>
      </w:pPr>
      <w:r>
        <w:rPr/>
      </w:r>
    </w:p>
    <w:p>
      <w:pPr>
        <w:pStyle w:val="TextBody"/>
        <w:bidi w:val="0"/>
        <w:spacing w:before="0" w:after="0"/>
        <w:ind w:left="0" w:right="200" w:hanging="0"/>
        <w:jc w:val="left"/>
        <w:rPr>
          <w:rFonts w:ascii="Times New Roman" w:hAnsi="Times New Roman"/>
          <w:color w:val="000000"/>
          <w:sz w:val="20"/>
        </w:rPr>
      </w:pPr>
      <w:r>
        <w:rPr>
          <w:rFonts w:ascii="Times New Roman" w:hAnsi="Times New Roman"/>
          <w:color w:val="000000"/>
          <w:sz w:val="20"/>
        </w:rPr>
        <w:t>The Series A Preference Shares are held through The Depository Trust Company (“DTC”) and will be redeemed in accordance with the procedures of DTC. Payment to DTC for the Series A Preference Shares will be made by Equiniti Trust Company, LLC, the Company’s redemption agent (the “Redemption Agent”), in accordance with the terms set forth in the Redemption Agent Agreement that governs the redemption of the Series A Preference Shares. All questions about the notice of redemption and related materials should be directed to the Redemption Agent at the following address and phone number:</w:t>
      </w:r>
    </w:p>
    <w:p>
      <w:pPr>
        <w:pStyle w:val="TextBody"/>
        <w:bidi w:val="0"/>
        <w:spacing w:before="0" w:after="0"/>
        <w:jc w:val="left"/>
        <w:rPr/>
      </w:pPr>
      <w:r>
        <w:rPr/>
      </w:r>
    </w:p>
    <w:p>
      <w:pPr>
        <w:pStyle w:val="TextBody"/>
        <w:bidi w:val="0"/>
        <w:spacing w:before="0" w:after="0"/>
        <w:ind w:left="0" w:right="200" w:hanging="0"/>
        <w:jc w:val="center"/>
        <w:rPr>
          <w:rFonts w:ascii="Times New Roman" w:hAnsi="Times New Roman"/>
          <w:color w:val="000000"/>
          <w:sz w:val="20"/>
        </w:rPr>
      </w:pPr>
      <w:r>
        <w:rPr>
          <w:rFonts w:ascii="Times New Roman" w:hAnsi="Times New Roman"/>
          <w:color w:val="000000"/>
          <w:sz w:val="20"/>
        </w:rPr>
        <w:t>Equiniti Trust Company, LLC</w:t>
      </w:r>
    </w:p>
    <w:p>
      <w:pPr>
        <w:pStyle w:val="TextBody"/>
        <w:bidi w:val="0"/>
        <w:spacing w:before="0" w:after="0"/>
        <w:ind w:left="0" w:right="200" w:hanging="0"/>
        <w:jc w:val="center"/>
        <w:rPr>
          <w:rFonts w:ascii="Times New Roman" w:hAnsi="Times New Roman"/>
          <w:color w:val="000000"/>
          <w:sz w:val="20"/>
        </w:rPr>
      </w:pPr>
      <w:r>
        <w:rPr>
          <w:rFonts w:ascii="Times New Roman" w:hAnsi="Times New Roman"/>
          <w:color w:val="000000"/>
          <w:sz w:val="20"/>
        </w:rPr>
        <w:t>Attention: Reorganization Department</w:t>
      </w:r>
    </w:p>
    <w:p>
      <w:pPr>
        <w:pStyle w:val="TextBody"/>
        <w:bidi w:val="0"/>
        <w:spacing w:before="0" w:after="0"/>
        <w:ind w:left="0" w:right="200" w:hanging="0"/>
        <w:jc w:val="center"/>
        <w:rPr>
          <w:rFonts w:ascii="Times New Roman" w:hAnsi="Times New Roman"/>
          <w:color w:val="000000"/>
          <w:sz w:val="20"/>
        </w:rPr>
      </w:pPr>
      <w:r>
        <w:rPr>
          <w:rFonts w:ascii="Times New Roman" w:hAnsi="Times New Roman"/>
          <w:color w:val="000000"/>
          <w:sz w:val="20"/>
        </w:rPr>
        <w:t>55 Challenger Road, Suite 200</w:t>
      </w:r>
    </w:p>
    <w:p>
      <w:pPr>
        <w:pStyle w:val="TextBody"/>
        <w:bidi w:val="0"/>
        <w:spacing w:before="0" w:after="0"/>
        <w:ind w:left="0" w:right="200" w:hanging="0"/>
        <w:jc w:val="center"/>
        <w:rPr>
          <w:rFonts w:ascii="Times New Roman" w:hAnsi="Times New Roman"/>
          <w:color w:val="000000"/>
          <w:sz w:val="20"/>
        </w:rPr>
      </w:pPr>
      <w:r>
        <w:rPr>
          <w:rFonts w:ascii="Times New Roman" w:hAnsi="Times New Roman"/>
          <w:color w:val="000000"/>
          <w:sz w:val="20"/>
        </w:rPr>
        <w:t>Ridgefield Park, New Jersey 07660</w:t>
      </w:r>
    </w:p>
    <w:p>
      <w:pPr>
        <w:pStyle w:val="TextBody"/>
        <w:bidi w:val="0"/>
        <w:spacing w:before="0" w:after="0"/>
        <w:ind w:left="0" w:right="200" w:hanging="0"/>
        <w:jc w:val="center"/>
        <w:rPr>
          <w:rFonts w:ascii="Times New Roman" w:hAnsi="Times New Roman"/>
          <w:color w:val="000000"/>
          <w:sz w:val="20"/>
        </w:rPr>
      </w:pPr>
      <w:r>
        <w:rPr>
          <w:rFonts w:ascii="Times New Roman" w:hAnsi="Times New Roman"/>
          <w:color w:val="000000"/>
          <w:sz w:val="20"/>
        </w:rPr>
        <w:t>Tel: (718) 921-8317</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Redemption, the Company intends to delist the Series A Preference Shares from the New York Stock Exchange (“NYSE”) and to deregister the Series A Preference Shares from registration with the Securities and Exchange Commission (the “SEC”). The Company intends to request that NYSE file with the SEC a notification of removal from listing and registration on Form 25 to effect the delisting of all of the Series A Preference Shares from NYSE. In addition, after the Redemption Date, the Company intends to file a certification on Form 15 with the SEC requesting the termination of registration of all of the Series A Preference Shares. As a result of filing the Form 15, the Company’s obligation to file periodic reports under the Securities Exchange Act of 1934, as amended, with the SEC, including Forms 20-F and 6-K, will be suspended immediately and deregistration of the Series A Preference Shares is expected to become effective 90 days after the Form 15 is filed.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About GasLog</w:t>
      </w:r>
    </w:p>
    <w:p>
      <w:pPr>
        <w:pStyle w:val="TextBody"/>
        <w:bidi w:val="0"/>
        <w:spacing w:before="0" w:after="0"/>
        <w:jc w:val="left"/>
        <w:rPr/>
      </w:pPr>
      <w:r>
        <w:rPr/>
      </w:r>
    </w:p>
    <w:p>
      <w:pPr>
        <w:pStyle w:val="TextBody"/>
        <w:bidi w:val="0"/>
        <w:spacing w:before="0" w:after="0"/>
        <w:ind w:left="0" w:right="160" w:hanging="0"/>
        <w:jc w:val="left"/>
        <w:rPr>
          <w:rFonts w:ascii="Times New Roman" w:hAnsi="Times New Roman"/>
          <w:color w:val="000000"/>
          <w:sz w:val="20"/>
        </w:rPr>
      </w:pPr>
      <w:r>
        <w:rPr>
          <w:rFonts w:ascii="Times New Roman" w:hAnsi="Times New Roman"/>
          <w:color w:val="000000"/>
          <w:sz w:val="20"/>
        </w:rPr>
        <w:t>GasLog is an international owner, operator and manager of LNG carriers providing support to international energy companies as part of their LNG logistics chain. GasLog’s fleet consists of 37 LNG carriers (32 on the water, four under construction and one vessel ready to be sold as a floating storage and regasification unit, or “FSRU”).</w:t>
      </w:r>
    </w:p>
    <w:p>
      <w:pPr>
        <w:pStyle w:val="TextBody"/>
        <w:bidi w:val="0"/>
        <w:spacing w:before="0" w:after="0"/>
        <w:jc w:val="left"/>
        <w:rPr/>
      </w:pPr>
      <w:r>
        <w:rPr/>
      </w:r>
    </w:p>
    <w:p>
      <w:pPr>
        <w:pStyle w:val="TextBody"/>
        <w:bidi w:val="0"/>
        <w:spacing w:before="0" w:after="0"/>
        <w:ind w:left="0" w:right="160" w:hanging="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ind w:left="0" w:right="160" w:hanging="0"/>
        <w:jc w:val="left"/>
        <w:rPr>
          <w:color w:val="000000"/>
        </w:rPr>
      </w:pPr>
      <w:r>
        <w:rPr>
          <w:color w:val="000000"/>
        </w:rPr>
        <w:t> </w:t>
      </w:r>
    </w:p>
    <w:p>
      <w:pPr>
        <w:pStyle w:val="TextBody"/>
        <w:bidi w:val="0"/>
        <w:spacing w:before="0" w:after="0"/>
        <w:ind w:left="0" w:right="160" w:hanging="0"/>
        <w:jc w:val="left"/>
        <w:rPr>
          <w:rFonts w:ascii="Times New Roman" w:hAnsi="Times New Roman"/>
          <w:color w:val="000000"/>
          <w:sz w:val="20"/>
        </w:rPr>
      </w:pPr>
      <w:r>
        <w:rPr>
          <w:rFonts w:ascii="Times New Roman" w:hAnsi="Times New Roman"/>
          <w:color w:val="000000"/>
          <w:sz w:val="20"/>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GasLog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Other factors that might cause future results and outcomes to differ include, but are not limited to, the other risks and uncertainties described in GasLog's Annual Report on Form 20-F filed with the SEC on March 7, 2024, available at http://www.sec.gov. Accordingly, you should not unduly rely on any forward-looking statements.</w:t>
      </w:r>
    </w:p>
    <w:p>
      <w:pPr>
        <w:pStyle w:val="TextBody"/>
        <w:bidi w:val="0"/>
        <w:spacing w:before="0" w:after="0"/>
        <w:jc w:val="left"/>
        <w:rPr/>
      </w:pPr>
      <w:r>
        <w:rPr/>
      </w:r>
    </w:p>
    <w:p>
      <w:pPr>
        <w:pStyle w:val="TextBody"/>
        <w:bidi w:val="0"/>
        <w:spacing w:before="0" w:after="0"/>
        <w:ind w:left="0" w:right="160" w:hanging="0"/>
        <w:jc w:val="left"/>
        <w:rPr>
          <w:rFonts w:ascii="Times New Roman" w:hAnsi="Times New Roman"/>
          <w:color w:val="000000"/>
          <w:sz w:val="20"/>
        </w:rPr>
      </w:pPr>
      <w:r>
        <w:rPr>
          <w:rFonts w:ascii="Times New Roman" w:hAnsi="Times New Roman"/>
          <w:color w:val="000000"/>
          <w:sz w:val="20"/>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1046</Words>
  <Characters>5632</Characters>
  <CharactersWithSpaces>6674</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