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333-230205</w:t>
      </w:r>
    </w:p>
    <w:p>
      <w:pPr>
        <w:spacing w:after="0" w:line="213" w:lineRule="exact"/>
        <w:rPr>
          <w:sz w:val="24"/>
          <w:szCs w:val="24"/>
          <w:color w:val="auto"/>
        </w:rPr>
      </w:pPr>
    </w:p>
    <w:p>
      <w:pPr>
        <w:ind w:right="240"/>
        <w:spacing w:after="0" w:line="262" w:lineRule="auto"/>
        <w:rPr>
          <w:sz w:val="20"/>
          <w:szCs w:val="20"/>
          <w:color w:val="auto"/>
        </w:rPr>
      </w:pPr>
      <w:r>
        <w:rPr>
          <w:rFonts w:ascii="Arial" w:cs="Arial" w:eastAsia="Arial" w:hAnsi="Arial"/>
          <w:sz w:val="18"/>
          <w:szCs w:val="18"/>
          <w:b w:val="1"/>
          <w:bCs w:val="1"/>
          <w:color w:val="F05159"/>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8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F05159"/>
        </w:rPr>
        <w:t>SUBJECT TO COMPLETION, DATED MAY 13,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22, 2019)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160020</wp:posOffset>
            </wp:positionV>
            <wp:extent cx="203263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Ltd.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8.875% Senior Notes due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We are offering $75,000,000 aggregate principal amount of 8.875% Senior Notes due 2022 (the "Additional Notes").</w:t>
      </w:r>
    </w:p>
    <w:p>
      <w:pPr>
        <w:spacing w:after="0" w:line="225" w:lineRule="exact"/>
        <w:rPr>
          <w:sz w:val="24"/>
          <w:szCs w:val="24"/>
          <w:color w:val="auto"/>
        </w:rPr>
      </w:pPr>
    </w:p>
    <w:p>
      <w:pPr>
        <w:ind w:right="20" w:firstLine="392"/>
        <w:spacing w:after="0" w:line="312" w:lineRule="auto"/>
        <w:rPr>
          <w:sz w:val="20"/>
          <w:szCs w:val="20"/>
          <w:color w:val="auto"/>
        </w:rPr>
      </w:pPr>
      <w:r>
        <w:rPr>
          <w:rFonts w:ascii="Arial" w:cs="Arial" w:eastAsia="Arial" w:hAnsi="Arial"/>
          <w:sz w:val="15"/>
          <w:szCs w:val="15"/>
          <w:color w:val="auto"/>
        </w:rPr>
        <w:t>The Additional Notes will bear interest from March 30, 2019 until maturity at a rate of 8.875% per year. Interest on the Additional Notes will be payable quarterly in arrears on the day of March 30, June 30, September 30 and December 30 of each year, commencing on June 30, 2019. The Additional Notes will be issued in minimum denominations of $1,000 and integral multiples of $1,000 in excess thereof. The Additional Notes will be an additional issuance of, form a single series with and have the same terms as the $250,000,000 8.875% Senior Notes due 2022 we issued on March 22, 2017 (the "Existing Notes" and together with the Additional Notes, the "Notes"). The Additional Notes offered hereby will have the same CUSIP number as the Existing Notes, will trade interchangeably with the Existing Notes and immediately upon settlement, will increase the aggregate principal amount of the Notes outstanding to $325,000,000. The Additional Notes offered hereby and the Existing Notes previously issued by us will constitute a single series under the Indenture for all purposes.</w:t>
      </w:r>
    </w:p>
    <w:p>
      <w:pPr>
        <w:spacing w:after="0" w:line="159" w:lineRule="exact"/>
        <w:rPr>
          <w:sz w:val="24"/>
          <w:szCs w:val="24"/>
          <w:color w:val="auto"/>
        </w:rPr>
      </w:pPr>
    </w:p>
    <w:p>
      <w:pPr>
        <w:jc w:val="both"/>
        <w:ind w:right="160" w:firstLine="392"/>
        <w:spacing w:after="0" w:line="306" w:lineRule="auto"/>
        <w:rPr>
          <w:sz w:val="20"/>
          <w:szCs w:val="20"/>
          <w:color w:val="auto"/>
        </w:rPr>
      </w:pPr>
      <w:r>
        <w:rPr>
          <w:rFonts w:ascii="Arial" w:cs="Arial" w:eastAsia="Arial" w:hAnsi="Arial"/>
          <w:sz w:val="16"/>
          <w:szCs w:val="16"/>
          <w:color w:val="auto"/>
        </w:rPr>
        <w:t>The Notes will be our unsecured unsubordinated obligations. The Notes will rank senior to any of our future subordinated debt and rank equally in right of payment with all of our existing and future unsecured and unsubordinated debt. The Notes will effectively rank junior to our existing and future secured debt to the extent of the value of the assets securing such debt as well as to existing and future debt and other liabilities of our subsidiaries.</w:t>
      </w:r>
    </w:p>
    <w:p>
      <w:pPr>
        <w:spacing w:after="0" w:line="161" w:lineRule="exact"/>
        <w:rPr>
          <w:sz w:val="24"/>
          <w:szCs w:val="24"/>
          <w:color w:val="auto"/>
        </w:rPr>
      </w:pPr>
    </w:p>
    <w:p>
      <w:pPr>
        <w:ind w:right="100" w:firstLine="392"/>
        <w:spacing w:after="0" w:line="306" w:lineRule="auto"/>
        <w:rPr>
          <w:sz w:val="20"/>
          <w:szCs w:val="20"/>
          <w:color w:val="auto"/>
        </w:rPr>
      </w:pPr>
      <w:r>
        <w:rPr>
          <w:rFonts w:ascii="Arial" w:cs="Arial" w:eastAsia="Arial" w:hAnsi="Arial"/>
          <w:sz w:val="16"/>
          <w:szCs w:val="16"/>
          <w:color w:val="auto"/>
        </w:rPr>
        <w:t>We may redeem some or all of the Notes at any time and from time to time at a redemption price of 100% of the principal amount, plus accrued and unpaid interest, if any, to but excluding the redemption date, plus an applicable "make-whole" premium. The Notes may also be redeemed at 100% of their principal amount in whole but not in part upon the occurrence of certain tax events described in this prospectus supplement and the accompanying prospectus.</w:t>
      </w:r>
    </w:p>
    <w:p>
      <w:pPr>
        <w:spacing w:after="0" w:line="161"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40" w:firstLine="395"/>
        <w:spacing w:after="0" w:line="262" w:lineRule="auto"/>
        <w:rPr>
          <w:sz w:val="20"/>
          <w:szCs w:val="20"/>
          <w:color w:val="auto"/>
        </w:rPr>
      </w:pPr>
      <w:r>
        <w:rPr>
          <w:rFonts w:ascii="Arial" w:cs="Arial" w:eastAsia="Arial" w:hAnsi="Arial"/>
          <w:sz w:val="18"/>
          <w:szCs w:val="18"/>
          <w:b w:val="1"/>
          <w:bCs w:val="1"/>
          <w:color w:val="auto"/>
        </w:rPr>
        <w:t>Investing in the Notes involves a high degree of risk. The Notes have not been rated. Please read the section entitled "Risk Factors" on page S-15 of this prospectus supplement and beginning on page 6 of our Annual Report on Form 20-F filed with the Securities and Exchange Commission on March 5, 2019 before you make an investment in the Notes.</w:t>
      </w:r>
    </w:p>
    <w:p>
      <w:pPr>
        <w:spacing w:after="0" w:line="192" w:lineRule="exact"/>
        <w:rPr>
          <w:sz w:val="24"/>
          <w:szCs w:val="24"/>
          <w:color w:val="auto"/>
        </w:rPr>
      </w:pPr>
    </w:p>
    <w:p>
      <w:pPr>
        <w:ind w:right="140" w:firstLine="395"/>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371" w:lineRule="exact"/>
        <w:rPr>
          <w:sz w:val="24"/>
          <w:szCs w:val="24"/>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60" w:type="dxa"/>
            <w:vAlign w:val="bottom"/>
            <w:tcBorders>
              <w:top w:val="single" w:sz="8" w:color="auto"/>
              <w:bottom w:val="single" w:sz="8" w:color="auto"/>
            </w:tcBorders>
          </w:tcPr>
          <w:p>
            <w:pPr>
              <w:spacing w:after="0"/>
              <w:rPr>
                <w:sz w:val="3"/>
                <w:szCs w:val="3"/>
                <w:color w:val="auto"/>
              </w:rPr>
            </w:pPr>
          </w:p>
        </w:tc>
        <w:tc>
          <w:tcPr>
            <w:tcW w:w="252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520" w:type="dxa"/>
            <w:vAlign w:val="bottom"/>
          </w:tcPr>
          <w:p>
            <w:pPr>
              <w:jc w:val="right"/>
              <w:ind w:right="261"/>
              <w:spacing w:after="0" w:line="117" w:lineRule="exact"/>
              <w:rPr>
                <w:sz w:val="20"/>
                <w:szCs w:val="20"/>
                <w:color w:val="auto"/>
              </w:rPr>
            </w:pPr>
            <w:r>
              <w:rPr>
                <w:rFonts w:ascii="Arial" w:cs="Arial" w:eastAsia="Arial" w:hAnsi="Arial"/>
                <w:sz w:val="12"/>
                <w:szCs w:val="12"/>
                <w:b w:val="1"/>
                <w:bCs w:val="1"/>
                <w:color w:val="auto"/>
              </w:rPr>
              <w:t>Per Additional</w:t>
            </w:r>
          </w:p>
        </w:tc>
        <w:tc>
          <w:tcPr>
            <w:tcW w:w="1340" w:type="dxa"/>
            <w:vAlign w:val="bottom"/>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Note</w:t>
            </w: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Total</w:t>
            </w:r>
          </w:p>
        </w:tc>
      </w:tr>
      <w:tr>
        <w:trPr>
          <w:trHeight w:val="284"/>
        </w:trPr>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line="284"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29"/>
                <w:szCs w:val="29"/>
                <w:color w:val="auto"/>
                <w:vertAlign w:val="superscript"/>
              </w:rPr>
              <w:t>(1)</w:t>
            </w:r>
          </w:p>
        </w:tc>
        <w:tc>
          <w:tcPr>
            <w:tcW w:w="25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rPr>
              <w:t>$</w:t>
            </w:r>
          </w:p>
        </w:tc>
      </w:tr>
      <w:tr>
        <w:trPr>
          <w:trHeight w:val="277"/>
        </w:trPr>
        <w:tc>
          <w:tcPr>
            <w:tcW w:w="4480" w:type="dxa"/>
            <w:vAlign w:val="bottom"/>
            <w:tcBorders>
              <w:bottom w:val="single" w:sz="8" w:color="auto"/>
            </w:tcBorders>
            <w:gridSpan w:val="2"/>
          </w:tcPr>
          <w:p>
            <w:pPr>
              <w:spacing w:after="0" w:line="277"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(2)</w:t>
            </w:r>
          </w:p>
        </w:tc>
        <w:tc>
          <w:tcPr>
            <w:tcW w:w="25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Proceeds to GasLog Ltd. (before expenses)</w:t>
            </w:r>
          </w:p>
        </w:tc>
        <w:tc>
          <w:tcPr>
            <w:tcW w:w="2520" w:type="dxa"/>
            <w:vAlign w:val="bottom"/>
          </w:tcPr>
          <w:p>
            <w:pPr>
              <w:jc w:val="right"/>
              <w:ind w:right="94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37"/>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85"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87"/>
              </w:rPr>
              <w:t>(1)</w:t>
            </w: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w w:val="99"/>
              </w:rPr>
              <w:t>Plus accrued interest from March 30, 2019 of $</w:t>
            </w:r>
          </w:p>
        </w:tc>
        <w:tc>
          <w:tcPr>
            <w:tcW w:w="64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39"/>
        </w:trPr>
        <w:tc>
          <w:tcPr>
            <w:tcW w:w="300" w:type="dxa"/>
            <w:vAlign w:val="bottom"/>
          </w:tcPr>
          <w:p>
            <w:pPr>
              <w:jc w:val="right"/>
              <w:ind w:right="47"/>
              <w:spacing w:after="0"/>
              <w:rPr>
                <w:sz w:val="20"/>
                <w:szCs w:val="20"/>
                <w:color w:val="auto"/>
              </w:rPr>
            </w:pPr>
            <w:r>
              <w:rPr>
                <w:rFonts w:ascii="Arial" w:cs="Arial" w:eastAsia="Arial" w:hAnsi="Arial"/>
                <w:sz w:val="15"/>
                <w:szCs w:val="15"/>
                <w:color w:val="auto"/>
                <w:w w:val="87"/>
              </w:rPr>
              <w:t>(2)</w:t>
            </w:r>
          </w:p>
        </w:tc>
        <w:tc>
          <w:tcPr>
            <w:tcW w:w="9680" w:type="dxa"/>
            <w:vAlign w:val="bottom"/>
            <w:gridSpan w:val="5"/>
          </w:tcPr>
          <w:p>
            <w:pPr>
              <w:ind w:left="240"/>
              <w:spacing w:after="0"/>
              <w:rPr>
                <w:sz w:val="20"/>
                <w:szCs w:val="20"/>
                <w:color w:val="auto"/>
              </w:rPr>
            </w:pPr>
            <w:r>
              <w:rPr>
                <w:rFonts w:ascii="Arial" w:cs="Arial" w:eastAsia="Arial" w:hAnsi="Arial"/>
                <w:sz w:val="18"/>
                <w:szCs w:val="18"/>
                <w:color w:val="auto"/>
                <w:w w:val="93"/>
              </w:rPr>
              <w:t>See "Underwriting" for additional information regarding the total underwriting compensation. The underwriting discount will be $</w:t>
            </w:r>
          </w:p>
        </w:tc>
        <w:tc>
          <w:tcPr>
            <w:tcW w:w="1440" w:type="dxa"/>
            <w:vAlign w:val="bottom"/>
          </w:tcPr>
          <w:p>
            <w:pPr>
              <w:ind w:left="260"/>
              <w:spacing w:after="0"/>
              <w:rPr>
                <w:sz w:val="20"/>
                <w:szCs w:val="20"/>
                <w:color w:val="auto"/>
              </w:rPr>
            </w:pPr>
            <w:r>
              <w:rPr>
                <w:rFonts w:ascii="Arial" w:cs="Arial" w:eastAsia="Arial" w:hAnsi="Arial"/>
                <w:sz w:val="18"/>
                <w:szCs w:val="18"/>
                <w:color w:val="auto"/>
              </w:rPr>
              <w:t>per Additional</w:t>
            </w:r>
          </w:p>
        </w:tc>
      </w:tr>
      <w:tr>
        <w:trPr>
          <w:trHeight w:val="222"/>
        </w:trPr>
        <w:tc>
          <w:tcPr>
            <w:tcW w:w="30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Note for institutional orders and $</w:t>
            </w:r>
          </w:p>
        </w:tc>
        <w:tc>
          <w:tcPr>
            <w:tcW w:w="3940" w:type="dxa"/>
            <w:vAlign w:val="bottom"/>
            <w:gridSpan w:val="3"/>
          </w:tcPr>
          <w:p>
            <w:pPr>
              <w:jc w:val="right"/>
              <w:ind w:right="1032"/>
              <w:spacing w:after="0"/>
              <w:rPr>
                <w:sz w:val="20"/>
                <w:szCs w:val="20"/>
                <w:color w:val="auto"/>
              </w:rPr>
            </w:pPr>
            <w:r>
              <w:rPr>
                <w:rFonts w:ascii="Arial" w:cs="Arial" w:eastAsia="Arial" w:hAnsi="Arial"/>
                <w:sz w:val="18"/>
                <w:szCs w:val="18"/>
                <w:color w:val="auto"/>
                <w:w w:val="98"/>
              </w:rPr>
              <w:t>per Additional Note for retail orders.</w:t>
            </w:r>
          </w:p>
        </w:tc>
        <w:tc>
          <w:tcPr>
            <w:tcW w:w="28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32"/>
        </w:trPr>
        <w:tc>
          <w:tcPr>
            <w:tcW w:w="300" w:type="dxa"/>
            <w:vAlign w:val="bottom"/>
          </w:tcPr>
          <w:p>
            <w:pPr>
              <w:spacing w:after="0"/>
              <w:rPr>
                <w:sz w:val="24"/>
                <w:szCs w:val="24"/>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w w:val="92"/>
              </w:rPr>
              <w:t>Delivery of the Additional Notes is expected to be on or about</w:t>
            </w:r>
          </w:p>
        </w:tc>
        <w:tc>
          <w:tcPr>
            <w:tcW w:w="2240" w:type="dxa"/>
            <w:vAlign w:val="bottom"/>
          </w:tcPr>
          <w:p>
            <w:pPr>
              <w:jc w:val="right"/>
              <w:ind w:right="1032"/>
              <w:spacing w:after="0"/>
              <w:rPr>
                <w:sz w:val="20"/>
                <w:szCs w:val="20"/>
                <w:color w:val="auto"/>
              </w:rPr>
            </w:pPr>
            <w:r>
              <w:rPr>
                <w:rFonts w:ascii="Arial" w:cs="Arial" w:eastAsia="Arial" w:hAnsi="Arial"/>
                <w:sz w:val="18"/>
                <w:szCs w:val="18"/>
                <w:color w:val="auto"/>
              </w:rPr>
              <w:t>, 2019.</w:t>
            </w:r>
          </w:p>
        </w:tc>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8"/>
        </w:trPr>
        <w:tc>
          <w:tcPr>
            <w:tcW w:w="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748"/>
        </w:trPr>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jc w:val="right"/>
              <w:ind w:right="712"/>
              <w:spacing w:after="0"/>
              <w:rPr>
                <w:sz w:val="20"/>
                <w:szCs w:val="20"/>
                <w:color w:val="auto"/>
              </w:rPr>
            </w:pPr>
            <w:r>
              <w:rPr>
                <w:rFonts w:ascii="Arial" w:cs="Arial" w:eastAsia="Arial" w:hAnsi="Arial"/>
                <w:sz w:val="18"/>
                <w:szCs w:val="18"/>
                <w:i w:val="1"/>
                <w:iCs w:val="1"/>
                <w:color w:val="auto"/>
                <w:w w:val="97"/>
              </w:rPr>
              <w:t>Joint Bookrunners</w:t>
            </w:r>
          </w:p>
        </w:tc>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98"/>
        </w:trPr>
        <w:tc>
          <w:tcPr>
            <w:tcW w:w="300" w:type="dxa"/>
            <w:vAlign w:val="bottom"/>
          </w:tcPr>
          <w:p>
            <w:pPr>
              <w:spacing w:after="0"/>
              <w:rPr>
                <w:sz w:val="24"/>
                <w:szCs w:val="24"/>
                <w:color w:val="auto"/>
              </w:rPr>
            </w:pPr>
          </w:p>
        </w:tc>
        <w:tc>
          <w:tcPr>
            <w:tcW w:w="2920" w:type="dxa"/>
            <w:vAlign w:val="bottom"/>
          </w:tcPr>
          <w:p>
            <w:pPr>
              <w:ind w:left="840"/>
              <w:spacing w:after="0"/>
              <w:rPr>
                <w:sz w:val="20"/>
                <w:szCs w:val="20"/>
                <w:color w:val="auto"/>
              </w:rPr>
            </w:pPr>
            <w:r>
              <w:rPr>
                <w:rFonts w:ascii="Arial" w:cs="Arial" w:eastAsia="Arial" w:hAnsi="Arial"/>
                <w:sz w:val="32"/>
                <w:szCs w:val="32"/>
                <w:b w:val="1"/>
                <w:bCs w:val="1"/>
                <w:color w:val="auto"/>
              </w:rPr>
              <w:t>Credit Suisse</w:t>
            </w:r>
          </w:p>
        </w:tc>
        <w:tc>
          <w:tcPr>
            <w:tcW w:w="1060" w:type="dxa"/>
            <w:vAlign w:val="bottom"/>
          </w:tcPr>
          <w:p>
            <w:pPr>
              <w:spacing w:after="0"/>
              <w:rPr>
                <w:sz w:val="24"/>
                <w:szCs w:val="24"/>
                <w:color w:val="auto"/>
              </w:rPr>
            </w:pPr>
          </w:p>
        </w:tc>
        <w:tc>
          <w:tcPr>
            <w:tcW w:w="2880" w:type="dxa"/>
            <w:vAlign w:val="bottom"/>
            <w:gridSpan w:val="2"/>
          </w:tcPr>
          <w:p>
            <w:pPr>
              <w:jc w:val="right"/>
              <w:ind w:right="392"/>
              <w:spacing w:after="0"/>
              <w:rPr>
                <w:sz w:val="20"/>
                <w:szCs w:val="20"/>
                <w:color w:val="auto"/>
              </w:rPr>
            </w:pPr>
            <w:r>
              <w:rPr>
                <w:rFonts w:ascii="Arial" w:cs="Arial" w:eastAsia="Arial" w:hAnsi="Arial"/>
                <w:sz w:val="32"/>
                <w:szCs w:val="32"/>
                <w:b w:val="1"/>
                <w:bCs w:val="1"/>
                <w:color w:val="auto"/>
              </w:rPr>
              <w:t>DNB Markets</w:t>
            </w:r>
          </w:p>
        </w:tc>
        <w:tc>
          <w:tcPr>
            <w:tcW w:w="4260" w:type="dxa"/>
            <w:vAlign w:val="bottom"/>
            <w:gridSpan w:val="2"/>
          </w:tcPr>
          <w:p>
            <w:pPr>
              <w:ind w:left="2400"/>
              <w:spacing w:after="0"/>
              <w:rPr>
                <w:sz w:val="20"/>
                <w:szCs w:val="20"/>
                <w:color w:val="auto"/>
              </w:rPr>
            </w:pPr>
            <w:r>
              <w:rPr>
                <w:rFonts w:ascii="Arial" w:cs="Arial" w:eastAsia="Arial" w:hAnsi="Arial"/>
                <w:sz w:val="32"/>
                <w:szCs w:val="32"/>
                <w:b w:val="1"/>
                <w:bCs w:val="1"/>
                <w:color w:val="auto"/>
              </w:rPr>
              <w:t>Stifel</w:t>
            </w:r>
          </w:p>
        </w:tc>
      </w:tr>
      <w:tr>
        <w:trPr>
          <w:trHeight w:val="699"/>
        </w:trPr>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jc w:val="right"/>
              <w:ind w:right="752"/>
              <w:spacing w:after="0"/>
              <w:rPr>
                <w:sz w:val="20"/>
                <w:szCs w:val="20"/>
                <w:color w:val="auto"/>
              </w:rPr>
            </w:pPr>
            <w:r>
              <w:rPr>
                <w:rFonts w:ascii="Arial" w:cs="Arial" w:eastAsia="Arial" w:hAnsi="Arial"/>
                <w:sz w:val="18"/>
                <w:szCs w:val="18"/>
                <w:color w:val="auto"/>
              </w:rPr>
              <w:t>, 2019</w:t>
            </w:r>
          </w:p>
        </w:tc>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gridSpan w:val="7"/>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780" w:type="dxa"/>
            <w:vAlign w:val="bottom"/>
            <w:gridSpan w:val="27"/>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8780" w:type="dxa"/>
            <w:vAlign w:val="bottom"/>
            <w:gridSpan w:val="27"/>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780" w:type="dxa"/>
            <w:vAlign w:val="bottom"/>
            <w:gridSpan w:val="27"/>
          </w:tcPr>
          <w:p>
            <w:pPr>
              <w:spacing w:after="0" w:line="184"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20" w:type="dxa"/>
            <w:vAlign w:val="bottom"/>
          </w:tcPr>
          <w:p>
            <w:pPr>
              <w:spacing w:after="0"/>
              <w:rPr>
                <w:sz w:val="15"/>
                <w:szCs w:val="15"/>
                <w:color w:val="auto"/>
              </w:rPr>
            </w:pPr>
          </w:p>
        </w:tc>
        <w:tc>
          <w:tcPr>
            <w:tcW w:w="340" w:type="dxa"/>
            <w:vAlign w:val="bottom"/>
            <w:gridSpan w:val="3"/>
          </w:tcPr>
          <w:p>
            <w:pPr>
              <w:jc w:val="right"/>
              <w:spacing w:after="0" w:line="184" w:lineRule="exact"/>
              <w:rPr>
                <w:rFonts w:ascii="Arial" w:cs="Arial" w:eastAsia="Arial" w:hAnsi="Arial"/>
                <w:sz w:val="18"/>
                <w:szCs w:val="18"/>
                <w:color w:val="0000EE"/>
              </w:rPr>
            </w:pPr>
            <w:hyperlink w:anchor="page5">
              <w:r>
                <w:rPr>
                  <w:rFonts w:ascii="Arial" w:cs="Arial" w:eastAsia="Arial" w:hAnsi="Arial"/>
                  <w:sz w:val="18"/>
                  <w:szCs w:val="18"/>
                  <w:color w:val="0000EE"/>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FORWARD-LOOKING STATEMENTS</w:t>
              </w:r>
            </w:hyperlink>
          </w:p>
        </w:tc>
        <w:tc>
          <w:tcPr>
            <w:tcW w:w="59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USE OF PROCEEDS</w:t>
              </w:r>
            </w:hyperlink>
          </w:p>
        </w:tc>
        <w:tc>
          <w:tcPr>
            <w:tcW w:w="72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S-22</w:t>
              </w:r>
            </w:hyperlink>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CAPITALIZATION</w:t>
              </w:r>
            </w:hyperlink>
          </w:p>
        </w:tc>
        <w:tc>
          <w:tcPr>
            <w:tcW w:w="73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S-23</w:t>
              </w:r>
            </w:hyperlink>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DESCRIPTION OF OTHER INDEBTEDNESS</w:t>
              </w:r>
            </w:hyperlink>
          </w:p>
        </w:tc>
        <w:tc>
          <w:tcPr>
            <w:tcW w:w="53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S-25</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NOTES</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S-28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MATERIAL TAX CONSIDERATIONS.</w:t>
              </w:r>
            </w:hyperlink>
          </w:p>
        </w:tc>
        <w:tc>
          <w:tcPr>
            <w:tcW w:w="58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57">
              <w:r>
                <w:rPr>
                  <w:rFonts w:ascii="Arial" w:cs="Arial" w:eastAsia="Arial" w:hAnsi="Arial"/>
                  <w:sz w:val="18"/>
                  <w:szCs w:val="18"/>
                  <w:color w:val="0000EE"/>
                  <w:w w:val="84"/>
                </w:rPr>
                <w:t>S-53</w:t>
              </w:r>
            </w:hyperlink>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OTHER EXPENSES OF ISSUANCE AND DISTRIBUTION</w:t>
              </w:r>
            </w:hyperlink>
          </w:p>
        </w:tc>
        <w:tc>
          <w:tcPr>
            <w:tcW w:w="44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S-59</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UNDERWRITING</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S-60</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SERVICE OF PROCESS AND ENFORCEMENT OF LIABILITIES</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S-64</w:t>
              </w:r>
            </w:hyperlink>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LEGAL MATTERS</w:t>
              </w:r>
            </w:hyperlink>
          </w:p>
        </w:tc>
        <w:tc>
          <w:tcPr>
            <w:tcW w:w="3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S-64</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36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S-64</w:t>
              </w:r>
            </w:hyperlink>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WHERE YOU CAN FIND ADDITIONAL INFORMATION</w:t>
              </w:r>
            </w:hyperlink>
          </w:p>
        </w:tc>
        <w:tc>
          <w:tcPr>
            <w:tcW w:w="44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S-64</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INCORPORATION OF CERTAIN INFORMATION BY REFERENCE</w:t>
              </w:r>
            </w:hyperlink>
          </w:p>
        </w:tc>
        <w:tc>
          <w:tcPr>
            <w:tcW w:w="360" w:type="dxa"/>
            <w:vAlign w:val="bottom"/>
            <w:gridSpan w:val="4"/>
          </w:tcPr>
          <w:p>
            <w:pPr>
              <w:jc w:val="right"/>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S-65</w:t>
              </w:r>
            </w:hyperlink>
          </w:p>
        </w:tc>
        <w:tc>
          <w:tcPr>
            <w:tcW w:w="0" w:type="dxa"/>
            <w:vAlign w:val="bottom"/>
          </w:tcPr>
          <w:p>
            <w:pPr>
              <w:spacing w:after="0"/>
              <w:rPr>
                <w:sz w:val="1"/>
                <w:szCs w:val="1"/>
                <w:color w:val="auto"/>
              </w:rPr>
            </w:pPr>
          </w:p>
        </w:tc>
      </w:tr>
      <w:tr>
        <w:trPr>
          <w:trHeight w:val="809"/>
        </w:trPr>
        <w:tc>
          <w:tcPr>
            <w:tcW w:w="5060" w:type="dxa"/>
            <w:vAlign w:val="bottom"/>
            <w:tcBorders>
              <w:top w:val="single" w:sz="8" w:color="0000EE"/>
            </w:tcBorders>
            <w:gridSpan w:val="26"/>
          </w:tcPr>
          <w:p>
            <w:pPr>
              <w:spacing w:after="0"/>
              <w:rPr>
                <w:sz w:val="20"/>
                <w:szCs w:val="20"/>
                <w:color w:val="auto"/>
              </w:rPr>
            </w:pPr>
            <w:r>
              <w:rPr>
                <w:rFonts w:ascii="Arial" w:cs="Arial" w:eastAsia="Arial" w:hAnsi="Arial"/>
                <w:sz w:val="18"/>
                <w:szCs w:val="18"/>
                <w:b w:val="1"/>
                <w:bCs w:val="1"/>
                <w:color w:val="auto"/>
              </w:rPr>
              <w:t>PROSPECTUS</w:t>
            </w: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00" w:type="dxa"/>
            <w:vAlign w:val="bottom"/>
            <w:gridSpan w:val="14"/>
          </w:tcPr>
          <w:p>
            <w:pPr>
              <w:spacing w:after="0" w:line="184"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FORWARD LOOKING STATEMENTS</w:t>
              </w:r>
            </w:hyperlink>
          </w:p>
        </w:tc>
        <w:tc>
          <w:tcPr>
            <w:tcW w:w="5980" w:type="dxa"/>
            <w:vAlign w:val="bottom"/>
            <w:gridSpan w:val="13"/>
          </w:tcPr>
          <w:p>
            <w:pPr>
              <w:spacing w:after="0"/>
              <w:rPr>
                <w:sz w:val="15"/>
                <w:szCs w:val="15"/>
                <w:color w:val="auto"/>
              </w:rPr>
            </w:pPr>
          </w:p>
        </w:tc>
        <w:tc>
          <w:tcPr>
            <w:tcW w:w="360" w:type="dxa"/>
            <w:vAlign w:val="bottom"/>
            <w:gridSpan w:val="4"/>
          </w:tcPr>
          <w:p>
            <w:pPr>
              <w:jc w:val="right"/>
              <w:spacing w:after="0" w:line="184" w:lineRule="exact"/>
              <w:rPr>
                <w:rFonts w:ascii="Arial" w:cs="Arial" w:eastAsia="Arial" w:hAnsi="Arial"/>
                <w:sz w:val="18"/>
                <w:szCs w:val="18"/>
                <w:color w:val="0000EE"/>
              </w:rPr>
            </w:pPr>
            <w:hyperlink w:anchor="page72">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THE COMPANY</w:t>
              </w:r>
            </w:hyperlink>
          </w:p>
        </w:tc>
        <w:tc>
          <w:tcPr>
            <w:tcW w:w="1540" w:type="dxa"/>
            <w:vAlign w:val="bottom"/>
            <w:gridSpan w:val="10"/>
          </w:tcPr>
          <w:p>
            <w:pPr>
              <w:spacing w:after="0"/>
              <w:rPr>
                <w:sz w:val="17"/>
                <w:szCs w:val="17"/>
                <w:color w:val="auto"/>
              </w:rPr>
            </w:pPr>
          </w:p>
        </w:tc>
        <w:tc>
          <w:tcPr>
            <w:tcW w:w="5980" w:type="dxa"/>
            <w:vAlign w:val="bottom"/>
            <w:gridSpan w:val="13"/>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RISK FACTORS</w:t>
              </w:r>
            </w:hyperlink>
          </w:p>
        </w:tc>
        <w:tc>
          <w:tcPr>
            <w:tcW w:w="7520" w:type="dxa"/>
            <w:vAlign w:val="bottom"/>
            <w:gridSpan w:val="23"/>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SERVICE OF PROCESS AND ENFORCEMENT OF LIABILITIES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ABOUT THIS PROSPECTUS</w:t>
              </w:r>
            </w:hyperlink>
          </w:p>
        </w:tc>
        <w:tc>
          <w:tcPr>
            <w:tcW w:w="390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2"/>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WHERE YOU CAN FIND ADDITIONAL INFORMATION</w:t>
              </w:r>
            </w:hyperlink>
          </w:p>
        </w:tc>
        <w:tc>
          <w:tcPr>
            <w:tcW w:w="4460" w:type="dxa"/>
            <w:vAlign w:val="bottom"/>
            <w:gridSpan w:val="5"/>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INCORPORATION OF CERTAIN INFORMATION BY REFERENCE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8"/>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USE OF PROCEEDS</w:t>
              </w:r>
            </w:hyperlink>
          </w:p>
        </w:tc>
        <w:tc>
          <w:tcPr>
            <w:tcW w:w="3500" w:type="dxa"/>
            <w:vAlign w:val="bottom"/>
            <w:gridSpan w:val="18"/>
          </w:tcPr>
          <w:p>
            <w:pPr>
              <w:spacing w:after="0"/>
              <w:rPr>
                <w:sz w:val="17"/>
                <w:szCs w:val="17"/>
                <w:color w:val="auto"/>
              </w:rPr>
            </w:pPr>
          </w:p>
        </w:tc>
        <w:tc>
          <w:tcPr>
            <w:tcW w:w="3720" w:type="dxa"/>
            <w:vAlign w:val="bottom"/>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CAPITALIZATION AND INDEBTEDNESS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1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DESCRIPTION OF SHARE CAPITAL</w:t>
              </w:r>
            </w:hyperlink>
          </w:p>
        </w:tc>
        <w:tc>
          <w:tcPr>
            <w:tcW w:w="5580" w:type="dxa"/>
            <w:vAlign w:val="bottom"/>
            <w:gridSpan w:val="9"/>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DESCRIPTION OF PREFERENCE SHARES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DESCRIPTION OF DEBT SECURITIES</w:t>
              </w:r>
            </w:hyperlink>
          </w:p>
        </w:tc>
        <w:tc>
          <w:tcPr>
            <w:tcW w:w="320" w:type="dxa"/>
            <w:vAlign w:val="bottom"/>
            <w:gridSpan w:val="2"/>
          </w:tcPr>
          <w:p>
            <w:pPr>
              <w:spacing w:after="0"/>
              <w:rPr>
                <w:sz w:val="17"/>
                <w:szCs w:val="17"/>
                <w:color w:val="auto"/>
              </w:rPr>
            </w:pPr>
          </w:p>
        </w:tc>
        <w:tc>
          <w:tcPr>
            <w:tcW w:w="5500" w:type="dxa"/>
            <w:vAlign w:val="bottom"/>
            <w:gridSpan w:val="8"/>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DESCRIPTION OF WARRANTS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6360" w:type="dxa"/>
            <w:vAlign w:val="bottom"/>
            <w:gridSpan w:val="14"/>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THE UNITS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MATERIAL U.S. FEDERAL INCOME TAX CONSIDERATIONS</w:t>
              </w:r>
            </w:hyperlink>
          </w:p>
        </w:tc>
        <w:tc>
          <w:tcPr>
            <w:tcW w:w="4020" w:type="dxa"/>
            <w:vAlign w:val="bottom"/>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NON-UNITED STATES TAX CONSIDERATIONS</w:t>
              </w:r>
            </w:hyperlink>
          </w:p>
        </w:tc>
        <w:tc>
          <w:tcPr>
            <w:tcW w:w="5080" w:type="dxa"/>
            <w:vAlign w:val="bottom"/>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EXPENSES</w:t>
              </w:r>
            </w:hyperlink>
          </w:p>
        </w:tc>
        <w:tc>
          <w:tcPr>
            <w:tcW w:w="1120" w:type="dxa"/>
            <w:vAlign w:val="bottom"/>
            <w:tcBorders>
              <w:top w:val="single" w:sz="8" w:color="0000EE"/>
            </w:tcBorders>
            <w:gridSpan w:val="7"/>
          </w:tcPr>
          <w:p>
            <w:pPr>
              <w:spacing w:after="0"/>
              <w:rPr>
                <w:sz w:val="17"/>
                <w:szCs w:val="17"/>
                <w:color w:val="auto"/>
              </w:rPr>
            </w:pPr>
          </w:p>
        </w:tc>
        <w:tc>
          <w:tcPr>
            <w:tcW w:w="6760" w:type="dxa"/>
            <w:vAlign w:val="bottom"/>
            <w:gridSpan w:val="18"/>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8780" w:type="dxa"/>
            <w:vAlign w:val="bottom"/>
            <w:gridSpan w:val="2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360" w:type="dxa"/>
            <w:vAlign w:val="bottom"/>
            <w:gridSpan w:val="21"/>
          </w:tcPr>
          <w:p>
            <w:pPr>
              <w:spacing w:after="0"/>
              <w:rPr>
                <w:sz w:val="17"/>
                <w:szCs w:val="17"/>
                <w:color w:val="auto"/>
              </w:rPr>
            </w:pPr>
          </w:p>
        </w:tc>
        <w:tc>
          <w:tcPr>
            <w:tcW w:w="1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by Reference". To the extent the description of our securities in this prospectus supplement differs from the description of our securities in the accompanying prospectus, you should rely on the information in this prospectus supplement.</w:t>
      </w:r>
    </w:p>
    <w:p>
      <w:pPr>
        <w:spacing w:after="0" w:line="198"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49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49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the accompanying prospectus and should be read together with the information contained in other parts of this prospectus supplement, the accompanying prospectus and the documents we incorporate by reference, including the risk factors on page S-15 of this prospectus supplement and beginning on page 6 of our Annual Report on Form 20-F filed with the U.S. Securities and Exchange Commission (the "SEC"), on March 5, 2019 ("Annual Report on Form 20-F").</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Unless otherwise indicated, reference in this prospectus supplement to:</w:t>
      </w:r>
    </w:p>
    <w:p>
      <w:pPr>
        <w:spacing w:after="0" w:line="252" w:lineRule="exact"/>
        <w:rPr>
          <w:sz w:val="20"/>
          <w:szCs w:val="20"/>
          <w:color w:val="auto"/>
        </w:rPr>
      </w:pPr>
    </w:p>
    <w:p>
      <w:pPr>
        <w:ind w:left="1320" w:right="60" w:hanging="538"/>
        <w:spacing w:after="0" w:line="298" w:lineRule="auto"/>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"GasLog", the "Company", the "Group", the "Issuer", "we", "our", "us" or similar terms refers to GasLog Ltd. or any one or more of its subsidiaries (including GasLog Partners LP) or their predecessors, or to such entities collectively, except that when such terms are used in this prospectus supplement in reference to the common shares, the 8.75% Series A Cumulative Redeemable Perpetual Preference Shares (the "Series A Preference Shares") or the Notes, they refer to GasLog Ltd.;</w:t>
      </w:r>
    </w:p>
    <w:p>
      <w:pPr>
        <w:spacing w:after="0" w:line="180" w:lineRule="exact"/>
        <w:rPr>
          <w:rFonts w:ascii="Arial" w:cs="Arial" w:eastAsia="Arial" w:hAnsi="Arial"/>
          <w:sz w:val="16"/>
          <w:szCs w:val="16"/>
          <w:color w:val="auto"/>
        </w:rPr>
      </w:pPr>
    </w:p>
    <w:p>
      <w:pPr>
        <w:ind w:left="1320" w:right="260" w:hanging="538"/>
        <w:spacing w:after="0" w:line="332" w:lineRule="auto"/>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"GasLog Partners" or the "Partnership", refers to GasLog Partners LP, a master limited partnership formed by GasLog to acquire, own and operate liquefied natural gas, or "LNG", carriers under multi-year charters, or any one or more of GasLog Partners' subsidiaries;</w:t>
      </w:r>
    </w:p>
    <w:p>
      <w:pPr>
        <w:spacing w:after="0" w:line="152" w:lineRule="exact"/>
        <w:rPr>
          <w:rFonts w:ascii="Arial" w:cs="Arial" w:eastAsia="Arial" w:hAnsi="Arial"/>
          <w:sz w:val="16"/>
          <w:szCs w:val="16"/>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"general partner" refers to GasLog Partners GP LLC, the general partner of GasLog Partners;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our wholly owned subsidiary;</w:t>
      </w:r>
    </w:p>
    <w:p>
      <w:pPr>
        <w:spacing w:after="0" w:line="238" w:lineRule="exact"/>
        <w:rPr>
          <w:rFonts w:ascii="Arial" w:cs="Arial" w:eastAsia="Arial" w:hAnsi="Arial"/>
          <w:sz w:val="18"/>
          <w:szCs w:val="18"/>
          <w:color w:val="auto"/>
        </w:rPr>
      </w:pPr>
    </w:p>
    <w:p>
      <w:pPr>
        <w:ind w:left="1320" w:right="160" w:hanging="538"/>
        <w:spacing w:after="0" w:line="298" w:lineRule="auto"/>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80" w:lineRule="exact"/>
        <w:rPr>
          <w:rFonts w:ascii="Arial" w:cs="Arial" w:eastAsia="Arial" w:hAnsi="Arial"/>
          <w:sz w:val="16"/>
          <w:szCs w:val="16"/>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"MSL" refers to Methane Services Limited, a subsidiary of Shell;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"Samsung" refers to Samsung Heavy Industries Co., Ltd.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"Total" refers to Total Gas &amp; Power Chartering Limited, a wholly owned subsidiary of Total S.A.;</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"Cheniere" refers to Cheniere Energy, Inc.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"Trafigura" refers to Trafigura Maritime Logistics PTE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"Endesa" refers to Endesa, S.A. or any one or more of its subsidiaries;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"JERA" refers to JERA Co., Inc.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"Egypt LNG" refers to Egypt LNG Shipping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"Gastrade" refers to Gastrade S.A.;</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Cool Pool" refers to The Cool Pool Limited;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"Ceres Shipping" refers to Ceres Shipping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576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"IFRS" refers to International Financial Reporting Standards;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"IASB" refers to International Accounting Standards Board;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"dollars" and "$" refers to, and amounts are presented in, U.S. dollars;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"TFDE" refers to tri-fuel diesel electric engine propulsion;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"Steam" refers to steam-powered engine propulsion;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"cbm" refers to cubic meters;</w:t>
      </w:r>
    </w:p>
    <w:p>
      <w:pPr>
        <w:spacing w:after="0" w:line="252" w:lineRule="exact"/>
        <w:rPr>
          <w:rFonts w:ascii="Arial" w:cs="Arial" w:eastAsia="Arial" w:hAnsi="Arial"/>
          <w:sz w:val="18"/>
          <w:szCs w:val="18"/>
          <w:color w:val="auto"/>
        </w:rPr>
      </w:pPr>
    </w:p>
    <w:p>
      <w:pPr>
        <w:ind w:left="1320" w:right="28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"X-DF" refers to low pressure, dual-fuel two stroke engine propulsion manufactured by Winterthur Gas &amp; Diesel. Previously referred to as LP-2S;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"Dynagas" refers to Dynagas Ltd. and "Golar" refers to Golar LNG Ltd.;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"Mitsui" refers to Mitsui Co., Ltd. and "Lepta Shipping" refers to Lepta Shipping Co., Ltd., a subsidiary of Mitsui.</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May 13, 2019 consists of 35 LNG carriers, including 27 ships on the water and eight LNG carriers on order at one of the world's leading LNG shipbuilders, Samsung. This includes 15 LNG carriers in operation that are owned by our NYSE-listed subsidiary GasLog Partners, with which we have entered into certain agreements governing our relationship, including purchase options for certain of our ships. We currently manage and operate 27 LNG carriers including 11 of our wholly owned ships in operation, 14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have secured multi-year contracts for six of our owned ships, 14 of the 15 ships owned by the Partnership, all eight of our newbuildings on order and the one vessel secured under a long-term bareboat charter with Lepta Shipping. As of March 31, 2019 these contracts are expected to provide total contracted revenues of $4.0 billion during their initial terms, which expire between 2019 and 2029.</w:t>
      </w:r>
    </w:p>
    <w:p>
      <w:pPr>
        <w:spacing w:after="0" w:line="177" w:lineRule="exact"/>
        <w:rPr>
          <w:sz w:val="20"/>
          <w:szCs w:val="20"/>
          <w:color w:val="auto"/>
        </w:rPr>
      </w:pPr>
    </w:p>
    <w:p>
      <w:pPr>
        <w:ind w:left="240" w:right="160" w:firstLine="348"/>
        <w:spacing w:after="0" w:line="268" w:lineRule="auto"/>
        <w:rPr>
          <w:sz w:val="20"/>
          <w:szCs w:val="20"/>
          <w:color w:val="auto"/>
        </w:rPr>
      </w:pPr>
      <w:r>
        <w:rPr>
          <w:rFonts w:ascii="Arial" w:cs="Arial" w:eastAsia="Arial" w:hAnsi="Arial"/>
          <w:sz w:val="18"/>
          <w:szCs w:val="18"/>
          <w:color w:val="auto"/>
        </w:rPr>
        <w:t xml:space="preserve">The LNG carrier in which we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technically managed by us that is currently operating under a 20-year time charter to MSL.</w:t>
      </w:r>
    </w:p>
    <w:p>
      <w:pPr>
        <w:spacing w:after="0" w:line="186" w:lineRule="exact"/>
        <w:rPr>
          <w:sz w:val="20"/>
          <w:szCs w:val="20"/>
          <w:color w:val="auto"/>
        </w:rPr>
      </w:pPr>
    </w:p>
    <w:p>
      <w:pPr>
        <w:ind w:left="240" w:right="60" w:firstLine="351"/>
        <w:spacing w:after="0" w:line="294" w:lineRule="auto"/>
        <w:rPr>
          <w:sz w:val="20"/>
          <w:szCs w:val="20"/>
          <w:color w:val="auto"/>
        </w:rPr>
      </w:pPr>
      <w:r>
        <w:rPr>
          <w:rFonts w:ascii="Arial" w:cs="Arial" w:eastAsia="Arial" w:hAnsi="Arial"/>
          <w:sz w:val="16"/>
          <w:szCs w:val="16"/>
          <w:color w:val="auto"/>
        </w:rPr>
        <w:t>Our current time charters have initial terms of up to ten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 book of new LNG carriers has staggered delivery dates, facilitating a smooth integration of the ships into our fleet as well as significant annual growth through 2021. This has the additional advantage of spreading our exposure to the re-employment of these ships over several years upon expiration of their current charters.</w:t>
      </w:r>
    </w:p>
    <w:p>
      <w:pPr>
        <w:spacing w:after="0" w:line="170" w:lineRule="exact"/>
        <w:rPr>
          <w:sz w:val="20"/>
          <w:szCs w:val="20"/>
          <w:color w:val="auto"/>
        </w:rPr>
      </w:pPr>
    </w:p>
    <w:p>
      <w:pPr>
        <w:ind w:left="240" w:right="260" w:firstLine="351"/>
        <w:spacing w:after="0" w:line="370" w:lineRule="auto"/>
        <w:rPr>
          <w:sz w:val="20"/>
          <w:szCs w:val="20"/>
          <w:color w:val="auto"/>
        </w:rPr>
      </w:pPr>
      <w:r>
        <w:rPr>
          <w:rFonts w:ascii="Arial" w:cs="Arial" w:eastAsia="Arial" w:hAnsi="Arial"/>
          <w:sz w:val="15"/>
          <w:szCs w:val="15"/>
          <w:color w:val="auto"/>
        </w:rPr>
        <w:t>Each of our 27 owned and bareboat LNG carriers and eight LNG carriers under construction is designed with a capacity of between approximately 145,000 cbm and 180,000 cbm. We believe this size range maximizes their operational flexibility as these ships are compatible with most existing LNG</w:t>
      </w: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40"/>
        <w:spacing w:after="0" w:line="298" w:lineRule="auto"/>
        <w:rPr>
          <w:sz w:val="20"/>
          <w:szCs w:val="20"/>
          <w:color w:val="auto"/>
        </w:rPr>
      </w:pPr>
      <w:r>
        <w:rPr>
          <w:rFonts w:ascii="Arial" w:cs="Arial" w:eastAsia="Arial" w:hAnsi="Arial"/>
          <w:sz w:val="16"/>
          <w:szCs w:val="16"/>
          <w:color w:val="auto"/>
        </w:rPr>
        <w:t>terminals around the world. All but one of the LNG carriers in our owned and bareboat fleet are of similar specifications, which allows us to benefit from economies of scale and operating efficiencies in ship construction, crew training, crew rotation and shared spare parts. Upon delivery of the last of our eight contracted newbuildings, our owned fleet will have an average age of 6.9 years, making it one of the youngest in the industry. By comparison, as of December 31, 2018, the average age for the global fleet of LNG carriers, including LNG carriers of all sizes, was 9.9 years.</w:t>
      </w:r>
    </w:p>
    <w:p>
      <w:pPr>
        <w:spacing w:after="0" w:line="167"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18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27 ships currently operating under our management.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2018, GasLog continued the development of an FSRU business, acting on its strategic decision to enter this business segment.</w:t>
      </w:r>
    </w:p>
    <w:p>
      <w:pPr>
        <w:spacing w:after="0" w:line="225" w:lineRule="exact"/>
        <w:rPr>
          <w:sz w:val="20"/>
          <w:szCs w:val="20"/>
          <w:color w:val="auto"/>
        </w:rPr>
      </w:pPr>
    </w:p>
    <w:p>
      <w:pPr>
        <w:ind w:left="240" w:right="100" w:firstLine="342"/>
        <w:spacing w:after="0" w:line="298" w:lineRule="auto"/>
        <w:rPr>
          <w:sz w:val="20"/>
          <w:szCs w:val="20"/>
          <w:color w:val="auto"/>
        </w:rPr>
      </w:pPr>
      <w:r>
        <w:rPr>
          <w:rFonts w:ascii="Arial" w:cs="Arial" w:eastAsia="Arial" w:hAnsi="Arial"/>
          <w:sz w:val="16"/>
          <w:szCs w:val="16"/>
          <w:color w:val="auto"/>
        </w:rPr>
        <w:t>A wholly owned subsidiary of GasLog acquired a 20% shareholding in Gastrade in 2016. Subsequently in 2018, a wholly owned subsidiary of GasLog executed an FSRU Operation and Maintenance Agreement with Gastrade. Gastrade is licensed to develop an independent natural gas system offshore Alexandroupolis in Northern Greece utilizing an FSRU along with other fixed infrastructure. A Front End Engineering and Design study in 2017 by Wood Group and GasLog as subcontractor for the FSRU part of the study confirmed the selected offshore concept.</w:t>
      </w:r>
    </w:p>
    <w:p>
      <w:pPr>
        <w:spacing w:after="0" w:line="167" w:lineRule="exact"/>
        <w:rPr>
          <w:sz w:val="20"/>
          <w:szCs w:val="20"/>
          <w:color w:val="auto"/>
        </w:rPr>
      </w:pPr>
    </w:p>
    <w:p>
      <w:pPr>
        <w:ind w:left="240" w:right="160" w:firstLine="351"/>
        <w:spacing w:after="0" w:line="256" w:lineRule="auto"/>
        <w:rPr>
          <w:sz w:val="20"/>
          <w:szCs w:val="20"/>
          <w:color w:val="auto"/>
        </w:rPr>
      </w:pPr>
      <w:r>
        <w:rPr>
          <w:rFonts w:ascii="Arial" w:cs="Arial" w:eastAsia="Arial" w:hAnsi="Arial"/>
          <w:sz w:val="18"/>
          <w:szCs w:val="18"/>
          <w:color w:val="auto"/>
        </w:rPr>
        <w:t>On May 3, 2018, DEPA, the Greek State Gas Company, and Gastrade signed an agreement regarding the future capacity reservation by DEPA in the Alexandroupolis FSRU. In September, negotiations for the acquisition of 20% of the shares in Gastrade by DEPA was concluded. In December, the Bulgarian parliament approved the acquisition of 20% of the shares in Gastrade by Bulgartransgaz, the Bulgarian State Gas Transport Company. These share acquisitions have not been completed yet.</w:t>
      </w:r>
    </w:p>
    <w:p>
      <w:pPr>
        <w:spacing w:after="0" w:line="197"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On December 31, 2018, Gastrade's invitation to express interest in taking long term capacity in the Alexandroupolis FSRU was concluded with responses from 20 companies with an aggregated interest for up to 12.2 billion cubic meters per year of regasification capacity. This is the first phase of a process to secure binding commitment for capacity in the FSRU.</w:t>
      </w:r>
    </w:p>
    <w:p>
      <w:pPr>
        <w:spacing w:after="0" w:line="194"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During the first quarter of 2019, there was continued progress on the Alexandroupolis FSRU project workstreams. Preparation for the binding phase of the EU-regulated capacity commitment process (the "Market Test") continued during the period. Expressions of interest ("EOI") for the procurement of the FSRU and the construction of the pipeline and offshore installation have been received and several EOIs have been shortlisted. Tenders for the two separate infrastructure elements of the terminal project are expected to be launched in May. DEPA and Bulgartransgaz are both in the process of formalizing their respective shareholdings in Gastrade. The timing of a Final Investment Decision, which Gastrade had previously guided to mid-2019, is subject to successful conclusions of the workstreams described above, as well as successful completion of financing and state aid discussions and decisions by various regulatory bodies.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GasLog Partners</w:t>
      </w:r>
    </w:p>
    <w:p>
      <w:pPr>
        <w:spacing w:after="0" w:line="225" w:lineRule="exact"/>
        <w:rPr>
          <w:sz w:val="20"/>
          <w:szCs w:val="20"/>
          <w:color w:val="auto"/>
        </w:rPr>
      </w:pPr>
    </w:p>
    <w:p>
      <w:pPr>
        <w:ind w:left="240" w:right="160" w:firstLine="342"/>
        <w:spacing w:after="0" w:line="332" w:lineRule="auto"/>
        <w:rPr>
          <w:sz w:val="20"/>
          <w:szCs w:val="20"/>
          <w:color w:val="auto"/>
        </w:rPr>
      </w:pPr>
      <w:r>
        <w:rPr>
          <w:rFonts w:ascii="Arial" w:cs="Arial" w:eastAsia="Arial" w:hAnsi="Arial"/>
          <w:sz w:val="16"/>
          <w:szCs w:val="16"/>
          <w:color w:val="auto"/>
        </w:rPr>
        <w:t>As of May 13, 2019, the Company holds a 27.6% interest in GasLog Partners and, as a result of its ownership of the general partner and the fact that the general partner elects the majority of the Partnership's directors in accordance with the Partnership's partnership agreement, the Company has</w:t>
      </w:r>
    </w:p>
    <w:p>
      <w:pPr>
        <w:spacing w:after="0" w:line="200" w:lineRule="exact"/>
        <w:rPr>
          <w:sz w:val="20"/>
          <w:szCs w:val="20"/>
          <w:color w:val="auto"/>
        </w:rPr>
      </w:pPr>
    </w:p>
    <w:p>
      <w:pPr>
        <w:spacing w:after="0" w:line="3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7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07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ability to control the Partnership's affairs and policies. Consequently, GasLog Partners is consolidated in the Company's financial statements.</w:t>
      </w:r>
    </w:p>
    <w:p>
      <w:pPr>
        <w:spacing w:after="0" w:line="248" w:lineRule="exact"/>
        <w:rPr>
          <w:sz w:val="20"/>
          <w:szCs w:val="20"/>
          <w:color w:val="auto"/>
        </w:rPr>
      </w:pPr>
    </w:p>
    <w:p>
      <w:pPr>
        <w:ind w:left="240" w:right="520" w:firstLine="351"/>
        <w:spacing w:after="0" w:line="268" w:lineRule="auto"/>
        <w:rPr>
          <w:sz w:val="20"/>
          <w:szCs w:val="20"/>
          <w:color w:val="auto"/>
        </w:rPr>
      </w:pPr>
      <w:r>
        <w:rPr>
          <w:rFonts w:ascii="Arial" w:cs="Arial" w:eastAsia="Arial" w:hAnsi="Arial"/>
          <w:sz w:val="18"/>
          <w:szCs w:val="18"/>
          <w:color w:val="auto"/>
        </w:rPr>
        <w:t>GasLog Partners hold options to acquire from us 13 additional vessels and will have certain rights to acquire future vessels meeting certain criteria that have charters with a remaining term of at least five years.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wholly owned fleet and their associated time charters as of May 13, 2019:</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Year</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Capacity</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(cbm)</w:t>
            </w:r>
          </w:p>
        </w:tc>
        <w:tc>
          <w:tcPr>
            <w:tcW w:w="1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Period</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190"/>
        </w:trPr>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2"/>
              </w:rPr>
              <w:t xml:space="preserve">1 </w:t>
            </w:r>
            <w:r>
              <w:rPr>
                <w:rFonts w:ascii="Arial" w:cs="Arial" w:eastAsia="Arial" w:hAnsi="Arial"/>
                <w:sz w:val="18"/>
                <w:szCs w:val="18"/>
                <w:i w:val="1"/>
                <w:iCs w:val="1"/>
                <w:color w:val="auto"/>
                <w:w w:val="82"/>
              </w:rPr>
              <w:t>Methane</w:t>
            </w:r>
          </w:p>
        </w:tc>
        <w:tc>
          <w:tcPr>
            <w:tcW w:w="240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i w:val="1"/>
                <w:iCs w:val="1"/>
                <w:color w:val="auto"/>
              </w:rPr>
              <w:t>Lydon Volney</w:t>
            </w:r>
          </w:p>
        </w:tc>
        <w:tc>
          <w:tcPr>
            <w:tcW w:w="520" w:type="dxa"/>
            <w:vAlign w:val="bottom"/>
            <w:tcBorders>
              <w:top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89"/>
              </w:rPr>
              <w:t>2006</w:t>
            </w:r>
          </w:p>
        </w:tc>
        <w:tc>
          <w:tcPr>
            <w:tcW w:w="740" w:type="dxa"/>
            <w:vAlign w:val="bottom"/>
            <w:tcBorders>
              <w:top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89"/>
              </w:rPr>
              <w:t>145,000</w:t>
            </w:r>
          </w:p>
        </w:tc>
        <w:tc>
          <w:tcPr>
            <w:tcW w:w="12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Steam</w:t>
            </w: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October 2020</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GasLog Savannah</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2010</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155,000</w:t>
            </w:r>
          </w:p>
        </w:tc>
        <w:tc>
          <w:tcPr>
            <w:tcW w:w="122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GasLog Singapore</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2010</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155,000</w:t>
            </w:r>
          </w:p>
        </w:tc>
        <w:tc>
          <w:tcPr>
            <w:tcW w:w="12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GasLog Chelsea</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2010</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153,600</w:t>
            </w:r>
          </w:p>
        </w:tc>
        <w:tc>
          <w:tcPr>
            <w:tcW w:w="122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GasLog Skagen</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2013</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155,000</w:t>
            </w:r>
          </w:p>
        </w:tc>
        <w:tc>
          <w:tcPr>
            <w:tcW w:w="12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GasLog Saratoga</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2014</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September 2019</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Salem</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2015</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155,000</w:t>
            </w:r>
          </w:p>
        </w:tc>
        <w:tc>
          <w:tcPr>
            <w:tcW w:w="122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8 </w:t>
            </w:r>
            <w:r>
              <w:rPr>
                <w:rFonts w:ascii="Arial" w:cs="Arial" w:eastAsia="Arial" w:hAnsi="Arial"/>
                <w:sz w:val="18"/>
                <w:szCs w:val="18"/>
                <w:i w:val="1"/>
                <w:iCs w:val="1"/>
                <w:color w:val="auto"/>
              </w:rPr>
              <w:t>GasLog Houston</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2018</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174,000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May 2028</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2031-2034</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Hong Kong</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2018</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174,000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2025</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i w:val="1"/>
                <w:iCs w:val="1"/>
                <w:color w:val="auto"/>
              </w:rPr>
              <w:t>GasLog Genoa</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2018</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174,000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March 2027</w:t>
            </w:r>
          </w:p>
        </w:tc>
        <w:tc>
          <w:tcPr>
            <w:tcW w:w="9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2030-2033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GasLog Gladstone</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2019</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174,000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2029</w:t>
            </w:r>
          </w:p>
        </w:tc>
        <w:tc>
          <w:tcPr>
            <w:tcW w:w="9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2032-2035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May 13,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Cargo</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4"/>
                <w:szCs w:val="14"/>
                <w:color w:val="auto"/>
              </w:rPr>
            </w:pPr>
          </w:p>
        </w:tc>
        <w:tc>
          <w:tcPr>
            <w:tcW w:w="2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8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Charterer</w:t>
            </w:r>
          </w:p>
        </w:tc>
        <w:tc>
          <w:tcPr>
            <w:tcW w:w="1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7"/>
                <w:szCs w:val="17"/>
                <w:color w:val="auto"/>
              </w:rPr>
            </w:pPr>
          </w:p>
        </w:tc>
        <w:tc>
          <w:tcPr>
            <w:tcW w:w="80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2"/>
              </w:rPr>
              <w:t xml:space="preserve">1 </w:t>
            </w:r>
            <w:r>
              <w:rPr>
                <w:rFonts w:ascii="Arial" w:cs="Arial" w:eastAsia="Arial" w:hAnsi="Arial"/>
                <w:sz w:val="18"/>
                <w:szCs w:val="18"/>
                <w:i w:val="1"/>
                <w:iCs w:val="1"/>
                <w:color w:val="auto"/>
                <w:w w:val="82"/>
              </w:rPr>
              <w:t>Methane</w:t>
            </w:r>
          </w:p>
        </w:tc>
        <w:tc>
          <w:tcPr>
            <w:tcW w:w="1860" w:type="dxa"/>
            <w:vAlign w:val="bottom"/>
            <w:tcBorders>
              <w:top w:val="single" w:sz="8" w:color="CCEEFF"/>
            </w:tcBorders>
            <w:shd w:val="clear" w:color="auto" w:fill="CCEEFF"/>
          </w:tcPr>
          <w:p>
            <w:pPr>
              <w:jc w:val="center"/>
              <w:ind w:right="792"/>
              <w:spacing w:after="0" w:line="189" w:lineRule="exact"/>
              <w:rPr>
                <w:sz w:val="20"/>
                <w:szCs w:val="20"/>
                <w:color w:val="auto"/>
              </w:rPr>
            </w:pPr>
            <w:r>
              <w:rPr>
                <w:rFonts w:ascii="Arial" w:cs="Arial" w:eastAsia="Arial" w:hAnsi="Arial"/>
                <w:sz w:val="18"/>
                <w:szCs w:val="18"/>
                <w:i w:val="1"/>
                <w:iCs w:val="1"/>
                <w:color w:val="auto"/>
                <w:w w:val="90"/>
              </w:rPr>
              <w:t>Rita Andrea</w:t>
            </w:r>
          </w:p>
        </w:tc>
        <w:tc>
          <w:tcPr>
            <w:tcW w:w="7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2006</w:t>
            </w:r>
          </w:p>
        </w:tc>
        <w:tc>
          <w:tcPr>
            <w:tcW w:w="880" w:type="dxa"/>
            <w:vAlign w:val="bottom"/>
            <w:tcBorders>
              <w:top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145,000</w:t>
            </w:r>
          </w:p>
        </w:tc>
        <w:tc>
          <w:tcPr>
            <w:tcW w:w="1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Steam</w:t>
            </w:r>
          </w:p>
        </w:tc>
        <w:tc>
          <w:tcPr>
            <w:tcW w:w="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April 2020</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Methane Jane Elizabeth</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October 2019</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Methane Alison Victoria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i w:val="1"/>
                <w:iCs w:val="1"/>
                <w:color w:val="auto"/>
              </w:rPr>
              <w:t>Methane Jane Elizabeth/</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7"/>
              </w:rPr>
              <w:t>Trafigura</w:t>
            </w:r>
            <w:r>
              <w:rPr>
                <w:rFonts w:ascii="Arial" w:cs="Arial" w:eastAsia="Arial" w:hAnsi="Arial"/>
                <w:sz w:val="29"/>
                <w:szCs w:val="29"/>
                <w:color w:val="auto"/>
                <w:w w:val="87"/>
                <w:vertAlign w:val="superscript"/>
              </w:rPr>
              <w:t>(4)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November/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2580" w:type="dxa"/>
            <w:vAlign w:val="bottom"/>
            <w:gridSpan w:val="2"/>
          </w:tcPr>
          <w:p>
            <w:pPr>
              <w:jc w:val="center"/>
              <w:ind w:right="72"/>
              <w:spacing w:after="0"/>
              <w:rPr>
                <w:sz w:val="20"/>
                <w:szCs w:val="20"/>
                <w:color w:val="auto"/>
              </w:rPr>
            </w:pPr>
            <w:r>
              <w:rPr>
                <w:rFonts w:ascii="Arial" w:cs="Arial" w:eastAsia="Arial" w:hAnsi="Arial"/>
                <w:sz w:val="18"/>
                <w:szCs w:val="18"/>
                <w:i w:val="1"/>
                <w:iCs w:val="1"/>
                <w:color w:val="auto"/>
                <w:w w:val="89"/>
              </w:rPr>
              <w:t>Methane Alison Victoria</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2006/2007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December 2020</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2021-2024</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Methane Shirley Elisabeth</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Methane Heather Sally</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December 2020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Methane Becki Anne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2024</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2027-2029</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Shanghai</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22"/>
                <w:szCs w:val="22"/>
                <w:color w:val="auto"/>
              </w:rPr>
            </w:pPr>
          </w:p>
        </w:tc>
        <w:tc>
          <w:tcPr>
            <w:tcW w:w="122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2020" w:type="dxa"/>
            <w:vAlign w:val="bottom"/>
            <w:gridSpan w:val="2"/>
          </w:tcPr>
          <w:p>
            <w:pPr>
              <w:jc w:val="center"/>
              <w:ind w:right="1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i w:val="1"/>
                <w:iCs w:val="1"/>
                <w:color w:val="auto"/>
              </w:rPr>
              <w:t>GasLog Santiago</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Trafigura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2021</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2022-2028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Sydney</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June 2020</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2020-2021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i w:val="1"/>
                <w:iCs w:val="1"/>
                <w:color w:val="auto"/>
              </w:rPr>
              <w:t>GasLog Seattle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Solaris</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i w:val="1"/>
                <w:iCs w:val="1"/>
                <w:color w:val="auto"/>
              </w:rPr>
              <w:t>GasLog Greece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2026</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i w:val="1"/>
                <w:iCs w:val="1"/>
                <w:color w:val="auto"/>
              </w:rPr>
              <w:t>GasLog Glasgow</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June 2026</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i w:val="1"/>
                <w:iCs w:val="1"/>
                <w:color w:val="auto"/>
              </w:rPr>
              <w:t>GasLog Geneva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2023</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2028-2031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i w:val="1"/>
                <w:iCs w:val="1"/>
                <w:color w:val="auto"/>
              </w:rPr>
              <w:t>GasLog Gibraltar</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2028-2031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S-4</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9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59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Bareboat Vessel</w:t>
      </w:r>
    </w:p>
    <w:p>
      <w:pPr>
        <w:spacing w:after="0" w:line="20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(cbm)</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Period</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43"/>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2"/>
              </w:rPr>
              <w:t xml:space="preserve">1 </w:t>
            </w:r>
            <w:r>
              <w:rPr>
                <w:rFonts w:ascii="Arial" w:cs="Arial" w:eastAsia="Arial" w:hAnsi="Arial"/>
                <w:sz w:val="18"/>
                <w:szCs w:val="18"/>
                <w:i w:val="1"/>
                <w:iCs w:val="1"/>
                <w:color w:val="auto"/>
                <w:w w:val="82"/>
              </w:rPr>
              <w:t>Methane</w:t>
            </w:r>
          </w:p>
        </w:tc>
        <w:tc>
          <w:tcPr>
            <w:tcW w:w="2380" w:type="dxa"/>
            <w:vAlign w:val="bottom"/>
            <w:tcBorders>
              <w:top w:val="single" w:sz="8" w:color="CCEEFF"/>
            </w:tcBorders>
            <w:gridSpan w:val="2"/>
            <w:shd w:val="clear" w:color="auto" w:fill="CCEEFF"/>
          </w:tcPr>
          <w:p>
            <w:pPr>
              <w:ind w:left="80"/>
              <w:spacing w:after="0" w:line="243" w:lineRule="exact"/>
              <w:rPr>
                <w:sz w:val="20"/>
                <w:szCs w:val="20"/>
                <w:color w:val="auto"/>
              </w:rPr>
            </w:pPr>
            <w:r>
              <w:rPr>
                <w:rFonts w:ascii="Arial" w:cs="Arial" w:eastAsia="Arial" w:hAnsi="Arial"/>
                <w:sz w:val="17"/>
                <w:szCs w:val="17"/>
                <w:i w:val="1"/>
                <w:iCs w:val="1"/>
                <w:color w:val="auto"/>
              </w:rPr>
              <w:t>Julia Louise</w:t>
            </w:r>
            <w:r>
              <w:rPr>
                <w:rFonts w:ascii="Arial" w:cs="Arial" w:eastAsia="Arial" w:hAnsi="Arial"/>
                <w:sz w:val="28"/>
                <w:szCs w:val="28"/>
                <w:color w:val="auto"/>
                <w:vertAlign w:val="superscript"/>
              </w:rPr>
              <w:t>(5)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1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2026</w:t>
            </w:r>
          </w:p>
        </w:tc>
        <w:tc>
          <w:tcPr>
            <w:tcW w:w="960" w:type="dxa"/>
            <w:vAlign w:val="bottom"/>
            <w:tcBorders>
              <w:top w:val="single" w:sz="8" w:color="CCEEFF"/>
            </w:tcBorders>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2029-2031</w:t>
            </w: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100" w:hanging="545"/>
        <w:spacing w:after="0"/>
        <w:tabs>
          <w:tab w:leader="none" w:pos="21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22" w:lineRule="exact"/>
        <w:rPr>
          <w:rFonts w:ascii="Arial" w:cs="Arial" w:eastAsia="Arial" w:hAnsi="Arial"/>
          <w:sz w:val="11"/>
          <w:szCs w:val="11"/>
          <w:color w:val="auto"/>
        </w:rPr>
      </w:pPr>
    </w:p>
    <w:p>
      <w:pPr>
        <w:ind w:left="2100" w:hanging="545"/>
        <w:spacing w:after="0" w:line="265" w:lineRule="auto"/>
        <w:tabs>
          <w:tab w:leader="none" w:pos="2100" w:val="left"/>
        </w:tabs>
        <w:numPr>
          <w:ilvl w:val="0"/>
          <w:numId w:val="3"/>
        </w:numPr>
        <w:rPr>
          <w:rFonts w:ascii="Arial" w:cs="Arial" w:eastAsia="Arial" w:hAnsi="Arial"/>
          <w:sz w:val="10"/>
          <w:szCs w:val="10"/>
          <w:color w:val="auto"/>
        </w:rPr>
      </w:pPr>
      <w:r>
        <w:rPr>
          <w:rFonts w:ascii="Arial" w:cs="Arial" w:eastAsia="Arial" w:hAnsi="Arial"/>
          <w:sz w:val="12"/>
          <w:szCs w:val="12"/>
          <w:color w:val="auto"/>
        </w:rPr>
        <w:t xml:space="preserve">The period shown reflects the expiration of the minimum optional period and the maximum optional period. The charterer of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2"/>
          <w:szCs w:val="12"/>
          <w:i w:val="1"/>
          <w:iCs w:val="1"/>
          <w:color w:val="auto"/>
        </w:rPr>
        <w:t xml:space="preserve">GasLog Sydney </w:t>
      </w:r>
      <w:r>
        <w:rPr>
          <w:rFonts w:ascii="Arial" w:cs="Arial" w:eastAsia="Arial" w:hAnsi="Arial"/>
          <w:sz w:val="12"/>
          <w:szCs w:val="12"/>
          <w:color w:val="auto"/>
        </w:rPr>
        <w:t>may extend the term of this time charter for a period ranging from six to twelve months, provided that the charterer provides us with advance notice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declaration. The charterer of the </w:t>
      </w:r>
      <w:r>
        <w:rPr>
          <w:rFonts w:ascii="Arial" w:cs="Arial" w:eastAsia="Arial" w:hAnsi="Arial"/>
          <w:sz w:val="12"/>
          <w:szCs w:val="12"/>
          <w:i w:val="1"/>
          <w:iCs w:val="1"/>
          <w:color w:val="auto"/>
        </w:rPr>
        <w:t>Methane Becki Anne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has unilateral options to extend the term of the related time charters for a period of either three or five years at the charterer's election, provided that the charterer provides us with advance notice of declaration of any option in accordance with the terms of the applicable charter. The charterer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Glasgow</w:t>
      </w:r>
      <w:r>
        <w:rPr>
          <w:rFonts w:ascii="Arial" w:cs="Arial" w:eastAsia="Arial" w:hAnsi="Arial"/>
          <w:sz w:val="12"/>
          <w:szCs w:val="12"/>
          <w:color w:val="auto"/>
        </w:rPr>
        <w:t xml:space="preserve"> has the right to extend the charters for a period of five years at the charterer's option. The charterer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Gibraltar</w:t>
      </w:r>
      <w:r>
        <w:rPr>
          <w:rFonts w:ascii="Arial" w:cs="Arial" w:eastAsia="Arial" w:hAnsi="Arial"/>
          <w:sz w:val="12"/>
          <w:szCs w:val="12"/>
          <w:color w:val="auto"/>
        </w:rPr>
        <w:t xml:space="preserve"> has the right to extend each charter by two additional periods of five and three years, provided that the charterer provides us with advance notice of declaration. The charterer of the </w:t>
      </w:r>
      <w:r>
        <w:rPr>
          <w:rFonts w:ascii="Arial" w:cs="Arial" w:eastAsia="Arial" w:hAnsi="Arial"/>
          <w:sz w:val="12"/>
          <w:szCs w:val="12"/>
          <w:i w:val="1"/>
          <w:iCs w:val="1"/>
          <w:color w:val="auto"/>
        </w:rPr>
        <w:t>GasLog Houston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Genoa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Gladstone</w:t>
      </w:r>
      <w:r>
        <w:rPr>
          <w:rFonts w:ascii="Arial" w:cs="Arial" w:eastAsia="Arial" w:hAnsi="Arial"/>
          <w:sz w:val="12"/>
          <w:szCs w:val="12"/>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Hong Kong </w:t>
      </w:r>
      <w:r>
        <w:rPr>
          <w:rFonts w:ascii="Arial" w:cs="Arial" w:eastAsia="Arial" w:hAnsi="Arial"/>
          <w:sz w:val="12"/>
          <w:szCs w:val="12"/>
          <w:color w:val="auto"/>
        </w:rPr>
        <w:t>has the right to extend the charter for a period of three years, provided that the charterer provides us with advance notice of declaration.</w:t>
      </w:r>
    </w:p>
    <w:p>
      <w:pPr>
        <w:spacing w:after="0" w:line="96" w:lineRule="exact"/>
        <w:rPr>
          <w:rFonts w:ascii="Arial" w:cs="Arial" w:eastAsia="Arial" w:hAnsi="Arial"/>
          <w:sz w:val="10"/>
          <w:szCs w:val="10"/>
          <w:color w:val="auto"/>
        </w:rPr>
      </w:pPr>
    </w:p>
    <w:p>
      <w:pPr>
        <w:ind w:left="2100" w:hanging="545"/>
        <w:spacing w:after="0"/>
        <w:tabs>
          <w:tab w:leader="none" w:pos="2100" w:val="left"/>
        </w:tabs>
        <w:numPr>
          <w:ilvl w:val="0"/>
          <w:numId w:val="3"/>
        </w:numPr>
        <w:rPr>
          <w:rFonts w:ascii="Arial" w:cs="Arial" w:eastAsia="Arial" w:hAnsi="Arial"/>
          <w:sz w:val="11"/>
          <w:szCs w:val="11"/>
          <w:color w:val="auto"/>
        </w:rPr>
      </w:pPr>
      <w:r>
        <w:rPr>
          <w:rFonts w:ascii="Arial" w:cs="Arial" w:eastAsia="Arial" w:hAnsi="Arial"/>
          <w:sz w:val="14"/>
          <w:szCs w:val="14"/>
          <w:color w:val="auto"/>
        </w:rPr>
        <w:t>Vessels currently operating in the spot market under the Cool Pool.</w:t>
      </w:r>
    </w:p>
    <w:p>
      <w:pPr>
        <w:spacing w:after="0" w:line="122" w:lineRule="exact"/>
        <w:rPr>
          <w:rFonts w:ascii="Arial" w:cs="Arial" w:eastAsia="Arial" w:hAnsi="Arial"/>
          <w:sz w:val="11"/>
          <w:szCs w:val="11"/>
          <w:color w:val="auto"/>
        </w:rPr>
      </w:pPr>
    </w:p>
    <w:p>
      <w:pPr>
        <w:ind w:left="2100" w:right="160" w:hanging="545"/>
        <w:spacing w:after="0" w:line="233" w:lineRule="auto"/>
        <w:tabs>
          <w:tab w:leader="none" w:pos="210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On March 22, 2018, a new charter party agreement was signed with Trafigura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until November or December 2020, with the charterer having the option to extend the charter from one to four years.</w:t>
      </w:r>
    </w:p>
    <w:p>
      <w:pPr>
        <w:spacing w:after="0" w:line="111" w:lineRule="exact"/>
        <w:rPr>
          <w:rFonts w:ascii="Arial" w:cs="Arial" w:eastAsia="Arial" w:hAnsi="Arial"/>
          <w:sz w:val="11"/>
          <w:szCs w:val="11"/>
          <w:color w:val="auto"/>
        </w:rPr>
      </w:pPr>
    </w:p>
    <w:p>
      <w:pPr>
        <w:ind w:left="2100" w:right="100" w:hanging="545"/>
        <w:spacing w:after="0" w:line="278" w:lineRule="auto"/>
        <w:tabs>
          <w:tab w:leader="none" w:pos="2100" w:val="left"/>
        </w:tabs>
        <w:numPr>
          <w:ilvl w:val="0"/>
          <w:numId w:val="3"/>
        </w:numPr>
        <w:rPr>
          <w:rFonts w:ascii="Arial" w:cs="Arial" w:eastAsia="Arial" w:hAnsi="Arial"/>
          <w:sz w:val="10"/>
          <w:szCs w:val="10"/>
          <w:color w:val="auto"/>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Newbuilds</w:t>
      </w:r>
    </w:p>
    <w:p>
      <w:pPr>
        <w:spacing w:after="0" w:line="20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0"/>
              </w:rPr>
              <w:t>Vessel Name</w:t>
            </w:r>
          </w:p>
        </w:tc>
        <w:tc>
          <w:tcPr>
            <w:tcW w:w="1540" w:type="dxa"/>
            <w:vAlign w:val="bottom"/>
            <w:gridSpan w:val="2"/>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Delivery</w:t>
            </w:r>
            <w:r>
              <w:rPr>
                <w:rFonts w:ascii="Arial" w:cs="Arial" w:eastAsia="Arial" w:hAnsi="Arial"/>
                <w:sz w:val="20"/>
                <w:szCs w:val="20"/>
                <w:b w:val="1"/>
                <w:bCs w:val="1"/>
                <w:color w:val="auto"/>
                <w:w w:val="92"/>
                <w:vertAlign w:val="superscript"/>
              </w:rPr>
              <w:t>(1)</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(2)</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Period</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vMerge w:val="restart"/>
            <w:shd w:val="clear" w:color="auto" w:fill="CCEEFF"/>
          </w:tcPr>
          <w:p>
            <w:pPr>
              <w:jc w:val="center"/>
              <w:spacing w:after="0" w:line="250" w:lineRule="exact"/>
              <w:rPr>
                <w:sz w:val="20"/>
                <w:szCs w:val="20"/>
                <w:color w:val="auto"/>
              </w:rPr>
            </w:pPr>
            <w:r>
              <w:rPr>
                <w:rFonts w:ascii="Arial" w:cs="Arial" w:eastAsia="Arial" w:hAnsi="Arial"/>
                <w:sz w:val="17"/>
                <w:szCs w:val="17"/>
                <w:color w:val="auto"/>
                <w:w w:val="81"/>
              </w:rPr>
              <w:t>Endesa</w:t>
            </w:r>
            <w:r>
              <w:rPr>
                <w:rFonts w:ascii="Arial" w:cs="Arial" w:eastAsia="Arial" w:hAnsi="Arial"/>
                <w:sz w:val="28"/>
                <w:szCs w:val="28"/>
                <w:color w:val="auto"/>
                <w:w w:val="81"/>
                <w:vertAlign w:val="superscript"/>
              </w:rPr>
              <w:t>(4)</w:t>
            </w: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spacing w:after="0" w:line="20" w:lineRule="exact"/>
              <w:rPr>
                <w:sz w:val="1"/>
                <w:szCs w:val="1"/>
                <w:color w:val="auto"/>
              </w:rPr>
            </w:pPr>
          </w:p>
        </w:tc>
        <w:tc>
          <w:tcPr>
            <w:tcW w:w="9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1</w:t>
            </w:r>
          </w:p>
        </w:tc>
        <w:tc>
          <w:tcPr>
            <w:tcW w:w="21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GasLog Warsaw</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Q3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2029</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2035-2041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2</w:t>
            </w:r>
          </w:p>
        </w:tc>
        <w:tc>
          <w:tcPr>
            <w:tcW w:w="214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2213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Q2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2027</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2029-2033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3</w:t>
            </w:r>
          </w:p>
        </w:tc>
        <w:tc>
          <w:tcPr>
            <w:tcW w:w="21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2274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Q2 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JERA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2032</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2035-2038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4</w:t>
            </w:r>
          </w:p>
        </w:tc>
        <w:tc>
          <w:tcPr>
            <w:tcW w:w="214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2262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Q3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2027</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2029-2033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5</w:t>
            </w:r>
          </w:p>
        </w:tc>
        <w:tc>
          <w:tcPr>
            <w:tcW w:w="21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2300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Q4 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2027</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2030-2034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6</w:t>
            </w:r>
          </w:p>
        </w:tc>
        <w:tc>
          <w:tcPr>
            <w:tcW w:w="214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2301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Q4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2027</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2030-2034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7</w:t>
            </w:r>
          </w:p>
        </w:tc>
        <w:tc>
          <w:tcPr>
            <w:tcW w:w="21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Hull No. 2311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Q2 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2028</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2031-2035</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8</w:t>
            </w:r>
          </w:p>
        </w:tc>
        <w:tc>
          <w:tcPr>
            <w:tcW w:w="2140" w:type="dxa"/>
            <w:vAlign w:val="bottom"/>
            <w:gridSpan w:val="3"/>
          </w:tcPr>
          <w:p>
            <w:pPr>
              <w:ind w:left="20"/>
              <w:spacing w:after="0"/>
              <w:rPr>
                <w:sz w:val="20"/>
                <w:szCs w:val="20"/>
                <w:color w:val="auto"/>
              </w:rPr>
            </w:pPr>
            <w:r>
              <w:rPr>
                <w:rFonts w:ascii="Arial" w:cs="Arial" w:eastAsia="Arial" w:hAnsi="Arial"/>
                <w:sz w:val="18"/>
                <w:szCs w:val="18"/>
                <w:i w:val="1"/>
                <w:iCs w:val="1"/>
                <w:color w:val="auto"/>
              </w:rPr>
              <w:t>Hull No. 2312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Q3 2021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X-DF</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2028</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2031-2035</w:t>
            </w:r>
          </w:p>
        </w:tc>
        <w:tc>
          <w:tcPr>
            <w:tcW w:w="0" w:type="dxa"/>
            <w:vAlign w:val="bottom"/>
          </w:tcPr>
          <w:p>
            <w:pPr>
              <w:spacing w:after="0"/>
              <w:rPr>
                <w:sz w:val="1"/>
                <w:szCs w:val="1"/>
                <w:color w:val="auto"/>
              </w:rPr>
            </w:pPr>
          </w:p>
        </w:tc>
      </w:tr>
      <w:tr>
        <w:trPr>
          <w:trHeight w:val="96"/>
        </w:trPr>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100" w:hanging="545"/>
        <w:spacing w:after="0"/>
        <w:tabs>
          <w:tab w:leader="none" w:pos="2100" w:val="left"/>
        </w:tabs>
        <w:numPr>
          <w:ilvl w:val="0"/>
          <w:numId w:val="4"/>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2100" w:hanging="545"/>
        <w:spacing w:after="0"/>
        <w:tabs>
          <w:tab w:leader="none" w:pos="210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22" w:lineRule="exact"/>
        <w:rPr>
          <w:rFonts w:ascii="Arial" w:cs="Arial" w:eastAsia="Arial" w:hAnsi="Arial"/>
          <w:sz w:val="11"/>
          <w:szCs w:val="11"/>
          <w:color w:val="auto"/>
        </w:rPr>
      </w:pPr>
    </w:p>
    <w:p>
      <w:pPr>
        <w:ind w:left="2100" w:right="40" w:hanging="545"/>
        <w:spacing w:after="0" w:line="278" w:lineRule="auto"/>
        <w:tabs>
          <w:tab w:leader="none" w:pos="2100" w:val="left"/>
        </w:tabs>
        <w:numPr>
          <w:ilvl w:val="0"/>
          <w:numId w:val="4"/>
        </w:numPr>
        <w:rPr>
          <w:rFonts w:ascii="Arial" w:cs="Arial" w:eastAsia="Arial" w:hAnsi="Arial"/>
          <w:sz w:val="10"/>
          <w:szCs w:val="10"/>
          <w:color w:val="auto"/>
        </w:rPr>
      </w:pPr>
      <w:r>
        <w:rPr>
          <w:rFonts w:ascii="Arial" w:cs="Arial" w:eastAsia="Arial" w:hAnsi="Arial"/>
          <w:sz w:val="12"/>
          <w:szCs w:val="12"/>
          <w:color w:val="auto"/>
        </w:rPr>
        <w:t xml:space="preserve">The charterer of the </w:t>
      </w:r>
      <w:r>
        <w:rPr>
          <w:rFonts w:ascii="Arial" w:cs="Arial" w:eastAsia="Arial" w:hAnsi="Arial"/>
          <w:sz w:val="12"/>
          <w:szCs w:val="12"/>
          <w:i w:val="1"/>
          <w:iCs w:val="1"/>
          <w:color w:val="auto"/>
        </w:rPr>
        <w:t>GasLog Warsaw</w:t>
      </w:r>
      <w:r>
        <w:rPr>
          <w:rFonts w:ascii="Arial" w:cs="Arial" w:eastAsia="Arial" w:hAnsi="Arial"/>
          <w:sz w:val="12"/>
          <w:szCs w:val="12"/>
          <w:color w:val="auto"/>
        </w:rPr>
        <w:t xml:space="preserve"> has the right to extend the charter by two consecutive periods of six years at the charterer's option. The charterer of Hull No. 2213 and Hull No. 2262 has the right to extend the charters by three consecutive periods of two years each at the charterer's option. The charterer of Hull No. 2274 has the right to extend the charter by two consecutive periods of three years at the charterer's option. The charterer of Hull Nos. 2300, 2301, 2311 and 2312 has the right to extend the charters by three consecutive periods of three years, two years and two years, respectively, each at the charterer's option.</w:t>
      </w:r>
    </w:p>
    <w:p>
      <w:pPr>
        <w:spacing w:after="0" w:line="89" w:lineRule="exact"/>
        <w:rPr>
          <w:rFonts w:ascii="Arial" w:cs="Arial" w:eastAsia="Arial" w:hAnsi="Arial"/>
          <w:sz w:val="10"/>
          <w:szCs w:val="10"/>
          <w:color w:val="auto"/>
        </w:rPr>
      </w:pPr>
    </w:p>
    <w:p>
      <w:pPr>
        <w:ind w:left="2100" w:hanging="545"/>
        <w:spacing w:after="0"/>
        <w:tabs>
          <w:tab w:leader="none" w:pos="210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vessel is chartered to a wholly owned subsidiary of Endesa. The charter will commence in May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30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key characteristics of our owned fleet include the following:</w:t>
      </w:r>
    </w:p>
    <w:p>
      <w:pPr>
        <w:spacing w:after="0" w:line="252" w:lineRule="exact"/>
        <w:rPr>
          <w:sz w:val="20"/>
          <w:szCs w:val="20"/>
          <w:color w:val="auto"/>
        </w:rPr>
      </w:pPr>
    </w:p>
    <w:p>
      <w:pPr>
        <w:jc w:val="both"/>
        <w:ind w:left="1320" w:right="18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320" w:right="7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221"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our ships is equipped with a modern steam turbine or has TFDE or X-DF engine propulsion technology;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Bermuda is the flag state of each delivered ship;</w:t>
      </w:r>
    </w:p>
    <w:p>
      <w:pPr>
        <w:spacing w:after="0" w:line="238" w:lineRule="exact"/>
        <w:rPr>
          <w:rFonts w:ascii="Arial" w:cs="Arial" w:eastAsia="Arial" w:hAnsi="Arial"/>
          <w:sz w:val="18"/>
          <w:szCs w:val="18"/>
          <w:color w:val="auto"/>
        </w:rPr>
      </w:pPr>
    </w:p>
    <w:p>
      <w:pPr>
        <w:ind w:left="1320" w:hanging="538"/>
        <w:spacing w:after="0" w:line="306"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87"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delivery of the last of our eight contracted newbuildings in 2021, our owned fleet will have an average age of 6.9 years, making it one of the youngest in the industry, compared to a current average age of 9.9 years for the global LNG carrier fleet including LNG carriers of all sizes as of December 31, 2018.</w:t>
      </w:r>
    </w:p>
    <w:p>
      <w:pPr>
        <w:spacing w:after="0" w:line="194" w:lineRule="exact"/>
        <w:rPr>
          <w:sz w:val="20"/>
          <w:szCs w:val="20"/>
          <w:color w:val="auto"/>
        </w:rPr>
      </w:pPr>
    </w:p>
    <w:p>
      <w:pPr>
        <w:ind w:left="240" w:right="60" w:firstLine="351"/>
        <w:spacing w:after="0" w:line="259" w:lineRule="auto"/>
        <w:rPr>
          <w:sz w:val="20"/>
          <w:szCs w:val="20"/>
          <w:color w:val="auto"/>
        </w:rPr>
      </w:pPr>
      <w:r>
        <w:rPr>
          <w:rFonts w:ascii="Arial" w:cs="Arial" w:eastAsia="Arial" w:hAnsi="Arial"/>
          <w:sz w:val="18"/>
          <w:szCs w:val="18"/>
          <w:color w:val="auto"/>
        </w:rPr>
        <w:t xml:space="preserve">In addition to our owned fleet, we have a 25% ownership interest in Egypt LNG, an entity whose principal asset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Methane Nile Eagle </w:t>
      </w:r>
      <w:r>
        <w:rPr>
          <w:rFonts w:ascii="Arial" w:cs="Arial" w:eastAsia="Arial" w:hAnsi="Arial"/>
          <w:sz w:val="18"/>
          <w:szCs w:val="18"/>
          <w:color w:val="auto"/>
        </w:rPr>
        <w:t>is a 145,000 cbm LNG carrier that was built in 2007. It is currently chartered to MSL under a 20-year time charter, which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 for up to 10 years at the charterer's option.</w:t>
      </w:r>
    </w:p>
    <w:p>
      <w:pPr>
        <w:spacing w:after="0" w:line="194" w:lineRule="exact"/>
        <w:rPr>
          <w:sz w:val="20"/>
          <w:szCs w:val="20"/>
          <w:color w:val="auto"/>
        </w:rPr>
      </w:pPr>
    </w:p>
    <w:p>
      <w:pPr>
        <w:ind w:left="240" w:right="280" w:firstLine="348"/>
        <w:spacing w:after="0" w:line="259" w:lineRule="auto"/>
        <w:rPr>
          <w:sz w:val="20"/>
          <w:szCs w:val="20"/>
          <w:color w:val="auto"/>
        </w:rPr>
      </w:pPr>
      <w:r>
        <w:rPr>
          <w:rFonts w:ascii="Arial" w:cs="Arial" w:eastAsia="Arial" w:hAnsi="Arial"/>
          <w:sz w:val="18"/>
          <w:szCs w:val="18"/>
          <w:color w:val="auto"/>
        </w:rPr>
        <w:t>We continually evaluate short and long-term charter opportunities for our vessels. Our discussions with potential charterers are at various stages of advancement; however, as of the date of this prospectus supplement, we cannot provide assurance that we will conclude any particular charter or, if concluded, the charter rate that will apply.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Managed Fleet</w:t>
      </w:r>
    </w:p>
    <w:p>
      <w:pPr>
        <w:spacing w:after="0" w:line="225" w:lineRule="exact"/>
        <w:rPr>
          <w:sz w:val="20"/>
          <w:szCs w:val="20"/>
          <w:color w:val="auto"/>
        </w:rPr>
      </w:pPr>
    </w:p>
    <w:p>
      <w:pPr>
        <w:ind w:left="240" w:firstLine="348"/>
        <w:spacing w:after="0" w:line="256" w:lineRule="auto"/>
        <w:rPr>
          <w:sz w:val="20"/>
          <w:szCs w:val="20"/>
          <w:color w:val="auto"/>
        </w:rPr>
      </w:pPr>
      <w:r>
        <w:rPr>
          <w:rFonts w:ascii="Arial" w:cs="Arial" w:eastAsia="Arial" w:hAnsi="Arial"/>
          <w:sz w:val="18"/>
          <w:szCs w:val="18"/>
          <w:color w:val="auto"/>
        </w:rPr>
        <w:t xml:space="preserve">Through GasLog LNG Services, we provide technical ship management services for one LNG carrier owned by a third party in addition to management of the 26 LNG carriers currently operating in our owned and bareboat fleet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We supervised the construction of each LNG carrier in our managed fleet, and each ship has operated under our technical management since its delivery from the shipyard with the exception of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information about our managed, third party owned ship (not including the bareboat vessel):</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49"/>
        </w:trPr>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Capacity</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GasLog</w:t>
            </w:r>
          </w:p>
        </w:tc>
        <w:tc>
          <w:tcPr>
            <w:tcW w:w="2040" w:type="dxa"/>
            <w:vAlign w:val="bottom"/>
          </w:tcPr>
          <w:p>
            <w:pPr>
              <w:spacing w:after="0"/>
              <w:rPr>
                <w:sz w:val="12"/>
                <w:szCs w:val="12"/>
                <w:color w:val="auto"/>
              </w:rPr>
            </w:pP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Vessel Name</w:t>
            </w:r>
          </w:p>
        </w:tc>
        <w:tc>
          <w:tcPr>
            <w:tcW w:w="2640" w:type="dxa"/>
            <w:vAlign w:val="bottom"/>
            <w:gridSpan w:val="2"/>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Ship Owner</w:t>
            </w:r>
          </w:p>
        </w:tc>
      </w:tr>
      <w:tr>
        <w:trPr>
          <w:trHeight w:val="250"/>
        </w:trPr>
        <w:tc>
          <w:tcPr>
            <w:tcW w:w="33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i w:val="1"/>
                <w:iCs w:val="1"/>
                <w:color w:val="auto"/>
              </w:rPr>
              <w:t>Methane Nile Eagle</w:t>
            </w:r>
            <w:r>
              <w:rPr>
                <w:rFonts w:ascii="Arial" w:cs="Arial" w:eastAsia="Arial" w:hAnsi="Arial"/>
                <w:sz w:val="28"/>
                <w:szCs w:val="28"/>
                <w:color w:val="auto"/>
                <w:vertAlign w:val="superscript"/>
              </w:rPr>
              <w:t>(1)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4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2"/>
              </w:rPr>
              <w:t>Egypt LNG</w:t>
            </w:r>
            <w:r>
              <w:rPr>
                <w:rFonts w:ascii="Arial" w:cs="Arial" w:eastAsia="Arial" w:hAnsi="Arial"/>
                <w:sz w:val="28"/>
                <w:szCs w:val="28"/>
                <w:color w:val="auto"/>
                <w:w w:val="92"/>
                <w:vertAlign w:val="superscript"/>
              </w:rPr>
              <w:t>(1)</w:t>
            </w:r>
          </w:p>
        </w:tc>
      </w:tr>
      <w:tr>
        <w:trPr>
          <w:trHeight w:val="108"/>
        </w:trPr>
        <w:tc>
          <w:tcPr>
            <w:tcW w:w="7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r>
    </w:tbl>
    <w:p>
      <w:pPr>
        <w:spacing w:after="0" w:line="192" w:lineRule="exact"/>
        <w:rPr>
          <w:sz w:val="20"/>
          <w:szCs w:val="20"/>
          <w:color w:val="auto"/>
        </w:rPr>
      </w:pPr>
    </w:p>
    <w:p>
      <w:pPr>
        <w:ind w:left="1880" w:right="80" w:hanging="544"/>
        <w:spacing w:after="0" w:line="318" w:lineRule="auto"/>
        <w:tabs>
          <w:tab w:leader="none" w:pos="1880" w:val="left"/>
        </w:tabs>
        <w:numPr>
          <w:ilvl w:val="0"/>
          <w:numId w:val="6"/>
        </w:numPr>
        <w:rPr>
          <w:rFonts w:ascii="Arial" w:cs="Arial" w:eastAsia="Arial" w:hAnsi="Arial"/>
          <w:sz w:val="10"/>
          <w:szCs w:val="1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Methane Nile Eagle</w:t>
      </w:r>
      <w:r>
        <w:rPr>
          <w:rFonts w:ascii="Arial" w:cs="Arial" w:eastAsia="Arial" w:hAnsi="Arial"/>
          <w:sz w:val="12"/>
          <w:szCs w:val="12"/>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185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18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Relationship to Our Controlling Shareholders</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Our chairman, Peter G. Livanos, is our largest shareholder through his ownership of Ceres Shipping, which has a majority ownership interest in Blenheim Holdings Ltd., or "Blenheim Holdings". The shipping activities of the Livanos family commenced more than 100 years ago, and Ceres Shipping also has interests in tankers, dry bulk carriers and containerships. Ceres Shipping's LNG shipping activities commenced in 2001, and its operations in the LNG shipping sector are conducted exclusively through GasLog. Entities controlled by members of the Livanos family, including our chairman, are deemed to beneficially own approximately 40.27% of our issued and outstanding common shares. As a result of his ownership of our common shares, Mr. Livanos can effectively control the outcome of most matters on which GasLog's shareholders are entitled to vote.</w:t>
      </w:r>
    </w:p>
    <w:p>
      <w:pPr>
        <w:spacing w:after="0" w:line="174" w:lineRule="exact"/>
        <w:rPr>
          <w:sz w:val="20"/>
          <w:szCs w:val="20"/>
          <w:color w:val="auto"/>
        </w:rPr>
      </w:pPr>
    </w:p>
    <w:p>
      <w:pPr>
        <w:ind w:left="240" w:right="180" w:firstLine="342"/>
        <w:spacing w:after="0" w:line="268" w:lineRule="auto"/>
        <w:rPr>
          <w:sz w:val="20"/>
          <w:szCs w:val="20"/>
          <w:color w:val="auto"/>
        </w:rPr>
      </w:pPr>
      <w:r>
        <w:rPr>
          <w:rFonts w:ascii="Arial" w:cs="Arial" w:eastAsia="Arial" w:hAnsi="Arial"/>
          <w:sz w:val="18"/>
          <w:szCs w:val="18"/>
          <w:color w:val="auto"/>
        </w:rPr>
        <w:t>Anthony Papadimitriou, a member of our Board, was originally designated by the Onassis Foundation to serve as one of our directors. The Onassis Foundation beneficially owns 8.80% of our issued and outstanding common shares.</w:t>
      </w:r>
    </w:p>
    <w:p>
      <w:pPr>
        <w:spacing w:after="0" w:line="39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180" w:firstLine="348"/>
        <w:spacing w:after="0" w:line="259"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30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2600" w:type="dxa"/>
            <w:vAlign w:val="bottom"/>
          </w:tcPr>
          <w:p>
            <w:pPr>
              <w:spacing w:after="0"/>
              <w:rPr>
                <w:sz w:val="19"/>
                <w:szCs w:val="19"/>
                <w:color w:val="auto"/>
              </w:rPr>
            </w:pPr>
          </w:p>
        </w:tc>
        <w:tc>
          <w:tcPr>
            <w:tcW w:w="4040" w:type="dxa"/>
            <w:vAlign w:val="bottom"/>
          </w:tcPr>
          <w:p>
            <w:pPr>
              <w:ind w:left="2360"/>
              <w:spacing w:after="0"/>
              <w:rPr>
                <w:sz w:val="20"/>
                <w:szCs w:val="20"/>
                <w:color w:val="auto"/>
              </w:rPr>
            </w:pPr>
            <w:r>
              <w:rPr>
                <w:rFonts w:ascii="Arial" w:cs="Arial" w:eastAsia="Arial" w:hAnsi="Arial"/>
                <w:sz w:val="18"/>
                <w:szCs w:val="18"/>
                <w:b w:val="1"/>
                <w:bCs w:val="1"/>
                <w:color w:val="auto"/>
              </w:rPr>
              <w:t>The Offering</w:t>
            </w:r>
          </w:p>
        </w:tc>
        <w:tc>
          <w:tcPr>
            <w:tcW w:w="4300" w:type="dxa"/>
            <w:vAlign w:val="bottom"/>
          </w:tcPr>
          <w:p>
            <w:pPr>
              <w:spacing w:after="0"/>
              <w:rPr>
                <w:sz w:val="19"/>
                <w:szCs w:val="19"/>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Issuer</w:t>
            </w:r>
          </w:p>
        </w:tc>
        <w:tc>
          <w:tcPr>
            <w:tcW w:w="4040" w:type="dxa"/>
            <w:vAlign w:val="bottom"/>
          </w:tcPr>
          <w:p>
            <w:pPr>
              <w:ind w:left="720"/>
              <w:spacing w:after="0"/>
              <w:rPr>
                <w:sz w:val="20"/>
                <w:szCs w:val="20"/>
                <w:color w:val="auto"/>
              </w:rPr>
            </w:pPr>
            <w:r>
              <w:rPr>
                <w:rFonts w:ascii="Arial" w:cs="Arial" w:eastAsia="Arial" w:hAnsi="Arial"/>
                <w:sz w:val="18"/>
                <w:szCs w:val="18"/>
                <w:color w:val="auto"/>
              </w:rPr>
              <w:t>GasLog Ltd.</w:t>
            </w:r>
          </w:p>
        </w:tc>
        <w:tc>
          <w:tcPr>
            <w:tcW w:w="4300" w:type="dxa"/>
            <w:vAlign w:val="bottom"/>
          </w:tcPr>
          <w:p>
            <w:pPr>
              <w:spacing w:after="0"/>
              <w:rPr>
                <w:sz w:val="24"/>
                <w:szCs w:val="24"/>
                <w:color w:val="auto"/>
              </w:rPr>
            </w:pP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6"/>
              </w:rPr>
              <w:t>$75.0 million aggregate principal amount of our 8.875% Senior Notes due 2022 issued in minimum</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88"/>
              </w:rPr>
              <w:t>denominations of $1,000 and integral multiples of $1,000 in excess thereof. For a detailed description of the</w:t>
            </w:r>
          </w:p>
        </w:tc>
      </w:tr>
      <w:tr>
        <w:trPr>
          <w:trHeight w:val="222"/>
        </w:trPr>
        <w:tc>
          <w:tcPr>
            <w:tcW w:w="260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Notes, see "Description of Notes".</w:t>
            </w:r>
          </w:p>
        </w:tc>
        <w:tc>
          <w:tcPr>
            <w:tcW w:w="4300" w:type="dxa"/>
            <w:vAlign w:val="bottom"/>
          </w:tcPr>
          <w:p>
            <w:pPr>
              <w:spacing w:after="0"/>
              <w:rPr>
                <w:sz w:val="19"/>
                <w:szCs w:val="19"/>
                <w:color w:val="auto"/>
              </w:rPr>
            </w:pPr>
          </w:p>
        </w:tc>
      </w:tr>
      <w:tr>
        <w:trPr>
          <w:trHeight w:val="453"/>
        </w:trPr>
        <w:tc>
          <w:tcPr>
            <w:tcW w:w="2600" w:type="dxa"/>
            <w:vAlign w:val="bottom"/>
          </w:tcPr>
          <w:p>
            <w:pPr>
              <w:spacing w:after="0"/>
              <w:rPr>
                <w:sz w:val="24"/>
                <w:szCs w:val="24"/>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2"/>
              </w:rPr>
              <w:t>The Additional Notes offered hereby will have the same CUSIP number as the Existing Notes, will trade</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4"/>
              </w:rPr>
              <w:t>interchangeably with the Existing Notes and immediately upon settlement, will increase the aggregate</w:t>
            </w:r>
          </w:p>
        </w:tc>
      </w:tr>
      <w:tr>
        <w:trPr>
          <w:trHeight w:val="222"/>
        </w:trPr>
        <w:tc>
          <w:tcPr>
            <w:tcW w:w="2600" w:type="dxa"/>
            <w:vAlign w:val="bottom"/>
          </w:tcPr>
          <w:p>
            <w:pPr>
              <w:spacing w:after="0"/>
              <w:rPr>
                <w:sz w:val="19"/>
                <w:szCs w:val="19"/>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rPr>
              <w:t>principal amount of the Notes outstanding to $325,000,000.</w:t>
            </w:r>
          </w:p>
        </w:tc>
      </w:tr>
      <w:tr>
        <w:trPr>
          <w:trHeight w:val="459"/>
        </w:trPr>
        <w:tc>
          <w:tcPr>
            <w:tcW w:w="2600" w:type="dxa"/>
            <w:vAlign w:val="bottom"/>
          </w:tcPr>
          <w:p>
            <w:pPr>
              <w:spacing w:after="0"/>
              <w:rPr>
                <w:sz w:val="20"/>
                <w:szCs w:val="20"/>
                <w:color w:val="auto"/>
              </w:rPr>
            </w:pPr>
            <w:r>
              <w:rPr>
                <w:rFonts w:ascii="Arial" w:cs="Arial" w:eastAsia="Arial" w:hAnsi="Arial"/>
                <w:sz w:val="18"/>
                <w:szCs w:val="18"/>
                <w:color w:val="auto"/>
              </w:rPr>
              <w:t>Maturity Dates</w:t>
            </w:r>
          </w:p>
        </w:tc>
        <w:tc>
          <w:tcPr>
            <w:tcW w:w="4040" w:type="dxa"/>
            <w:vAlign w:val="bottom"/>
          </w:tcPr>
          <w:p>
            <w:pPr>
              <w:ind w:left="720"/>
              <w:spacing w:after="0"/>
              <w:rPr>
                <w:sz w:val="20"/>
                <w:szCs w:val="20"/>
                <w:color w:val="auto"/>
              </w:rPr>
            </w:pPr>
            <w:r>
              <w:rPr>
                <w:rFonts w:ascii="Arial" w:cs="Arial" w:eastAsia="Arial" w:hAnsi="Arial"/>
                <w:sz w:val="18"/>
                <w:szCs w:val="18"/>
                <w:color w:val="auto"/>
                <w:w w:val="98"/>
              </w:rPr>
              <w:t>The Notes will mature on March 22, 2022.</w:t>
            </w:r>
          </w:p>
        </w:tc>
        <w:tc>
          <w:tcPr>
            <w:tcW w:w="4300" w:type="dxa"/>
            <w:vAlign w:val="bottom"/>
          </w:tcPr>
          <w:p>
            <w:pPr>
              <w:spacing w:after="0"/>
              <w:rPr>
                <w:sz w:val="24"/>
                <w:szCs w:val="24"/>
                <w:color w:val="auto"/>
              </w:rPr>
            </w:pPr>
          </w:p>
        </w:tc>
      </w:tr>
      <w:tr>
        <w:trPr>
          <w:trHeight w:val="459"/>
        </w:trPr>
        <w:tc>
          <w:tcPr>
            <w:tcW w:w="26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6"/>
              </w:rPr>
              <w:t>March 30, June 30, September 30 and December 30 of each year, commencing on June 30, 2019.</w:t>
            </w: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3"/>
              </w:rPr>
              <w:t>The Additional Notes will bear interest from March 30, 2019 until maturity at a rate of 8.875% per year,</w:t>
            </w:r>
          </w:p>
        </w:tc>
      </w:tr>
      <w:tr>
        <w:trPr>
          <w:trHeight w:val="222"/>
        </w:trPr>
        <w:tc>
          <w:tcPr>
            <w:tcW w:w="260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payable quarterly in arrears.</w:t>
            </w:r>
          </w:p>
        </w:tc>
        <w:tc>
          <w:tcPr>
            <w:tcW w:w="4300" w:type="dxa"/>
            <w:vAlign w:val="bottom"/>
          </w:tcPr>
          <w:p>
            <w:pPr>
              <w:spacing w:after="0"/>
              <w:rPr>
                <w:sz w:val="19"/>
                <w:szCs w:val="19"/>
                <w:color w:val="auto"/>
              </w:rPr>
            </w:pP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1"/>
              </w:rPr>
              <w:t>The Notes will be unsecured unsubordinated obligations of GasLog. The Notes will rank senior to any of</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7"/>
              </w:rPr>
              <w:t>our future subordinated debt and rank equally in right of payment with all of our existing and future</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88"/>
              </w:rPr>
              <w:t>unsecured and unsubordinated debt. The Notes will effectively rank junior to our existing and future secured</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1"/>
              </w:rPr>
              <w:t>debt to the extent of the value of the assets securing such debt as well as to existing and future debt and</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8"/>
              </w:rPr>
              <w:t>other liabilities of our subsidiaries. As of March 31, 2019, after giving effect to the issuance of the</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88"/>
              </w:rPr>
              <w:t>Additional Notes and the use of proceeds thereof as described under "Use of Proceeds", we would have had</w:t>
            </w:r>
          </w:p>
        </w:tc>
      </w:tr>
      <w:tr>
        <w:trPr>
          <w:trHeight w:val="216"/>
        </w:trPr>
        <w:tc>
          <w:tcPr>
            <w:tcW w:w="2600" w:type="dxa"/>
            <w:vAlign w:val="bottom"/>
          </w:tcPr>
          <w:p>
            <w:pPr>
              <w:spacing w:after="0"/>
              <w:rPr>
                <w:sz w:val="18"/>
                <w:szCs w:val="18"/>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w w:val="99"/>
              </w:rPr>
              <w:t>total consolidated debt of approximately $</w:t>
            </w:r>
          </w:p>
        </w:tc>
        <w:tc>
          <w:tcPr>
            <w:tcW w:w="4300" w:type="dxa"/>
            <w:vAlign w:val="bottom"/>
          </w:tcPr>
          <w:p>
            <w:pPr>
              <w:ind w:left="300"/>
              <w:spacing w:after="0"/>
              <w:rPr>
                <w:sz w:val="20"/>
                <w:szCs w:val="20"/>
                <w:color w:val="auto"/>
              </w:rPr>
            </w:pPr>
            <w:r>
              <w:rPr>
                <w:rFonts w:ascii="Arial" w:cs="Arial" w:eastAsia="Arial" w:hAnsi="Arial"/>
                <w:sz w:val="18"/>
                <w:szCs w:val="18"/>
                <w:color w:val="auto"/>
              </w:rPr>
              <w:t>billion. Of such amount, approximately $2.6 billion</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88"/>
              </w:rPr>
              <w:t>would have been secured bank debt and $0.2 billion would have been finance lease liabilities, all of which is</w:t>
            </w:r>
          </w:p>
        </w:tc>
      </w:tr>
      <w:tr>
        <w:trPr>
          <w:trHeight w:val="222"/>
        </w:trPr>
        <w:tc>
          <w:tcPr>
            <w:tcW w:w="260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debt of our subsidiaries.</w:t>
            </w:r>
          </w:p>
        </w:tc>
        <w:tc>
          <w:tcPr>
            <w:tcW w:w="4300" w:type="dxa"/>
            <w:vAlign w:val="bottom"/>
          </w:tcPr>
          <w:p>
            <w:pPr>
              <w:spacing w:after="0"/>
              <w:rPr>
                <w:sz w:val="19"/>
                <w:szCs w:val="19"/>
                <w:color w:val="auto"/>
              </w:rPr>
            </w:pP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No Security or Guarantees</w:t>
            </w: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8"/>
              </w:rPr>
              <w:t>None of our obligations under the Notes will be secured by collateral or guaranteed by any of our</w:t>
            </w:r>
          </w:p>
        </w:tc>
      </w:tr>
      <w:tr>
        <w:trPr>
          <w:trHeight w:val="222"/>
        </w:trPr>
        <w:tc>
          <w:tcPr>
            <w:tcW w:w="260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w w:val="95"/>
              </w:rPr>
              <w:t>subsidiaries, affiliates or any other persons.</w:t>
            </w:r>
          </w:p>
        </w:tc>
        <w:tc>
          <w:tcPr>
            <w:tcW w:w="4300" w:type="dxa"/>
            <w:vAlign w:val="bottom"/>
          </w:tcPr>
          <w:p>
            <w:pPr>
              <w:spacing w:after="0"/>
              <w:rPr>
                <w:sz w:val="19"/>
                <w:szCs w:val="19"/>
                <w:color w:val="auto"/>
              </w:rPr>
            </w:pP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Change of Control</w:t>
            </w: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89"/>
              </w:rPr>
              <w:t>Upon the occurrence of certain change of control events (as defined in the indenture governing the Notes),</w:t>
            </w:r>
          </w:p>
        </w:tc>
      </w:tr>
      <w:tr>
        <w:trPr>
          <w:trHeight w:val="216"/>
        </w:trPr>
        <w:tc>
          <w:tcPr>
            <w:tcW w:w="2600" w:type="dxa"/>
            <w:vAlign w:val="bottom"/>
          </w:tcPr>
          <w:p>
            <w:pPr>
              <w:spacing w:after="0"/>
              <w:rPr>
                <w:sz w:val="18"/>
                <w:szCs w:val="18"/>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92"/>
              </w:rPr>
              <w:t>you will have the right, as a holder of the Notes, to require us to repurchase some or all of your Notes at</w:t>
            </w:r>
          </w:p>
        </w:tc>
      </w:tr>
      <w:tr>
        <w:trPr>
          <w:trHeight w:val="222"/>
        </w:trPr>
        <w:tc>
          <w:tcPr>
            <w:tcW w:w="2600" w:type="dxa"/>
            <w:vAlign w:val="bottom"/>
          </w:tcPr>
          <w:p>
            <w:pPr>
              <w:spacing w:after="0"/>
              <w:rPr>
                <w:sz w:val="19"/>
                <w:szCs w:val="19"/>
                <w:color w:val="auto"/>
              </w:rPr>
            </w:pPr>
          </w:p>
        </w:tc>
        <w:tc>
          <w:tcPr>
            <w:tcW w:w="8340" w:type="dxa"/>
            <w:vAlign w:val="bottom"/>
            <w:gridSpan w:val="2"/>
          </w:tcPr>
          <w:p>
            <w:pPr>
              <w:ind w:left="720"/>
              <w:spacing w:after="0"/>
              <w:rPr>
                <w:sz w:val="20"/>
                <w:szCs w:val="20"/>
                <w:color w:val="auto"/>
              </w:rPr>
            </w:pPr>
            <w:r>
              <w:rPr>
                <w:rFonts w:ascii="Arial" w:cs="Arial" w:eastAsia="Arial" w:hAnsi="Arial"/>
                <w:sz w:val="18"/>
                <w:szCs w:val="18"/>
                <w:color w:val="auto"/>
                <w:w w:val="89"/>
              </w:rPr>
              <w:t>101% of the principal amount, plus accrued and unpaid interest to, but excluding, the repurchase date. For</w:t>
            </w:r>
          </w:p>
        </w:tc>
      </w:tr>
    </w:tbl>
    <w:p>
      <w:pPr>
        <w:ind w:left="3560" w:right="160"/>
        <w:spacing w:after="0" w:line="261" w:lineRule="auto"/>
        <w:rPr>
          <w:sz w:val="20"/>
          <w:szCs w:val="20"/>
          <w:color w:val="auto"/>
        </w:rPr>
      </w:pPr>
      <w:r>
        <w:rPr>
          <w:rFonts w:ascii="Arial" w:cs="Arial" w:eastAsia="Arial" w:hAnsi="Arial"/>
          <w:sz w:val="18"/>
          <w:szCs w:val="18"/>
          <w:color w:val="auto"/>
        </w:rPr>
        <w:t>additional information, please read "Description of Notes—Change of Control Permits Holders to Require the Issuer to Purchase Notes".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60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609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Optional Redemption</w:t>
            </w: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88"/>
              </w:rPr>
              <w:t>We may redeem some or all of the Notes at any time and from time to time at a redemption price of 100% of</w:t>
            </w:r>
          </w:p>
        </w:tc>
      </w:tr>
      <w:tr>
        <w:trPr>
          <w:trHeight w:val="216"/>
        </w:trPr>
        <w:tc>
          <w:tcPr>
            <w:tcW w:w="2440" w:type="dxa"/>
            <w:vAlign w:val="bottom"/>
          </w:tcPr>
          <w:p>
            <w:pPr>
              <w:spacing w:after="0"/>
              <w:rPr>
                <w:sz w:val="18"/>
                <w:szCs w:val="18"/>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0"/>
              </w:rPr>
              <w:t>their principal amount, plus accrued and unpaid interest, if any, to but excluding the redemption date, plus</w:t>
            </w:r>
          </w:p>
        </w:tc>
      </w:tr>
      <w:tr>
        <w:trPr>
          <w:trHeight w:val="216"/>
        </w:trPr>
        <w:tc>
          <w:tcPr>
            <w:tcW w:w="2440" w:type="dxa"/>
            <w:vAlign w:val="bottom"/>
          </w:tcPr>
          <w:p>
            <w:pPr>
              <w:spacing w:after="0"/>
              <w:rPr>
                <w:sz w:val="18"/>
                <w:szCs w:val="18"/>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4"/>
              </w:rPr>
              <w:t>an applicable "make-whole" premium. For additional information, please read "Description of Notes—</w:t>
            </w:r>
          </w:p>
        </w:tc>
      </w:tr>
      <w:tr>
        <w:trPr>
          <w:trHeight w:val="222"/>
        </w:trPr>
        <w:tc>
          <w:tcPr>
            <w:tcW w:w="2440" w:type="dxa"/>
            <w:vAlign w:val="bottom"/>
          </w:tcPr>
          <w:p>
            <w:pPr>
              <w:spacing w:after="0"/>
              <w:rPr>
                <w:sz w:val="19"/>
                <w:szCs w:val="19"/>
                <w:color w:val="auto"/>
              </w:rPr>
            </w:pPr>
          </w:p>
        </w:tc>
        <w:tc>
          <w:tcPr>
            <w:tcW w:w="7520" w:type="dxa"/>
            <w:vAlign w:val="bottom"/>
          </w:tcPr>
          <w:p>
            <w:pPr>
              <w:ind w:left="880"/>
              <w:spacing w:after="0"/>
              <w:rPr>
                <w:sz w:val="20"/>
                <w:szCs w:val="20"/>
                <w:color w:val="auto"/>
              </w:rPr>
            </w:pPr>
            <w:r>
              <w:rPr>
                <w:rFonts w:ascii="Arial" w:cs="Arial" w:eastAsia="Arial" w:hAnsi="Arial"/>
                <w:sz w:val="18"/>
                <w:szCs w:val="18"/>
                <w:color w:val="auto"/>
              </w:rPr>
              <w:t>Optional Redemption".</w:t>
            </w:r>
          </w:p>
        </w:tc>
        <w:tc>
          <w:tcPr>
            <w:tcW w:w="980" w:type="dxa"/>
            <w:vAlign w:val="bottom"/>
          </w:tcPr>
          <w:p>
            <w:pPr>
              <w:spacing w:after="0"/>
              <w:rPr>
                <w:sz w:val="19"/>
                <w:szCs w:val="19"/>
                <w:color w:val="auto"/>
              </w:rPr>
            </w:pPr>
          </w:p>
        </w:tc>
      </w:tr>
      <w:tr>
        <w:trPr>
          <w:trHeight w:val="453"/>
        </w:trPr>
        <w:tc>
          <w:tcPr>
            <w:tcW w:w="2440" w:type="dxa"/>
            <w:vAlign w:val="bottom"/>
          </w:tcPr>
          <w:p>
            <w:pPr>
              <w:spacing w:after="0"/>
              <w:rPr>
                <w:sz w:val="20"/>
                <w:szCs w:val="20"/>
                <w:color w:val="auto"/>
              </w:rPr>
            </w:pPr>
            <w:r>
              <w:rPr>
                <w:rFonts w:ascii="Arial" w:cs="Arial" w:eastAsia="Arial" w:hAnsi="Arial"/>
                <w:sz w:val="18"/>
                <w:szCs w:val="18"/>
                <w:color w:val="auto"/>
              </w:rPr>
              <w:t>Covenants</w:t>
            </w: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0"/>
              </w:rPr>
              <w:t>The indenture governing the Notes contains certain restrictive covenants, including covenants that require</w:t>
            </w:r>
          </w:p>
        </w:tc>
      </w:tr>
      <w:tr>
        <w:trPr>
          <w:trHeight w:val="216"/>
        </w:trPr>
        <w:tc>
          <w:tcPr>
            <w:tcW w:w="2440" w:type="dxa"/>
            <w:vAlign w:val="bottom"/>
          </w:tcPr>
          <w:p>
            <w:pPr>
              <w:spacing w:after="0"/>
              <w:rPr>
                <w:sz w:val="18"/>
                <w:szCs w:val="18"/>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0"/>
              </w:rPr>
              <w:t>us to maintain a certain amount of asset coverage and provide certain reports. For additional information,</w:t>
            </w:r>
          </w:p>
        </w:tc>
      </w:tr>
      <w:tr>
        <w:trPr>
          <w:trHeight w:val="222"/>
        </w:trPr>
        <w:tc>
          <w:tcPr>
            <w:tcW w:w="2440" w:type="dxa"/>
            <w:vAlign w:val="bottom"/>
          </w:tcPr>
          <w:p>
            <w:pPr>
              <w:spacing w:after="0"/>
              <w:rPr>
                <w:sz w:val="19"/>
                <w:szCs w:val="19"/>
                <w:color w:val="auto"/>
              </w:rPr>
            </w:pPr>
          </w:p>
        </w:tc>
        <w:tc>
          <w:tcPr>
            <w:tcW w:w="7520" w:type="dxa"/>
            <w:vAlign w:val="bottom"/>
          </w:tcPr>
          <w:p>
            <w:pPr>
              <w:ind w:left="880"/>
              <w:spacing w:after="0"/>
              <w:rPr>
                <w:sz w:val="20"/>
                <w:szCs w:val="20"/>
                <w:color w:val="auto"/>
              </w:rPr>
            </w:pPr>
            <w:r>
              <w:rPr>
                <w:rFonts w:ascii="Arial" w:cs="Arial" w:eastAsia="Arial" w:hAnsi="Arial"/>
                <w:sz w:val="18"/>
                <w:szCs w:val="18"/>
                <w:color w:val="auto"/>
              </w:rPr>
              <w:t>please read "Description of Notes".</w:t>
            </w:r>
          </w:p>
        </w:tc>
        <w:tc>
          <w:tcPr>
            <w:tcW w:w="980" w:type="dxa"/>
            <w:vAlign w:val="bottom"/>
          </w:tcPr>
          <w:p>
            <w:pPr>
              <w:spacing w:after="0"/>
              <w:rPr>
                <w:sz w:val="19"/>
                <w:szCs w:val="19"/>
                <w:color w:val="auto"/>
              </w:rPr>
            </w:pPr>
          </w:p>
        </w:tc>
      </w:tr>
      <w:tr>
        <w:trPr>
          <w:trHeight w:val="453"/>
        </w:trPr>
        <w:tc>
          <w:tcPr>
            <w:tcW w:w="2440" w:type="dxa"/>
            <w:vAlign w:val="bottom"/>
          </w:tcPr>
          <w:p>
            <w:pPr>
              <w:spacing w:after="0"/>
              <w:rPr>
                <w:sz w:val="20"/>
                <w:szCs w:val="20"/>
                <w:color w:val="auto"/>
              </w:rPr>
            </w:pPr>
            <w:r>
              <w:rPr>
                <w:rFonts w:ascii="Arial" w:cs="Arial" w:eastAsia="Arial" w:hAnsi="Arial"/>
                <w:sz w:val="18"/>
                <w:szCs w:val="18"/>
                <w:color w:val="auto"/>
              </w:rPr>
              <w:t>"Reopening" of Notes</w:t>
            </w: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88"/>
              </w:rPr>
              <w:t>For U.S. federal income tax purposes, we intend to treat the issuance of the Additional Notes as a "qualified</w:t>
            </w:r>
          </w:p>
        </w:tc>
      </w:tr>
      <w:tr>
        <w:trPr>
          <w:trHeight w:val="216"/>
        </w:trPr>
        <w:tc>
          <w:tcPr>
            <w:tcW w:w="2440" w:type="dxa"/>
            <w:vAlign w:val="bottom"/>
          </w:tcPr>
          <w:p>
            <w:pPr>
              <w:spacing w:after="0"/>
              <w:rPr>
                <w:sz w:val="18"/>
                <w:szCs w:val="18"/>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2"/>
              </w:rPr>
              <w:t>reopening" of our Existing Notes, which were issued originally on March 22, 2017. We may "reopen" the</w:t>
            </w:r>
          </w:p>
        </w:tc>
      </w:tr>
      <w:tr>
        <w:trPr>
          <w:trHeight w:val="216"/>
        </w:trPr>
        <w:tc>
          <w:tcPr>
            <w:tcW w:w="2440" w:type="dxa"/>
            <w:vAlign w:val="bottom"/>
          </w:tcPr>
          <w:p>
            <w:pPr>
              <w:spacing w:after="0"/>
              <w:rPr>
                <w:sz w:val="18"/>
                <w:szCs w:val="18"/>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89"/>
              </w:rPr>
              <w:t>Notes at any time without the consent of the holders of the Notes and issue additional notes with the same</w:t>
            </w:r>
          </w:p>
        </w:tc>
      </w:tr>
      <w:tr>
        <w:trPr>
          <w:trHeight w:val="216"/>
        </w:trPr>
        <w:tc>
          <w:tcPr>
            <w:tcW w:w="2440" w:type="dxa"/>
            <w:vAlign w:val="bottom"/>
          </w:tcPr>
          <w:p>
            <w:pPr>
              <w:spacing w:after="0"/>
              <w:rPr>
                <w:sz w:val="18"/>
                <w:szCs w:val="18"/>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88"/>
              </w:rPr>
              <w:t>terms as the Notes (except the issue price, issue date and initial interest payment date), which will thereafter</w:t>
            </w:r>
          </w:p>
        </w:tc>
      </w:tr>
      <w:tr>
        <w:trPr>
          <w:trHeight w:val="222"/>
        </w:trPr>
        <w:tc>
          <w:tcPr>
            <w:tcW w:w="2440" w:type="dxa"/>
            <w:vAlign w:val="bottom"/>
          </w:tcPr>
          <w:p>
            <w:pPr>
              <w:spacing w:after="0"/>
              <w:rPr>
                <w:sz w:val="19"/>
                <w:szCs w:val="19"/>
                <w:color w:val="auto"/>
              </w:rPr>
            </w:pPr>
          </w:p>
        </w:tc>
        <w:tc>
          <w:tcPr>
            <w:tcW w:w="7520" w:type="dxa"/>
            <w:vAlign w:val="bottom"/>
          </w:tcPr>
          <w:p>
            <w:pPr>
              <w:ind w:left="880"/>
              <w:spacing w:after="0"/>
              <w:rPr>
                <w:sz w:val="20"/>
                <w:szCs w:val="20"/>
                <w:color w:val="auto"/>
              </w:rPr>
            </w:pPr>
            <w:r>
              <w:rPr>
                <w:rFonts w:ascii="Arial" w:cs="Arial" w:eastAsia="Arial" w:hAnsi="Arial"/>
                <w:sz w:val="18"/>
                <w:szCs w:val="18"/>
                <w:color w:val="auto"/>
              </w:rPr>
              <w:t>constitute a single fungible series with the Notes.</w:t>
            </w:r>
          </w:p>
        </w:tc>
        <w:tc>
          <w:tcPr>
            <w:tcW w:w="980" w:type="dxa"/>
            <w:vAlign w:val="bottom"/>
          </w:tcPr>
          <w:p>
            <w:pPr>
              <w:spacing w:after="0"/>
              <w:rPr>
                <w:sz w:val="19"/>
                <w:szCs w:val="19"/>
                <w:color w:val="auto"/>
              </w:rPr>
            </w:pPr>
          </w:p>
        </w:tc>
      </w:tr>
      <w:tr>
        <w:trPr>
          <w:trHeight w:val="453"/>
        </w:trPr>
        <w:tc>
          <w:tcPr>
            <w:tcW w:w="2440" w:type="dxa"/>
            <w:vAlign w:val="bottom"/>
          </w:tcPr>
          <w:p>
            <w:pPr>
              <w:spacing w:after="0"/>
              <w:rPr>
                <w:sz w:val="20"/>
                <w:szCs w:val="20"/>
                <w:color w:val="auto"/>
              </w:rPr>
            </w:pPr>
            <w:r>
              <w:rPr>
                <w:rFonts w:ascii="Arial" w:cs="Arial" w:eastAsia="Arial" w:hAnsi="Arial"/>
                <w:sz w:val="18"/>
                <w:szCs w:val="18"/>
                <w:color w:val="auto"/>
              </w:rPr>
              <w:t>Use of Proceeds</w:t>
            </w: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0"/>
              </w:rPr>
              <w:t>We intend to use the net proceeds of the sale of the Additional Notes, which, after deducting underwriting</w:t>
            </w:r>
          </w:p>
        </w:tc>
      </w:tr>
      <w:tr>
        <w:trPr>
          <w:trHeight w:val="216"/>
        </w:trPr>
        <w:tc>
          <w:tcPr>
            <w:tcW w:w="2440" w:type="dxa"/>
            <w:vAlign w:val="bottom"/>
          </w:tcPr>
          <w:p>
            <w:pPr>
              <w:spacing w:after="0"/>
              <w:rPr>
                <w:sz w:val="18"/>
                <w:szCs w:val="18"/>
                <w:color w:val="auto"/>
              </w:rPr>
            </w:pPr>
          </w:p>
        </w:tc>
        <w:tc>
          <w:tcPr>
            <w:tcW w:w="7520" w:type="dxa"/>
            <w:vAlign w:val="bottom"/>
          </w:tcPr>
          <w:p>
            <w:pPr>
              <w:ind w:left="880"/>
              <w:spacing w:after="0"/>
              <w:rPr>
                <w:sz w:val="20"/>
                <w:szCs w:val="20"/>
                <w:color w:val="auto"/>
              </w:rPr>
            </w:pPr>
            <w:r>
              <w:rPr>
                <w:rFonts w:ascii="Arial" w:cs="Arial" w:eastAsia="Arial" w:hAnsi="Arial"/>
                <w:sz w:val="18"/>
                <w:szCs w:val="18"/>
                <w:color w:val="auto"/>
                <w:w w:val="91"/>
              </w:rPr>
              <w:t>discounts and the estimated expenses payable by us, are expected to total approximately $</w:t>
            </w:r>
          </w:p>
        </w:tc>
        <w:tc>
          <w:tcPr>
            <w:tcW w:w="980" w:type="dxa"/>
            <w:vAlign w:val="bottom"/>
          </w:tcPr>
          <w:p>
            <w:pPr>
              <w:ind w:left="280"/>
              <w:spacing w:after="0"/>
              <w:rPr>
                <w:sz w:val="20"/>
                <w:szCs w:val="20"/>
                <w:color w:val="auto"/>
              </w:rPr>
            </w:pPr>
            <w:r>
              <w:rPr>
                <w:rFonts w:ascii="Arial" w:cs="Arial" w:eastAsia="Arial" w:hAnsi="Arial"/>
                <w:sz w:val="18"/>
                <w:szCs w:val="18"/>
                <w:color w:val="auto"/>
              </w:rPr>
              <w:t>, to</w:t>
            </w:r>
          </w:p>
        </w:tc>
      </w:tr>
      <w:tr>
        <w:trPr>
          <w:trHeight w:val="216"/>
        </w:trPr>
        <w:tc>
          <w:tcPr>
            <w:tcW w:w="2440" w:type="dxa"/>
            <w:vAlign w:val="bottom"/>
          </w:tcPr>
          <w:p>
            <w:pPr>
              <w:spacing w:after="0"/>
              <w:rPr>
                <w:sz w:val="18"/>
                <w:szCs w:val="18"/>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6"/>
              </w:rPr>
              <w:t>partially fund the company's committed growth capital program and for general corporate purposes,</w:t>
            </w:r>
          </w:p>
        </w:tc>
      </w:tr>
      <w:tr>
        <w:trPr>
          <w:trHeight w:val="222"/>
        </w:trPr>
        <w:tc>
          <w:tcPr>
            <w:tcW w:w="2440" w:type="dxa"/>
            <w:vAlign w:val="bottom"/>
          </w:tcPr>
          <w:p>
            <w:pPr>
              <w:spacing w:after="0"/>
              <w:rPr>
                <w:sz w:val="19"/>
                <w:szCs w:val="19"/>
                <w:color w:val="auto"/>
              </w:rPr>
            </w:pPr>
          </w:p>
        </w:tc>
        <w:tc>
          <w:tcPr>
            <w:tcW w:w="7520" w:type="dxa"/>
            <w:vAlign w:val="bottom"/>
          </w:tcPr>
          <w:p>
            <w:pPr>
              <w:ind w:left="880"/>
              <w:spacing w:after="0"/>
              <w:rPr>
                <w:sz w:val="20"/>
                <w:szCs w:val="20"/>
                <w:color w:val="auto"/>
              </w:rPr>
            </w:pPr>
            <w:r>
              <w:rPr>
                <w:rFonts w:ascii="Arial" w:cs="Arial" w:eastAsia="Arial" w:hAnsi="Arial"/>
                <w:sz w:val="18"/>
                <w:szCs w:val="18"/>
                <w:color w:val="auto"/>
              </w:rPr>
              <w:t>including working capital.</w:t>
            </w:r>
          </w:p>
        </w:tc>
        <w:tc>
          <w:tcPr>
            <w:tcW w:w="980" w:type="dxa"/>
            <w:vAlign w:val="bottom"/>
          </w:tcPr>
          <w:p>
            <w:pPr>
              <w:spacing w:after="0"/>
              <w:rPr>
                <w:sz w:val="19"/>
                <w:szCs w:val="19"/>
                <w:color w:val="auto"/>
              </w:rPr>
            </w:pPr>
          </w:p>
        </w:tc>
      </w:tr>
      <w:tr>
        <w:trPr>
          <w:trHeight w:val="459"/>
        </w:trPr>
        <w:tc>
          <w:tcPr>
            <w:tcW w:w="2440" w:type="dxa"/>
            <w:vAlign w:val="bottom"/>
          </w:tcPr>
          <w:p>
            <w:pPr>
              <w:spacing w:after="0"/>
              <w:rPr>
                <w:sz w:val="20"/>
                <w:szCs w:val="20"/>
                <w:color w:val="auto"/>
              </w:rPr>
            </w:pPr>
            <w:r>
              <w:rPr>
                <w:rFonts w:ascii="Arial" w:cs="Arial" w:eastAsia="Arial" w:hAnsi="Arial"/>
                <w:sz w:val="18"/>
                <w:szCs w:val="18"/>
                <w:color w:val="auto"/>
              </w:rPr>
              <w:t>Ratings</w:t>
            </w:r>
          </w:p>
        </w:tc>
        <w:tc>
          <w:tcPr>
            <w:tcW w:w="7520" w:type="dxa"/>
            <w:vAlign w:val="bottom"/>
          </w:tcPr>
          <w:p>
            <w:pPr>
              <w:ind w:left="880"/>
              <w:spacing w:after="0"/>
              <w:rPr>
                <w:sz w:val="20"/>
                <w:szCs w:val="20"/>
                <w:color w:val="auto"/>
              </w:rPr>
            </w:pPr>
            <w:r>
              <w:rPr>
                <w:rFonts w:ascii="Arial" w:cs="Arial" w:eastAsia="Arial" w:hAnsi="Arial"/>
                <w:sz w:val="18"/>
                <w:szCs w:val="18"/>
                <w:color w:val="auto"/>
                <w:w w:val="93"/>
              </w:rPr>
              <w:t>The Notes will not be rated by any Nationally Recognized Statistical Rating Organization.</w:t>
            </w:r>
          </w:p>
        </w:tc>
        <w:tc>
          <w:tcPr>
            <w:tcW w:w="980" w:type="dxa"/>
            <w:vAlign w:val="bottom"/>
          </w:tcPr>
          <w:p>
            <w:pPr>
              <w:spacing w:after="0"/>
              <w:rPr>
                <w:sz w:val="24"/>
                <w:szCs w:val="24"/>
                <w:color w:val="auto"/>
              </w:rPr>
            </w:pPr>
          </w:p>
        </w:tc>
      </w:tr>
      <w:tr>
        <w:trPr>
          <w:trHeight w:val="459"/>
        </w:trPr>
        <w:tc>
          <w:tcPr>
            <w:tcW w:w="2440" w:type="dxa"/>
            <w:vAlign w:val="bottom"/>
          </w:tcPr>
          <w:p>
            <w:pPr>
              <w:spacing w:after="0"/>
              <w:rPr>
                <w:sz w:val="20"/>
                <w:szCs w:val="20"/>
                <w:color w:val="auto"/>
              </w:rPr>
            </w:pPr>
            <w:r>
              <w:rPr>
                <w:rFonts w:ascii="Arial" w:cs="Arial" w:eastAsia="Arial" w:hAnsi="Arial"/>
                <w:sz w:val="18"/>
                <w:szCs w:val="18"/>
                <w:color w:val="auto"/>
              </w:rPr>
              <w:t>Listing</w:t>
            </w:r>
          </w:p>
        </w:tc>
        <w:tc>
          <w:tcPr>
            <w:tcW w:w="7520" w:type="dxa"/>
            <w:vAlign w:val="bottom"/>
          </w:tcPr>
          <w:p>
            <w:pPr>
              <w:ind w:left="880"/>
              <w:spacing w:after="0"/>
              <w:rPr>
                <w:sz w:val="20"/>
                <w:szCs w:val="20"/>
                <w:color w:val="auto"/>
              </w:rPr>
            </w:pPr>
            <w:r>
              <w:rPr>
                <w:rFonts w:ascii="Arial" w:cs="Arial" w:eastAsia="Arial" w:hAnsi="Arial"/>
                <w:sz w:val="18"/>
                <w:szCs w:val="18"/>
                <w:color w:val="auto"/>
              </w:rPr>
              <w:t>The Notes will not be listed on any securities exchange.</w:t>
            </w:r>
          </w:p>
        </w:tc>
        <w:tc>
          <w:tcPr>
            <w:tcW w:w="980" w:type="dxa"/>
            <w:vAlign w:val="bottom"/>
          </w:tcPr>
          <w:p>
            <w:pPr>
              <w:spacing w:after="0"/>
              <w:rPr>
                <w:sz w:val="24"/>
                <w:szCs w:val="24"/>
                <w:color w:val="auto"/>
              </w:rPr>
            </w:pPr>
          </w:p>
        </w:tc>
      </w:tr>
      <w:tr>
        <w:trPr>
          <w:trHeight w:val="453"/>
        </w:trPr>
        <w:tc>
          <w:tcPr>
            <w:tcW w:w="2440" w:type="dxa"/>
            <w:vAlign w:val="bottom"/>
          </w:tcPr>
          <w:p>
            <w:pPr>
              <w:spacing w:after="0"/>
              <w:rPr>
                <w:sz w:val="20"/>
                <w:szCs w:val="20"/>
                <w:color w:val="auto"/>
              </w:rPr>
            </w:pPr>
            <w:r>
              <w:rPr>
                <w:rFonts w:ascii="Arial" w:cs="Arial" w:eastAsia="Arial" w:hAnsi="Arial"/>
                <w:sz w:val="18"/>
                <w:szCs w:val="18"/>
                <w:color w:val="auto"/>
              </w:rPr>
              <w:t>Form</w:t>
            </w: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92"/>
              </w:rPr>
              <w:t>The Notes will be represented by one or more permanent global notes, which will be deposited with the</w:t>
            </w:r>
          </w:p>
        </w:tc>
      </w:tr>
      <w:tr>
        <w:trPr>
          <w:trHeight w:val="222"/>
        </w:trPr>
        <w:tc>
          <w:tcPr>
            <w:tcW w:w="2440" w:type="dxa"/>
            <w:vAlign w:val="bottom"/>
          </w:tcPr>
          <w:p>
            <w:pPr>
              <w:spacing w:after="0"/>
              <w:rPr>
                <w:sz w:val="19"/>
                <w:szCs w:val="19"/>
                <w:color w:val="auto"/>
              </w:rPr>
            </w:pPr>
          </w:p>
        </w:tc>
        <w:tc>
          <w:tcPr>
            <w:tcW w:w="8500" w:type="dxa"/>
            <w:vAlign w:val="bottom"/>
            <w:gridSpan w:val="2"/>
          </w:tcPr>
          <w:p>
            <w:pPr>
              <w:ind w:left="880"/>
              <w:spacing w:after="0"/>
              <w:rPr>
                <w:sz w:val="20"/>
                <w:szCs w:val="20"/>
                <w:color w:val="auto"/>
              </w:rPr>
            </w:pPr>
            <w:r>
              <w:rPr>
                <w:rFonts w:ascii="Arial" w:cs="Arial" w:eastAsia="Arial" w:hAnsi="Arial"/>
                <w:sz w:val="18"/>
                <w:szCs w:val="18"/>
                <w:color w:val="auto"/>
                <w:w w:val="88"/>
              </w:rPr>
              <w:t xml:space="preserve">trustee as custodian for The Depository Trust Company, or </w:t>
            </w:r>
            <w:r>
              <w:rPr>
                <w:rFonts w:ascii="Arial" w:cs="Arial" w:eastAsia="Arial" w:hAnsi="Arial"/>
                <w:sz w:val="18"/>
                <w:szCs w:val="18"/>
                <w:i w:val="1"/>
                <w:iCs w:val="1"/>
                <w:color w:val="auto"/>
                <w:w w:val="88"/>
              </w:rPr>
              <w:t>DTC</w:t>
            </w:r>
            <w:r>
              <w:rPr>
                <w:rFonts w:ascii="Arial" w:cs="Arial" w:eastAsia="Arial" w:hAnsi="Arial"/>
                <w:sz w:val="18"/>
                <w:szCs w:val="18"/>
                <w:color w:val="auto"/>
                <w:w w:val="88"/>
              </w:rPr>
              <w:t>, and registered in the name of Cede &amp; Co.,</w:t>
            </w:r>
          </w:p>
        </w:tc>
      </w:tr>
    </w:tbl>
    <w:p>
      <w:pPr>
        <w:ind w:left="3560" w:right="140"/>
        <w:spacing w:after="0" w:line="320" w:lineRule="auto"/>
        <w:rPr>
          <w:sz w:val="20"/>
          <w:szCs w:val="20"/>
          <w:color w:val="auto"/>
        </w:rPr>
      </w:pPr>
      <w:r>
        <w:rPr>
          <w:rFonts w:ascii="Arial" w:cs="Arial" w:eastAsia="Arial" w:hAnsi="Arial"/>
          <w:sz w:val="15"/>
          <w:szCs w:val="15"/>
          <w:color w:val="auto"/>
        </w:rPr>
        <w:t>as a nominee designated by DTC. Holders of Notes may hold interests in a global Note only in the manner described in this prospectus. Any such interest may not be exchanged for certificated securities except in limited circumstances described in this prospectus supplement. For additional information, please read "Description of Notes—Book-Entry System; Delivery and Form"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2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Additional Amounts; Tax Redemption</w:t>
            </w:r>
          </w:p>
        </w:tc>
        <w:tc>
          <w:tcPr>
            <w:tcW w:w="8180" w:type="dxa"/>
            <w:vAlign w:val="bottom"/>
            <w:tcBorders>
              <w:top w:val="single" w:sz="8" w:color="auto"/>
              <w:right w:val="single" w:sz="8" w:color="auto"/>
            </w:tcBorders>
            <w:gridSpan w:val="2"/>
          </w:tcPr>
          <w:p>
            <w:pPr>
              <w:ind w:left="320"/>
              <w:spacing w:after="0"/>
              <w:rPr>
                <w:sz w:val="20"/>
                <w:szCs w:val="20"/>
                <w:color w:val="auto"/>
              </w:rPr>
            </w:pPr>
            <w:r>
              <w:rPr>
                <w:rFonts w:ascii="Arial" w:cs="Arial" w:eastAsia="Arial" w:hAnsi="Arial"/>
                <w:sz w:val="18"/>
                <w:szCs w:val="18"/>
                <w:color w:val="auto"/>
                <w:w w:val="94"/>
              </w:rPr>
              <w:t>Any payments made by us with respect to the Notes will be made without withholding or deduction for or</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3"/>
              </w:rPr>
              <w:t>on account of taxes unless required by law. If we are required by law to withhold or deduct amounts for or</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2"/>
              </w:rPr>
              <w:t>on account of tax imposed by a relevant taxing authority with respect to a payment to the holders of Notes,</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0"/>
              </w:rPr>
              <w:t>we will, subject to certain exceptions, pay the additional amounts necessary so that the net amount received</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4"/>
              </w:rPr>
              <w:t>by the holders of the Notes after the withholding or deduction is not less than the amount that they would</w:t>
            </w:r>
          </w:p>
        </w:tc>
      </w:tr>
      <w:tr>
        <w:trPr>
          <w:trHeight w:val="216"/>
        </w:trPr>
        <w:tc>
          <w:tcPr>
            <w:tcW w:w="3240" w:type="dxa"/>
            <w:vAlign w:val="bottom"/>
            <w:tcBorders>
              <w:left w:val="single" w:sz="8" w:color="auto"/>
            </w:tcBorders>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90"/>
              </w:rPr>
              <w:t>have received in the absence of the withholding or deduction. Please read "Description of Notes—</w:t>
            </w:r>
          </w:p>
        </w:tc>
        <w:tc>
          <w:tcPr>
            <w:tcW w:w="760" w:type="dxa"/>
            <w:vAlign w:val="bottom"/>
            <w:tcBorders>
              <w:right w:val="single" w:sz="8" w:color="auto"/>
            </w:tcBorders>
          </w:tcPr>
          <w:p>
            <w:pPr>
              <w:spacing w:after="0"/>
              <w:rPr>
                <w:sz w:val="18"/>
                <w:szCs w:val="18"/>
                <w:color w:val="auto"/>
              </w:rPr>
            </w:pPr>
          </w:p>
        </w:tc>
      </w:tr>
      <w:tr>
        <w:trPr>
          <w:trHeight w:val="222"/>
        </w:trPr>
        <w:tc>
          <w:tcPr>
            <w:tcW w:w="3240" w:type="dxa"/>
            <w:vAlign w:val="bottom"/>
            <w:tcBorders>
              <w:left w:val="single" w:sz="8" w:color="auto"/>
            </w:tcBorders>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Additional Amounts".</w:t>
            </w:r>
          </w:p>
        </w:tc>
        <w:tc>
          <w:tcPr>
            <w:tcW w:w="760" w:type="dxa"/>
            <w:vAlign w:val="bottom"/>
            <w:tcBorders>
              <w:right w:val="single" w:sz="8" w:color="auto"/>
            </w:tcBorders>
          </w:tcPr>
          <w:p>
            <w:pPr>
              <w:spacing w:after="0"/>
              <w:rPr>
                <w:sz w:val="19"/>
                <w:szCs w:val="19"/>
                <w:color w:val="auto"/>
              </w:rPr>
            </w:pPr>
          </w:p>
        </w:tc>
      </w:tr>
      <w:tr>
        <w:trPr>
          <w:trHeight w:val="453"/>
        </w:trPr>
        <w:tc>
          <w:tcPr>
            <w:tcW w:w="324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2"/>
              </w:rPr>
              <w:t>In the event of certain developments affecting taxation, we may redeem the Notes in whole, but not in part,</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1"/>
              </w:rPr>
              <w:t>at any time, at a redemption price of 100% of the principal amount, plus accrued and unpaid interest, if any,</w:t>
            </w:r>
          </w:p>
        </w:tc>
      </w:tr>
      <w:tr>
        <w:trPr>
          <w:trHeight w:val="216"/>
        </w:trPr>
        <w:tc>
          <w:tcPr>
            <w:tcW w:w="3240" w:type="dxa"/>
            <w:vAlign w:val="bottom"/>
            <w:tcBorders>
              <w:left w:val="single" w:sz="8" w:color="auto"/>
            </w:tcBorders>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w w:val="89"/>
              </w:rPr>
              <w:t>to the date of redemption. Please read "Description of Notes—Optional Redemption for Changes in</w:t>
            </w:r>
          </w:p>
        </w:tc>
        <w:tc>
          <w:tcPr>
            <w:tcW w:w="760" w:type="dxa"/>
            <w:vAlign w:val="bottom"/>
            <w:tcBorders>
              <w:right w:val="single" w:sz="8" w:color="auto"/>
            </w:tcBorders>
          </w:tcPr>
          <w:p>
            <w:pPr>
              <w:spacing w:after="0"/>
              <w:rPr>
                <w:sz w:val="18"/>
                <w:szCs w:val="18"/>
                <w:color w:val="auto"/>
              </w:rPr>
            </w:pPr>
          </w:p>
        </w:tc>
      </w:tr>
      <w:tr>
        <w:trPr>
          <w:trHeight w:val="222"/>
        </w:trPr>
        <w:tc>
          <w:tcPr>
            <w:tcW w:w="3240" w:type="dxa"/>
            <w:vAlign w:val="bottom"/>
            <w:tcBorders>
              <w:left w:val="single" w:sz="8" w:color="auto"/>
            </w:tcBorders>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Withholding Taxes".</w:t>
            </w:r>
          </w:p>
        </w:tc>
        <w:tc>
          <w:tcPr>
            <w:tcW w:w="760" w:type="dxa"/>
            <w:vAlign w:val="bottom"/>
            <w:tcBorders>
              <w:right w:val="single" w:sz="8" w:color="auto"/>
            </w:tcBorders>
          </w:tcPr>
          <w:p>
            <w:pPr>
              <w:spacing w:after="0"/>
              <w:rPr>
                <w:sz w:val="19"/>
                <w:szCs w:val="19"/>
                <w:color w:val="auto"/>
              </w:rPr>
            </w:pPr>
          </w:p>
        </w:tc>
      </w:tr>
      <w:tr>
        <w:trPr>
          <w:trHeight w:val="453"/>
        </w:trPr>
        <w:tc>
          <w:tcPr>
            <w:tcW w:w="32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Settlement</w:t>
            </w:r>
          </w:p>
        </w:tc>
        <w:tc>
          <w:tcPr>
            <w:tcW w:w="7420" w:type="dxa"/>
            <w:vAlign w:val="bottom"/>
          </w:tcPr>
          <w:p>
            <w:pPr>
              <w:ind w:left="320"/>
              <w:spacing w:after="0"/>
              <w:rPr>
                <w:sz w:val="20"/>
                <w:szCs w:val="20"/>
                <w:color w:val="auto"/>
              </w:rPr>
            </w:pPr>
            <w:r>
              <w:rPr>
                <w:rFonts w:ascii="Arial" w:cs="Arial" w:eastAsia="Arial" w:hAnsi="Arial"/>
                <w:sz w:val="18"/>
                <w:szCs w:val="18"/>
                <w:color w:val="auto"/>
              </w:rPr>
              <w:t>Delivery of the Notes offered hereby will be made against payment therefor on or about</w:t>
            </w:r>
          </w:p>
        </w:tc>
        <w:tc>
          <w:tcPr>
            <w:tcW w:w="760" w:type="dxa"/>
            <w:vAlign w:val="bottom"/>
            <w:tcBorders>
              <w:right w:val="single" w:sz="8" w:color="auto"/>
            </w:tcBorders>
          </w:tcPr>
          <w:p>
            <w:pPr>
              <w:jc w:val="right"/>
              <w:ind w:right="512"/>
              <w:spacing w:after="0"/>
              <w:rPr>
                <w:sz w:val="20"/>
                <w:szCs w:val="20"/>
                <w:color w:val="auto"/>
              </w:rPr>
            </w:pPr>
            <w:r>
              <w:rPr>
                <w:rFonts w:ascii="Arial" w:cs="Arial" w:eastAsia="Arial" w:hAnsi="Arial"/>
                <w:sz w:val="18"/>
                <w:szCs w:val="18"/>
                <w:color w:val="auto"/>
              </w:rPr>
              <w:t>,</w:t>
            </w:r>
          </w:p>
        </w:tc>
      </w:tr>
      <w:tr>
        <w:trPr>
          <w:trHeight w:val="222"/>
        </w:trPr>
        <w:tc>
          <w:tcPr>
            <w:tcW w:w="3240" w:type="dxa"/>
            <w:vAlign w:val="bottom"/>
            <w:tcBorders>
              <w:left w:val="single" w:sz="8" w:color="auto"/>
            </w:tcBorders>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2019.</w:t>
            </w:r>
          </w:p>
        </w:tc>
        <w:tc>
          <w:tcPr>
            <w:tcW w:w="760" w:type="dxa"/>
            <w:vAlign w:val="bottom"/>
            <w:tcBorders>
              <w:right w:val="single" w:sz="8" w:color="auto"/>
            </w:tcBorders>
          </w:tcPr>
          <w:p>
            <w:pPr>
              <w:spacing w:after="0"/>
              <w:rPr>
                <w:sz w:val="19"/>
                <w:szCs w:val="19"/>
                <w:color w:val="auto"/>
              </w:rPr>
            </w:pPr>
          </w:p>
        </w:tc>
      </w:tr>
      <w:tr>
        <w:trPr>
          <w:trHeight w:val="453"/>
        </w:trPr>
        <w:tc>
          <w:tcPr>
            <w:tcW w:w="32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2"/>
              </w:rPr>
              <w:t>An investment in the Notes involves risks. You should consider carefully the factors set forth in the section</w:t>
            </w:r>
          </w:p>
        </w:tc>
      </w:tr>
      <w:tr>
        <w:trPr>
          <w:trHeight w:val="216"/>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0"/>
              </w:rPr>
              <w:t>of this prospectus supplement entitled "Risk Factors" beginning on page S-15 of this prospectus supplement</w:t>
            </w:r>
          </w:p>
        </w:tc>
      </w:tr>
      <w:tr>
        <w:trPr>
          <w:trHeight w:val="222"/>
        </w:trPr>
        <w:tc>
          <w:tcPr>
            <w:tcW w:w="3240" w:type="dxa"/>
            <w:vAlign w:val="bottom"/>
            <w:tcBorders>
              <w:left w:val="single" w:sz="8" w:color="auto"/>
            </w:tcBorders>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 determine whether an investment in the Notes is appropriate for you.</w:t>
            </w:r>
          </w:p>
        </w:tc>
        <w:tc>
          <w:tcPr>
            <w:tcW w:w="760" w:type="dxa"/>
            <w:vAlign w:val="bottom"/>
            <w:tcBorders>
              <w:right w:val="single" w:sz="8" w:color="auto"/>
            </w:tcBorders>
          </w:tcPr>
          <w:p>
            <w:pPr>
              <w:spacing w:after="0"/>
              <w:rPr>
                <w:sz w:val="19"/>
                <w:szCs w:val="19"/>
                <w:color w:val="auto"/>
              </w:rPr>
            </w:pPr>
          </w:p>
        </w:tc>
      </w:tr>
      <w:tr>
        <w:trPr>
          <w:trHeight w:val="228"/>
        </w:trPr>
        <w:tc>
          <w:tcPr>
            <w:tcW w:w="3240" w:type="dxa"/>
            <w:vAlign w:val="bottom"/>
            <w:tcBorders>
              <w:left w:val="single" w:sz="8" w:color="auto"/>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r>
        <w:trPr>
          <w:trHeight w:val="427"/>
        </w:trPr>
        <w:tc>
          <w:tcPr>
            <w:tcW w:w="3240" w:type="dxa"/>
            <w:vAlign w:val="bottom"/>
          </w:tcPr>
          <w:p>
            <w:pPr>
              <w:spacing w:after="0"/>
              <w:rPr>
                <w:sz w:val="24"/>
                <w:szCs w:val="24"/>
                <w:color w:val="auto"/>
              </w:rPr>
            </w:pPr>
          </w:p>
        </w:tc>
        <w:tc>
          <w:tcPr>
            <w:tcW w:w="7420" w:type="dxa"/>
            <w:vAlign w:val="bottom"/>
          </w:tcPr>
          <w:p>
            <w:pPr>
              <w:ind w:left="2300"/>
              <w:spacing w:after="0"/>
              <w:rPr>
                <w:sz w:val="20"/>
                <w:szCs w:val="20"/>
                <w:color w:val="auto"/>
              </w:rPr>
            </w:pPr>
            <w:r>
              <w:rPr>
                <w:rFonts w:ascii="Arial" w:cs="Arial" w:eastAsia="Arial" w:hAnsi="Arial"/>
                <w:sz w:val="18"/>
                <w:szCs w:val="18"/>
                <w:color w:val="auto"/>
              </w:rPr>
              <w:t>S-10</w:t>
            </w:r>
          </w:p>
        </w:tc>
        <w:tc>
          <w:tcPr>
            <w:tcW w:w="760" w:type="dxa"/>
            <w:vAlign w:val="bottom"/>
          </w:tcPr>
          <w:p>
            <w:pPr>
              <w:spacing w:after="0"/>
              <w:rPr>
                <w:sz w:val="24"/>
                <w:szCs w:val="24"/>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911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1"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The following table presents, in each case for the periods and as of the dates indicated, summary consolidated financial and operating data. The summary consolidated financial data of GasLog as of December 31, 2017 and 2018, and for each of the years in the three year period ended December 31, 2018, is derived from our audited consolidated financial statements and notes thereto included in "Item 18. Financial Statements" of our Annual Report on Form 20-F for the year ended December 31, 2018, which is incorporated by reference. The summary consolidated financial data as of December 31, 2014, 2015 and 2016, and for the years ended December 31, 2014 and 2015, is derived from our audited consolidated financial statements, which are not included in our Annual Report on Form 20-F. The summary historical financial data of GasLog as of March 31, 2019 and for the three-month periods ended March 31, 2018 and 2019 has been derived from the unaudited interim condensed consolidated financial statements of GasLog included in Exhibit 99.2 of our Report on Form 6-K furnished to the SEC on May 3, 2019, which is incorporated by reference. Our consolidated financial statements are prepared and presented in accordance with IFRS, as issued by the IASB.</w:t>
      </w:r>
    </w:p>
    <w:p>
      <w:pPr>
        <w:spacing w:after="0" w:line="174" w:lineRule="exact"/>
        <w:rPr>
          <w:sz w:val="20"/>
          <w:szCs w:val="20"/>
          <w:color w:val="auto"/>
        </w:rPr>
      </w:pPr>
    </w:p>
    <w:p>
      <w:pPr>
        <w:ind w:left="240" w:right="80" w:firstLine="348"/>
        <w:spacing w:after="0" w:line="256"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of our Annual Report on Form 20-F for the year ended December 31, 2018, and incorporated by reference and the unaudited interim condensed consolidated financial statements of GasLog included in Exhibit 99.2 of our Report on Form 6-K furnished to the SEC on May 3, 2019 and incorporated by reference. You</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36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should also read "Item 5. Operating and Financial Review and Prospects" of our Annual Report on Form 20-F for the year ended December 31, 2018, which is incorporated by reference.</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12"/>
          </w:tcPr>
          <w:p>
            <w:pPr>
              <w:ind w:left="20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1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82"/>
              </w:rPr>
              <w:t>thousands of U.S.</w:t>
            </w:r>
          </w:p>
        </w:tc>
        <w:tc>
          <w:tcPr>
            <w:tcW w:w="3160" w:type="dxa"/>
            <w:vAlign w:val="bottom"/>
            <w:gridSpan w:val="18"/>
          </w:tcPr>
          <w:p>
            <w:pPr>
              <w:jc w:val="center"/>
              <w:ind w:right="780"/>
              <w:spacing w:after="0" w:line="142" w:lineRule="exact"/>
              <w:rPr>
                <w:sz w:val="20"/>
                <w:szCs w:val="20"/>
                <w:color w:val="auto"/>
              </w:rPr>
            </w:pPr>
            <w:r>
              <w:rPr>
                <w:rFonts w:ascii="Arial" w:cs="Arial" w:eastAsia="Arial" w:hAnsi="Arial"/>
                <w:sz w:val="14"/>
                <w:szCs w:val="14"/>
                <w:b w:val="1"/>
                <w:bCs w:val="1"/>
                <w:color w:val="auto"/>
                <w:w w:val="85"/>
              </w:rPr>
              <w:t>dollars, except share and per share data)</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19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CONSOLIDATED</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1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STATEMENT OF PROFIT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1"/>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OR LOSS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328,679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415,078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466,059</w:t>
            </w: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525,229</w:t>
            </w:r>
          </w:p>
        </w:tc>
        <w:tc>
          <w:tcPr>
            <w:tcW w:w="16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618,344</w:t>
            </w:r>
          </w:p>
        </w:tc>
        <w:tc>
          <w:tcPr>
            <w:tcW w:w="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138,478</w:t>
            </w:r>
          </w:p>
        </w:tc>
        <w:tc>
          <w:tcPr>
            <w:tcW w:w="160" w:type="dxa"/>
            <w:vAlign w:val="bottom"/>
          </w:tcPr>
          <w:p>
            <w:pPr>
              <w:spacing w:after="0"/>
              <w:rPr>
                <w:sz w:val="12"/>
                <w:szCs w:val="12"/>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166,547</w:t>
            </w: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pool allocation</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8,653</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(6,738)</w:t>
            </w:r>
          </w:p>
        </w:tc>
        <w:tc>
          <w:tcPr>
            <w:tcW w:w="40" w:type="dxa"/>
            <w:vAlign w:val="bottom"/>
            <w:shd w:val="clear" w:color="auto" w:fill="CCEEFF"/>
          </w:tcPr>
          <w:p>
            <w:pPr>
              <w:spacing w:after="0"/>
              <w:rPr>
                <w:sz w:val="12"/>
                <w:szCs w:val="12"/>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Voyage expenses and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commissions</w:t>
            </w:r>
          </w:p>
        </w:tc>
        <w:tc>
          <w:tcPr>
            <w:tcW w:w="160" w:type="dxa"/>
            <w:vAlign w:val="bottom"/>
          </w:tcPr>
          <w:p>
            <w:pPr>
              <w:spacing w:after="0"/>
              <w:rPr>
                <w:sz w:val="13"/>
                <w:szCs w:val="13"/>
                <w:color w:val="auto"/>
              </w:rPr>
            </w:pP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(7,738)</w:t>
            </w:r>
          </w:p>
        </w:tc>
        <w:tc>
          <w:tcPr>
            <w:tcW w:w="140" w:type="dxa"/>
            <w:vAlign w:val="bottom"/>
          </w:tcPr>
          <w:p>
            <w:pPr>
              <w:spacing w:after="0"/>
              <w:rPr>
                <w:sz w:val="13"/>
                <w:szCs w:val="13"/>
                <w:color w:val="auto"/>
              </w:rPr>
            </w:pPr>
          </w:p>
        </w:tc>
        <w:tc>
          <w:tcPr>
            <w:tcW w:w="7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(14,290)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1"/>
              </w:rPr>
              <w:t>(10,510)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9"/>
              </w:rPr>
              <w:t>(15,404)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(20,374)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(5,281)</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(6,917)</w:t>
            </w:r>
          </w:p>
        </w:tc>
        <w:tc>
          <w:tcPr>
            <w:tcW w:w="40" w:type="dxa"/>
            <w:vAlign w:val="bottom"/>
          </w:tcPr>
          <w:p>
            <w:pPr>
              <w:spacing w:after="0"/>
              <w:rPr>
                <w:sz w:val="13"/>
                <w:szCs w:val="13"/>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Vessel operating and supervision</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costs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(70,732)</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(98,552)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(112,632)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6"/>
              </w:rPr>
              <w:t>(122,486)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(128,084)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(34,313)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(32,970)</w:t>
            </w:r>
          </w:p>
        </w:tc>
        <w:tc>
          <w:tcPr>
            <w:tcW w:w="40" w:type="dxa"/>
            <w:vAlign w:val="bottom"/>
            <w:shd w:val="clear" w:color="auto" w:fill="CCEEFF"/>
          </w:tcPr>
          <w:p>
            <w:pPr>
              <w:spacing w:after="0"/>
              <w:rPr>
                <w:sz w:val="13"/>
                <w:szCs w:val="13"/>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(70,695)</w:t>
            </w:r>
          </w:p>
        </w:tc>
        <w:tc>
          <w:tcPr>
            <w:tcW w:w="14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(106,641)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(122,957)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(137,187)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(153,193)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(35,529)</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(39,599)</w:t>
            </w:r>
          </w:p>
        </w:tc>
        <w:tc>
          <w:tcPr>
            <w:tcW w:w="40" w:type="dxa"/>
            <w:vAlign w:val="bottom"/>
          </w:tcPr>
          <w:p>
            <w:pPr>
              <w:spacing w:after="0"/>
              <w:rPr>
                <w:sz w:val="12"/>
                <w:szCs w:val="12"/>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(34,154)</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(41,282)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(38,642)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(39,850)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(41,993)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(12,013)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(10,377)</w:t>
            </w:r>
          </w:p>
        </w:tc>
        <w:tc>
          <w:tcPr>
            <w:tcW w:w="40" w:type="dxa"/>
            <w:vAlign w:val="bottom"/>
            <w:shd w:val="clear" w:color="auto" w:fill="CCEEFF"/>
          </w:tcPr>
          <w:p>
            <w:pPr>
              <w:spacing w:after="0"/>
              <w:rPr>
                <w:sz w:val="13"/>
                <w:szCs w:val="13"/>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145,360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154,313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176,644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217,556</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292,518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59,995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69,946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Financial costs</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(71,579)</w:t>
            </w: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(91,956)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(137,316)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6"/>
              </w:rPr>
              <w:t>(139,181)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(166,627)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(36,597)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(45,507)</w:t>
            </w:r>
          </w:p>
        </w:tc>
        <w:tc>
          <w:tcPr>
            <w:tcW w:w="40" w:type="dxa"/>
            <w:vAlign w:val="bottom"/>
            <w:shd w:val="clear" w:color="auto" w:fill="CCEEFF"/>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427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1,459</w:t>
            </w: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(24,787)</w:t>
            </w: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(10,332)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(13,419)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17,771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(20,244)</w:t>
            </w:r>
          </w:p>
        </w:tc>
        <w:tc>
          <w:tcPr>
            <w:tcW w:w="40" w:type="dxa"/>
            <w:vAlign w:val="bottom"/>
            <w:shd w:val="clear" w:color="auto" w:fill="CCEEFF"/>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Share of profit of associates</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1,216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w:t>
            </w:r>
          </w:p>
        </w:tc>
        <w:tc>
          <w:tcPr>
            <w:tcW w:w="40" w:type="dxa"/>
            <w:vAlign w:val="bottom"/>
          </w:tcPr>
          <w:p>
            <w:pPr>
              <w:spacing w:after="0"/>
              <w:rPr>
                <w:sz w:val="12"/>
                <w:szCs w:val="12"/>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(94,595)</w:t>
            </w: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(100,645)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(148,593)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(133,347)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(166,120)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(17,454)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(64,047)</w:t>
            </w:r>
          </w:p>
        </w:tc>
        <w:tc>
          <w:tcPr>
            <w:tcW w:w="40" w:type="dxa"/>
            <w:vAlign w:val="bottom"/>
            <w:shd w:val="clear" w:color="auto" w:fill="CCEEFF"/>
          </w:tcPr>
          <w:p>
            <w:pPr>
              <w:spacing w:after="0"/>
              <w:rPr>
                <w:sz w:val="12"/>
                <w:szCs w:val="12"/>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4"/>
                <w:szCs w:val="14"/>
                <w:b w:val="1"/>
                <w:bCs w:val="1"/>
                <w:color w:val="auto"/>
              </w:rPr>
              <w:t>Profit for the year</w:t>
            </w: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50,765</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53,668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28,051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84,209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126,398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42,541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5,899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8"/>
        </w:trPr>
        <w:tc>
          <w:tcPr>
            <w:tcW w:w="19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Profit/(loss) attributable to</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owners of the Group</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42,161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83"/>
              </w:rPr>
              <w:t>10,829</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(21,486)</w:t>
            </w:r>
          </w:p>
        </w:tc>
        <w:tc>
          <w:tcPr>
            <w:tcW w:w="2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15,506</w:t>
            </w:r>
          </w:p>
        </w:tc>
        <w:tc>
          <w:tcPr>
            <w:tcW w:w="160" w:type="dxa"/>
            <w:vAlign w:val="bottom"/>
            <w:shd w:val="clear" w:color="auto" w:fill="CCEEFF"/>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47,683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19,304</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(10,947)</w:t>
            </w:r>
          </w:p>
        </w:tc>
        <w:tc>
          <w:tcPr>
            <w:tcW w:w="40" w:type="dxa"/>
            <w:vAlign w:val="bottom"/>
            <w:shd w:val="clear" w:color="auto" w:fill="CCEEFF"/>
          </w:tcPr>
          <w:p>
            <w:pPr>
              <w:spacing w:after="0"/>
              <w:rPr>
                <w:sz w:val="13"/>
                <w:szCs w:val="13"/>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Profit attributable to non-</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controlling interests</w:t>
            </w:r>
          </w:p>
        </w:tc>
        <w:tc>
          <w:tcPr>
            <w:tcW w:w="160" w:type="dxa"/>
            <w:vAlign w:val="bottom"/>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8,604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83"/>
              </w:rPr>
              <w:t>42,839</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49,537</w:t>
            </w:r>
          </w:p>
        </w:tc>
        <w:tc>
          <w:tcPr>
            <w:tcW w:w="2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68,703</w:t>
            </w:r>
          </w:p>
        </w:tc>
        <w:tc>
          <w:tcPr>
            <w:tcW w:w="160" w:type="dxa"/>
            <w:vAlign w:val="bottom"/>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78,715</w:t>
            </w:r>
          </w:p>
        </w:tc>
        <w:tc>
          <w:tcPr>
            <w:tcW w:w="6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23,237</w:t>
            </w:r>
          </w:p>
        </w:tc>
        <w:tc>
          <w:tcPr>
            <w:tcW w:w="160" w:type="dxa"/>
            <w:vAlign w:val="bottom"/>
          </w:tcPr>
          <w:p>
            <w:pPr>
              <w:spacing w:after="0"/>
              <w:rPr>
                <w:sz w:val="13"/>
                <w:szCs w:val="13"/>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16,846</w:t>
            </w:r>
          </w:p>
        </w:tc>
        <w:tc>
          <w:tcPr>
            <w:tcW w:w="40" w:type="dxa"/>
            <w:vAlign w:val="bottom"/>
          </w:tcPr>
          <w:p>
            <w:pPr>
              <w:spacing w:after="0"/>
              <w:rPr>
                <w:sz w:val="13"/>
                <w:szCs w:val="13"/>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Earnings/(loss) per share, basic</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0.54</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0.04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(0.17)</w:t>
            </w:r>
          </w:p>
        </w:tc>
        <w:tc>
          <w:tcPr>
            <w:tcW w:w="40" w:type="dxa"/>
            <w:vAlign w:val="bottom"/>
            <w:shd w:val="clear" w:color="auto" w:fill="CCEEFF"/>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3"/>
              </w:rPr>
              <w:t>Earnings/(loss) per share, diluted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0.04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(0.39)</w:t>
            </w: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0.07</w:t>
            </w:r>
          </w:p>
        </w:tc>
        <w:tc>
          <w:tcPr>
            <w:tcW w:w="16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0.46</w:t>
            </w:r>
          </w:p>
        </w:tc>
        <w:tc>
          <w:tcPr>
            <w:tcW w:w="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0.21</w:t>
            </w:r>
          </w:p>
        </w:tc>
        <w:tc>
          <w:tcPr>
            <w:tcW w:w="160" w:type="dxa"/>
            <w:vAlign w:val="bottom"/>
          </w:tcPr>
          <w:p>
            <w:pPr>
              <w:spacing w:after="0"/>
              <w:rPr>
                <w:sz w:val="12"/>
                <w:szCs w:val="12"/>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(0.17)</w:t>
            </w:r>
          </w:p>
        </w:tc>
        <w:tc>
          <w:tcPr>
            <w:tcW w:w="40" w:type="dxa"/>
            <w:vAlign w:val="bottom"/>
          </w:tcPr>
          <w:p>
            <w:pPr>
              <w:spacing w:after="0"/>
              <w:rPr>
                <w:sz w:val="12"/>
                <w:szCs w:val="12"/>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number of</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shares, basic</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4"/>
              </w:rPr>
              <w:t>78,633,820</w:t>
            </w: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4"/>
              </w:rPr>
              <w:t>80,496,314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80,534,702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8"/>
              </w:rPr>
              <w:t>80,622,788</w:t>
            </w:r>
          </w:p>
        </w:tc>
        <w:tc>
          <w:tcPr>
            <w:tcW w:w="1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1"/>
              </w:rPr>
              <w:t>80,792,837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5"/>
              </w:rPr>
              <w:t>80,715,130</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80,825,637</w:t>
            </w:r>
          </w:p>
        </w:tc>
        <w:tc>
          <w:tcPr>
            <w:tcW w:w="40" w:type="dxa"/>
            <w:vAlign w:val="bottom"/>
            <w:shd w:val="clear" w:color="auto" w:fill="CCEEFF"/>
          </w:tcPr>
          <w:p>
            <w:pPr>
              <w:spacing w:after="0"/>
              <w:rPr>
                <w:sz w:val="13"/>
                <w:szCs w:val="13"/>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Weighted average number of</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shares, diluted</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4"/>
              </w:rPr>
              <w:t>78,800,192</w:t>
            </w:r>
          </w:p>
        </w:tc>
        <w:tc>
          <w:tcPr>
            <w:tcW w:w="140" w:type="dxa"/>
            <w:vAlign w:val="bottom"/>
          </w:tcPr>
          <w:p>
            <w:pPr>
              <w:spacing w:after="0"/>
              <w:rPr>
                <w:sz w:val="13"/>
                <w:szCs w:val="13"/>
                <w:color w:val="auto"/>
              </w:rPr>
            </w:pPr>
          </w:p>
        </w:tc>
        <w:tc>
          <w:tcPr>
            <w:tcW w:w="760" w:type="dxa"/>
            <w:vAlign w:val="bottom"/>
            <w:gridSpan w:val="4"/>
          </w:tcPr>
          <w:p>
            <w:pPr>
              <w:jc w:val="right"/>
              <w:ind w:right="12"/>
              <w:spacing w:after="0" w:line="159" w:lineRule="exact"/>
              <w:rPr>
                <w:sz w:val="20"/>
                <w:szCs w:val="20"/>
                <w:color w:val="auto"/>
              </w:rPr>
            </w:pPr>
            <w:r>
              <w:rPr>
                <w:rFonts w:ascii="Arial" w:cs="Arial" w:eastAsia="Arial" w:hAnsi="Arial"/>
                <w:sz w:val="14"/>
                <w:szCs w:val="14"/>
                <w:color w:val="auto"/>
                <w:w w:val="94"/>
              </w:rPr>
              <w:t>80,610,420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1"/>
              </w:rPr>
              <w:t>80,534,702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w w:val="88"/>
              </w:rPr>
              <w:t>81,266,130</w:t>
            </w:r>
          </w:p>
        </w:tc>
        <w:tc>
          <w:tcPr>
            <w:tcW w:w="160" w:type="dxa"/>
            <w:vAlign w:val="bottom"/>
          </w:tcPr>
          <w:p>
            <w:pPr>
              <w:spacing w:after="0"/>
              <w:rPr>
                <w:sz w:val="13"/>
                <w:szCs w:val="13"/>
                <w:color w:val="auto"/>
              </w:rPr>
            </w:pPr>
          </w:p>
        </w:tc>
        <w:tc>
          <w:tcPr>
            <w:tcW w:w="7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w w:val="91"/>
              </w:rPr>
              <w:t>81,637,022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85"/>
              </w:rPr>
              <w:t>81,497,291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9"/>
              </w:rPr>
              <w:t>80,825,637</w:t>
            </w:r>
          </w:p>
        </w:tc>
        <w:tc>
          <w:tcPr>
            <w:tcW w:w="40" w:type="dxa"/>
            <w:vAlign w:val="bottom"/>
          </w:tcPr>
          <w:p>
            <w:pPr>
              <w:spacing w:after="0"/>
              <w:rPr>
                <w:sz w:val="13"/>
                <w:szCs w:val="13"/>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Dividends declared per common</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0.50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0.56</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0.56</w:t>
            </w:r>
          </w:p>
        </w:tc>
        <w:tc>
          <w:tcPr>
            <w:tcW w:w="2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0.56</w:t>
            </w:r>
          </w:p>
        </w:tc>
        <w:tc>
          <w:tcPr>
            <w:tcW w:w="160" w:type="dxa"/>
            <w:vAlign w:val="bottom"/>
            <w:shd w:val="clear" w:color="auto" w:fill="CCEEFF"/>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0.59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0.14</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0.15</w:t>
            </w:r>
          </w:p>
        </w:tc>
        <w:tc>
          <w:tcPr>
            <w:tcW w:w="40" w:type="dxa"/>
            <w:vAlign w:val="bottom"/>
            <w:shd w:val="clear" w:color="auto" w:fill="CCEEFF"/>
          </w:tcPr>
          <w:p>
            <w:pPr>
              <w:spacing w:after="0"/>
              <w:rPr>
                <w:sz w:val="13"/>
                <w:szCs w:val="13"/>
                <w:color w:val="auto"/>
              </w:rPr>
            </w:pPr>
          </w:p>
        </w:tc>
      </w:tr>
      <w:tr>
        <w:trPr>
          <w:trHeight w:val="138"/>
        </w:trPr>
        <w:tc>
          <w:tcPr>
            <w:tcW w:w="1940" w:type="dxa"/>
            <w:vAlign w:val="bottom"/>
          </w:tcPr>
          <w:p>
            <w:pPr>
              <w:spacing w:after="0" w:line="138" w:lineRule="exact"/>
              <w:rPr>
                <w:sz w:val="20"/>
                <w:szCs w:val="20"/>
                <w:color w:val="auto"/>
              </w:rPr>
            </w:pPr>
            <w:r>
              <w:rPr>
                <w:rFonts w:ascii="Arial" w:cs="Arial" w:eastAsia="Arial" w:hAnsi="Arial"/>
                <w:sz w:val="14"/>
                <w:szCs w:val="14"/>
                <w:color w:val="auto"/>
              </w:rPr>
              <w:t>Dividends declared per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1940" w:type="dxa"/>
            <w:vAlign w:val="bottom"/>
          </w:tcPr>
          <w:p>
            <w:pPr>
              <w:ind w:left="140"/>
              <w:spacing w:after="0" w:line="159" w:lineRule="exact"/>
              <w:rPr>
                <w:sz w:val="20"/>
                <w:szCs w:val="20"/>
                <w:color w:val="auto"/>
              </w:rPr>
            </w:pPr>
            <w:r>
              <w:rPr>
                <w:rFonts w:ascii="Arial" w:cs="Arial" w:eastAsia="Arial" w:hAnsi="Arial"/>
                <w:sz w:val="14"/>
                <w:szCs w:val="14"/>
                <w:color w:val="auto"/>
              </w:rPr>
              <w:t>preference share</w:t>
            </w:r>
          </w:p>
        </w:tc>
        <w:tc>
          <w:tcPr>
            <w:tcW w:w="160" w:type="dxa"/>
            <w:vAlign w:val="bottom"/>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1.60</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2.19</w:t>
            </w:r>
          </w:p>
        </w:tc>
        <w:tc>
          <w:tcPr>
            <w:tcW w:w="2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2.19</w:t>
            </w:r>
          </w:p>
        </w:tc>
        <w:tc>
          <w:tcPr>
            <w:tcW w:w="160" w:type="dxa"/>
            <w:vAlign w:val="bottom"/>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2.19</w:t>
            </w:r>
          </w:p>
        </w:tc>
        <w:tc>
          <w:tcPr>
            <w:tcW w:w="6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0.55</w:t>
            </w:r>
          </w:p>
        </w:tc>
        <w:tc>
          <w:tcPr>
            <w:tcW w:w="160" w:type="dxa"/>
            <w:vAlign w:val="bottom"/>
          </w:tcPr>
          <w:p>
            <w:pPr>
              <w:spacing w:after="0"/>
              <w:rPr>
                <w:sz w:val="13"/>
                <w:szCs w:val="13"/>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0.55</w:t>
            </w:r>
          </w:p>
        </w:tc>
        <w:tc>
          <w:tcPr>
            <w:tcW w:w="40" w:type="dxa"/>
            <w:vAlign w:val="bottom"/>
          </w:tcPr>
          <w:p>
            <w:pPr>
              <w:spacing w:after="0"/>
              <w:rPr>
                <w:sz w:val="13"/>
                <w:szCs w:val="13"/>
                <w:color w:val="auto"/>
              </w:rPr>
            </w:pPr>
          </w:p>
        </w:tc>
      </w:tr>
      <w:tr>
        <w:trPr>
          <w:trHeight w:val="138"/>
        </w:trPr>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Special dividends declared per</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19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common share</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center"/>
              <w:ind w:right="33"/>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784"/>
        </w:trPr>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0"/>
              </w:rPr>
              <w:t>of</w:t>
            </w: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U.S. dollars)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3080" w:type="dxa"/>
            <w:vAlign w:val="bottom"/>
            <w:gridSpan w:val="5"/>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CONSOLIDATED STATEMENT OF FINANCIAL</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POSITION DATA</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211,974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302,988</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227,024</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384,092</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342,594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230,750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investments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22,826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62,718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76"/>
        </w:trPr>
        <w:tc>
          <w:tcPr>
            <w:tcW w:w="19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Investment in associates</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6,603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6,274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20,800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20,713</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20,958</w:t>
            </w:r>
          </w:p>
        </w:tc>
        <w:tc>
          <w:tcPr>
            <w:tcW w:w="1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1940" w:type="dxa"/>
            <w:vAlign w:val="bottom"/>
          </w:tcPr>
          <w:p>
            <w:pPr>
              <w:spacing w:after="0" w:line="176" w:lineRule="exact"/>
              <w:rPr>
                <w:sz w:val="20"/>
                <w:szCs w:val="20"/>
                <w:color w:val="auto"/>
              </w:rPr>
            </w:pPr>
            <w:r>
              <w:rPr>
                <w:rFonts w:ascii="Arial" w:cs="Arial" w:eastAsia="Arial" w:hAnsi="Arial"/>
                <w:sz w:val="13"/>
                <w:szCs w:val="13"/>
                <w:color w:val="auto"/>
              </w:rPr>
              <w:t>Tangible fixed assets</w:t>
            </w:r>
            <w:r>
              <w:rPr>
                <w:rFonts w:ascii="Arial" w:cs="Arial" w:eastAsia="Arial" w:hAnsi="Arial"/>
                <w:sz w:val="20"/>
                <w:szCs w:val="20"/>
                <w:color w:val="auto"/>
                <w:vertAlign w:val="superscript"/>
              </w:rPr>
              <w:t>(2)</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5"/>
          </w:tcPr>
          <w:p>
            <w:pPr>
              <w:jc w:val="right"/>
              <w:ind w:right="40"/>
              <w:spacing w:after="0"/>
              <w:rPr>
                <w:sz w:val="20"/>
                <w:szCs w:val="20"/>
                <w:color w:val="auto"/>
              </w:rPr>
            </w:pPr>
            <w:r>
              <w:rPr>
                <w:rFonts w:ascii="Arial" w:cs="Arial" w:eastAsia="Arial" w:hAnsi="Arial"/>
                <w:sz w:val="14"/>
                <w:szCs w:val="14"/>
                <w:color w:val="auto"/>
              </w:rPr>
              <w:t>2,809,517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4"/>
                <w:szCs w:val="14"/>
                <w:color w:val="auto"/>
              </w:rPr>
              <w:t>3,400,270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3,889,047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3,772,566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4,323,582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4,500,415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Vessels under construction</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142,776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178,405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96,356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166,655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159,275</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155,841</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Right-of-use assets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214,329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206,753</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212,918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3,269,971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4,039,621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4,515,164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4,634,891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5,174,807</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5,194,470</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Borrowings, current portion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116,431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636,987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179,367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520,550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172,686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Borrowings, non-current portion</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1,778,845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1,737,500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2,504,578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2,368,189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2,307,909</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2,748,035</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Lease liability, current portion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6,302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6,675</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8,959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Lease liability, non-current portion</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214,455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207,126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199,424</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203,100</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Share capital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85"/>
              </w:rPr>
              <w:t>810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810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810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Preference Shares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940" w:type="dxa"/>
            <w:vAlign w:val="bottom"/>
            <w:gridSpan w:val="4"/>
          </w:tcPr>
          <w:p>
            <w:pPr>
              <w:spacing w:after="0" w:line="149" w:lineRule="exact"/>
              <w:rPr>
                <w:sz w:val="20"/>
                <w:szCs w:val="20"/>
                <w:color w:val="auto"/>
              </w:rPr>
            </w:pPr>
            <w:r>
              <w:rPr>
                <w:rFonts w:ascii="Arial" w:cs="Arial" w:eastAsia="Arial" w:hAnsi="Arial"/>
                <w:sz w:val="14"/>
                <w:szCs w:val="14"/>
                <w:color w:val="auto"/>
              </w:rPr>
              <w:t>Equity attributable to owners of the Group</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929,391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1,001,674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945,643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918,029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879,742</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850,540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323,646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506,246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564,039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845,105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1,103,380</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1,093,729</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Total equity</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5"/>
          </w:tcPr>
          <w:p>
            <w:pPr>
              <w:jc w:val="right"/>
              <w:ind w:right="40"/>
              <w:spacing w:after="0"/>
              <w:rPr>
                <w:sz w:val="20"/>
                <w:szCs w:val="20"/>
                <w:color w:val="auto"/>
              </w:rPr>
            </w:pPr>
            <w:r>
              <w:rPr>
                <w:rFonts w:ascii="Arial" w:cs="Arial" w:eastAsia="Arial" w:hAnsi="Arial"/>
                <w:sz w:val="14"/>
                <w:szCs w:val="14"/>
                <w:color w:val="auto"/>
              </w:rPr>
              <w:t>1,253,037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4"/>
                <w:szCs w:val="14"/>
                <w:color w:val="auto"/>
              </w:rPr>
              <w:t>1,507,920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1,509,682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1,763,134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1,983,122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1,944,269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31" w:right="8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76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12"/>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6"/>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16"/>
          </w:tcPr>
          <w:p>
            <w:pPr>
              <w:jc w:val="right"/>
              <w:ind w:right="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3"/>
              </w:rPr>
              <w:t>2014</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2"/>
          </w:tcPr>
          <w:p>
            <w:pPr>
              <w:jc w:val="right"/>
              <w:ind w:right="460"/>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CASH FLOW DATA</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6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148,288</w:t>
            </w:r>
          </w:p>
        </w:tc>
        <w:tc>
          <w:tcPr>
            <w:tcW w:w="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161,579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5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256,532</w:t>
            </w:r>
          </w:p>
        </w:tc>
        <w:tc>
          <w:tcPr>
            <w:tcW w:w="40" w:type="dxa"/>
            <w:vAlign w:val="bottom"/>
          </w:tcPr>
          <w:p>
            <w:pPr>
              <w:spacing w:after="0"/>
              <w:rPr>
                <w:sz w:val="12"/>
                <w:szCs w:val="12"/>
                <w:color w:val="auto"/>
              </w:rPr>
            </w:pPr>
          </w:p>
        </w:tc>
        <w:tc>
          <w:tcPr>
            <w:tcW w:w="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0"/>
              </w:rPr>
              <w:t>223,630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283,710</w:t>
            </w:r>
          </w:p>
        </w:tc>
        <w:tc>
          <w:tcPr>
            <w:tcW w:w="34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7"/>
              </w:rPr>
              <w:t>43,278</w:t>
            </w:r>
          </w:p>
        </w:tc>
        <w:tc>
          <w:tcPr>
            <w:tcW w:w="2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42,714</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9"/>
              </w:rPr>
              <w:t>(1,386,656)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(704,052)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(771,242)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(74,599)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5"/>
            <w:shd w:val="clear" w:color="auto" w:fill="CCEEFF"/>
          </w:tcPr>
          <w:p>
            <w:pPr>
              <w:ind w:left="100"/>
              <w:spacing w:after="0" w:line="149" w:lineRule="exact"/>
              <w:rPr>
                <w:sz w:val="20"/>
                <w:szCs w:val="20"/>
                <w:color w:val="auto"/>
              </w:rPr>
            </w:pPr>
            <w:r>
              <w:rPr>
                <w:rFonts w:ascii="Arial" w:cs="Arial" w:eastAsia="Arial" w:hAnsi="Arial"/>
                <w:sz w:val="14"/>
                <w:szCs w:val="14"/>
                <w:color w:val="auto"/>
                <w:w w:val="86"/>
              </w:rPr>
              <w:t>(692,999)</w:t>
            </w:r>
          </w:p>
        </w:tc>
        <w:tc>
          <w:tcPr>
            <w:tcW w:w="88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(560,937)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(198,019)</w:t>
            </w:r>
          </w:p>
        </w:tc>
        <w:tc>
          <w:tcPr>
            <w:tcW w:w="140" w:type="dxa"/>
            <w:vAlign w:val="bottom"/>
            <w:tcBorders>
              <w:left w:val="single" w:sz="8" w:color="CCEEFF"/>
            </w:tcBorders>
            <w:shd w:val="clear" w:color="auto" w:fill="CCEEFF"/>
          </w:tcPr>
          <w:p>
            <w:pPr>
              <w:spacing w:after="0"/>
              <w:rPr>
                <w:sz w:val="12"/>
                <w:szCs w:val="12"/>
                <w:color w:val="auto"/>
              </w:rPr>
            </w:pPr>
          </w:p>
        </w:tc>
      </w:tr>
      <w:tr>
        <w:trPr>
          <w:trHeight w:val="172"/>
        </w:trPr>
        <w:tc>
          <w:tcPr>
            <w:tcW w:w="274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4"/>
                <w:szCs w:val="14"/>
                <w:color w:val="auto"/>
                <w:w w:val="83"/>
              </w:rPr>
              <w:t>1,346,762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634,317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4"/>
                <w:szCs w:val="14"/>
                <w:color w:val="auto"/>
              </w:rPr>
              <w:t>439,766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7,265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4"/>
                <w:szCs w:val="14"/>
                <w:color w:val="auto"/>
              </w:rPr>
              <w:t>368,120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4"/>
                <w:szCs w:val="14"/>
                <w:color w:val="auto"/>
                <w:w w:val="82"/>
              </w:rPr>
              <w:t>482,255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4"/>
                <w:szCs w:val="14"/>
                <w:color w:val="auto"/>
              </w:rPr>
              <w:t>43,592</w:t>
            </w:r>
          </w:p>
        </w:tc>
        <w:tc>
          <w:tcPr>
            <w:tcW w:w="140" w:type="dxa"/>
            <w:vAlign w:val="bottom"/>
          </w:tcPr>
          <w:p>
            <w:pPr>
              <w:spacing w:after="0"/>
              <w:rPr>
                <w:sz w:val="14"/>
                <w:szCs w:val="14"/>
                <w:color w:val="auto"/>
              </w:rPr>
            </w:pPr>
          </w:p>
        </w:tc>
      </w:tr>
      <w:tr>
        <w:trPr>
          <w:trHeight w:val="760"/>
        </w:trPr>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4"/>
              </w:rPr>
              <w:t>Three</w:t>
            </w:r>
          </w:p>
        </w:tc>
      </w:tr>
      <w:tr>
        <w:trPr>
          <w:trHeight w:val="149"/>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8"/>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8"/>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0"/>
          </w:tcPr>
          <w:p>
            <w:pPr>
              <w:jc w:val="right"/>
              <w:ind w:right="3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10"/>
          </w:tcPr>
          <w:p>
            <w:pPr>
              <w:jc w:val="center"/>
              <w:ind w:right="4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9"/>
        </w:trPr>
        <w:tc>
          <w:tcPr>
            <w:tcW w:w="274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FLEET DATA</w:t>
            </w:r>
            <w:r>
              <w:rPr>
                <w:rFonts w:ascii="Arial" w:cs="Arial" w:eastAsia="Arial" w:hAnsi="Arial"/>
                <w:sz w:val="19"/>
                <w:szCs w:val="19"/>
                <w:b w:val="1"/>
                <w:bCs w:val="1"/>
                <w:color w:val="auto"/>
                <w:vertAlign w:val="superscript"/>
              </w:rPr>
              <w:t>(3)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tcPr>
          <w:p>
            <w:pPr>
              <w:spacing w:after="0"/>
              <w:rPr>
                <w:sz w:val="14"/>
                <w:szCs w:val="14"/>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Number of managed ships at end of period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6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26</w:t>
            </w:r>
          </w:p>
        </w:tc>
        <w:tc>
          <w:tcPr>
            <w:tcW w:w="120" w:type="dxa"/>
            <w:vAlign w:val="bottom"/>
          </w:tcPr>
          <w:p>
            <w:pPr>
              <w:spacing w:after="0"/>
              <w:rPr>
                <w:sz w:val="12"/>
                <w:szCs w:val="12"/>
                <w:color w:val="auto"/>
              </w:rPr>
            </w:pP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rPr>
              <w:t>Average number of managed ships during period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680" w:type="dxa"/>
            <w:vAlign w:val="bottom"/>
            <w:gridSpan w:val="8"/>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6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140" w:type="dxa"/>
            <w:vAlign w:val="bottom"/>
            <w:tcBorders>
              <w:left w:val="single" w:sz="8" w:color="CCEEFF"/>
            </w:tcBorders>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Number of owned ships at end of period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6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25</w:t>
            </w:r>
          </w:p>
        </w:tc>
        <w:tc>
          <w:tcPr>
            <w:tcW w:w="120" w:type="dxa"/>
            <w:vAlign w:val="bottom"/>
          </w:tcPr>
          <w:p>
            <w:pPr>
              <w:spacing w:after="0"/>
              <w:rPr>
                <w:sz w:val="12"/>
                <w:szCs w:val="12"/>
                <w:color w:val="auto"/>
              </w:rPr>
            </w:pP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Average number of owned ships during period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680" w:type="dxa"/>
            <w:vAlign w:val="bottom"/>
            <w:gridSpan w:val="8"/>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w:t>
            </w:r>
          </w:p>
        </w:tc>
        <w:tc>
          <w:tcPr>
            <w:tcW w:w="6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w:t>
            </w:r>
          </w:p>
        </w:tc>
        <w:tc>
          <w:tcPr>
            <w:tcW w:w="140" w:type="dxa"/>
            <w:vAlign w:val="bottom"/>
            <w:tcBorders>
              <w:left w:val="single" w:sz="8" w:color="CCEEFF"/>
            </w:tcBorders>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Average age of owned ships (years)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1"/>
              </w:rPr>
              <w:t>4.4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81"/>
              </w:rPr>
              <w:t>5.2</w:t>
            </w:r>
          </w:p>
        </w:tc>
        <w:tc>
          <w:tcPr>
            <w:tcW w:w="6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6.4</w:t>
            </w:r>
          </w:p>
        </w:tc>
        <w:tc>
          <w:tcPr>
            <w:tcW w:w="60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5.6</w:t>
            </w:r>
          </w:p>
        </w:tc>
        <w:tc>
          <w:tcPr>
            <w:tcW w:w="120" w:type="dxa"/>
            <w:vAlign w:val="bottom"/>
          </w:tcPr>
          <w:p>
            <w:pPr>
              <w:spacing w:after="0"/>
              <w:rPr>
                <w:sz w:val="12"/>
                <w:szCs w:val="12"/>
                <w:color w:val="auto"/>
              </w:rPr>
            </w:pPr>
          </w:p>
        </w:tc>
        <w:tc>
          <w:tcPr>
            <w:tcW w:w="62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rPr>
              <w:t>Total calendar days for owned and bareboat fleet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4,520</w:t>
            </w:r>
          </w:p>
        </w:tc>
        <w:tc>
          <w:tcPr>
            <w:tcW w:w="680" w:type="dxa"/>
            <w:vAlign w:val="bottom"/>
            <w:gridSpan w:val="8"/>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6,638</w:t>
            </w:r>
          </w:p>
        </w:tc>
        <w:tc>
          <w:tcPr>
            <w:tcW w:w="6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8,395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9,318</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2,168</w:t>
            </w: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2,356</w:t>
            </w:r>
          </w:p>
        </w:tc>
        <w:tc>
          <w:tcPr>
            <w:tcW w:w="140" w:type="dxa"/>
            <w:vAlign w:val="bottom"/>
            <w:tcBorders>
              <w:left w:val="single" w:sz="8" w:color="CCEEFF"/>
            </w:tcBorders>
          </w:tcPr>
          <w:p>
            <w:pPr>
              <w:spacing w:after="0"/>
              <w:rPr>
                <w:sz w:val="12"/>
                <w:szCs w:val="12"/>
                <w:color w:val="auto"/>
              </w:rPr>
            </w:pPr>
          </w:p>
        </w:tc>
      </w:tr>
      <w:tr>
        <w:trPr>
          <w:trHeight w:val="293"/>
        </w:trPr>
        <w:tc>
          <w:tcPr>
            <w:tcW w:w="2940" w:type="dxa"/>
            <w:vAlign w:val="bottom"/>
            <w:gridSpan w:val="3"/>
          </w:tcPr>
          <w:p>
            <w:pPr>
              <w:spacing w:after="0"/>
              <w:rPr>
                <w:sz w:val="20"/>
                <w:szCs w:val="20"/>
                <w:color w:val="auto"/>
              </w:rPr>
            </w:pPr>
            <w:r>
              <w:rPr>
                <w:rFonts w:ascii="Arial" w:cs="Arial" w:eastAsia="Arial" w:hAnsi="Arial"/>
                <w:sz w:val="14"/>
                <w:szCs w:val="14"/>
                <w:color w:val="auto"/>
                <w:w w:val="89"/>
              </w:rPr>
              <w:t>Total operating days for owned and bareboat fleet</w:t>
            </w:r>
            <w:r>
              <w:rPr>
                <w:rFonts w:ascii="Arial" w:cs="Arial" w:eastAsia="Arial" w:hAnsi="Arial"/>
                <w:sz w:val="22"/>
                <w:szCs w:val="22"/>
                <w:color w:val="auto"/>
                <w:w w:val="89"/>
                <w:vertAlign w:val="superscript"/>
              </w:rPr>
              <w:t>(4)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4,392</w:t>
            </w:r>
          </w:p>
        </w:tc>
        <w:tc>
          <w:tcPr>
            <w:tcW w:w="680" w:type="dxa"/>
            <w:vAlign w:val="bottom"/>
            <w:gridSpan w:val="8"/>
          </w:tcPr>
          <w:p>
            <w:pPr>
              <w:jc w:val="right"/>
              <w:ind w:right="80"/>
              <w:spacing w:after="0"/>
              <w:rPr>
                <w:sz w:val="20"/>
                <w:szCs w:val="20"/>
                <w:color w:val="auto"/>
              </w:rPr>
            </w:pPr>
            <w:r>
              <w:rPr>
                <w:rFonts w:ascii="Arial" w:cs="Arial" w:eastAsia="Arial" w:hAnsi="Arial"/>
                <w:sz w:val="14"/>
                <w:szCs w:val="14"/>
                <w:color w:val="auto"/>
              </w:rPr>
              <w:t>6,097</w:t>
            </w:r>
          </w:p>
        </w:tc>
        <w:tc>
          <w:tcPr>
            <w:tcW w:w="640" w:type="dxa"/>
            <w:vAlign w:val="bottom"/>
            <w:gridSpan w:val="5"/>
          </w:tcPr>
          <w:p>
            <w:pPr>
              <w:jc w:val="right"/>
              <w:ind w:right="100"/>
              <w:spacing w:after="0"/>
              <w:rPr>
                <w:sz w:val="20"/>
                <w:szCs w:val="20"/>
                <w:color w:val="auto"/>
              </w:rPr>
            </w:pPr>
            <w:r>
              <w:rPr>
                <w:rFonts w:ascii="Arial" w:cs="Arial" w:eastAsia="Arial" w:hAnsi="Arial"/>
                <w:sz w:val="14"/>
                <w:szCs w:val="14"/>
                <w:color w:val="auto"/>
              </w:rPr>
              <w:t>7,439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8,317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color w:val="auto"/>
                <w:w w:val="96"/>
              </w:rPr>
              <w:t>9,030</w:t>
            </w:r>
          </w:p>
        </w:tc>
        <w:tc>
          <w:tcPr>
            <w:tcW w:w="600" w:type="dxa"/>
            <w:vAlign w:val="bottom"/>
            <w:gridSpan w:val="6"/>
          </w:tcPr>
          <w:p>
            <w:pPr>
              <w:jc w:val="right"/>
              <w:spacing w:after="0"/>
              <w:rPr>
                <w:sz w:val="20"/>
                <w:szCs w:val="20"/>
                <w:color w:val="auto"/>
              </w:rPr>
            </w:pPr>
            <w:r>
              <w:rPr>
                <w:rFonts w:ascii="Arial" w:cs="Arial" w:eastAsia="Arial" w:hAnsi="Arial"/>
                <w:sz w:val="14"/>
                <w:szCs w:val="14"/>
                <w:color w:val="auto"/>
              </w:rPr>
              <w:t>2,162</w:t>
            </w:r>
          </w:p>
        </w:tc>
        <w:tc>
          <w:tcPr>
            <w:tcW w:w="120" w:type="dxa"/>
            <w:vAlign w:val="bottom"/>
          </w:tcPr>
          <w:p>
            <w:pPr>
              <w:spacing w:after="0"/>
              <w:rPr>
                <w:sz w:val="24"/>
                <w:szCs w:val="24"/>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4"/>
                <w:szCs w:val="14"/>
                <w:color w:val="auto"/>
              </w:rPr>
              <w:t>2,350</w:t>
            </w:r>
          </w:p>
        </w:tc>
        <w:tc>
          <w:tcPr>
            <w:tcW w:w="140" w:type="dxa"/>
            <w:vAlign w:val="bottom"/>
          </w:tcPr>
          <w:p>
            <w:pPr>
              <w:spacing w:after="0"/>
              <w:rPr>
                <w:sz w:val="24"/>
                <w:szCs w:val="24"/>
                <w:color w:val="auto"/>
              </w:rPr>
            </w:pPr>
          </w:p>
        </w:tc>
      </w:tr>
      <w:tr>
        <w:trPr>
          <w:trHeight w:val="667"/>
        </w:trPr>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12"/>
          </w:tcPr>
          <w:p>
            <w:pPr>
              <w:ind w:left="40"/>
              <w:spacing w:after="0"/>
              <w:rPr>
                <w:sz w:val="20"/>
                <w:szCs w:val="20"/>
                <w:color w:val="auto"/>
              </w:rPr>
            </w:pPr>
            <w:r>
              <w:rPr>
                <w:rFonts w:ascii="Arial" w:cs="Arial" w:eastAsia="Arial" w:hAnsi="Arial"/>
                <w:sz w:val="14"/>
                <w:szCs w:val="14"/>
                <w:b w:val="1"/>
                <w:bCs w:val="1"/>
                <w:color w:val="auto"/>
              </w:rPr>
              <w:t>Three Months</w:t>
            </w:r>
          </w:p>
        </w:tc>
      </w:tr>
      <w:tr>
        <w:trPr>
          <w:trHeight w:val="161"/>
        </w:trPr>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1"/>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14"/>
          </w:tcPr>
          <w:p>
            <w:pPr>
              <w:ind w:left="20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gridSpan w:val="5"/>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76"/>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21"/>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76"/>
        </w:trPr>
        <w:tc>
          <w:tcPr>
            <w:tcW w:w="2740" w:type="dxa"/>
            <w:vAlign w:val="bottom"/>
            <w:gridSpan w:val="2"/>
          </w:tcPr>
          <w:p>
            <w:pPr>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217,552</w:t>
            </w:r>
          </w:p>
        </w:tc>
        <w:tc>
          <w:tcPr>
            <w:tcW w:w="140" w:type="dxa"/>
            <w:vAlign w:val="bottom"/>
          </w:tcPr>
          <w:p>
            <w:pPr>
              <w:spacing w:after="0"/>
              <w:rPr>
                <w:sz w:val="15"/>
                <w:szCs w:val="15"/>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4"/>
                <w:szCs w:val="14"/>
                <w:color w:val="auto"/>
                <w:w w:val="93"/>
              </w:rPr>
              <w:t>$  262,170</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5"/>
          </w:tcPr>
          <w:p>
            <w:pPr>
              <w:jc w:val="right"/>
              <w:ind w:right="40"/>
              <w:spacing w:after="0"/>
              <w:rPr>
                <w:sz w:val="20"/>
                <w:szCs w:val="20"/>
                <w:color w:val="auto"/>
              </w:rPr>
            </w:pPr>
            <w:r>
              <w:rPr>
                <w:rFonts w:ascii="Arial" w:cs="Arial" w:eastAsia="Arial" w:hAnsi="Arial"/>
                <w:sz w:val="14"/>
                <w:szCs w:val="14"/>
                <w:color w:val="auto"/>
              </w:rPr>
              <w:t>301,023</w:t>
            </w:r>
          </w:p>
        </w:tc>
        <w:tc>
          <w:tcPr>
            <w:tcW w:w="2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ind w:right="20"/>
              <w:spacing w:after="0"/>
              <w:rPr>
                <w:sz w:val="20"/>
                <w:szCs w:val="20"/>
                <w:color w:val="auto"/>
              </w:rPr>
            </w:pPr>
            <w:r>
              <w:rPr>
                <w:rFonts w:ascii="Arial" w:cs="Arial" w:eastAsia="Arial" w:hAnsi="Arial"/>
                <w:sz w:val="14"/>
                <w:szCs w:val="14"/>
                <w:color w:val="auto"/>
                <w:w w:val="94"/>
              </w:rPr>
              <w:t>355,902</w:t>
            </w:r>
          </w:p>
        </w:tc>
        <w:tc>
          <w:tcPr>
            <w:tcW w:w="120" w:type="dxa"/>
            <w:vAlign w:val="bottom"/>
          </w:tcPr>
          <w:p>
            <w:pPr>
              <w:spacing w:after="0"/>
              <w:rPr>
                <w:sz w:val="15"/>
                <w:szCs w:val="15"/>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447,511</w:t>
            </w:r>
          </w:p>
        </w:tc>
        <w:tc>
          <w:tcPr>
            <w:tcW w:w="60" w:type="dxa"/>
            <w:vAlign w:val="bottom"/>
          </w:tcPr>
          <w:p>
            <w:pPr>
              <w:spacing w:after="0"/>
              <w:rPr>
                <w:sz w:val="15"/>
                <w:szCs w:val="15"/>
                <w:color w:val="auto"/>
              </w:rPr>
            </w:pPr>
          </w:p>
        </w:tc>
        <w:tc>
          <w:tcPr>
            <w:tcW w:w="340" w:type="dxa"/>
            <w:vAlign w:val="bottom"/>
            <w:gridSpan w:val="3"/>
          </w:tcPr>
          <w:p>
            <w:pPr>
              <w:jc w:val="right"/>
              <w:ind w:right="1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40" w:type="dxa"/>
            <w:vAlign w:val="bottom"/>
            <w:gridSpan w:val="3"/>
          </w:tcPr>
          <w:p>
            <w:pPr>
              <w:jc w:val="right"/>
              <w:ind w:right="12"/>
              <w:spacing w:after="0"/>
              <w:rPr>
                <w:sz w:val="20"/>
                <w:szCs w:val="20"/>
                <w:color w:val="auto"/>
              </w:rPr>
            </w:pPr>
            <w:r>
              <w:rPr>
                <w:rFonts w:ascii="Arial" w:cs="Arial" w:eastAsia="Arial" w:hAnsi="Arial"/>
                <w:sz w:val="14"/>
                <w:szCs w:val="14"/>
                <w:color w:val="auto"/>
                <w:w w:val="79"/>
              </w:rPr>
              <w:t>95,880</w:t>
            </w:r>
          </w:p>
        </w:tc>
        <w:tc>
          <w:tcPr>
            <w:tcW w:w="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w w:val="86"/>
              </w:rPr>
              <w:t>109,790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27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Adjusted EBITDA</w:t>
            </w:r>
            <w:r>
              <w:rPr>
                <w:rFonts w:ascii="Arial" w:cs="Arial" w:eastAsia="Arial" w:hAnsi="Arial"/>
                <w:sz w:val="20"/>
                <w:szCs w:val="20"/>
                <w:color w:val="auto"/>
                <w:vertAlign w:val="superscript"/>
              </w:rPr>
              <w:t>(5)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217,172</w:t>
            </w:r>
          </w:p>
        </w:tc>
        <w:tc>
          <w:tcPr>
            <w:tcW w:w="14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262,969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302,386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4"/>
              </w:rPr>
              <w:t>356,048</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447,747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w w:val="79"/>
              </w:rPr>
              <w:t>95,526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6"/>
              </w:rPr>
              <w:t>109,940</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for fixed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1,364,283</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728,446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761,513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82,352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673,823</w:t>
            </w:r>
          </w:p>
        </w:tc>
        <w:tc>
          <w:tcPr>
            <w:tcW w:w="60" w:type="dxa"/>
            <w:vAlign w:val="bottom"/>
            <w:shd w:val="clear" w:color="auto" w:fill="CCEEFF"/>
          </w:tcPr>
          <w:p>
            <w:pPr>
              <w:spacing w:after="0"/>
              <w:rPr>
                <w:sz w:val="12"/>
                <w:szCs w:val="12"/>
                <w:color w:val="auto"/>
              </w:rPr>
            </w:pPr>
          </w:p>
        </w:tc>
        <w:tc>
          <w:tcPr>
            <w:tcW w:w="800" w:type="dxa"/>
            <w:vAlign w:val="bottom"/>
            <w:gridSpan w:val="7"/>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547,021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220,549</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Common share dividend declared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39,840</w:t>
            </w:r>
          </w:p>
        </w:tc>
        <w:tc>
          <w:tcPr>
            <w:tcW w:w="140" w:type="dxa"/>
            <w:vAlign w:val="bottom"/>
          </w:tcPr>
          <w:p>
            <w:pPr>
              <w:spacing w:after="0"/>
              <w:rPr>
                <w:sz w:val="12"/>
                <w:szCs w:val="12"/>
                <w:color w:val="auto"/>
              </w:rPr>
            </w:pPr>
          </w:p>
        </w:tc>
        <w:tc>
          <w:tcPr>
            <w:tcW w:w="6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45,078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w w:val="83"/>
              </w:rPr>
              <w:t>45,101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45,144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80,011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w w:val="79"/>
              </w:rPr>
              <w:t>11,300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12,129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Preference share dividend declared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10,063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10,064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2,516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2,516</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08"/>
        </w:trPr>
        <w:tc>
          <w:tcPr>
            <w:tcW w:w="16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92" w:lineRule="exact"/>
        <w:rPr>
          <w:sz w:val="20"/>
          <w:szCs w:val="20"/>
          <w:color w:val="auto"/>
        </w:rPr>
      </w:pPr>
    </w:p>
    <w:p>
      <w:pPr>
        <w:ind w:left="1880" w:right="40" w:hanging="544"/>
        <w:spacing w:after="0" w:line="268" w:lineRule="auto"/>
        <w:tabs>
          <w:tab w:leader="none" w:pos="1880" w:val="left"/>
        </w:tabs>
        <w:numPr>
          <w:ilvl w:val="0"/>
          <w:numId w:val="7"/>
        </w:numPr>
        <w:rPr>
          <w:rFonts w:ascii="Arial" w:cs="Arial" w:eastAsia="Arial" w:hAnsi="Arial"/>
          <w:sz w:val="10"/>
          <w:szCs w:val="10"/>
          <w:color w:val="auto"/>
        </w:rPr>
      </w:pPr>
      <w:r>
        <w:rPr>
          <w:rFonts w:ascii="Arial" w:cs="Arial" w:eastAsia="Arial" w:hAnsi="Arial"/>
          <w:sz w:val="12"/>
          <w:szCs w:val="12"/>
          <w:color w:val="auto"/>
        </w:rPr>
        <w:t>Consists of our 25.0% ownership interest in Egypt LNG, our 50.0% ownership interest in the Cool Pool and our investment in Gastrade. On October 1, 2015, GasLog, Dynagas and Golar signed an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 In June and July 2018, Dynagas removed its three vessels from the Cool Pool and renounced its 33% ownership in the Cool Pool. Gastrade is a private limited company licensed to develop an independent natural gas system offshore Alexandroupolis in Northern Greece utilizing an FSRU along with other fixed infrastructure.</w:t>
      </w:r>
    </w:p>
    <w:p>
      <w:pPr>
        <w:spacing w:after="0" w:line="96" w:lineRule="exact"/>
        <w:rPr>
          <w:rFonts w:ascii="Arial" w:cs="Arial" w:eastAsia="Arial" w:hAnsi="Arial"/>
          <w:sz w:val="10"/>
          <w:szCs w:val="10"/>
          <w:color w:val="auto"/>
        </w:rPr>
      </w:pPr>
    </w:p>
    <w:p>
      <w:pPr>
        <w:ind w:left="1880" w:hanging="544"/>
        <w:spacing w:after="0"/>
        <w:tabs>
          <w:tab w:leader="none" w:pos="1880" w:val="left"/>
        </w:tabs>
        <w:numPr>
          <w:ilvl w:val="0"/>
          <w:numId w:val="7"/>
        </w:numPr>
        <w:rPr>
          <w:rFonts w:ascii="Arial" w:cs="Arial" w:eastAsia="Arial" w:hAnsi="Arial"/>
          <w:sz w:val="10"/>
          <w:szCs w:val="10"/>
          <w:color w:val="auto"/>
        </w:rPr>
      </w:pPr>
      <w:r>
        <w:rPr>
          <w:rFonts w:ascii="Arial" w:cs="Arial" w:eastAsia="Arial" w:hAnsi="Arial"/>
          <w:sz w:val="12"/>
          <w:szCs w:val="12"/>
          <w:color w:val="auto"/>
        </w:rPr>
        <w:t>Includes delivered ships (including dry-docking component of vessel cost) as well as office property and other tangible assets, less accumulated depreciation.</w:t>
      </w:r>
    </w:p>
    <w:p>
      <w:pPr>
        <w:spacing w:after="0" w:line="145" w:lineRule="exact"/>
        <w:rPr>
          <w:rFonts w:ascii="Arial" w:cs="Arial" w:eastAsia="Arial" w:hAnsi="Arial"/>
          <w:sz w:val="10"/>
          <w:szCs w:val="10"/>
          <w:color w:val="auto"/>
        </w:rPr>
      </w:pPr>
    </w:p>
    <w:p>
      <w:pPr>
        <w:ind w:left="1880" w:right="40" w:hanging="544"/>
        <w:spacing w:after="0" w:line="288" w:lineRule="auto"/>
        <w:tabs>
          <w:tab w:leader="none" w:pos="1880" w:val="left"/>
        </w:tabs>
        <w:numPr>
          <w:ilvl w:val="0"/>
          <w:numId w:val="7"/>
        </w:numPr>
        <w:rPr>
          <w:rFonts w:ascii="Arial" w:cs="Arial" w:eastAsia="Arial" w:hAnsi="Arial"/>
          <w:sz w:val="10"/>
          <w:szCs w:val="10"/>
          <w:color w:val="auto"/>
        </w:rPr>
      </w:pPr>
      <w:r>
        <w:rPr>
          <w:rFonts w:ascii="Arial" w:cs="Arial" w:eastAsia="Arial" w:hAnsi="Arial"/>
          <w:sz w:val="12"/>
          <w:szCs w:val="12"/>
          <w:color w:val="auto"/>
        </w:rPr>
        <w:t>Presentation of fleet data does not include newbuildings on order during the relevant periods. The data presented regarding our owned fleet includes only our owned ships delivered prior to March 31, 2019 including the ships owned by GasLog Partners. The data presented regarding our managed fleet includes our wholly owned vessels as well as ships owned by GasLog Partners, Egypt LNG and Lepta Shipping that are or were operating under our management.</w:t>
      </w:r>
    </w:p>
    <w:p>
      <w:pPr>
        <w:spacing w:after="0" w:line="83" w:lineRule="exact"/>
        <w:rPr>
          <w:rFonts w:ascii="Arial" w:cs="Arial" w:eastAsia="Arial" w:hAnsi="Arial"/>
          <w:sz w:val="10"/>
          <w:szCs w:val="10"/>
          <w:color w:val="auto"/>
        </w:rPr>
      </w:pPr>
    </w:p>
    <w:p>
      <w:pPr>
        <w:ind w:left="1880" w:hanging="544"/>
        <w:spacing w:after="0" w:line="227" w:lineRule="auto"/>
        <w:tabs>
          <w:tab w:leader="none" w:pos="1880" w:val="left"/>
        </w:tabs>
        <w:numPr>
          <w:ilvl w:val="0"/>
          <w:numId w:val="7"/>
        </w:numPr>
        <w:rPr>
          <w:rFonts w:ascii="Arial" w:cs="Arial" w:eastAsia="Arial" w:hAnsi="Arial"/>
          <w:sz w:val="11"/>
          <w:szCs w:val="11"/>
          <w:color w:val="auto"/>
        </w:rPr>
      </w:pPr>
      <w:r>
        <w:rPr>
          <w:rFonts w:ascii="Arial" w:cs="Arial" w:eastAsia="Arial" w:hAnsi="Arial"/>
          <w:sz w:val="14"/>
          <w:szCs w:val="14"/>
          <w:color w:val="auto"/>
        </w:rPr>
        <w:t xml:space="preserve">The operating days for our owned and bareboat fleet are the total number of days in a given period that the vessels (including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our vessel on a bareboat charter) were in our possession less the total number of days off-hire not recoverable from the insurers. In 2018, operating days include 2,046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849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84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80" w:hanging="544"/>
        <w:spacing w:after="0"/>
        <w:tabs>
          <w:tab w:leader="none" w:pos="18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880" w:right="240"/>
        <w:spacing w:after="0" w:line="265" w:lineRule="auto"/>
        <w:rPr>
          <w:rFonts w:ascii="Arial" w:cs="Arial" w:eastAsia="Arial" w:hAnsi="Arial"/>
          <w:sz w:val="22"/>
          <w:szCs w:val="22"/>
          <w:color w:val="auto"/>
          <w:vertAlign w:val="superscript"/>
        </w:rPr>
      </w:pPr>
      <w:r>
        <w:rPr>
          <w:rFonts w:ascii="Arial" w:cs="Arial" w:eastAsia="Arial" w:hAnsi="Arial"/>
          <w:sz w:val="12"/>
          <w:szCs w:val="12"/>
          <w:color w:val="auto"/>
        </w:rPr>
        <w:t>EBITDA is defined as earnings before depreciation, amortization, financial income and costs, gain/loss on derivatives and taxes. Adjusted EBITDA is defined as EBITDA before foreign exchange gains/losses. EBITDA and Adjusted EBITDA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and Adjusted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financial costs, gain/loss on derivatives, taxes, depreciation and amortization, and, in the case of Adjusted EBITDA, foreign exchange gains/losses, which items are affected by various and possibly changing financing methods, capital structure and historical cost basis and which items may significantly affect results of operations between periods.</w:t>
      </w:r>
    </w:p>
    <w:p>
      <w:pPr>
        <w:spacing w:after="0" w:line="181" w:lineRule="exact"/>
        <w:rPr>
          <w:rFonts w:ascii="Arial" w:cs="Arial" w:eastAsia="Arial" w:hAnsi="Arial"/>
          <w:sz w:val="22"/>
          <w:szCs w:val="22"/>
          <w:color w:val="auto"/>
          <w:vertAlign w:val="superscript"/>
        </w:rPr>
      </w:pPr>
    </w:p>
    <w:p>
      <w:pPr>
        <w:ind w:left="1880" w:right="260"/>
        <w:spacing w:after="0" w:line="268" w:lineRule="auto"/>
        <w:rPr>
          <w:rFonts w:ascii="Arial" w:cs="Arial" w:eastAsia="Arial" w:hAnsi="Arial"/>
          <w:sz w:val="22"/>
          <w:szCs w:val="22"/>
          <w:color w:val="auto"/>
          <w:vertAlign w:val="superscript"/>
        </w:rPr>
      </w:pPr>
      <w:r>
        <w:rPr>
          <w:rFonts w:ascii="Arial" w:cs="Arial" w:eastAsia="Arial" w:hAnsi="Arial"/>
          <w:sz w:val="12"/>
          <w:szCs w:val="12"/>
          <w:color w:val="auto"/>
        </w:rPr>
        <w:t>EBITDA and Adjusted EBITDA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and Adjusted EBITDA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7" w:lineRule="exact"/>
        <w:rPr>
          <w:rFonts w:ascii="Arial" w:cs="Arial" w:eastAsia="Arial" w:hAnsi="Arial"/>
          <w:sz w:val="22"/>
          <w:szCs w:val="22"/>
          <w:color w:val="auto"/>
          <w:vertAlign w:val="superscript"/>
        </w:rPr>
      </w:pPr>
    </w:p>
    <w:p>
      <w:pPr>
        <w:ind w:left="1880" w:right="320"/>
        <w:spacing w:after="0" w:line="288" w:lineRule="auto"/>
        <w:rPr>
          <w:rFonts w:ascii="Arial" w:cs="Arial" w:eastAsia="Arial" w:hAnsi="Arial"/>
          <w:sz w:val="22"/>
          <w:szCs w:val="22"/>
          <w:color w:val="auto"/>
          <w:vertAlign w:val="superscript"/>
        </w:rPr>
      </w:pPr>
      <w:r>
        <w:rPr>
          <w:rFonts w:ascii="Arial" w:cs="Arial" w:eastAsia="Arial" w:hAnsi="Arial"/>
          <w:sz w:val="12"/>
          <w:szCs w:val="12"/>
          <w:color w:val="auto"/>
        </w:rPr>
        <w:t>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Reconciliation of EBITDA and Adjusted EBITDA to Profit: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ind w:lef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5"/>
              </w:rPr>
              <w:t>thousands of U.S.</w:t>
            </w:r>
          </w:p>
        </w:tc>
        <w:tc>
          <w:tcPr>
            <w:tcW w:w="960" w:type="dxa"/>
            <w:vAlign w:val="bottom"/>
            <w:gridSpan w:val="3"/>
          </w:tcPr>
          <w:p>
            <w:pPr>
              <w:jc w:val="center"/>
              <w:ind w:right="434"/>
              <w:spacing w:after="0" w:line="142" w:lineRule="exact"/>
              <w:rPr>
                <w:sz w:val="20"/>
                <w:szCs w:val="20"/>
                <w:color w:val="auto"/>
              </w:rPr>
            </w:pPr>
            <w:r>
              <w:rPr>
                <w:rFonts w:ascii="Arial" w:cs="Arial" w:eastAsia="Arial" w:hAnsi="Arial"/>
                <w:sz w:val="14"/>
                <w:szCs w:val="14"/>
                <w:b w:val="1"/>
                <w:bCs w:val="1"/>
                <w:color w:val="auto"/>
                <w:w w:val="86"/>
              </w:rPr>
              <w:t>dollars)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28,051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84,209</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126,398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5,899</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70,695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106,641</w:t>
            </w:r>
          </w:p>
        </w:tc>
        <w:tc>
          <w:tcPr>
            <w:tcW w:w="16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122,957</w:t>
            </w:r>
          </w:p>
        </w:tc>
        <w:tc>
          <w:tcPr>
            <w:tcW w:w="22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86"/>
              </w:rPr>
              <w:t>137,187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153,193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35,529</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39,599</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137,316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6"/>
              </w:rPr>
              <w:t>139,181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166,627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36,597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45,507</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12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Loss/(gain) on derivatives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13,419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(17,771)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20,244</w:t>
            </w:r>
          </w:p>
        </w:tc>
        <w:tc>
          <w:tcPr>
            <w:tcW w:w="122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217,552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262,170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301,023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355,902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447,511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95,880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109,790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net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220" w:type="dxa"/>
            <w:vAlign w:val="bottom"/>
          </w:tcPr>
          <w:p>
            <w:pPr>
              <w:spacing w:after="0"/>
              <w:rPr>
                <w:sz w:val="19"/>
                <w:szCs w:val="19"/>
                <w:color w:val="auto"/>
              </w:rPr>
            </w:pPr>
          </w:p>
        </w:tc>
      </w:tr>
      <w:tr>
        <w:trPr>
          <w:trHeight w:val="222"/>
        </w:trPr>
        <w:tc>
          <w:tcPr>
            <w:tcW w:w="134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217,172</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262,969</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302,386</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356,048</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447,747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95,526</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109,940</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4"/>
        </w:trPr>
        <w:tc>
          <w:tcPr>
            <w:tcW w:w="1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427"/>
        </w:trPr>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72"/>
              <w:spacing w:after="0"/>
              <w:rPr>
                <w:sz w:val="20"/>
                <w:szCs w:val="20"/>
                <w:color w:val="auto"/>
              </w:rPr>
            </w:pPr>
            <w:r>
              <w:rPr>
                <w:rFonts w:ascii="Arial" w:cs="Arial" w:eastAsia="Arial" w:hAnsi="Arial"/>
                <w:sz w:val="18"/>
                <w:szCs w:val="18"/>
                <w:color w:val="auto"/>
                <w:w w:val="99"/>
              </w:rPr>
              <w:t>S-14</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Any investment in the Notes involves a high degree of risk. You should carefully consider the important factors set forth under the heading "Risk Factors" starting on page 6 of our Annual Report on Form 20-F for the year ended December 31, 2018, which was filed with the SEC on March 5, 2019 and incorporated herein by reference, before investing in the Notes. For further details, see the sections entitled "Where You Can Find Additional Information" and "Incorporation by Reference".</w:t>
      </w:r>
    </w:p>
    <w:p>
      <w:pPr>
        <w:spacing w:after="0" w:line="197"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of the risk factors referred to above could significantly and negatively affect our business, results of operations or financial condition. The risks referred to above are not the only ones that may exist. Additional risks not currently known by us or that we deem immaterial may also impair our business operations. You may lose all or a part of your investment. In addition, potential investors should consider the following risks and uncertainties with respect to your investment in the Notes.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Your investment in the Notes is subject to our credit risk.</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Notes are unsubordinated unsecured general obligations of ours and are not, either directly or indirectly, an obligation of any third party. The Notes will rank equally with all of our other unsecured and unsubordinated debt obligations. Any payment to be made on the Notes, including the return of the principal amount at maturity or any redemption date, as applicable, depends on our ability to satisfy our obligations as they come due. As a result, our actual and perceived creditworthiness may affect the market value of the Notes and, in the event we were to default on our obligations, you may not receive the amounts owed to you under the terms of the Notes.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The amount of our debt could limit our liquidity and flexibility in obtaining additional financing and in pursuing other business opportunities.</w:t>
      </w:r>
    </w:p>
    <w:p>
      <w:pPr>
        <w:spacing w:after="0" w:line="248"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of March 31, 2019, we had total outstanding consolidated debt of $3.1 billion, including $0.2 billion of finance lease liabilities. We also have undrawn available capacity under the Legacy Facility Refinancing (as defined below in "Description of Other Indebtedness") and the 2019 GasLog Partners Facility (as defined below in "Description of Other Indebtedness"). We are obligated to make substantial capital expenditures to fund our commitments for the eight newbuildings we have on order, and any additional ships we may acquire or build in the future. As of March 31, 2019, the total remaining balance of the contract prices for the eight vessels was $1,343.6 million, which we intend to fund with available cash, cash from operations and new debt facilities. We expect that a large portion of our cash flow from operations will also be used to repay the principal and interest on our debt, a substantial portion of which matures prior to the Notes. In addition, we may enter into other new debt arrangements or issue additional debt securities in the future. So long as our total indebtedness does not exceed 75% of our total capitalization, the indenture under which the Notes will be issued will permit us to incur additional indebtedness, subject to certain limitations in our other debt agreements, as described in more detail under "Description of Other Indebtedness".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current indebtedness and future indebtedness that we may incur could affect our future operations, as a large portion of our cash flow from operations will be dedicated to the payment of interest and principal on such debt and will not be available for other purposes. Covenants contained in our debt agreements may affect our flexibility in planning for, and reacting to, changes in our business or economic conditions, limit our ability to dispose of assets or place restrictions on the use of proceeds from such dispositions, withstand current or future economic or industry downturns and compete with others in our industry for strategic opportunities, and limit our ability to obtain additional financing for working capital, capital expenditures, acquisitions, general corporate and other purposes and our ability to pay dividends to our shareholders and principal and interest on the Notes to noteholders.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eliminating distributions to our shareholders,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70" w:lineRule="exact"/>
        <w:rPr>
          <w:sz w:val="20"/>
          <w:szCs w:val="20"/>
          <w:color w:val="auto"/>
        </w:rPr>
      </w:pPr>
    </w:p>
    <w:p>
      <w:pPr>
        <w:ind w:right="420" w:firstLine="395"/>
        <w:spacing w:after="0" w:line="268" w:lineRule="auto"/>
        <w:rPr>
          <w:sz w:val="20"/>
          <w:szCs w:val="20"/>
          <w:color w:val="auto"/>
        </w:rPr>
      </w:pPr>
      <w:r>
        <w:rPr>
          <w:rFonts w:ascii="Arial" w:cs="Arial" w:eastAsia="Arial" w:hAnsi="Arial"/>
          <w:sz w:val="18"/>
          <w:szCs w:val="18"/>
          <w:b w:val="1"/>
          <w:bCs w:val="1"/>
          <w:i w:val="1"/>
          <w:iCs w:val="1"/>
          <w:color w:val="auto"/>
        </w:rPr>
        <w:t>Our subsidiaries conduct substantially all of our operations and own all of our operating assets, and your right to receive payments on the Notes is structurally subordinated to the rights of the lenders of our subsidiaries, including GasLog Partners.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a holding company. Our subsidiaries conduct substantially all of our operations and own our operating assets, including our ships. As a result, our ability to make required payments on the Notes depends entirely on the operations of our subsidiaries and our subsidiaries' ability to distribute funds to us. To the extent our subsidiaries are unable to distribute, or are restricted from distributing, funds to us, we may be unable to fulfill our obligations under the Notes. Our subsidiaries are separate and distinct legal entities and have no obligation, contingent or otherwise, to pay amounts due on the Notes or to make funds available for that purpose. The Notes will not be guaranteed by any of our subsidiaries or any other person.</w:t>
      </w:r>
    </w:p>
    <w:p>
      <w:pPr>
        <w:spacing w:after="0" w:line="170"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rights of holders of the Notes will be structurally subordinated to the rights of our subsidiaries' lenders. A default by a subsidiary under its debt obligations would result in a block on distributions from the affected subsidiary to us. The Notes will be effectively junior to all existing and future liabilities of our subsidiaries. In the event of a bankruptcy, liquidation or reorganization of any of our subsidiaries, creditors of our subsidiaries will generally be entitled to payment of their claims from the assets of those subsidiaries before any assets are made available for distribution to us. As of March 31, 2019, our subsidiaries had $2.6 billion of outstanding bank debt (all of which was secured) and $0.2 billion of finance lease liabilities. In addition, the indenture under which the Notes will be issued will permit our subsidiaries to incur additional debt, subject to the limitations set forth therein. Please read "Description of Notes—Certain covenants—Limitations on Total Indebtedness".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We may be unable to comply with covenants in our existing or future financing arrangements that impose operating and financial restrictions on us.</w:t>
      </w:r>
    </w:p>
    <w:p>
      <w:pPr>
        <w:spacing w:after="0" w:line="26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Therefore, we may need to seek permission from our lenders in order to engage in some actions. Our lenders' interests may be different from ours and we may not be able to obtain our lenders' permission when needed. This may limit our ability to pay interest on the Notes, finance our future operations or capital requirements, make acquisitions or pursue business opportunities.</w:t>
      </w:r>
    </w:p>
    <w:p>
      <w:pPr>
        <w:spacing w:after="0" w:line="194"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Our credit facilities also impose specific financial covenants that apply to us and our subsidiaries on a consolidated basis or to GasLog Partners and its subsidiaries on a consolidated basis, as the case may be. Further, GasLog has NOK denominated bonds which also impose specified financial covenants that apply to us and our subsidiaries on a consolidated basis.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ability to comply with covenants and restrictions contained in our financing arrangements may be affected by events beyond our control, including prevailing economic, financial and industry conditions. A failure to comply with covenants and restrictions, which include an earnings-based financial covenant, or to meet our payment and other obligations could lead to defaults under our debt obligations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 addition, a default under one of our debt obligations could result in the cross-acceleration of our other indebtedness.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see "Description of Other Indebtedness" for more information on our existing financing arrangements.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Notes will be unsecured obligations and will be effectively subordinated to our secured debt.</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Notes are unsecured and therefore will be effectively subordinated to any existing or future secured debt to the extent of the value of the assets securing the debt. In the event of a bankruptcy or similar proceeding involving us, the assets that serve as collateral will be available to satisfy the obligations under any secured debt before any payments are made on the Notes. As of March 31, 2019, we had total outstanding secured bank debt of $2.6 billion and finance lease liabilities of approximately $0.2 billion. We will continue to have the ability to incur additional secured debt, subject to limitations in our financing arrangements and the indenture relating to the Notes. Please read "Description of Other Indebtedness".</w:t>
      </w:r>
    </w:p>
    <w:p>
      <w:pPr>
        <w:spacing w:after="0" w:line="170" w:lineRule="exact"/>
        <w:rPr>
          <w:sz w:val="20"/>
          <w:szCs w:val="20"/>
          <w:color w:val="auto"/>
        </w:rPr>
      </w:pPr>
    </w:p>
    <w:p>
      <w:pPr>
        <w:ind w:right="220" w:firstLine="395"/>
        <w:spacing w:after="0" w:line="268"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purchase the Notes as required upon a change of control, and our existing and future debt may contain limitations on our ability to purchase the Notes.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a change of control as described under "Description of Notes—Change of Control Permits Holders to Require Issuer to Purchase Notes", holders of Notes will have the right to require us to purchase their Notes for cash at 101% of their principal amount plus accrued and unpaid interest. A change of control may also constitute an event of default or prepayment under, and result in the acceleration of the maturity of, our then existing indebtedness. We cannot assure you that we will have sufficient financial resources, or will be able to arrange financing, to pay the change of control purchase price in cash with respect to any Notes surrendered by holders for purchase upon a change of control. In addition, restrictions in our then existing credit facilities or other indebtedness, if any, may not allow us to purchase the Notes upon a change of control. Our failure to purchase the Notes upon a change of control when required would result in an event of default with respect to the Notes which could, in turn, constitute a default under the terms of our other indebtedness, if any. If the repayment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related indebtedness were to be accelerated after any applicable notice or grace periods, we may not have sufficient funds to repay the indebtedness and purchase the Notes.</w:t>
      </w:r>
    </w:p>
    <w:p>
      <w:pPr>
        <w:spacing w:after="0" w:line="186" w:lineRule="exact"/>
        <w:rPr>
          <w:sz w:val="20"/>
          <w:szCs w:val="20"/>
          <w:color w:val="auto"/>
        </w:rPr>
      </w:pPr>
    </w:p>
    <w:p>
      <w:pPr>
        <w:ind w:right="300" w:firstLine="395"/>
        <w:spacing w:after="0" w:line="268" w:lineRule="auto"/>
        <w:rPr>
          <w:sz w:val="20"/>
          <w:szCs w:val="20"/>
          <w:color w:val="auto"/>
        </w:rPr>
      </w:pPr>
      <w:r>
        <w:rPr>
          <w:rFonts w:ascii="Arial" w:cs="Arial" w:eastAsia="Arial" w:hAnsi="Arial"/>
          <w:sz w:val="18"/>
          <w:szCs w:val="18"/>
          <w:b w:val="1"/>
          <w:bCs w:val="1"/>
          <w:i w:val="1"/>
          <w:iCs w:val="1"/>
          <w:color w:val="auto"/>
        </w:rPr>
        <w:t>Some significant restructuring transactions may not constitute a change of control, in which case we would not be obligated to offer to purchase the Notes.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Upon the occurrence of a change of control, you have the right to require us to purchase your Notes. However, the change of control provisions will not afford protection to holders of Notes in the event of certain transactions that could adversely affect the Notes. For example, transactions such as leveraged recapitalizations, refinancings or certain restructurings would not constitute a change of control requiring us to repurchase the Notes. In the event of any such transaction, holders of the Notes would not have the right to require us to purchase their Notes, even though each of these transactions could increase the amount of our indebtedness, or otherwise adversely affect our capital structure or any credit ratings, thereby adversely affecting holders of the Notes.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do not intend to list the Notes on any securities exchange. The lack of an active trading market could adversely affect your ability to sell the Notes and the price at which you may be able to sell the Notes. The liquidity of the trading market and future trading prices of the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It is possible that the market for the Notes will be subject to disruptions that may have a negative effect on the holders of the Notes, regardless of our operating results, financial performance or prospects.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Notes have not been rated, and ratings of any of our other securities may affect the trading price of the Notes.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not sought to obtain a rating for the Notes, and the Notes may never be rated. It is possible, however, that one or more credit rating agencies might independently determine to assign a rating to the Notes or that we may elect to obtain a rating of the Notes in the future. In addition, we may elect to issue other securities for which we may seek to obtain a rating. If any ratings are assigned to the Notes in the future or if we issue other securities with a rating, such ratings, if they are lower than market expectations or are subsequently lowered or withdrawn, or if ratings for such other securities would imply a lower relative value for the Notes, could adversely affect the market for, or the market value of, the Notes.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Notes. Ratings do not reflect market prices or suitability of a security for a particular investor and any future rating of the Notes may not reflect all risks related to us and our business, or the structure or market value of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the following risk factors, you should read "Material Tax Considerations" for a more complete discussion of the material Bermuda and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considerations relating to us and the Notes.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have to pay tax on U.S.-source income, which would reduce our earnings.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Under the United States Internal Revenue Code of 1986, as amended (the "Code"), the U.S. source gross transportation income of a ship-owning or chartering corporation, such as ourselves,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GasLog Ltd. has qualified for the statutory tax exemption for the year of 2018 and intends to continue to qualify for the foreseeable future. However, no assurance can be given that this will be the case. If GasLog Ltd. is not entitled to this exemption under Section 883 for any taxable year, we would be subject to the 4% U.S. Federal income tax described above. The imposition of this taxation could have a negative effect on our business and would result in decreased earnings available for distribution to our shareholders. For a more detailed discussion, see "Material Tax Considerations—Taxation of the Company—U.S. Taxation of Shipping Income".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United States Private Securities Litigation Reform Act of 1995. The disclosure and analysis set forth in this prospectus supplement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 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and other forward-looking statements included in this prospectus supplement represent our estimates and assumptions only as of the date of this prospectus supplement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8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66"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212"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discussed in the section entitled "Risk Factors" of this prospectus supplement (and in the "Risk Factors" described in our Annual Report on Form 20-F for the year ended December 31, 2018, filed with the Securities and Exchange Commission on March 5, 2019, which is incorporated herein by reference).</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supplement,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the Notes.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estimate that the net proceeds from this offering, after deducting underwriting discounts and estimated expenses payable by us, will be approximately</w:t>
      </w:r>
    </w:p>
    <w:p>
      <w:pPr>
        <w:spacing w:after="0" w:line="50" w:lineRule="exact"/>
        <w:rPr>
          <w:sz w:val="20"/>
          <w:szCs w:val="20"/>
          <w:color w:val="auto"/>
        </w:rPr>
      </w:pPr>
    </w:p>
    <w:p>
      <w:pPr>
        <w:ind w:right="280" w:firstLine="8"/>
        <w:spacing w:after="0" w:line="261" w:lineRule="auto"/>
        <w:tabs>
          <w:tab w:leader="none" w:pos="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million. We plan to use the proceeds of this offering to partially fund the company's committed growth capital program and for general corporate purposes, including working capital.</w:t>
      </w: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consolidated capitalization as of March 31, 2019 on an:</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adjusted basis, giving effect to the following transactions, which occurred during the period from April 1, 2019 to May 13, 2019:</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scheduled debt principal payments totaling $13.62 million;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$75.00 million proceeds under the 2019 GasLog Partners Facility;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lease principal payments totaling $0.42 million;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205,822 treasury shares used for the settlement of equivalent awards;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227,000 common units repurchased for $4.73 million and cancelled by GasLog Partners;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dividends of $18.47 million paid to GasLog Partners' non-controlling unitholders on May 10, 2019.</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further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issuance and sale of the Additional Notes offered hereby.</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March 31, 2019, and the date of this prospectus supplement.</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table is derived from and should be read together with our consolidated financial statements, the related notes and other financial information contained in our Annual Report on Form 20-F for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ended December 31, 2018, which is incorporated by reference in this prospectus supplement.</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4"/>
                <w:szCs w:val="14"/>
                <w:b w:val="1"/>
                <w:bCs w:val="1"/>
                <w:color w:val="auto"/>
              </w:rPr>
              <w:t>As of March 31, 2019</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Actual</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3"/>
              </w:rPr>
              <w:t>As Further Adjusted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w:t>
            </w:r>
          </w:p>
        </w:tc>
        <w:tc>
          <w:tcPr>
            <w:tcW w:w="26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thousands of U.S. dollars)</w:t>
            </w:r>
          </w:p>
        </w:tc>
      </w:tr>
      <w:tr>
        <w:trPr>
          <w:trHeight w:val="257"/>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tcPr>
          <w:p>
            <w:pPr>
              <w:spacing w:after="0" w:line="256" w:lineRule="exact"/>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172,686</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159,062</w:t>
            </w:r>
          </w:p>
        </w:tc>
        <w:tc>
          <w:tcPr>
            <w:tcW w:w="100" w:type="dxa"/>
            <w:vAlign w:val="bottom"/>
          </w:tcPr>
          <w:p>
            <w:pPr>
              <w:spacing w:after="0"/>
              <w:rPr>
                <w:sz w:val="22"/>
                <w:szCs w:val="22"/>
                <w:color w:val="auto"/>
              </w:rPr>
            </w:pPr>
          </w:p>
        </w:tc>
        <w:tc>
          <w:tcPr>
            <w:tcW w:w="1420" w:type="dxa"/>
            <w:vAlign w:val="bottom"/>
            <w:gridSpan w:val="2"/>
          </w:tcPr>
          <w:p>
            <w:pPr>
              <w:jc w:val="right"/>
              <w:ind w:right="1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Borrowings, non-current portion</w:t>
            </w:r>
            <w:r>
              <w:rPr>
                <w:rFonts w:ascii="Arial" w:cs="Arial" w:eastAsia="Arial" w:hAnsi="Arial"/>
                <w:sz w:val="29"/>
                <w:szCs w:val="29"/>
                <w:color w:val="auto"/>
                <w:vertAlign w:val="superscript"/>
              </w:rPr>
              <w:t>(2)</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2,748,035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2,823,035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Lease liability, current portion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non-current portion</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Additional Notes offered hereby</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3,132,780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3,193,736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8"/>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8" w:lineRule="exact"/>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tcPr>
          <w:p>
            <w:pPr>
              <w:spacing w:after="0" w:line="256" w:lineRule="exact"/>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tc>
        <w:tc>
          <w:tcPr>
            <w:tcW w:w="1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(2,456)</w:t>
            </w:r>
          </w:p>
        </w:tc>
        <w:tc>
          <w:tcPr>
            <w:tcW w:w="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1,093,729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1,944,269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5,077,049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5,114,810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60" w:hanging="531"/>
        <w:spacing w:after="0" w:line="278" w:lineRule="auto"/>
        <w:tabs>
          <w:tab w:leader="none" w:pos="16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Our indebtedness, other than the Existing Notes and our NOK 2021 Bonds (as defined in the section "Description of Other Indebtedness"), is secured by mortgages on our owned ships and is guaranteed by the Company or a combination of the Company and GasLog Partners, in the case of the Partnership's indebtedness. The Existing Notes (the carrying amount of which, net of unamortized financing costs as of March 31, 2019, is $246.97 million) are unsecured. The NOK 2021 Bonds (the carrying amount of which, net of unamortized financing costs as of March 31, 2019, is $86.03 million) are unsecured.</w:t>
      </w:r>
    </w:p>
    <w:p>
      <w:pPr>
        <w:spacing w:after="0" w:line="89" w:lineRule="exact"/>
        <w:rPr>
          <w:rFonts w:ascii="Arial" w:cs="Arial" w:eastAsia="Arial" w:hAnsi="Arial"/>
          <w:sz w:val="10"/>
          <w:szCs w:val="10"/>
          <w:color w:val="auto"/>
        </w:rPr>
      </w:pPr>
    </w:p>
    <w:p>
      <w:pPr>
        <w:ind w:left="1680" w:hanging="531"/>
        <w:spacing w:after="0" w:line="318" w:lineRule="auto"/>
        <w:tabs>
          <w:tab w:leader="none" w:pos="16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Borrowings presented at March 31, 2019, are shown net of $55.18 million of loan issuance costs that are being amortized over the term of the respective borrowings. Amortization of loan issuance costs for the period March 31, 2019 to May 13, 2019, is not included on an as adjusted and on an as further adjusted basis.</w:t>
      </w:r>
    </w:p>
    <w:p>
      <w:pPr>
        <w:spacing w:after="0" w:line="66" w:lineRule="exact"/>
        <w:rPr>
          <w:rFonts w:ascii="Arial" w:cs="Arial" w:eastAsia="Arial" w:hAnsi="Arial"/>
          <w:sz w:val="10"/>
          <w:szCs w:val="10"/>
          <w:color w:val="auto"/>
        </w:rPr>
      </w:pPr>
    </w:p>
    <w:p>
      <w:pPr>
        <w:ind w:left="1680" w:hanging="531"/>
        <w:spacing w:after="0"/>
        <w:tabs>
          <w:tab w:leader="none" w:pos="16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Does not include any shares that may be issued under the Company's 2013 Omnibus Incentive Compensation Plan. At March 31, 2019, our share capital consisted of</w:t>
      </w:r>
    </w:p>
    <w:p>
      <w:pPr>
        <w:spacing w:after="0" w:line="22" w:lineRule="exact"/>
        <w:rPr>
          <w:rFonts w:ascii="Arial" w:cs="Arial" w:eastAsia="Arial" w:hAnsi="Arial"/>
          <w:sz w:val="10"/>
          <w:szCs w:val="10"/>
          <w:color w:val="auto"/>
        </w:rPr>
      </w:pPr>
    </w:p>
    <w:p>
      <w:pPr>
        <w:ind w:left="1680" w:right="280"/>
        <w:spacing w:after="0" w:line="297" w:lineRule="auto"/>
        <w:rPr>
          <w:rFonts w:ascii="Arial" w:cs="Arial" w:eastAsia="Arial" w:hAnsi="Arial"/>
          <w:sz w:val="10"/>
          <w:szCs w:val="10"/>
          <w:color w:val="auto"/>
        </w:rPr>
      </w:pPr>
      <w:r>
        <w:rPr>
          <w:rFonts w:ascii="Arial" w:cs="Arial" w:eastAsia="Arial" w:hAnsi="Arial"/>
          <w:sz w:val="12"/>
          <w:szCs w:val="12"/>
          <w:color w:val="auto"/>
        </w:rPr>
        <w:t>(a) 80,649,135 issued and outstanding common shares, 343,991 treasury shares issued and 4,600,000 Preference Shares issued and outstanding and (b) 80,854,957 issued and outstanding common shares, 138,169 treasury shares issued and 4,600,000 Preference Shares issued and outstanding, as adjusted.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Newbuilding Facility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16, 2015, GAS-eleven Ltd., GAS-twelve Ltd., GAS-thirteen Ltd., GAS-fourteen Ltd., GAS-twenty two Ltd., GAS-twenty three Ltd., GAS-twenty four Ltd. and GAS-twenty five Ltd. entered into a debt financing agreement (the "Newbuilding Facility") with 14 international banks for $1,311.36 million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67" w:lineRule="exact"/>
        <w:rPr>
          <w:sz w:val="20"/>
          <w:szCs w:val="20"/>
          <w:color w:val="auto"/>
        </w:rPr>
      </w:pPr>
    </w:p>
    <w:p>
      <w:pPr>
        <w:ind w:right="160" w:firstLine="348"/>
        <w:spacing w:after="0" w:line="286" w:lineRule="auto"/>
        <w:rPr>
          <w:sz w:val="20"/>
          <w:szCs w:val="20"/>
          <w:color w:val="auto"/>
        </w:rPr>
      </w:pPr>
      <w:r>
        <w:rPr>
          <w:rFonts w:ascii="Arial" w:cs="Arial" w:eastAsia="Arial" w:hAnsi="Arial"/>
          <w:sz w:val="16"/>
          <w:szCs w:val="16"/>
          <w:color w:val="auto"/>
        </w:rPr>
        <w:t xml:space="preserve">The loan agreement provides for four tranches of $412.46 million, $201.09 million, $206.12 million and $491.69 million.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$162.97 million was drawn down 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September 26, 2016 and October 25, 2016, $160.70 million was drawn down on each date with respect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January 2, 2018 and March 14, 2018, $166.21 million was drawn down on each date with respect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Hong Kong</w:t>
      </w:r>
      <w:r>
        <w:rPr>
          <w:rFonts w:ascii="Arial" w:cs="Arial" w:eastAsia="Arial" w:hAnsi="Arial"/>
          <w:sz w:val="16"/>
          <w:szCs w:val="16"/>
          <w:color w:val="auto"/>
        </w:rPr>
        <w:t>, on March 23, 2018, $165.81 million was drawn down with respect to the delivery of the</w:t>
      </w:r>
      <w:r>
        <w:rPr>
          <w:rFonts w:ascii="Arial" w:cs="Arial" w:eastAsia="Arial" w:hAnsi="Arial"/>
          <w:sz w:val="16"/>
          <w:szCs w:val="16"/>
          <w:i w:val="1"/>
          <w:iCs w:val="1"/>
          <w:color w:val="auto"/>
        </w:rPr>
        <w:t xml:space="preserve"> GasLog Genoa</w:t>
      </w:r>
      <w:r>
        <w:rPr>
          <w:rFonts w:ascii="Arial" w:cs="Arial" w:eastAsia="Arial" w:hAnsi="Arial"/>
          <w:sz w:val="16"/>
          <w:szCs w:val="16"/>
          <w:color w:val="auto"/>
        </w:rPr>
        <w:t>, while on March 11, 2019, $165.81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drawn down with respect to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The aggregate balance outstanding under the loan facility as of March 31, 2019 was $1,161.35 million. Amounts drawn bear interest at LIBOR plus a margin.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Vessel Refinancing</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On February 18, 2016, GAS-eighteen Ltd., GAS-nineteen Ltd., GAS-twenty Ltd., GAS-twenty one Ltd. and GAS-twenty seven Ltd. entered into a credit facility (the "Five Vessel Refinancing") to refinance the debt maturities that were scheduled to become due in 2016 and 2017. The Five Vessel Refinancing is currently comprised of a five-year facility of up to $396.50 million. The vessels covered by the Five Vessel Refinancing are the GasLog Partners-owned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Alison Victoria,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w:t>
      </w:r>
    </w:p>
    <w:p>
      <w:pPr>
        <w:spacing w:after="0" w:line="16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5, 2016, $395.45 million of the Five Vessel Refinancing was drawn down to partially refinance $464.25 million of the outstanding debt of GAS-eighteen Ltd., GAS-nineteen Ltd., GAS-twenty Ltd., GAS-twenty one Ltd. and GAS-twenty seven Ltd. The balance of $68.80 million was paid from available cash. Following the decrease in the aggregate available amount by $1.30 million, the Five Vessel Refinancing provides for four advances of $72.29 million each and a fifth advance of $106.30 million.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w:t>
      </w:r>
    </w:p>
    <w:p>
      <w:pPr>
        <w:spacing w:after="0" w:line="17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aggregate balance outstanding under the Five Vessel Refinancing as of March 31, 2019 was $313.51 million. Amounts drawn bear interest at LIBOR plus a margin.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Facility Refinancing</w:t>
      </w:r>
    </w:p>
    <w:p>
      <w:pPr>
        <w:spacing w:after="0" w:line="231" w:lineRule="exact"/>
        <w:rPr>
          <w:sz w:val="20"/>
          <w:szCs w:val="20"/>
          <w:color w:val="auto"/>
        </w:rPr>
      </w:pPr>
    </w:p>
    <w:p>
      <w:pPr>
        <w:ind w:right="380" w:firstLine="351"/>
        <w:spacing w:after="0" w:line="323" w:lineRule="auto"/>
        <w:rPr>
          <w:sz w:val="20"/>
          <w:szCs w:val="20"/>
          <w:color w:val="auto"/>
        </w:rPr>
      </w:pPr>
      <w:r>
        <w:rPr>
          <w:rFonts w:ascii="Arial" w:cs="Arial" w:eastAsia="Arial" w:hAnsi="Arial"/>
          <w:sz w:val="15"/>
          <w:szCs w:val="15"/>
          <w:color w:val="auto"/>
        </w:rPr>
        <w:t xml:space="preserve">On July 19, 2016, GAS-one Ltd., GAS-two Ltd., GAS-six Ltd., GAS-seven Ltd., GAS-eight Ltd., GAS-nine Ltd., GAS-ten Ltd. and GAS-fifteen Ltd. entered into a credit agreement (the "Legacy Facility Refinancing") to refinance the existing indebtedness on eight of GasLog's on-the-water vessels of up to $1,050.00 million, extending the maturities of six existing credit facilities to 2021. The vessels covered by the Legacy Facility Refinancing are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Savannah</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Singapore,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Skagen</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Seattle</w:t>
      </w:r>
      <w:r>
        <w:rPr>
          <w:rFonts w:ascii="Arial" w:cs="Arial" w:eastAsia="Arial" w:hAnsi="Arial"/>
          <w:sz w:val="15"/>
          <w:szCs w:val="15"/>
          <w:color w:val="auto"/>
        </w:rPr>
        <w:t>, the</w:t>
      </w:r>
      <w:r>
        <w:rPr>
          <w:rFonts w:ascii="Arial" w:cs="Arial" w:eastAsia="Arial" w:hAnsi="Arial"/>
          <w:sz w:val="15"/>
          <w:szCs w:val="15"/>
          <w:i w:val="1"/>
          <w:iCs w:val="1"/>
          <w:color w:val="auto"/>
        </w:rPr>
        <w:t xml:space="preserve"> Solaris</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Saratoga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Salem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Chelsea</w:t>
      </w:r>
      <w:r>
        <w:rPr>
          <w:rFonts w:ascii="Arial" w:cs="Arial" w:eastAsia="Arial" w:hAnsi="Arial"/>
          <w:sz w:val="15"/>
          <w:szCs w:val="15"/>
          <w:color w:val="auto"/>
        </w:rPr>
        <w: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Legacy Facility Refinancing is comprised of a five-year term loan facility of up to $950.00 million and a revolving credit facility of up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$100.00 million. On July 25, 2016, the available amount of $950.00 million under the term loan facility was drawn to refinance the aggregate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of $948.26 million of GAS-one Ltd., GAS-two Ltd., GAS-six Ltd., GAS-seven Ltd., GAS-eight Ltd., GAS-nine Ltd., GAS-ten Ltd. and GAS-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fifteen Ltd. Amounts drawn bear interest at LIBOR plus a margin. The balance outstanding as of March 31, 2019 of $804.17 million under the term loan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repaid in four semi-annual installments of $29.17 million each and a balloon repayment of $687.50 million five years after drawdown.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as of March 31, 2019 was undrawn while the available amount of $100.00 million can be drawn and repaid at any time until January 2021 and July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GasLog Partners Facility</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 xml:space="preserve">On February 20, 2019, GasLog Partners entered into a credit agreement (the "2019 GasLog Partners Facility") to refinance the existing indebtedness due in November 2019 on five of its vessels (the "Existing Partnership Facility"), of up to $450.0 million.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w:t>
      </w:r>
    </w:p>
    <w:p>
      <w:pPr>
        <w:spacing w:after="0" w:line="161"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The 2019 GasLog Partners Facility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On March 6, 2019, the Partnership drew down $360.0 million under the 2019 GasLog Partners Facility, out of which $354.4 million was used to refinance the Existing Partnership Facility. Amounts drawn bear interest at LIBOR plus a margin.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The obligations under the aforementioned facilities are secured by a first priority mortgage over the vessels, a pledge of the share capital of the respective vessel owning companies and a first priority assignment of earnings related to the vessels (excluding the vessels participating in the Cool Pool), including charter revenue, management revenue and any insurance and requisition compensation. Obligations under the Newbuilding Facility are guaranteed by GasLog, the Partnership and GasLog Partners Holdings LLC for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by GasLog Carriers Ltd. for up to the value of the commitments on the remaining vessels, obligations under the Five Vessel 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and by GasLog Carriers Ltd. for up to the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commitments on the remaining vessel, obligations under the Legacy Facility 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by GasLog Carriers Ltd. for up to the value of the commitments on the remaining vessels, while obligations under the 2019 GasLog Partners Facility are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guaranteed by the Partnership and GasLog Partners Holdings LLC.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each individual vessel in the Newbuilding Facility, below 115% of the outstanding principal balance of that vessel for the first two years after each drawdown and below 120%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NOK-Denominated Notes</w:t>
      </w:r>
    </w:p>
    <w:p>
      <w:pPr>
        <w:spacing w:after="0" w:line="231"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On June 27, 2016, GasLog issued senior unsecured bonds of NOK 750.0 million (or $90.2 million based on the exchange rate on June 27, 2016) ("NOK 2021 Bonds") that will mature on June 27, 2021. The total outstanding balance of the NOK 2021 Bonds amounts to NOK 750.0 million. The NOK 2021 Bonds bear interest at NIBOR plus margin. Interest payments shall be made in arrears on a quarterly basis. GasLog may redeem the bonds in whole or in part as follows:</w:t>
      </w:r>
    </w:p>
    <w:p>
      <w:pPr>
        <w:spacing w:after="0" w:line="1" w:lineRule="exact"/>
        <w:rPr>
          <w:sz w:val="20"/>
          <w:szCs w:val="20"/>
          <w:color w:val="auto"/>
        </w:rPr>
      </w:pPr>
    </w:p>
    <w:p>
      <w:pPr>
        <w:ind w:right="80" w:firstLine="8"/>
        <w:spacing w:after="0" w:line="302"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with settlement date at any time from June 27, 2019 to but not including June 27, 2020 at 104.0% of par plus accrued interest on redeemed amount, (b) with settlement date at any time from June 27, 2020 to but not including December 27, 2020 at 102.5% of par plus accrued interest on redeemed amount, and (c) with settlement date at any time from December 27, 2020 to but not including the maturity date at 101.0% of par plus accrued interests on redeemed amount.</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Compliance with our bonds' covenants is required at all times and we were in compliance with the respective financial covenants as of May 13, 2019.</w:t>
      </w:r>
    </w:p>
    <w:p>
      <w:pPr>
        <w:spacing w:after="0" w:line="248"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carrying amount under the NOK 2021 Bonds, net of unamortized financing costs, as of March 31, 2019 was $86.03 million, while its fair value was $91.0 million based on a USD/NOK exchange rate of 0.1158 as of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Notes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March 22, 2017, GasLog closed a public offering of the Existing Notes. The carrying amount under the Existing Notes, net of unamortized financing costs as of March 31, 2019 was $246.97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Compliance with the Notes' covenants is required at all times and we were in compliance with the respective financial covenants as of May 13, 2019.</w:t>
      </w:r>
    </w:p>
    <w:p>
      <w:pPr>
        <w:spacing w:after="0" w:line="248"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Additional Notes being offered hereby will be a further issuance of, form a single series with and have the same terms as, the Existing Notes. The Additional Notes offered hereby will be designated by the same CUSIP number and trade interchangeably with the Existing Notes.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 xml:space="preserve">The following description is only a summary of certain provisions of the Notes and the Indenture. You should read those documents in their entirety because they, and not this description, define your rights as holders of the Notes. The following summary does not purport to be complete and is subject to, and is qualified in its entirety by reference to, the Trust Indenture Act of 1939, as amended (or the </w:t>
      </w:r>
      <w:r>
        <w:rPr>
          <w:rFonts w:ascii="Arial" w:cs="Arial" w:eastAsia="Arial" w:hAnsi="Arial"/>
          <w:sz w:val="18"/>
          <w:szCs w:val="18"/>
          <w:i w:val="1"/>
          <w:iCs w:val="1"/>
          <w:color w:val="auto"/>
        </w:rPr>
        <w:t>TIA</w:t>
      </w:r>
      <w:r>
        <w:rPr>
          <w:rFonts w:ascii="Arial" w:cs="Arial" w:eastAsia="Arial" w:hAnsi="Arial"/>
          <w:sz w:val="18"/>
          <w:szCs w:val="18"/>
          <w:color w:val="auto"/>
        </w:rPr>
        <w:t>), and to all of the provisions of the Indenture and those terms made a part of the Indenture by reference to the TIA. Unless the context requires otherwise, all references to "we", "us", and "our" in this section refer solely to GasLog Ltd., the issuer of the Notes, and not to any of its subsidiaries.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description of the particular terms of the Additional Notes offered hereby supplements the "Description of Debt Securities" set forth in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 xml:space="preserve">The Additional Notes offered by this prospectus supplement will be issued under the Indenture dated as of March 22, 2017 (or the </w:t>
      </w:r>
      <w:r>
        <w:rPr>
          <w:rFonts w:ascii="Arial" w:cs="Arial" w:eastAsia="Arial" w:hAnsi="Arial"/>
          <w:sz w:val="16"/>
          <w:szCs w:val="16"/>
          <w:i w:val="1"/>
          <w:iCs w:val="1"/>
          <w:color w:val="auto"/>
        </w:rPr>
        <w:t>Base Indenture</w:t>
      </w:r>
      <w:r>
        <w:rPr>
          <w:rFonts w:ascii="Arial" w:cs="Arial" w:eastAsia="Arial" w:hAnsi="Arial"/>
          <w:sz w:val="16"/>
          <w:szCs w:val="16"/>
          <w:color w:val="auto"/>
        </w:rPr>
        <w:t xml:space="preserve">), between the Issuer and American Stock Transfer &amp; Trust Company, LLC, as trustee (or the </w:t>
      </w:r>
      <w:r>
        <w:rPr>
          <w:rFonts w:ascii="Arial" w:cs="Arial" w:eastAsia="Arial" w:hAnsi="Arial"/>
          <w:sz w:val="16"/>
          <w:szCs w:val="16"/>
          <w:i w:val="1"/>
          <w:iCs w:val="1"/>
          <w:color w:val="auto"/>
        </w:rPr>
        <w:t>Trustee</w:t>
      </w:r>
      <w:r>
        <w:rPr>
          <w:rFonts w:ascii="Arial" w:cs="Arial" w:eastAsia="Arial" w:hAnsi="Arial"/>
          <w:sz w:val="16"/>
          <w:szCs w:val="16"/>
          <w:color w:val="auto"/>
        </w:rPr>
        <w:t xml:space="preserve">), as supplemented by the First Supplemental Indenture dated as of March 22, 2017, between the Issuer and the Trustee (or the </w:t>
      </w:r>
      <w:r>
        <w:rPr>
          <w:rFonts w:ascii="Arial" w:cs="Arial" w:eastAsia="Arial" w:hAnsi="Arial"/>
          <w:sz w:val="16"/>
          <w:szCs w:val="16"/>
          <w:i w:val="1"/>
          <w:iCs w:val="1"/>
          <w:color w:val="auto"/>
        </w:rPr>
        <w:t>Supplemental Indenture</w:t>
      </w:r>
      <w:r>
        <w:rPr>
          <w:rFonts w:ascii="Arial" w:cs="Arial" w:eastAsia="Arial" w:hAnsi="Arial"/>
          <w:sz w:val="16"/>
          <w:szCs w:val="16"/>
          <w:color w:val="auto"/>
        </w:rPr>
        <w:t xml:space="preserve"> and, together with the Base Indenture, the </w:t>
      </w:r>
      <w:r>
        <w:rPr>
          <w:rFonts w:ascii="Arial" w:cs="Arial" w:eastAsia="Arial" w:hAnsi="Arial"/>
          <w:sz w:val="16"/>
          <w:szCs w:val="16"/>
          <w:i w:val="1"/>
          <w:iCs w:val="1"/>
          <w:color w:val="auto"/>
        </w:rPr>
        <w:t>Indenture</w:t>
      </w:r>
      <w:r>
        <w:rPr>
          <w:rFonts w:ascii="Arial" w:cs="Arial" w:eastAsia="Arial" w:hAnsi="Arial"/>
          <w:sz w:val="16"/>
          <w:szCs w:val="16"/>
          <w:color w:val="auto"/>
        </w:rPr>
        <w:t>).</w:t>
      </w:r>
    </w:p>
    <w:p>
      <w:pPr>
        <w:spacing w:after="0" w:line="16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$75.0 million aggregate principal amount of Additional Notes being offered hereby will be a further issuance of, form a single series with and have the same terms as, the $250.0 million aggregate principal amount of 8.875% Senior Notes due March 22, 2022 issued on March 22, 2017. The Additional Notes offered hereby will be designated by the same CUSIP number and trade interchangeably with the Existing Notes. Immediately upon settlement, the aggregate principal amount of the Notes outstanding will increase to $325.0 million. The Notes will mature on March 22, 2022.</w:t>
      </w:r>
    </w:p>
    <w:p>
      <w:pPr>
        <w:spacing w:after="0" w:line="16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Indenture does not limit the amount of debt securities that the Issuer may issue under the Indenture and provides that debt securities may be issued from time to time in one or more series. The Issuer may from time to time, without giving notice to or seeking the consent of the holders of the Notes, issue debt securities having the same interest rate, maturity and other terms (except for the issue date, the public offering price and the first interest payment date) as, and ranking equally and ratably with, the Notes. Any additional debt securities having such similar terms, together with the Notes, will constitute a single series of debt securities under the Indenture, including for purposes of voting and redemptions, and any additional debt securities issued as part of the same series as the Notes will be fungible with the Notes for United States federal income tax purposes or will be issued under a separate CUSIP number. No such additional debt securities may be issued if an Event of Default has occurred and is continuing with respect to the Notes. For the avoidance of doubt, so long as no default or Event of Default hereunder would result therefrom, nothing contained in the Indenture prohibits the Issuer from entering into commercial loans or bank debt, whether secured or unsecured, including without limitation, such debt that may be syndicated.</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Other than as described under "—Certain Covenants", the Indenture and the terms of the Notes do not contain any covenants restricting the operation of our business, our ability to pay dividends, our ability to incur debt or grant liens on our assets or that are designed to afford holders of the Notes protection in a highly leveraged or other transaction involving us that may adversely affect holders of the Notes.</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Notes will mature on March 22, 2022 and will bear interest at a rate of 8.875% per annum. Interest on the Additional Notes will accrue from March 30, 2019. The Issuer will make interest payments on the Additional Notes quarterly in arrears on March 30, June 30, September 30 and December 30 of each year, beginning on June 30, 2019, to holders of record at the close of business on March 15, June 15, September 15 or December 15 (whether or not that date is a business day), as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case may be, immediately preceding such interest payment date, and on the maturity date. Interest on the Notes will be computed on the basis of a 360-day year</w:t>
      </w:r>
    </w:p>
    <w:p>
      <w:pPr>
        <w:spacing w:after="0" w:line="3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composed of twelve 30-day months. Accrued interest on the Additional Notes from March 30, 2019, totaling $ , must be paid by purchasers of the Additional Notes.</w:t>
      </w:r>
    </w:p>
    <w:p>
      <w:pPr>
        <w:spacing w:after="0" w:line="19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any interest payment date would otherwise be a day that is not a business day, that interest payment date will be postponed to the next date that is a business day. If the maturity date of the Notes falls on a day that is not a business day, the related payment of principal and interest will be made on the next business day as if it were made on the date such payment was due, and no interest will accrue on the amounts so payable for the period from and after such date to the next business day.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Notes will be issued only in fully registered form without coupons and in minimum denominations of $1,000 and integral multiples of $1,000 in excess thereof. The Notes will be represented by one or more global securities registered in the name of a nominee of DTC. Except as described under "—Book-entry System; Delivery and Form", the Notes will not be issuable in certificated form.</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Notes are not listed, and we do not currently intend to list the Notes, on any securities exchange or to seek approval for their quotation through any automated quotation system. We cannot assure you that an active public market for the Notes will develop. The absence of an active public trading market could have an adverse effect on the liquidity and value of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Characteristics</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Notes are expected to trade at a price that takes into account the value, if any, of accrued but unpaid interest; thus, purchasers will not pay and sellers will not receive accrued and unpaid interest with respect to the Notes that is not included in the trading price thereof. Any portion of the trading price of a Note received that is attributable to accrued interest will be treated as ordinary interest income for federal income tax purposes and will not be treated as part of the amount realized for purposes of determining gain or loss on the disposition of the Note.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Notes will be our unsubordinated unsecured obligations and will rank equally in right of payment with all our existing and future unsubordinated unsecured indebtedness.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rank senior in right of payment to all of our existing and future subordinated indebtedness.</w:t>
      </w:r>
    </w:p>
    <w:p>
      <w:pPr>
        <w:spacing w:after="0" w:line="225" w:lineRule="exact"/>
        <w:rPr>
          <w:sz w:val="20"/>
          <w:szCs w:val="20"/>
          <w:color w:val="auto"/>
        </w:rPr>
      </w:pPr>
    </w:p>
    <w:p>
      <w:pPr>
        <w:ind w:right="40" w:firstLine="348"/>
        <w:spacing w:after="0" w:line="305" w:lineRule="auto"/>
        <w:rPr>
          <w:sz w:val="20"/>
          <w:szCs w:val="20"/>
          <w:color w:val="auto"/>
        </w:rPr>
      </w:pPr>
      <w:r>
        <w:rPr>
          <w:rFonts w:ascii="Arial" w:cs="Arial" w:eastAsia="Arial" w:hAnsi="Arial"/>
          <w:sz w:val="15"/>
          <w:szCs w:val="15"/>
          <w:color w:val="auto"/>
        </w:rPr>
        <w:t>The Notes will effectively rank junior to our current and any future secured indebtedness incurred by us, to the extent of the value of the assets securing such indebtedness. Assuming we had completed this offering on March 31, 2019, after giving effect to the issuance of our Notes and assuming we held all of the net</w:t>
      </w:r>
    </w:p>
    <w:p>
      <w:pPr>
        <w:ind w:right="280"/>
        <w:spacing w:after="0" w:line="302" w:lineRule="auto"/>
        <w:rPr>
          <w:sz w:val="20"/>
          <w:szCs w:val="20"/>
          <w:color w:val="auto"/>
        </w:rPr>
      </w:pPr>
      <w:r>
        <w:rPr>
          <w:rFonts w:ascii="Arial" w:cs="Arial" w:eastAsia="Arial" w:hAnsi="Arial"/>
          <w:sz w:val="16"/>
          <w:szCs w:val="16"/>
          <w:color w:val="auto"/>
        </w:rPr>
        <w:t>proceeds of the offering as cash, we and our subsidiaries would have had an aggregate of approximately $ billion of debt outstanding. Of such amount, approximately $2.6 billion would have been secured bank debt and $0.2 billion would have been finance leases, all of which is debt of our subsidiaries. Please read "Risk Factors—The Notes will be unsecured obligations and will be effectively subordinated to our secured debt."</w:t>
      </w:r>
    </w:p>
    <w:p>
      <w:pPr>
        <w:spacing w:after="0" w:line="163"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Notes will be obligations of the Issuer and will not be guaranteed by any of our subsidiaries. Accordingly, the Notes will effectively rank junior to all liabilities of our subsidiaries (excluding any amounts owed by such subsidiaries to us). We derive substantially all of our operating income and cash flow from our investments in our subsidiaries. Claims of creditors of our subsidiaries generally will have priority with respect to the assets and earnings of such subsidiaries over the claims of our creditors,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including holders of the Notes. As a result, the Notes will be effectively subordinated to creditors, including trade creditors and preferred shareholders or unitholders, if any, other than us, of our subsidiaries. Please read "Risk Factors—The Notes will be unsecured obligations and will be effectively subordinated to our secured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All payments made by or on behalf of the Issuer under or with respect to the Notes will be made free and clear of and without withholding or deduction for, or on account of, any present or future tax, duty, levy, impost, assessment or other governmental charge (including penalties, interest and other liabilities related thereto) (or </w:t>
      </w:r>
      <w:r>
        <w:rPr>
          <w:rFonts w:ascii="Arial" w:cs="Arial" w:eastAsia="Arial" w:hAnsi="Arial"/>
          <w:sz w:val="16"/>
          <w:szCs w:val="16"/>
          <w:i w:val="1"/>
          <w:iCs w:val="1"/>
          <w:color w:val="auto"/>
        </w:rPr>
        <w:t>Taxes</w:t>
      </w:r>
      <w:r>
        <w:rPr>
          <w:rFonts w:ascii="Arial" w:cs="Arial" w:eastAsia="Arial" w:hAnsi="Arial"/>
          <w:sz w:val="16"/>
          <w:szCs w:val="16"/>
          <w:color w:val="auto"/>
        </w:rPr>
        <w:t xml:space="preserve">) unless the withholding or deduction of such Taxes is then required by law. If any deduction or withholding for, or on account of, any Taxes imposed or levied by or on behalf of the government of Bermuda or any political subdivision or any authority or agency therein or thereof having power to tax, or any other jurisdiction in which the Issuer (including any successor entity) is organized or is otherwise resident for tax purposes, or any jurisdiction from or through which payment is made (including, without limitation, the jurisdiction of each paying agent) (each, a </w:t>
      </w:r>
      <w:r>
        <w:rPr>
          <w:rFonts w:ascii="Arial" w:cs="Arial" w:eastAsia="Arial" w:hAnsi="Arial"/>
          <w:sz w:val="16"/>
          <w:szCs w:val="16"/>
          <w:i w:val="1"/>
          <w:iCs w:val="1"/>
          <w:color w:val="auto"/>
        </w:rPr>
        <w:t>Specified Tax Jurisdiction</w:t>
      </w:r>
      <w:r>
        <w:rPr>
          <w:rFonts w:ascii="Arial" w:cs="Arial" w:eastAsia="Arial" w:hAnsi="Arial"/>
          <w:sz w:val="16"/>
          <w:szCs w:val="16"/>
          <w:color w:val="auto"/>
        </w:rPr>
        <w:t xml:space="preserve">), will at any time be required to be made from any payments made under or with respect to the Notes, the Issuer will pay such additional amounts (or the </w:t>
      </w:r>
      <w:r>
        <w:rPr>
          <w:rFonts w:ascii="Arial" w:cs="Arial" w:eastAsia="Arial" w:hAnsi="Arial"/>
          <w:sz w:val="16"/>
          <w:szCs w:val="16"/>
          <w:i w:val="1"/>
          <w:iCs w:val="1"/>
          <w:color w:val="auto"/>
        </w:rPr>
        <w:t>Additional Amounts</w:t>
      </w:r>
      <w:r>
        <w:rPr>
          <w:rFonts w:ascii="Arial" w:cs="Arial" w:eastAsia="Arial" w:hAnsi="Arial"/>
          <w:sz w:val="16"/>
          <w:szCs w:val="16"/>
          <w:color w:val="auto"/>
        </w:rPr>
        <w:t>) as may be necessary so that the net amount received in respect of such payments by a holder (including Additional Amounts) after such withholding or deduction will not be less than the amount such holder would have received if such Taxes had not been withheld or deducted; provided, however, that the foregoing obligation to pay Additional Amounts does not apply to:</w:t>
      </w:r>
    </w:p>
    <w:p>
      <w:pPr>
        <w:spacing w:after="0" w:line="190" w:lineRule="exact"/>
        <w:rPr>
          <w:sz w:val="20"/>
          <w:szCs w:val="20"/>
          <w:color w:val="auto"/>
        </w:rPr>
      </w:pPr>
    </w:p>
    <w:p>
      <w:pPr>
        <w:ind w:left="1080" w:right="60" w:hanging="532"/>
        <w:spacing w:after="0" w:line="314"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Taxes that would not have been so imposed but for the holder or beneficial owner of the Notes having any present or former connection with the Specified Tax Jurisdiction, including any such connection arising as a result of such holder or beneficial owner (i) being organized under the laws of, or otherwise being or having been a citizen or resident of a Specified Tax Jurisdiction, (ii) or being or having been engaged in a trade or business in a Specified Tax Jurisdiction, (iii) having or having had its principal office located therein, (iv) maintaining a permanent establishment in a Specified Tax Jurisdiction, or (v) being or having been physically present in a Specified Tax Jurisdiction (other than, in each ease, any present or former connection arising as a result of the mere acquisition, ownership, holding, enforcement or receipt of payment in respect of the Notes);</w:t>
      </w:r>
    </w:p>
    <w:p>
      <w:pPr>
        <w:spacing w:after="0" w:line="185" w:lineRule="exact"/>
        <w:rPr>
          <w:rFonts w:ascii="Arial" w:cs="Arial" w:eastAsia="Arial" w:hAnsi="Arial"/>
          <w:sz w:val="15"/>
          <w:szCs w:val="15"/>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estate, inheritance, gift, sales, excise, transfer, personal property tax or similar tax, assessment or governmental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the Notes;</w:t>
      </w:r>
    </w:p>
    <w:p>
      <w:pPr>
        <w:spacing w:after="0" w:line="238"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Taxes imposed as a result of the failure of the holder or beneficial owner of the Notes to complete, execute and deliver to the Issuer any form or document to the extent applicable to such holder or beneficial owner that may be required by law or by reason of administration of such law and which is reasonably requested in writing to be delivered to the Issuer in order to enable the Issuer to make payments on the Notes without deduction or withholding for Taxes, or with deduction or withholding of a lesser amount, which form or document will be delivered within</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60 days of a written request therefor by the Issuer;</w:t>
      </w:r>
    </w:p>
    <w:p>
      <w:pPr>
        <w:spacing w:after="0" w:line="245" w:lineRule="exact"/>
        <w:rPr>
          <w:rFonts w:ascii="Arial" w:cs="Arial" w:eastAsia="Arial" w:hAnsi="Arial"/>
          <w:sz w:val="16"/>
          <w:szCs w:val="16"/>
          <w:color w:val="auto"/>
        </w:rPr>
      </w:pPr>
    </w:p>
    <w:p>
      <w:pPr>
        <w:ind w:left="1080" w:right="12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Taxes that would not have been so imposed but for the beneficiary of the payment having presented a note for payment (in cases in which presentation is required) more than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imposed on or with respect to any payment by the Issuer to the holder if such holder is a fiduciary or partnership or person other than the sole beneficial owner of such payment, to the extent that a beneficiary or settlor with respect to such fiduciary, a member of such partnership or the beneficial owner of such payment would not have been entitled to Additional Amounts had such beneficiary, settlor, member or beneficial owner been the actual holder of such note;</w:t>
      </w:r>
    </w:p>
    <w:p>
      <w:pPr>
        <w:spacing w:after="0" w:line="224"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that are required to be deducted or withheld on a payment pursuant to European Council Directive 2003/48/EC or any law implementing, or introduced in order to conform to, such directive;</w:t>
      </w:r>
    </w:p>
    <w:p>
      <w:pPr>
        <w:spacing w:after="0" w:line="199"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any Taxes that are imposed or withheld pursuant to Sections 1471 through 1474 of the United States Internal Revenue Code (or the </w:t>
      </w:r>
      <w:r>
        <w:rPr>
          <w:rFonts w:ascii="Arial" w:cs="Arial" w:eastAsia="Arial" w:hAnsi="Arial"/>
          <w:sz w:val="16"/>
          <w:szCs w:val="16"/>
          <w:i w:val="1"/>
          <w:iCs w:val="1"/>
          <w:color w:val="auto"/>
        </w:rPr>
        <w:t>Code</w:t>
      </w:r>
      <w:r>
        <w:rPr>
          <w:rFonts w:ascii="Arial" w:cs="Arial" w:eastAsia="Arial" w:hAnsi="Arial"/>
          <w:sz w:val="16"/>
          <w:szCs w:val="16"/>
          <w:color w:val="auto"/>
        </w:rPr>
        <w:t>), as of the Issue Date (or any amended or successor version of such sections), any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 Issuer becomes aware that it will be obligated to pay Additional Amounts with respect to any payment under or with respect to the Notes, the Issuer will deliver to the Trustee and paying agent at least 30 days prior to the date of that payment (unless the obligation to pay Additional Amounts arises after the 30th day prior to that payment date, in which case the Issuer will notify the Trustee and paying agent promptly thereafter but in no event later than two business days prior to the date of payment) an Officer's Certificate stating the fact that Additional Amounts will be payable and the amount so payable. The Officer's Certificate must also set forth any other information necessary to enable the paying agent to pay Additional Amounts to holders on the relevant payment date. The Trustee and paying agent will be entitled to rely solely on such Officer's Certificate as conclusive proof that such payments are necessary. The Issuer will provide the Trustee and paying agent with documentation satisfactory to the Trustee and paying agent evidencing the payment of Additional Amounts.</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Issuer will make all withholdings and deductions required by law and will remit the full amount deducted or withheld to the relevant governmental authority on a timely basis in accordance with applicable law. As soon as practicable, the Issuer will provide the Trustee and paying agent with an official receipt or, if official receipts are not obtainable, other documentation satisfactory to the Trustee and paying agent evidencing the payment of the Taxes so withheld or deducted. Upon request, copies of those receipts or other documentation, as the case may be, will be made available by the Trustee and paying agent to the holders of the Notes.</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Whenever in the Indenture there is referenced, in any context, the payment of amounts based upon the principal amount of the Notes or of principal, interest or any other amount payable under, or with respect to, the Notes, such reference will be deemed to include payment of Additional Amounts as described under this heading to the extent that, in such context, Additional Amounts are, were or would be payable in respect thereof.</w:t>
      </w:r>
    </w:p>
    <w:p>
      <w:pPr>
        <w:spacing w:after="0" w:line="16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Issuer will pay any present or future stamp, court, issue, registration, value added, court or documentary taxes or any other excise or property taxes, charges or similar levies that arise in any Specified Tax Jurisdiction from the execution, delivery, enforcement or registration of the Notes, the Indenture or any other document or instrument in relation thereof, or the receipt of any payments with respect to the Notes, other than, for the avoidance of doubt, any Transfer Taxes, as defined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in "—Transfer and Exchange" (each such tax, a </w:t>
      </w:r>
      <w:r>
        <w:rPr>
          <w:rFonts w:ascii="Arial" w:cs="Arial" w:eastAsia="Arial" w:hAnsi="Arial"/>
          <w:sz w:val="18"/>
          <w:szCs w:val="18"/>
          <w:i w:val="1"/>
          <w:iCs w:val="1"/>
          <w:color w:val="auto"/>
        </w:rPr>
        <w:t>Note Issuance Tax</w:t>
      </w:r>
      <w:r>
        <w:rPr>
          <w:rFonts w:ascii="Arial" w:cs="Arial" w:eastAsia="Arial" w:hAnsi="Arial"/>
          <w:sz w:val="18"/>
          <w:szCs w:val="18"/>
          <w:color w:val="auto"/>
        </w:rPr>
        <w:t>), and the Issuer will indemnify the holders for any such Note Issuance Taxes paid by such holders.</w:t>
      </w:r>
    </w:p>
    <w:p>
      <w:pPr>
        <w:spacing w:after="0" w:line="186"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obligations described under this heading will survive any termination, defeasance or discharge of the Indenture and will apply mutatis mutandis to any jurisdiction in which any successor person to the Issuer is organized or any political subdivision or authority or agency thereof or therein.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for Changes in Withholding Taxes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Issuer may redeem the Notes, at its option, at any time in whole but not in part, upon not less than 30 nor more than 60 days' notice (which notice will be irrevocable) by the Issuer, at a redemption price equal to 100% of the outstanding principal amount of Notes, plus accrued and unpaid interest (if any) to, but excluding, the applicable redemption date and all Additional Amounts (if any) then due and which will become due on the applicable redemption date (subject to the right of holders of record on the relevant record date to receive interest due on the relevant interest payment date and Additional Amounts (if any) in respect thereof), in the event that the Issuer determines in good faith that the Issuer has become or would become obligated to pay, on the next date on which any amount would be payable with respect to the Notes, Additional Amounts and such obligation cannot be avoided by taking reasonable measures available to the Issuer (including making payment through a paying agent located in another jurisdiction), as a result of:</w:t>
      </w:r>
    </w:p>
    <w:p>
      <w:pPr>
        <w:spacing w:after="0" w:line="186" w:lineRule="exact"/>
        <w:rPr>
          <w:sz w:val="20"/>
          <w:szCs w:val="20"/>
          <w:color w:val="auto"/>
        </w:rPr>
      </w:pPr>
    </w:p>
    <w:p>
      <w:pPr>
        <w:ind w:left="1080" w:right="4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change in or an amendment to the laws (including any regulations or rulings promulgated thereunder) of any Specified Tax Jurisdiction affecting taxation, which change or amendment is announced and becomes effective on or after the date of the Indenture; or</w:t>
      </w:r>
    </w:p>
    <w:p>
      <w:pPr>
        <w:spacing w:after="0" w:line="166" w:lineRule="exact"/>
        <w:rPr>
          <w:rFonts w:ascii="Arial" w:cs="Arial" w:eastAsia="Arial" w:hAnsi="Arial"/>
          <w:sz w:val="16"/>
          <w:szCs w:val="16"/>
          <w:color w:val="auto"/>
        </w:rPr>
      </w:pPr>
    </w:p>
    <w:p>
      <w:pPr>
        <w:ind w:left="1080" w:right="14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change in or amendment to any official position of a taxing authority in any Specified Tax Jurisdiction regarding the application, administration or interpretation of such laws, regulations or rulings (including a holding, judgment or order by a court of competent jurisdiction), which change or amendment is announced and becomes effective on or after the date of the Indenture.</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Notwithstanding the foregoing, no such notice of redemption may be given earlier than 60 days prior to the earliest date on which the Issuer would be obligated to pay Additional Amounts if a payment in respect of the Notes were then due. Before the Issuer publishes, mails or delivers notice of redemption of the Notes as described above, the Issuer will deliver to the Trustee and paying agent (a) an Officer's Certificate stating that the Issuer is entitled to effect such redemption and setting forth a statement of facts showing that the conditions precedent to the right of the Issuer to so redeem have occurred and (b) an opinion of independent legal counsel of recognized standing satisfactory to the Trustee and paying agent that the Issuer has or will become obligated to pay Additional Amounts as a result of the circumstances referred to in clause (1) or (2) of the preceding paragraph.</w:t>
      </w:r>
    </w:p>
    <w:p>
      <w:pPr>
        <w:spacing w:after="0" w:line="17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Trustee and paying agent will accept and will be entitled to conclusively rely upon the Officer's Certificate and opinion of counsel sufficient evidence of the satisfaction of the conditions precedent described above, in which case they will be conclusive and binding on the 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 may redeem the Notes, in whole or in part, at any time and from time to time at a redemption price equal to the greater of:</w:t>
      </w:r>
    </w:p>
    <w:p>
      <w:pPr>
        <w:spacing w:after="0" w:line="225" w:lineRule="exact"/>
        <w:rPr>
          <w:sz w:val="20"/>
          <w:szCs w:val="20"/>
          <w:color w:val="auto"/>
        </w:rPr>
      </w:pPr>
    </w:p>
    <w:p>
      <w:pPr>
        <w:ind w:left="1220" w:hanging="321"/>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of the principal amount of such Notes to be redeemed and</w:t>
      </w:r>
    </w:p>
    <w:p>
      <w:pPr>
        <w:spacing w:after="0" w:line="225" w:lineRule="exact"/>
        <w:rPr>
          <w:rFonts w:ascii="Arial" w:cs="Arial" w:eastAsia="Arial" w:hAnsi="Arial"/>
          <w:sz w:val="18"/>
          <w:szCs w:val="18"/>
          <w:color w:val="auto"/>
        </w:rPr>
      </w:pPr>
    </w:p>
    <w:p>
      <w:pPr>
        <w:ind w:left="540" w:right="640" w:firstLine="359"/>
        <w:spacing w:after="0" w:line="332" w:lineRule="auto"/>
        <w:tabs>
          <w:tab w:leader="none" w:pos="12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(exclusive of interest accrued to but excluding the date of redemption), computed using a discount rate equal to the Treasury Rate plus 50 basis points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accrued and unpaid interest, if any, to but excluding the redemption date (subject to the rights of holders of record on the relevant record date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due on the relevant interest payment date).</w:t>
      </w:r>
    </w:p>
    <w:p>
      <w:pPr>
        <w:spacing w:after="0" w:line="186" w:lineRule="exact"/>
        <w:rPr>
          <w:sz w:val="20"/>
          <w:szCs w:val="20"/>
          <w:color w:val="auto"/>
        </w:rPr>
      </w:pPr>
    </w:p>
    <w:p>
      <w:pPr>
        <w:ind w:right="380" w:firstLine="341"/>
        <w:spacing w:after="0" w:line="306" w:lineRule="auto"/>
        <w:rPr>
          <w:sz w:val="20"/>
          <w:szCs w:val="20"/>
          <w:color w:val="auto"/>
        </w:rPr>
      </w:pPr>
      <w:r>
        <w:rPr>
          <w:rFonts w:ascii="Arial" w:cs="Arial" w:eastAsia="Arial" w:hAnsi="Arial"/>
          <w:sz w:val="16"/>
          <w:szCs w:val="16"/>
          <w:color w:val="auto"/>
        </w:rPr>
        <w:t>Any notice to holders of Notes of such a redemption needs to include the appropriate calculation (such calculation to be made by the Issuer) of the redemption price, but does not need to include the redemption price itself. The actual redemption price, calculated as described above, must be set forth in an Officers' Certificate delivered to the Trustee no later than two business days prior to the redemption date.</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Notes or portions thereof called for redemption on the applicable redemption date.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above,</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 having a maturity comparable to</w:t>
      </w:r>
      <w:r>
        <w:rPr>
          <w:rFonts w:ascii="Arial" w:cs="Arial" w:eastAsia="Arial" w:hAnsi="Arial"/>
          <w:sz w:val="18"/>
          <w:szCs w:val="18"/>
          <w:i w:val="1"/>
          <w:iCs w:val="1"/>
          <w:color w:val="auto"/>
        </w:rPr>
        <w:t xml:space="preserve"> </w:t>
      </w:r>
      <w:r>
        <w:rPr>
          <w:rFonts w:ascii="Arial" w:cs="Arial" w:eastAsia="Arial" w:hAnsi="Arial"/>
          <w:sz w:val="18"/>
          <w:szCs w:val="18"/>
          <w:color w:val="auto"/>
        </w:rPr>
        <w:t>March 22, 2022 that would be utilized, at the time of selection and in accordance with customary financial practice, in pricing new issues of corporate debt securities of comparable maturity.</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(a) the average of the bid and asked prices for the Comparable Treasury Issue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in each case as a percentage of its principal amount) on the third business day preceding such redemption date, as set forth in the most recently published statistical release designated "H.15(519)" (or any successor release) published by the Board of Governors of the Federal Reserve System and which establishes yields on actively traded United States treasury securities adjusted to constant maturity under the caption "Treasury Constant Maturities", or (b) if such release (or any successor release) is not published and does not contain such prices on such business day, the average of the Reference Treasury Dealer Quotations for such redemption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1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four nationally recognized investment banking firms selected by the Company that are primary U.S. Government security dealers in New York City.</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on the third business day preceding such redemption date.</w:t>
      </w:r>
    </w:p>
    <w:p>
      <w:pPr>
        <w:spacing w:after="0" w:line="197" w:lineRule="exact"/>
        <w:rPr>
          <w:sz w:val="20"/>
          <w:szCs w:val="20"/>
          <w:color w:val="auto"/>
        </w:rPr>
      </w:pPr>
    </w:p>
    <w:p>
      <w:pPr>
        <w:ind w:right="6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yield to maturity of the Comparable Treasury Issue, compounded quarterly, assuming a price for such Comparable Treasury Issue (expressed as a percentage of its principal amount) equal to the Comparable Treasury Price for such redemption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Indenture includes the following restrictive covenants. Certain defined terms relevant to the covenants are set forth under "—Certain Definitions and Interpretations" below.</w:t>
      </w:r>
    </w:p>
    <w:p>
      <w:pPr>
        <w:spacing w:after="0" w:line="199" w:lineRule="exact"/>
        <w:rPr>
          <w:sz w:val="20"/>
          <w:szCs w:val="20"/>
          <w:color w:val="auto"/>
        </w:rPr>
      </w:pPr>
    </w:p>
    <w:p>
      <w:pPr>
        <w:ind w:left="1080" w:right="1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Pari passu ranking</w:t>
      </w:r>
      <w:r>
        <w:rPr>
          <w:rFonts w:ascii="Arial" w:cs="Arial" w:eastAsia="Arial" w:hAnsi="Arial"/>
          <w:sz w:val="18"/>
          <w:szCs w:val="18"/>
          <w:color w:val="auto"/>
        </w:rPr>
        <w:t>. The Issuer's payment obligations under the Notes shall at all times rank at least pari passu with the claims of all 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unsubordinated creditors save for those whose claims that are preferred solely by any bankruptcy, insolvency, liquidation or other similar laws of general application and for other obligations that are mandatorily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preferred by law applying to companies generally. The Notes shall rank ahead of any current or future subordinated debt.</w:t>
      </w:r>
    </w:p>
    <w:p>
      <w:pPr>
        <w:spacing w:after="0" w:line="239" w:lineRule="exact"/>
        <w:rPr>
          <w:sz w:val="20"/>
          <w:szCs w:val="20"/>
          <w:color w:val="auto"/>
        </w:rPr>
      </w:pPr>
    </w:p>
    <w:p>
      <w:pPr>
        <w:ind w:left="1080" w:right="10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Mergers</w:t>
      </w:r>
      <w:r>
        <w:rPr>
          <w:rFonts w:ascii="Arial" w:cs="Arial" w:eastAsia="Arial" w:hAnsi="Arial"/>
          <w:sz w:val="16"/>
          <w:szCs w:val="16"/>
          <w:color w:val="auto"/>
        </w:rPr>
        <w:t>. The Issuer shall not, and shall ensure that no Group Company shall, carry out any merger or other business combination or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involving consolidating the assets and obligations of any of the Group Companies with any other companies or entities not being a member of the Group if such transaction would reasonably be expected to have a Material Adverse Effect.</w:t>
      </w:r>
    </w:p>
    <w:p>
      <w:pPr>
        <w:spacing w:after="0" w:line="187"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De-mergers</w:t>
      </w:r>
      <w:r>
        <w:rPr>
          <w:rFonts w:ascii="Arial" w:cs="Arial" w:eastAsia="Arial" w:hAnsi="Arial"/>
          <w:sz w:val="18"/>
          <w:szCs w:val="18"/>
          <w:color w:val="auto"/>
        </w:rPr>
        <w:t>. The Issuer shall not, and shall ensure that no Group Company shall, carry out any de-merger or other corporate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splitting any Group Company into two or more separate companies or entities, if such transaction would reasonably be expected to have a Material Adverse Effect.</w:t>
      </w:r>
    </w:p>
    <w:p>
      <w:pPr>
        <w:spacing w:after="0" w:line="207" w:lineRule="exact"/>
        <w:rPr>
          <w:rFonts w:ascii="Arial" w:cs="Arial" w:eastAsia="Arial" w:hAnsi="Arial"/>
          <w:sz w:val="18"/>
          <w:szCs w:val="18"/>
          <w:color w:val="auto"/>
        </w:rPr>
      </w:pPr>
    </w:p>
    <w:p>
      <w:pPr>
        <w:ind w:left="1080" w:right="180" w:hanging="532"/>
        <w:spacing w:after="0" w:line="335"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Continuation of business</w:t>
      </w:r>
      <w:r>
        <w:rPr>
          <w:rFonts w:ascii="Arial" w:cs="Arial" w:eastAsia="Arial" w:hAnsi="Arial"/>
          <w:sz w:val="15"/>
          <w:szCs w:val="15"/>
          <w:color w:val="auto"/>
        </w:rPr>
        <w:t>. The Issuer shall procure that no material change is made to the general nature or scope of the business of the Group</w:t>
      </w:r>
      <w:r>
        <w:rPr>
          <w:rFonts w:ascii="Arial" w:cs="Arial" w:eastAsia="Arial" w:hAnsi="Arial"/>
          <w:sz w:val="15"/>
          <w:szCs w:val="15"/>
          <w:i w:val="1"/>
          <w:iCs w:val="1"/>
          <w:color w:val="auto"/>
        </w:rPr>
        <w:t xml:space="preserve"> </w:t>
      </w:r>
      <w:r>
        <w:rPr>
          <w:rFonts w:ascii="Arial" w:cs="Arial" w:eastAsia="Arial" w:hAnsi="Arial"/>
          <w:sz w:val="15"/>
          <w:szCs w:val="15"/>
          <w:color w:val="auto"/>
        </w:rPr>
        <w:t>from that carried on at the date of the Indenture, as described in this prospectus, and any business reasonably related, ancillary or complimentary thereto, including without limitation any business in the marine energy transportation or LNG storage, liquefaction or regassification sectors.</w:t>
      </w:r>
    </w:p>
    <w:p>
      <w:pPr>
        <w:spacing w:after="0" w:line="155" w:lineRule="exact"/>
        <w:rPr>
          <w:rFonts w:ascii="Arial" w:cs="Arial" w:eastAsia="Arial" w:hAnsi="Arial"/>
          <w:sz w:val="15"/>
          <w:szCs w:val="15"/>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Disposal of business. </w:t>
      </w:r>
      <w:r>
        <w:rPr>
          <w:rFonts w:ascii="Arial" w:cs="Arial" w:eastAsia="Arial" w:hAnsi="Arial"/>
          <w:sz w:val="18"/>
          <w:szCs w:val="18"/>
          <w:color w:val="auto"/>
        </w:rPr>
        <w:t>The Issuer shall not, and shall ensure that no Group Company shall, sell or otherwise dispose of all or a substantial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Group's aggregate assets or operations, unless: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transaction is carried out at fair market value, as determined in good faith by the board of directors of the Issuer;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such transaction would not reasonably be expected to have a Material Adverse Effect.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60" w:hanging="532"/>
        <w:spacing w:after="0" w:line="284"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Related party transactions. </w:t>
      </w:r>
      <w:r>
        <w:rPr>
          <w:rFonts w:ascii="Arial" w:cs="Arial" w:eastAsia="Arial" w:hAnsi="Arial"/>
          <w:sz w:val="16"/>
          <w:szCs w:val="16"/>
          <w:color w:val="auto"/>
        </w:rPr>
        <w:t>The Issuer shall not engage in, or permit any member of the Group to engage in, directly or indirectly, any</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with any affiliate of the Issuer that is not a Group Company (including, without limitation, the purchase, sale or exchange of assets or the rendering of any service), except (i) pursuant to existing agreements and arrangements with such affiliates or (ii) transactions that are</w:t>
      </w:r>
    </w:p>
    <w:p>
      <w:pPr>
        <w:spacing w:after="0" w:line="1" w:lineRule="exact"/>
        <w:rPr>
          <w:rFonts w:ascii="Arial" w:cs="Arial" w:eastAsia="Arial" w:hAnsi="Arial"/>
          <w:sz w:val="16"/>
          <w:szCs w:val="16"/>
          <w:color w:val="auto"/>
        </w:rPr>
      </w:pPr>
    </w:p>
    <w:p>
      <w:pPr>
        <w:ind w:left="1080"/>
        <w:spacing w:after="0" w:line="254" w:lineRule="auto"/>
        <w:rPr>
          <w:rFonts w:ascii="Arial" w:cs="Arial" w:eastAsia="Arial" w:hAnsi="Arial"/>
          <w:sz w:val="16"/>
          <w:szCs w:val="16"/>
          <w:color w:val="auto"/>
        </w:rPr>
      </w:pPr>
      <w:r>
        <w:rPr>
          <w:rFonts w:ascii="Arial" w:cs="Arial" w:eastAsia="Arial" w:hAnsi="Arial"/>
          <w:sz w:val="18"/>
          <w:szCs w:val="18"/>
          <w:color w:val="auto"/>
        </w:rPr>
        <w:t>(A) approved by a majority of the independent members of the audit committee of the Issuer's board of directors, (B) on terms no less favorable to the Issuer or such Group member than those generally being provided to or available from unrelated third parties, (C) fair and reasonable to the Issuer or such Group member, as determined in good faith by the board of directors of the Issuer or (D) immaterial in amount or significance to the Issuer or the Group.</w:t>
      </w:r>
    </w:p>
    <w:p>
      <w:pPr>
        <w:spacing w:after="0" w:line="224" w:lineRule="exact"/>
        <w:rPr>
          <w:rFonts w:ascii="Arial" w:cs="Arial" w:eastAsia="Arial" w:hAnsi="Arial"/>
          <w:sz w:val="16"/>
          <w:szCs w:val="16"/>
          <w:color w:val="auto"/>
        </w:rPr>
      </w:pPr>
    </w:p>
    <w:p>
      <w:pPr>
        <w:ind w:left="1080" w:right="14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Restricted Payments. </w:t>
      </w:r>
      <w:r>
        <w:rPr>
          <w:rFonts w:ascii="Arial" w:cs="Arial" w:eastAsia="Arial" w:hAnsi="Arial"/>
          <w:sz w:val="18"/>
          <w:szCs w:val="18"/>
          <w:color w:val="auto"/>
        </w:rPr>
        <w:t>The Issuer shall not, and shall not permit any Group Company to, declare or make, or agree to pay or make,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any Restricted Payment, except (a) Restricted Payments payable solely in equity interests issued by the Issuer and not in cash, (b) a Subsidiary of the Issuer may make Restricted Payments to the Issuer or another Subsidiary (and if such Group Company is not a Wholly Owned Group Company, so long as the Issuer or a Group Company receives at least its pro rata share of such dividend or distribution in accordance with its equity or ownership interests in such class or series of securities), and (c) any other Restricted Payments in cash in accordance with applicable law so long as after giving effect thereto no Event of Default has occurred and is continuing and no Default or Event of Default will result therefrom.</w:t>
      </w:r>
    </w:p>
    <w:p>
      <w:pPr>
        <w:spacing w:after="0" w:line="214" w:lineRule="exact"/>
        <w:rPr>
          <w:rFonts w:ascii="Arial" w:cs="Arial" w:eastAsia="Arial" w:hAnsi="Arial"/>
          <w:sz w:val="18"/>
          <w:szCs w:val="18"/>
          <w:color w:val="auto"/>
        </w:rPr>
      </w:pPr>
    </w:p>
    <w:p>
      <w:pPr>
        <w:ind w:left="1080" w:right="40" w:hanging="532"/>
        <w:spacing w:after="0" w:line="28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Corporate status. </w:t>
      </w:r>
      <w:r>
        <w:rPr>
          <w:rFonts w:ascii="Arial" w:cs="Arial" w:eastAsia="Arial" w:hAnsi="Arial"/>
          <w:sz w:val="16"/>
          <w:szCs w:val="16"/>
          <w:color w:val="auto"/>
        </w:rPr>
        <w:t>The Issuer shall not, and shall ensure that no Group Company shall change its type of organization or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unless (i) such change in type or jurisdiction of organization would not reasonably be expected to have a Material Adverse Effect and</w:t>
      </w:r>
    </w:p>
    <w:p>
      <w:pPr>
        <w:ind w:left="1340" w:hanging="252"/>
        <w:spacing w:after="0"/>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case of the Issuer, such change is made pursuant to and in accordance with "—Consolidation, Merger and Sale of Assets".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The Issuer shall (and shall ensure that all Group Companies shall) comply in all material respects with all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it or they may be subject to from time to time (including any environmental laws and regulations) if such failure to comply would reasonably be expected to have a Material Adverse Effect.</w:t>
      </w:r>
    </w:p>
    <w:p>
      <w:pPr>
        <w:spacing w:after="0" w:line="221"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MLP. </w:t>
      </w:r>
      <w:r>
        <w:rPr>
          <w:rFonts w:ascii="Arial" w:cs="Arial" w:eastAsia="Arial" w:hAnsi="Arial"/>
          <w:sz w:val="18"/>
          <w:szCs w:val="18"/>
          <w:color w:val="auto"/>
        </w:rPr>
        <w:t>The Issuer shall not cease to control, directly or indirectly, the composition of the majority of the board of directors (or equivalent)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MLP.</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Negative Pledge. </w:t>
      </w:r>
      <w:r>
        <w:rPr>
          <w:rFonts w:ascii="Arial" w:cs="Arial" w:eastAsia="Arial" w:hAnsi="Arial"/>
          <w:sz w:val="16"/>
          <w:szCs w:val="16"/>
          <w:color w:val="auto"/>
        </w:rPr>
        <w:t>The Issuer shall not, and it shall ensure that no Group Companies shall, create, permit to subsist or allow to exist any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pledge, lien or any other encumbrances over any of the Issuer's equity interests in the General Partner or the MLP.</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Debt Service Cover</w:t>
      </w:r>
      <w:r>
        <w:rPr>
          <w:rFonts w:ascii="Arial" w:cs="Arial" w:eastAsia="Arial" w:hAnsi="Arial"/>
          <w:sz w:val="18"/>
          <w:szCs w:val="18"/>
          <w:color w:val="auto"/>
        </w:rPr>
        <w:t>. The Issuer shall ensure that the ratio of EBITDA: Debt Service, on a trailing four quarter basis, shall be no less than 1.00:</w:t>
      </w:r>
      <w:r>
        <w:rPr>
          <w:rFonts w:ascii="Arial" w:cs="Arial" w:eastAsia="Arial" w:hAnsi="Arial"/>
          <w:sz w:val="18"/>
          <w:szCs w:val="18"/>
          <w:i w:val="1"/>
          <w:iCs w:val="1"/>
          <w:color w:val="auto"/>
        </w:rPr>
        <w:t xml:space="preserve"> </w:t>
      </w:r>
      <w:r>
        <w:rPr>
          <w:rFonts w:ascii="Arial" w:cs="Arial" w:eastAsia="Arial" w:hAnsi="Arial"/>
          <w:sz w:val="18"/>
          <w:szCs w:val="18"/>
          <w:color w:val="auto"/>
        </w:rPr>
        <w:t>1.00.</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Free Liquidity. </w:t>
      </w:r>
      <w:r>
        <w:rPr>
          <w:rFonts w:ascii="Arial" w:cs="Arial" w:eastAsia="Arial" w:hAnsi="Arial"/>
          <w:sz w:val="18"/>
          <w:szCs w:val="18"/>
          <w:color w:val="auto"/>
        </w:rPr>
        <w:t>The Issuer shall, at any time during the term of the Notes, ensure that the Issuer shall maintain Cash and Cash Equivalents of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of the greater of (a) $35,000,000 and (b) 2.50% of Total Indebtedness.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Total Indebtedness.  </w:t>
      </w:r>
      <w:r>
        <w:rPr>
          <w:rFonts w:ascii="Arial" w:cs="Arial" w:eastAsia="Arial" w:hAnsi="Arial"/>
          <w:sz w:val="18"/>
          <w:szCs w:val="18"/>
          <w:color w:val="auto"/>
        </w:rPr>
        <w:t>The Issuer shall not permit Total Indebtedness to exceed 75% of Total 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Minimum Market Adjusted Net Worth</w:t>
      </w:r>
      <w:r>
        <w:rPr>
          <w:rFonts w:ascii="Arial" w:cs="Arial" w:eastAsia="Arial" w:hAnsi="Arial"/>
          <w:sz w:val="18"/>
          <w:szCs w:val="18"/>
          <w:color w:val="auto"/>
        </w:rPr>
        <w:t>.  The Issuer shall maintain Market Adjusted Net Worth of not less than $300,000,000.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Current Assets.  </w:t>
      </w:r>
      <w:r>
        <w:rPr>
          <w:rFonts w:ascii="Arial" w:cs="Arial" w:eastAsia="Arial" w:hAnsi="Arial"/>
          <w:sz w:val="16"/>
          <w:szCs w:val="16"/>
          <w:color w:val="auto"/>
        </w:rPr>
        <w:t>The Current Assets of the Issuer shall be greater than or equal to Current Liabilities (excluding the Current Portion of Loans).</w:t>
      </w:r>
    </w:p>
    <w:p>
      <w:pPr>
        <w:spacing w:after="0" w:line="24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Compliance with clauses (12)-(16) in the preceding paragraph is measured on the last day of each of our fiscal quarters. Within 60 days after the end of the first three fiscal quarters each fiscal year and within 120 days after the end of each fiscal year (in each case subject to any extensions or waivers), the Issuer is required to deliver to the Trustee an Officer's Certificate confirming compliance with each of the covenants described above. Each such certificate will be made available to the holders of the Notes upon request to the Trustee. The Issuer shall mail, within 10 Business Days of the discovery thereof, to all holders of the Notes and Trustee, notice of any Default in compliance with the covenants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 and Interpretations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foregoing provisions, the following definitions shall apply:</w:t>
      </w:r>
    </w:p>
    <w:p>
      <w:pPr>
        <w:spacing w:after="0" w:line="225"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Cash and Cash Equivalents</w:t>
      </w:r>
      <w:r>
        <w:rPr>
          <w:rFonts w:ascii="Arial" w:cs="Arial" w:eastAsia="Arial" w:hAnsi="Arial"/>
          <w:sz w:val="15"/>
          <w:szCs w:val="15"/>
          <w:color w:val="auto"/>
        </w:rPr>
        <w:t>" means cash on hand, deposits with banks which are repayable on demand, short term, highly liquid investments which are readily convertible into known amounts of cash with original maturities of six months or less that are subject to an insignificant risk of change in value, but exclude any cash that is specifically blocked and/or charged. For the avoidance of doubt, Cash and Cash Equivalents shall not be subject to any Encumbrances.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Current Assets</w:t>
      </w:r>
      <w:r>
        <w:rPr>
          <w:rFonts w:ascii="Arial" w:cs="Arial" w:eastAsia="Arial" w:hAnsi="Arial"/>
          <w:sz w:val="16"/>
          <w:szCs w:val="16"/>
          <w:color w:val="auto"/>
        </w:rPr>
        <w:t>" means current assets of the Group as shown in the then most recent Financial Statements and Interim Accounts relevant to such period.</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Liabilities</w:t>
      </w:r>
      <w:r>
        <w:rPr>
          <w:rFonts w:ascii="Arial" w:cs="Arial" w:eastAsia="Arial" w:hAnsi="Arial"/>
          <w:sz w:val="18"/>
          <w:szCs w:val="18"/>
          <w:color w:val="auto"/>
        </w:rPr>
        <w:t>" means the current liabilities of the Group as shown in the then most recent Financial Statements and Interim Accounts relevant to such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Portion of Loans</w:t>
      </w:r>
      <w:r>
        <w:rPr>
          <w:rFonts w:ascii="Arial" w:cs="Arial" w:eastAsia="Arial" w:hAnsi="Arial"/>
          <w:sz w:val="18"/>
          <w:szCs w:val="18"/>
          <w:color w:val="auto"/>
        </w:rPr>
        <w:t>" means the current portion of loans as shown in the then most recent Financial Statements of the Issuer.</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Service</w:t>
      </w:r>
      <w:r>
        <w:rPr>
          <w:rFonts w:ascii="Arial" w:cs="Arial" w:eastAsia="Arial" w:hAnsi="Arial"/>
          <w:sz w:val="18"/>
          <w:szCs w:val="18"/>
          <w:color w:val="auto"/>
        </w:rPr>
        <w:t>" means, for any financial period of the Group, the sum to be the aggregate amount of: (i) scheduled amounts of principal; (ii) scheduled amounts of interest thereon (taking into account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hedging contracts); and (iii) all other amounts in excess of $30,000,000 in aggregate which shall fall due and will be paid by the Group in such period as non-recurrent fees or upfront fees, costs and expenses, in respect of Total Indebtedness, as shown in the then most recent Financial Statements and Interim Accounts relevant to such period.</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 Event of Default or any event or circumstance specified under "—Events of Default" which would (with the giving of notice, lapse of time, determination of materiality or the fulfillment of any other applicable condition or any combination of the foregoing) be an Event of Default under the Indenture.</w:t>
      </w:r>
    </w:p>
    <w:p>
      <w:pPr>
        <w:spacing w:after="0" w:line="194" w:lineRule="exact"/>
        <w:rPr>
          <w:sz w:val="20"/>
          <w:szCs w:val="20"/>
          <w:color w:val="auto"/>
        </w:rPr>
      </w:pPr>
    </w:p>
    <w:p>
      <w:pPr>
        <w:ind w:right="60" w:firstLine="351"/>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EBITDA</w:t>
      </w:r>
      <w:r>
        <w:rPr>
          <w:rFonts w:ascii="Arial" w:cs="Arial" w:eastAsia="Arial" w:hAnsi="Arial"/>
          <w:sz w:val="15"/>
          <w:szCs w:val="15"/>
          <w:color w:val="auto"/>
        </w:rPr>
        <w:t>" means, in respect of any period, the consolidated profit on ordinary activities of the Group before taxation for such period; but: (a) adjusted to exclude Interest Receivable and Interest Payable and other similar income or costs to the extent not already excluded, (b) adjusted to exclude any gain or loss realized on the disposal of fixed assets (whether tangible or intangible), (c) after adding back depreciation and amortization charged which relates to such period,</w:t>
      </w:r>
    </w:p>
    <w:p>
      <w:pPr>
        <w:spacing w:after="0" w:line="1" w:lineRule="exact"/>
        <w:rPr>
          <w:sz w:val="20"/>
          <w:szCs w:val="20"/>
          <w:color w:val="auto"/>
        </w:rPr>
      </w:pPr>
    </w:p>
    <w:p>
      <w:pPr>
        <w:ind w:right="120" w:firstLine="8"/>
        <w:spacing w:after="0" w:line="331" w:lineRule="auto"/>
        <w:tabs>
          <w:tab w:leader="none" w:pos="249"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adjusted to exclude any exceptional or extraordinary costs or income (e) after deducting any profit arising out of the release of any provisions against a liability or charge and adding back any provision relating to long term assets or contracts, and (f) adjusted to exclude any profit or loss due to mark-to-market of derivative agreements and non-cash currency gains or losses, as shown in the then most recent Financial Statement or Interim Account relevant to such period.</w:t>
      </w:r>
    </w:p>
    <w:p>
      <w:pPr>
        <w:spacing w:after="0" w:line="14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Encumbrance</w:t>
      </w:r>
      <w:r>
        <w:rPr>
          <w:rFonts w:ascii="Arial" w:cs="Arial" w:eastAsia="Arial" w:hAnsi="Arial"/>
          <w:sz w:val="18"/>
          <w:szCs w:val="18"/>
          <w:color w:val="auto"/>
        </w:rPr>
        <w:t>" means any encumbrance, mortgage, pledge, lien, charge (whether fixed or floating), assignment by way of security, finance lease, sale and repurchase or sale and leaseback arrangement, sale of receivables on a recourse basis or security interest or any other agreement or arrangement having the effect of conferring security (provided that the foregoing shall not include a pledge of deposit accounts to the extent such pledge does not prevent withdrawal from such accounts at the time of the measurement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the occurrence of an event or circumstance specified under "—Events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"Financial Indebtedness" </w:t>
      </w:r>
      <w:r>
        <w:rPr>
          <w:rFonts w:ascii="Arial" w:cs="Arial" w:eastAsia="Arial" w:hAnsi="Arial"/>
          <w:sz w:val="16"/>
          <w:szCs w:val="16"/>
          <w:color w:val="auto"/>
        </w:rPr>
        <w:t>means any indebtedness for or in respect of: (i) moneys borrowed and debit balances at banks or other financial institutions;</w:t>
      </w:r>
    </w:p>
    <w:p>
      <w:pPr>
        <w:spacing w:after="0" w:line="38" w:lineRule="exact"/>
        <w:rPr>
          <w:sz w:val="20"/>
          <w:szCs w:val="20"/>
          <w:color w:val="auto"/>
        </w:rPr>
      </w:pPr>
    </w:p>
    <w:p>
      <w:pPr>
        <w:ind w:firstLine="8"/>
        <w:spacing w:after="0" w:line="286" w:lineRule="auto"/>
        <w:tabs>
          <w:tab w:leader="none" w:pos="2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amount raised by acceptance under any acceptance credit facility or dematerialized equivalent; (iii) any amount raised pursuant to any note purchase facility or the issue of bonds, notes, debentures, loan stock or any similar instrument; (iv) the amount of any liability in respect of any lease or hire purchase contract which would, in accordance with GAAP, be treated as a finance or capital lease; (v) receivables sold or discounted (other than any receivables to the extent they are sold on a non-recourse basis); (vi) any treasury transaction (and, when calculating the value of that treasury transaction, only the marked to market value shall be taken into account and/or, if any actual amount is due as a result of the termination or close out of a treasury transaction, that also shall be taken into account); (vii) any counter-indemnity obligation in respect of a guarantee, indemnity, bond, standby or documentary letter of credit or any other instrument issued by a bank or financial institution; (viii) any amount of liability under an advance or deferred purchase agreement if (a) one of the primary reasons behind entering into the agreement is to raise finance or (b) the agreement is in respect of the supply of assets or services and payment is due more than 180 days after the date of supply; (ix) any amount raised under any other transaction (including any forward sale or purchase agreement) having the commercial effect of a borrowing or otherwise classified as borrowings under GAAP; and (x) the amount of any liability in respect of any guarantee for any of the items referred to in paragraphs (i) to (ix) above.</w:t>
      </w:r>
    </w:p>
    <w:p>
      <w:pPr>
        <w:spacing w:after="0" w:line="17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means the audited consolidated annual financial statements of the Issuer for any financial year, prepared in accordance with GAAP,</w:t>
      </w:r>
      <w:r>
        <w:rPr>
          <w:rFonts w:ascii="Arial" w:cs="Arial" w:eastAsia="Arial" w:hAnsi="Arial"/>
          <w:sz w:val="18"/>
          <w:szCs w:val="18"/>
          <w:i w:val="1"/>
          <w:iCs w:val="1"/>
          <w:color w:val="auto"/>
        </w:rPr>
        <w:t xml:space="preserve"> </w:t>
      </w:r>
      <w:r>
        <w:rPr>
          <w:rFonts w:ascii="Arial" w:cs="Arial" w:eastAsia="Arial" w:hAnsi="Arial"/>
          <w:sz w:val="18"/>
          <w:szCs w:val="18"/>
          <w:color w:val="auto"/>
        </w:rPr>
        <w:t>such accounts to include a profit and loss account, balance sheet and cash flow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"GAAP" </w:t>
      </w:r>
      <w:r>
        <w:rPr>
          <w:rFonts w:ascii="Arial" w:cs="Arial" w:eastAsia="Arial" w:hAnsi="Arial"/>
          <w:sz w:val="16"/>
          <w:szCs w:val="16"/>
          <w:color w:val="auto"/>
        </w:rPr>
        <w:t>means International Financial Reporting Standards as issued by the International Accounting Standards Board as in effect from time to time.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"General Partner" </w:t>
      </w:r>
      <w:r>
        <w:rPr>
          <w:rFonts w:ascii="Arial" w:cs="Arial" w:eastAsia="Arial" w:hAnsi="Arial"/>
          <w:sz w:val="18"/>
          <w:szCs w:val="18"/>
          <w:color w:val="auto"/>
        </w:rPr>
        <w:t>means the general partner of the MLP.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"Group" </w:t>
      </w:r>
      <w:r>
        <w:rPr>
          <w:rFonts w:ascii="Arial" w:cs="Arial" w:eastAsia="Arial" w:hAnsi="Arial"/>
          <w:sz w:val="18"/>
          <w:szCs w:val="18"/>
          <w:color w:val="auto"/>
        </w:rPr>
        <w:t>means the Issuer and its Subsidiaries, and a</w:t>
      </w:r>
      <w:r>
        <w:rPr>
          <w:rFonts w:ascii="Arial" w:cs="Arial" w:eastAsia="Arial" w:hAnsi="Arial"/>
          <w:sz w:val="18"/>
          <w:szCs w:val="18"/>
          <w:i w:val="1"/>
          <w:iCs w:val="1"/>
          <w:color w:val="auto"/>
        </w:rPr>
        <w:t xml:space="preserve"> "Group Company" </w:t>
      </w:r>
      <w:r>
        <w:rPr>
          <w:rFonts w:ascii="Arial" w:cs="Arial" w:eastAsia="Arial" w:hAnsi="Arial"/>
          <w:sz w:val="18"/>
          <w:szCs w:val="18"/>
          <w:color w:val="auto"/>
        </w:rPr>
        <w:t>means the Issuer or any of its Subsidiaries (as applicable).</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means, in respect to any specified Financial Indebtedness, all continuing regular or periodic costs, charges and expenses incurred in effecting,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or maintaining such Financial Indebtedness including (a) gross interest, commitment fees, discount and acceptance fees and guarantee, fronting and ancillary fees payable or incurred on any form of Financial Indebtedness and (b) arrangement fees or other upfront fees.</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"Interest Payable" </w:t>
      </w:r>
      <w:r>
        <w:rPr>
          <w:rFonts w:ascii="Arial" w:cs="Arial" w:eastAsia="Arial" w:hAnsi="Arial"/>
          <w:sz w:val="16"/>
          <w:szCs w:val="16"/>
          <w:color w:val="auto"/>
        </w:rPr>
        <w:t>means, in respect of any period, the aggregate (calculated on a consolidated basis) of: (a) the amounts charged and posted (or estimated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charged and posted) as a current accrual accrued during such period in respect of members of the Group by way of Interest on all Financial Indebtedness, but excluding any amount accruing as interest in-kind (and not as cash pay) to the extent capitalized as principal during such period and (b) net payments in relation to interest rate or currency hedging arrangements in respect of Financial Indebtedness (after deducting net income in relation to such interest rate or currency hedging arrangements), as shown in the then most recent Financial Statement or Interim Account relevant to such period.</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means, in respect of any period, the amount of interest accrued on cash balances of the Group (including the amount of interest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Accounts, to the extent that the account holder is entitled to receive such interest) during such period, as shown in the then most recent Financial Statement or Interim Account relevant to such period.</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i w:val="1"/>
          <w:iCs w:val="1"/>
          <w:color w:val="auto"/>
        </w:rPr>
        <w:t xml:space="preserve">"Interim Accounts" </w:t>
      </w:r>
      <w:r>
        <w:rPr>
          <w:rFonts w:ascii="Arial" w:cs="Arial" w:eastAsia="Arial" w:hAnsi="Arial"/>
          <w:sz w:val="18"/>
          <w:szCs w:val="18"/>
          <w:color w:val="auto"/>
        </w:rPr>
        <w:t>means the unaudited consolidated quarterly financial statements of the Issuer for any quarter ending on a Quarter Date, drawn up</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"Market Adjusted Net Worth" </w:t>
      </w:r>
      <w:r>
        <w:rPr>
          <w:rFonts w:ascii="Arial" w:cs="Arial" w:eastAsia="Arial" w:hAnsi="Arial"/>
          <w:sz w:val="18"/>
          <w:szCs w:val="18"/>
          <w:color w:val="auto"/>
        </w:rPr>
        <w:t>means Total Market Adjusted Assets less Total Indebtedness.</w:t>
      </w:r>
    </w:p>
    <w:p>
      <w:pPr>
        <w:spacing w:after="0" w:line="225"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means a material adverse effect on: (a) the business, financial condition or operations of the Group taken as a whole, (b)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ability to perform and comply with its obligations under the Indenture or the Notes; or (c) the validity or enforceability of the Indenture or the Notes.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"Material Group Company" </w:t>
      </w:r>
      <w:r>
        <w:rPr>
          <w:rFonts w:ascii="Arial" w:cs="Arial" w:eastAsia="Arial" w:hAnsi="Arial"/>
          <w:sz w:val="18"/>
          <w:szCs w:val="18"/>
          <w:color w:val="auto"/>
        </w:rPr>
        <w:t>means any Group Company whose total EBITDA represent at least 10% of the total consolidated EBITDA of the Group, always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the Issuer shall, if required, appoint Group Companies as "Material Group Companies" to procure that the Group Companies not being Material Group Companies shall in aggregate not exceed 20% of the consolidated EBITDA of the Group.</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"MLP" </w:t>
      </w:r>
      <w:r>
        <w:rPr>
          <w:rFonts w:ascii="Arial" w:cs="Arial" w:eastAsia="Arial" w:hAnsi="Arial"/>
          <w:sz w:val="16"/>
          <w:szCs w:val="16"/>
          <w:color w:val="auto"/>
        </w:rPr>
        <w:t>means GasLog Partners L.P. (or another MLP established and controlled by the Issuer), a master limited partnership whose limited partnership units</w:t>
      </w:r>
      <w:r>
        <w:rPr>
          <w:rFonts w:ascii="Arial" w:cs="Arial" w:eastAsia="Arial" w:hAnsi="Arial"/>
          <w:sz w:val="16"/>
          <w:szCs w:val="16"/>
          <w:i w:val="1"/>
          <w:iCs w:val="1"/>
          <w:color w:val="auto"/>
        </w:rPr>
        <w:t xml:space="preserve"> </w:t>
      </w:r>
      <w:r>
        <w:rPr>
          <w:rFonts w:ascii="Arial" w:cs="Arial" w:eastAsia="Arial" w:hAnsi="Arial"/>
          <w:sz w:val="16"/>
          <w:szCs w:val="16"/>
          <w:color w:val="auto"/>
        </w:rPr>
        <w:t>are traded on a regulated market place or a securities exchange established by a sponsor and which is managed and controlled by a General Partner with a number of limited partners (with customary limited voting rights in the MLP) as investors into which the profit is paid to the partners based on "available cash" with an aim of maximizing the MLP's distributions, but so that the actual distributions are based on the General Partner's discretion.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"Quarter Date" </w:t>
      </w:r>
      <w:r>
        <w:rPr>
          <w:rFonts w:ascii="Arial" w:cs="Arial" w:eastAsia="Arial" w:hAnsi="Arial"/>
          <w:sz w:val="18"/>
          <w:szCs w:val="18"/>
          <w:color w:val="auto"/>
        </w:rPr>
        <w:t>means each of March 31, June 30, September 30 and December 31.</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"Restricted Payment" </w:t>
      </w:r>
      <w:r>
        <w:rPr>
          <w:rFonts w:ascii="Arial" w:cs="Arial" w:eastAsia="Arial" w:hAnsi="Arial"/>
          <w:sz w:val="18"/>
          <w:szCs w:val="18"/>
          <w:color w:val="auto"/>
        </w:rPr>
        <w:t>means any dividend or other distribution (whether in cash, securities or other property) with respect to any units or shares of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stock of or other ownership interests in the Issuer or any Subsidiary (as the case may be), or any payment (whether in cash, securities or other property), including any sinking fund or similar deposit, on account of the purchase,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redemption, retirement, acquisition, cancellation or termination of any such shares of capital stock of or other ownership interests in the Issuer or any Subsidiary or any option, warrant or other right to acquire any such shares of capital stock of or other ownership interests in the Issuer or any Subsidiary other than any such payments that may be made by and between or among one or more of the Group Companies.</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an entity over which another entity or person has a determining influence due to (i) direct and indirect ownership of shares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interests, (ii) control of the general partner of any such other entity that is a limited partnership and/or (iii) agreement, understanding or other arrangement. An entity shall always be considered to be the subsidiary of another entity or person if such entity or person has such number of shares or ownership interests so as to represent the majority of the votes in the entity, or has the right to elect or dismiss a majority of the directors in the entity.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"Total Capitalization" </w:t>
      </w:r>
      <w:r>
        <w:rPr>
          <w:rFonts w:ascii="Arial" w:cs="Arial" w:eastAsia="Arial" w:hAnsi="Arial"/>
          <w:sz w:val="18"/>
          <w:szCs w:val="18"/>
          <w:color w:val="auto"/>
        </w:rPr>
        <w:t>means the sum of Total Indebtedness and Total Equity of the Group.</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"Total Equity" </w:t>
      </w:r>
      <w:r>
        <w:rPr>
          <w:rFonts w:ascii="Arial" w:cs="Arial" w:eastAsia="Arial" w:hAnsi="Arial"/>
          <w:sz w:val="18"/>
          <w:szCs w:val="18"/>
          <w:color w:val="auto"/>
        </w:rPr>
        <w:t>means the Total Equity of the Group on a consolidated basis as determined in accordance with GAAP as shown in the then recent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or Interim Accounts.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"Total Indebtedness" </w:t>
      </w:r>
      <w:r>
        <w:rPr>
          <w:rFonts w:ascii="Arial" w:cs="Arial" w:eastAsia="Arial" w:hAnsi="Arial"/>
          <w:sz w:val="18"/>
          <w:szCs w:val="18"/>
          <w:color w:val="auto"/>
        </w:rPr>
        <w:t>means the aggregate Financial Indebtedness (on a consolidated basis) of the Group as demonstrated by the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Accounts.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"Total Market Adjusted Assets" </w:t>
      </w:r>
      <w:r>
        <w:rPr>
          <w:rFonts w:ascii="Arial" w:cs="Arial" w:eastAsia="Arial" w:hAnsi="Arial"/>
          <w:sz w:val="18"/>
          <w:szCs w:val="18"/>
          <w:color w:val="auto"/>
        </w:rPr>
        <w:t>means the Total Assets adjusted upwards or downwards, as the case may be, to reflect any difference between the book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delivered vessels owned wholly or in part by the Group and mean valuations of such vessels provided to the Trustee in each compliance certificate conducted by two independent valuers.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"Wholly Owned Group Company" </w:t>
      </w:r>
      <w:r>
        <w:rPr>
          <w:rFonts w:ascii="Arial" w:cs="Arial" w:eastAsia="Arial" w:hAnsi="Arial"/>
          <w:sz w:val="18"/>
          <w:szCs w:val="18"/>
          <w:color w:val="auto"/>
        </w:rPr>
        <w:t>of any Person means a Group Company of such Person, all of the capital stock of which is owned by the Issuer or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Group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Permits Holders to Require the Issuer to Purchase Notes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If a Change of Control (as defined below) occurs at any time, you will have the right, at your option, to require the Issuer to purchase for cash any or all of your Notes, or any portion of the principal amount thereof, that is equal to $1,000 or multiple of $1,000. The price the Issuer is required to pay (or the </w:t>
      </w:r>
      <w:r>
        <w:rPr>
          <w:rFonts w:ascii="Arial" w:cs="Arial" w:eastAsia="Arial" w:hAnsi="Arial"/>
          <w:sz w:val="16"/>
          <w:szCs w:val="16"/>
          <w:i w:val="1"/>
          <w:iCs w:val="1"/>
          <w:color w:val="auto"/>
        </w:rPr>
        <w:t>Change of</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Purchase Price</w:t>
      </w:r>
      <w:r>
        <w:rPr>
          <w:rFonts w:ascii="Arial" w:cs="Arial" w:eastAsia="Arial" w:hAnsi="Arial"/>
          <w:sz w:val="16"/>
          <w:szCs w:val="16"/>
          <w:color w:val="auto"/>
        </w:rPr>
        <w:t>) is equal to 101% of the principal amount of the Notes to be purchased plus accrued and unpaid interest to but excluding the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Purchase Date (unless the Change of Control Purchase Date is after a record date and on or prior to the interest payment date to which such record date relates, in which case the Issuer will instead pay the full amount of accrued and unpaid interest to the holder of record on such record date and the Change of Control Purchase Price will be equal to 101% of the principal amount of the Notes to be purchased). The "Change of Control Purchase Date" will be a date specified by us that is not less than 20 or more than 35 calendar days following the date of our Change of Control notice as described below. Any Notes purchased by the Issuer will be paid for in cash. A "Change of Control" will be deemed to have occurred at the time after the Notes are originally issued if:</w:t>
      </w:r>
    </w:p>
    <w:p>
      <w:pPr>
        <w:spacing w:after="0" w:line="186" w:lineRule="exact"/>
        <w:rPr>
          <w:sz w:val="20"/>
          <w:szCs w:val="20"/>
          <w:color w:val="auto"/>
        </w:rPr>
      </w:pPr>
    </w:p>
    <w:p>
      <w:pPr>
        <w:ind w:left="1080" w:right="80" w:hanging="532"/>
        <w:spacing w:after="0" w:line="25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one or more Permitted Holders,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 of the total voting power of the Voting Stock (as defined below) of the Issuer;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90"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merger or consolidation of the Issuer with or into another Person or the merger of another Person with or into the Issuer, or the sale of all or substantially all the assets of the Issuer (determined on a consolidated basis) to another Person other than (i) a transaction in which the survivor or transferee is a Person that is controlled by the Permitted Holders or (ii) a transaction following which, in the case of a merger or consolidation transaction, holders of securities that represented 100% of the Voting Stock of the Issuer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172" w:lineRule="exact"/>
        <w:rPr>
          <w:sz w:val="20"/>
          <w:szCs w:val="20"/>
          <w:color w:val="auto"/>
        </w:rPr>
      </w:pPr>
    </w:p>
    <w:p>
      <w:pPr>
        <w:jc w:val="both"/>
        <w:ind w:right="340" w:firstLine="341"/>
        <w:spacing w:after="0" w:line="306" w:lineRule="auto"/>
        <w:rPr>
          <w:sz w:val="20"/>
          <w:szCs w:val="20"/>
          <w:color w:val="auto"/>
        </w:rPr>
      </w:pPr>
      <w:r>
        <w:rPr>
          <w:rFonts w:ascii="Arial" w:cs="Arial" w:eastAsia="Arial" w:hAnsi="Arial"/>
          <w:sz w:val="16"/>
          <w:szCs w:val="16"/>
          <w:color w:val="auto"/>
        </w:rPr>
        <w:t>As used above, "voting stock"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6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"Permitted Holders" means collectively the Livanos family and the Radziwill family, including trusts and other entities formed for the benefit of these families.</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or before the 30th day after the occurrence of a Change of Control, we will provide to all holders of the Notes and the Trustee and paying agent a notice of the occurrence of the Change of Control and of the resulting purchase right. Such notice shall state, among other things:</w:t>
      </w:r>
    </w:p>
    <w:p>
      <w:pPr>
        <w:spacing w:after="0" w:line="16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events causing a Change of Control;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of the Change of Control;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Change of Control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Change of Control Purchase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and address of the paying agent;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Issuer to purchase their Notes.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Simultaneously with providing such notice, we will publish a notice containing this information in a newspaper of general circulation in The City of New York or publish the information on our website or through such other public medium as we may select.</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To exercise the Change of Control purchase right, you must deliver, on or before the third business day (or as otherwise provided in the notice described above) immediately preceding the Change of Control Purchase Date, the Notes to be purchased, duly endorsed for transfer, together with a written purchase notice and the form entitled "Form of Change of Control Purchase Notice" on the reverse side of the Notes duly completed, to the paying agent. Your purchase notice must state:</w:t>
      </w:r>
    </w:p>
    <w:p>
      <w:pPr>
        <w:spacing w:after="0" w:line="211" w:lineRule="exact"/>
        <w:rPr>
          <w:sz w:val="20"/>
          <w:szCs w:val="20"/>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certificated, the certificate numbers of your Notes to be delivered for purchase or if not certificated, your notice must comply with appropriate DTC procedures;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purchased, which must be $1,000 or a multiple thereof;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 Notes are to be purchased by the Issuer pursuant to the applicable provisions of the Notes and the Indenture.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may withdraw any purchase notice (in whole or in part) by a written notice of withdrawal delivered to the paying agent prior to the close of business on the business day immediately preceding the Change of Control Purchase Date. The notice of withdrawal shall state:</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principal amount of the withdrawn Notes;</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numbers of the withdrawn Notes, or if not certificated, your notice must comply with appropriate DTC procedures;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principal amount, if any, which remains subject to the purchase notice.</w:t>
      </w:r>
    </w:p>
    <w:p>
      <w:pPr>
        <w:spacing w:after="0" w:line="225"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Issuer will be required to purchase the Notes on the Change of Control Purchase Date. You will receive payment of the Change of Control Purchase Price on the later of the Change of Control Purchase Date or the time of book-entry transfer or the delivery of the Notes. If the paying agent holds money or securities sufficient to pay the Change of Control Purchase Price of the Notes on the Change of Control Purchase Date, then:</w:t>
      </w:r>
    </w:p>
    <w:p>
      <w:pPr>
        <w:spacing w:after="0" w:line="174" w:lineRule="exact"/>
        <w:rPr>
          <w:sz w:val="20"/>
          <w:szCs w:val="20"/>
          <w:color w:val="auto"/>
        </w:rPr>
      </w:pPr>
    </w:p>
    <w:p>
      <w:pPr>
        <w:ind w:left="1080" w:right="5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Notes will cease to be outstanding and interest, including any additional interest, if any, will cease to accrue (whether or not book-entry transfer of the Notes is made or whether or not the Notes are delivered to the paying agent);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rights of the holder will terminate (other than the right to receive the Change of Control Purchase Price).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connection with any purchase offer pursuant to a Change of Control purchase notice, the Issuer will, if required, comply with the provisions of the tender offer rules under the Exchange Act that may then be applicable to them.</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No Notes may be purchased at the option of holders thereof upon a Change of Control if the principal amount of the Notes has been accelerated, and such acceleration has not been rescinded, on or prior to the Change of Control Purchase Date.</w:t>
      </w:r>
    </w:p>
    <w:p>
      <w:pPr>
        <w:spacing w:after="0" w:line="186"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Change of Control purchase rights of the holders could discourage a potential acquirer of us. The Change of Control purchase feature, however, is not the result of management's knowledge of any specific effort to obtain control of us by any means or part of a plan by management to adopt a series of anti-takeover provisions.</w:t>
      </w:r>
    </w:p>
    <w:p>
      <w:pPr>
        <w:spacing w:after="0" w:line="194"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term Change of Control is limited to specified transactions and may not include other events that might adversely affect our financial condition. In addition, the requirement that the Issuer offers to purchase the Notes upon a Change of Control may not protect holders in the event of a highly leveraged transaction, reorganization, merger or similar transaction involving us.</w:t>
      </w:r>
    </w:p>
    <w:p>
      <w:pPr>
        <w:spacing w:after="0" w:line="194" w:lineRule="exact"/>
        <w:rPr>
          <w:sz w:val="20"/>
          <w:szCs w:val="20"/>
          <w:color w:val="auto"/>
        </w:rPr>
      </w:pPr>
    </w:p>
    <w:p>
      <w:pPr>
        <w:ind w:right="320" w:firstLine="348"/>
        <w:spacing w:after="0" w:line="335" w:lineRule="auto"/>
        <w:rPr>
          <w:sz w:val="20"/>
          <w:szCs w:val="20"/>
          <w:color w:val="auto"/>
        </w:rPr>
      </w:pPr>
      <w:r>
        <w:rPr>
          <w:rFonts w:ascii="Arial" w:cs="Arial" w:eastAsia="Arial" w:hAnsi="Arial"/>
          <w:sz w:val="15"/>
          <w:szCs w:val="15"/>
          <w:color w:val="auto"/>
        </w:rPr>
        <w:t>The definition of Change of Control includes a phrase relating to the conveyance, transfer, sale, lease or disposition of "all or substantially all" of our consolidated assets. There is no precise, established definition of the phrase "substantially all" under applicable law. Accordingly, the ability of a holder of the Notes to require us to purchase its Notes as a result of the conveyance, transfer, sale, lease or other disposition of less than all of our assets may be uncertain.</w:t>
      </w:r>
    </w:p>
    <w:p>
      <w:pPr>
        <w:spacing w:after="0" w:line="14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 Change of Control were to occur, the Issuer may not have enough funds to pay the Change of Control Purchase Price. The Issuer's ability to repurchase the Notes for cash may be limited by restrictions on its ability to obtain funds for such repurchase through dividends from its subsidiaries, the terms of its then-existing borrowing arrangements or otherwise. Please read "Risk Factors—We may not have the ability to raise the funds necessary to purchase the Notes as required upon a change of control, and our existing and future debt may contain limitations on our ability to purchase the Notes." If the Issuer fails to purchase the Notes when required following a Change of Control, the Issuer will be in Default under the Indenture. In addition, we have, and we may in the future incur, other indebtedness with similar change in control provisions permitting our holders to accelerate or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require us to purchase their indebtedness upon the occurrence of similar events or on some specific dates.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Issuer may not consolidate with or merge with or into, any other person or sell, assign, convey, transfer, lease its properties and assets as an entirety or substantially as an entirety to any person, unless:</w:t>
      </w:r>
    </w:p>
    <w:p>
      <w:pPr>
        <w:spacing w:after="0" w:line="199" w:lineRule="exact"/>
        <w:rPr>
          <w:sz w:val="20"/>
          <w:szCs w:val="20"/>
          <w:color w:val="auto"/>
        </w:rPr>
      </w:pPr>
    </w:p>
    <w:p>
      <w:pPr>
        <w:ind w:left="1080" w:right="20" w:hanging="532"/>
        <w:spacing w:after="0" w:line="29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successor person (if any) is a corporation, partnership, trust or other entity organized and validly existing under the laws of the Commonwealth of Bermuda, the United States of America, any State of the United States or the District of Columbia, the Commonwealth of the Bahamas, the Republic of Liberia, the Republic of Panama, the Republic of the Marshall Islands, the British Virgin Islands, the Cayman Islands, the Isle of Man, Cyprus, Norway, Greece, Hong Kong, the United Kingdom, Malta, any Member State of the European Union and any other jurisdiction generally acceptable, as determined in good faith by the board of directors of the Issuer, to institutional lenders in the shipping industry, and expressly assumes by supplemental indenture all of the obligations of the Issuer under the Notes and the Indenture;</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shall have occurred and be continuing;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conditions specified in the Indenture are met.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Upon any consolidation, merger, sale, assignment, conveyance, transfer or lease of the properties and assets of the Issuer in accordance with the foregoing provisions, the successor person formed by such consolidation or into which the Issuer is merged or to which such sale, assignment, conveyance, transfer or lease is made shall succeed to, and be substituted for, and may exercise every right and power of, the Issuer under the Indenture; and thereafter, except in the case of a lease, the Issuer shall be released from all obligations and covenants under this Indenture and the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subject to the following events of default:</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pay any principal of or any premium when due, continued for three (3) calendar days;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pay any interest when due, continued for thirty (30) calendar days;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or comply with the provisions of the Indenture relating to mergers and similar events;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failure to provide notice of a Change of Control or to repurchase Notes tendered for repurchase following the occurrence of a Change of Control in conformity with the covenant set forth under the caption "—Change of Control Permits Holders to Require the Issuer to Purchase Notes";</w:t>
      </w:r>
    </w:p>
    <w:p>
      <w:pPr>
        <w:spacing w:after="0" w:line="166"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any of the other covenants in the Indenture, continued for 60 days after written notice has been given by the Trustee, or the holders of at least 25% in principal amount of the outstanding Notes, as provided in the Indenture;</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for borrowed money of the Group or any Group Member having an aggregate principal amount of $50,000,000 or more in the aggregate for all such debt of all such persons (i) is subject to an event of default that results in such debt being immediately due and payable prior to its scheduled maturity or (ii) is subject to a failure to make a principal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 when due and such defaulted payment is not made, waived or extended within the applicable grace period;</w:t>
      </w:r>
    </w:p>
    <w:p>
      <w:pPr>
        <w:spacing w:after="0" w:line="239" w:lineRule="exact"/>
        <w:rPr>
          <w:sz w:val="20"/>
          <w:szCs w:val="20"/>
          <w:color w:val="auto"/>
        </w:rPr>
      </w:pPr>
    </w:p>
    <w:p>
      <w:pPr>
        <w:ind w:left="1080" w:right="2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final non-appealable judgment or decree for the payment of money in excess of $50,000,000 is entered against any Group Company and remains outstanding for a period of 90 consecutive days following entry of such final non-appealable judgment or decree and is not discharged, waived or stayed;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the Issuer or any Material Group Company.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 Event of Default, other than an Event of Default described in clause (7) above, occurs and is continuing, either the Trustee or the holders of at least 25% in aggregate principal amount of the outstanding Notes may declare the principal amount of the Notes to be due and payable immediately. If an Event of Default described in clause (8) above occurs, the principal amount of the Notes and accrued and unpaid interest, if any, will automatically become immediately due and payable.</w:t>
      </w:r>
    </w:p>
    <w:p>
      <w:pPr>
        <w:spacing w:after="0" w:line="197"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After any such acceleration, but before a judgment or decree based on acceleration, the holders of a majority in aggregate principal amount of the Notes may, under certain circumstances, rescind and annul such acceleration if all Events of Default, other than the non-payment of accelerated principal and any premium, interest or Additional Amounts which have become due as a result of such acceleration, have been cured or waived.</w:t>
      </w:r>
    </w:p>
    <w:p>
      <w:pPr>
        <w:spacing w:after="0" w:line="16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Notwithstanding the foregoing, if we so elect, the sole remedy under the Indenture for an Event of Default relating to (i) our failure to file with the Trustee pursuant to Section 314(a)(1) of the Trust Indenture Act any documents or reports that we are required to file with the SEC pursuant to Section 13 or 15(d) of the Exchange Act, or (ii) the failure to comply with our reporting obligations to the Trustee and the SEC, as described under "—Reports" below will, after the occurrence of such an Event of Default, consist exclusively of the right to receive additional interest on the Notes at an annual rate equal to (a) 0.25% per annum of the outstanding principal amount of the Notes for each day during the 90-day period beginning on, and including, the date on which such Event of Default first occurs and on which such Event of Default is continuing; and (b) 0.50% per annum of the outstanding principal amount of the Notes for each day during the 90-day period beginning on, and including, the 91st day following, and including the date on which such Event of Default first occurs and on which such Event of Default is continuing. In the event we do not elect to pay the additional interest upon an Event of Default in accordance with this paragraph, the Notes will be subject to acceleration as provided above. This additional interest will be payable in arrears on the same dates and in the same manner as regular interest on the Notes. On the 181st day after such Event of Default first occurs (if not waived or cured prior to such 181st day), such additional interest will cease to accrue and the Notes will be subject to acceleration as provided above. The provisions of the Indenture described in this paragraph will not affect the rights of holders of Notes in the event of the occurrence of any other Events of Default.</w:t>
      </w:r>
    </w:p>
    <w:p>
      <w:pPr>
        <w:spacing w:after="0" w:line="17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order to elect to pay additional interest as the sole remedy during the first 180 days after the occurrence of an Event of Default relating to the failure to comply with the reporting obligations in accordance with the immediately preceding paragraph, we must notify all holders of record of Notes and the Trustee and paying agent of such election on or before the close of business on the fifth business day prior to the date on which such Event of Default would otherwise occur. Upon our failure to timely give such notice or pay additional interest, the Notes will be immediately subject to acceleration as provided above.</w:t>
      </w:r>
    </w:p>
    <w:p>
      <w:pPr>
        <w:spacing w:after="0" w:line="167"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Trustee will not be obligated to exercise any of its rights or powers at the request of the holders unless the holders have offered to the Trustee indemnity or security satisfactory to it against any loss, liability or expense. Subject to the Indenture, applicable law and upon providing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indemnification satisfactory to the Trustee, the holders of a majority in aggregate principal amount of the outstanding Notes will have the right to direct the time, method and place of conducting any proceeding for any remedy available to the Trustee or exercising any trust or power conferred on the Trustee with respect to the Notes. The Indenture provides that in the event an Event of Default has occurred and is continuing, the Trustee will be required in the exercise of its powers to use the degree of care that a prudent person would use in the conduct of such person's own affairs. The Trustee, however, may refuse to follow any direction that conflicts with law or the Indenture or that the Trustee determines is unduly prejudicial to the rights of any other holder.</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No holder will have any right to institute any proceeding, judicial or otherwise, with respect to or under the Indenture, or for the appointment of a receiver or a Trustee, or for any other remedy under the Indenture unless:</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has previously given the Trustee written notice of a continuing Event of Default;</w:t>
      </w:r>
    </w:p>
    <w:p>
      <w:pPr>
        <w:spacing w:after="0" w:line="252"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Notes then outstanding have made a written request and have offered indemnity satisfactory to the Trustee against the costs, expenses and liabilities to be incurred in compliance with such request to institute such proceeding as Trustee; and</w:t>
      </w:r>
    </w:p>
    <w:p>
      <w:pPr>
        <w:spacing w:after="0" w:line="207"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within 60 days after such notice, request and offer and has not received from the holders of a majority in aggregate principal amount of the Notes then outstanding a direction inconsistent with such request within 60 days after such notice, request and offer.</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However, the above limitations do not apply to a suit instituted by a holder for the enforcement of payment of the principal of or interest on any Note on or after the applicable due date in accordance with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Generally, the holders of not less than a majority of the aggregate principal amount of outstanding Notes may waive any Default or Event of Default unless:</w:t>
      </w:r>
    </w:p>
    <w:p>
      <w:pPr>
        <w:spacing w:after="0" w:line="26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Issuer fails to pay the principal of or any interest on any Note when due; or</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Issuer fails to comply with any of the provisions of the Indenture that would require the consent of the holder of each outstanding Note affected.</w:t>
      </w:r>
    </w:p>
    <w:p>
      <w:pPr>
        <w:spacing w:after="0" w:line="186"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Indenture provides that within 90 days after the Trustee receives written notice of a Default, the Trustee shall transmit by mail to all holders, notice of such Default hereunder, unless such Default shall have been cured or waived. Except in the case of a Default in the payment of principal of or interest on any note, the Trustee may withhold notice if and so long as the Trustee in good faith determines that withholding notice is in the best interest of the holders.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shall have the right to receive payment or delivery, as the case may be, of:</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principal (including the Change of Control Purchase Price, if applicable) 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accrued and unpaid interest, if any, 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applicable premium, if any, 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Amounts, if any, 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its Notes, on or after the respective due dates expressed or provided for in the Indenture, or to institute suit for the enforcement of any such payment or delivery, as the case may be, and such right to receive such payment or delivery, as the case may be, on or after such respective dates shall not be impaired or affected without the consent of such holder.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Issuer and the Trustee may amend or supplement the Indenture with respect to the Notes with the consent (including consents obtained in connection with any tender offer or exchange offer) of the holders of a majority in aggregate principal amount of the outstanding Notes. In addition, the holders of a majority in aggregate principal amount of the outstanding Notes may waive the Issuer's compliance in any instance with any provision of the Indenture without notice to the other holders of Notes. However, no amendment, supplement or waiver may be made without the consent of each holder of outstanding Notes affected thereby if such amendment, supplement or waiver would:</w:t>
      </w:r>
    </w:p>
    <w:p>
      <w:pPr>
        <w:spacing w:after="0" w:line="210"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interest on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of or interest on the Notes;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premium payable upon the redemption of any Note or change the time at which any note may be redeemed as described under "— Optional Redemption" above;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currency of payment of principal of or interest on the Notes or change any Note's place of payment;</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premium, if any, and interest on such holder's Notes on or after the due dates therefor or to institute suit for the enforcement of any payment on, or with respect to, the Notes;</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modify the provisions with respect to the purchase rights of the holders as described above under "—Change of Control Permits Holders to Require the Issuer to Purchase Notes" in a manner adverse to holders of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Issuer's obligation to pay Additional Amounts on any Note;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modify provisions with respect to modification, amendment or waiver (including waiver of Events of Default), except to increase the percentage required for modification, amendment or waiver or to provide for consent of each affected holder of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 and the Trustee may amend or supplement the Indenture or the Notes without notice to, or the consent of, the holders of the Notes to:</w:t>
      </w:r>
    </w:p>
    <w:p>
      <w:pPr>
        <w:spacing w:after="0" w:line="26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cure any ambiguity, omission, defect or inconsistency that does not adversely affect the rights of any holder of the Notes in any material respect;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assumption by a successor of the Issuer's obligations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or surrender any right or power conferred upon the Issuer;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requirements of the Trust Indenture Act and rules promulgated under the Trust Indenture 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After an amendment under the Indenture becomes effective, we are required to mail to the holders a notice briefly describing such amendment. However, the failure to give such notice to all the holders, or any defect in the notice, will not impair or affect the validity of the amendment.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Issuer may satisfy and discharge its obligations under the Indenture by delivering to the registrar for cancellation all outstanding Notes or irrevocably depositing with the Trustee or delivering to the holders, as applicable, after all outstanding Notes have become due and payable, or will become due and payable at their stated maturity within one year, or have been called for redemption or are to be called for redemption within one year, cash sufficient to pay and discharge the entire indebtedness on all of the outstanding Notes and all other sums payable under the Indenture by the Issuer. Such discharge is subject to terms contained in the Indenture.</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the Issuer satisfies and discharges its obligations under the Indenture, the Issuer will be released from its obligations in the provisions described under "— Change of Control Permits Holders to Require the Issuer to Purchase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The Issuer may terminate at any time all its obligations with respect to the Notes and the Indenture, which we refer to as "legal defeasance", except for certain obligations, including those respecting the defeasance trust and obligations to register the transfer or exchange of the Notes, to replace mutilated, destroyed, lost or stolen Notes and to maintain a registrar and paying agent in respect of the Notes. The Issuer may also terminate at any time the Issuer's obligations with respect to the Notes under the covenants described under "—Change of Control Permits Holders to Require the Issuer to Purchase Notes", "— Certain Covenants" and "—Reports", and the operation of certain Events of Default, which we refer to as "covenant defeasance". The Issuer may exercise the legal defeasance option notwithstanding its prior exercise of the covenant defeasance option.</w:t>
      </w:r>
    </w:p>
    <w:p>
      <w:pPr>
        <w:spacing w:after="0" w:line="174"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If the Issuer exercises its legal defeasance option with respect to the Notes, payment of the Notes may not be accelerated because of an Event of Default with respect thereto. If the Issuer exercises the covenant defeasance option with respect to the Notes, payment of the Notes may not be accelerated because of an Event of Default specified in clause (4), clause (5) (with respect to the covenants described under "—Certain Covenants" or "—Reports"), clause (6) or clause (7).</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legal defeasance option or the covenant defeasance option with respect to the Notes may be exercised only if:</w:t>
      </w:r>
    </w:p>
    <w:p>
      <w:pPr>
        <w:spacing w:after="0" w:line="239" w:lineRule="exact"/>
        <w:rPr>
          <w:sz w:val="20"/>
          <w:szCs w:val="20"/>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irrevocably deposits in trust with the Trustee cash or U.S. Government obligations or a combination thereof for the payment of principal of, premium, if any, interest, and Additional Amounts, if any, on the Notes to maturity,</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defeasance or covenant defeasance does not constitute a default under the Indenture or any other material agreement or instrument binding the Issuer,</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on the date of such deposit and, with respect to defeasance only, at any time during the period ending on the 123rd day after the date of such deposit (other than, if applicable, an Event of Default with respect to the Notes resulting from the borrowing of funds to be applied to such deposits),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the legal defeasance option, the Issuer delivers to the Trustee an opinion of counsel stating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Issuer has received from the IRS a letter ruling, or there has been published by the IRS a revenue ruling,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U.S. Federal income tax law,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306" w:lineRule="auto"/>
        <w:rPr>
          <w:sz w:val="20"/>
          <w:szCs w:val="20"/>
          <w:color w:val="auto"/>
        </w:rPr>
      </w:pPr>
      <w:r>
        <w:rPr>
          <w:rFonts w:ascii="Arial" w:cs="Arial" w:eastAsia="Arial" w:hAnsi="Arial"/>
          <w:sz w:val="16"/>
          <w:szCs w:val="16"/>
          <w:color w:val="auto"/>
        </w:rPr>
        <w:t>in either case to the effect that, and based thereon such opinion shall confirm that, the holders of the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74" w:lineRule="exact"/>
        <w:rPr>
          <w:sz w:val="20"/>
          <w:szCs w:val="20"/>
          <w:color w:val="auto"/>
        </w:rPr>
      </w:pPr>
    </w:p>
    <w:p>
      <w:pPr>
        <w:ind w:left="108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the covenant defeasance option, the Issuer delivers to the Trustee an opinion of counsel to the effect that the holders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224" w:lineRule="exact"/>
        <w:rPr>
          <w:rFonts w:ascii="Arial" w:cs="Arial" w:eastAsia="Arial" w:hAnsi="Arial"/>
          <w:sz w:val="18"/>
          <w:szCs w:val="18"/>
          <w:color w:val="auto"/>
        </w:rPr>
      </w:pPr>
    </w:p>
    <w:p>
      <w:pPr>
        <w:ind w:left="1080" w:right="160" w:hanging="532"/>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 delivers to the Trustee an opinion of counsel to the effect that, after the 123rd day after the date of deposit, all money and U.S. Government obligations (or other property as may be provided pursuant to the terms of the Indenture) (including the proceeds thereof) deposited or caused to be deposited with the Trustee (or other qualifying trustee) to be held in trust will not be subject to any case or proceeding (whether voluntary or involuntary) in respect of the Issuer under any U.S. Federal or State bankruptcy, insolvency, reorganization or other similar law, or any decree or order for relief in respect of the Issuer issued in connection therewith, and</w:t>
      </w:r>
    </w:p>
    <w:p>
      <w:pPr>
        <w:spacing w:after="0" w:line="18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delivers to the Trustee an Officer's Certificate and an opinion of counsel, each stating that all conditions precedent to the defeasance and discharge of the Notes have been complied with as required by the Indenture.</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If the Issuer defeases its obligations under the Indenture, the Issuer will be released from its obligations in the provisions described under "—Change of Control Permits Holders to Require the Issuer to Purchase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will maintain an office in New York City where the Notes may be presented for registration of transfer or exchange. This office will initially be an office or agency of the Trustee. No service charge will be imposed by us, the Trustee or the registrar for any registration of transfer or exchange of Notes, but any tax or similar governmental charge required by law or permitted by the Indenture because a holder requests any Notes to be issued in a name other than such holder's name will be paid by such holder (each such tax or similar governmental charge, a </w:t>
      </w:r>
      <w:r>
        <w:rPr>
          <w:rFonts w:ascii="Arial" w:cs="Arial" w:eastAsia="Arial" w:hAnsi="Arial"/>
          <w:sz w:val="16"/>
          <w:szCs w:val="16"/>
          <w:i w:val="1"/>
          <w:iCs w:val="1"/>
          <w:color w:val="auto"/>
        </w:rPr>
        <w:t>Transfer Tax</w:t>
      </w:r>
      <w:r>
        <w:rPr>
          <w:rFonts w:ascii="Arial" w:cs="Arial" w:eastAsia="Arial" w:hAnsi="Arial"/>
          <w:sz w:val="16"/>
          <w:szCs w:val="16"/>
          <w:color w:val="auto"/>
        </w:rPr>
        <w:t>). We are not required to transfer or exchange any Note surrendered for purchase except for any portion of that Note not being purchased.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reserve the right to:</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vary or terminate the appointment of the security registrar or paying agent;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 additional paying agents;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security registrar or any paying agent 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Payments in respect of the principal and interest on global notes registered in the name of DTC or its nominee will be payable to DTC or its nominee, as the case may be, in its capacity as the registered holder under the Indenture. In the case of certificated Notes, payments will be made in U.S. dollars at the office of the Trustee or, at our option, by wire transfer or check mailed to the holder's registered address. The Issuer will make any required interest payments to the person in whose name each note is registered at the close of business on the record date for the interest payment.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Trustee will be designated as the Issuer's paying agent for payments on the Notes. We may at any time designate additional paying agents or rescind the designation of any paying agent or approve a change in the office through which any paying agent acts.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shall pay to us upon written request any money held by them for payments on the Notes that remain unclaimed for two years after the date upon which that payment has become due. After payment to us, holders entitled to the money must look to the Issuer for payment. In that case, all liability of the Trustee or paying agent with respect to that money will cease.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registrar and paying agent (if other than the Trustee) will forward to the Trustee any Notes surrendered to them by holders for transfer, exchange or payment. All Notes delivered to the Trustee shall be cancelled promptly by the Trustee in the manner provided in the Indenture and may not be reissued or resold. No Notes shall be authenticated in exchange for any Notes cancelled, except as provided in the Indenture.</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may, to the extent permitted by law, and directly or indirectly (regardless of whether such Notes are surrendered to us), purchase Notes in the open market or by tender offer at any price or by private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So long as any Notes are outstanding, we will (i) file with the SEC within the time periods prescribed by its rules and regulations and applicable to us and</w:t>
      </w:r>
    </w:p>
    <w:p>
      <w:pPr>
        <w:spacing w:after="0" w:line="38" w:lineRule="exact"/>
        <w:rPr>
          <w:sz w:val="20"/>
          <w:szCs w:val="20"/>
          <w:color w:val="auto"/>
        </w:rPr>
      </w:pPr>
    </w:p>
    <w:p>
      <w:pPr>
        <w:ind w:right="160" w:firstLine="8"/>
        <w:spacing w:after="0" w:line="261" w:lineRule="auto"/>
        <w:tabs>
          <w:tab w:leader="none" w:pos="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furnish to the Trustee and the holders of the Notes within 15 days after the date on which we would be required to file the same with the SEC pursuant to its rules and regulations (giving effect to any grace period provided by Rule 12b-25 under the Exchange Act):</w:t>
      </w:r>
    </w:p>
    <w:p>
      <w:pPr>
        <w:spacing w:after="0" w:line="205" w:lineRule="exact"/>
        <w:rPr>
          <w:sz w:val="20"/>
          <w:szCs w:val="20"/>
          <w:color w:val="auto"/>
        </w:rPr>
      </w:pPr>
    </w:p>
    <w:p>
      <w:pPr>
        <w:ind w:left="1080" w:right="7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financial information to the extent required of us to be contained in Forms 20-F and, with respect to the annual consolidated financial statements only, a report thereon by our independent auditors.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shall not be required to file any report or other information with the SEC if the SEC does not permit such filing, although such reports will be required to be furnished to the Trustee. Documents filed by us with the SEC via the EDGAR system will be deemed to have been furnished to the Trustee and the holders of the Notes as of the time such documents are filed via EDGAR; provided, however, that the Trustee shall have no obligation whatsoever to determine whether or not such filing has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Notes</w:t>
      </w:r>
    </w:p>
    <w:p>
      <w:pPr>
        <w:spacing w:after="0" w:line="23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We will replace mutilated, destroyed, stolen or lost Notes at the expense of the holder upon delivery to the Trustee of the mutilated Notes, or evidence of the loss, theft or destruction of the Notes satisfactory to us and the Trustee. In the case of a lost, stolen or destroyed note, indemnity satisfactory to the Trustee and us may be required at the expense of the holder of such note before a replacement note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Except as otherwise described herein, notice to registered holders of the Notes will be given to the addresses as they appear in the security register. Notices will be deemed to have been given on the date of such mailing or electronic delivery. Whenever a notice is required to be given by us, such notice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be given by the Trustee on our behalf (and we will make any notice we are required to give to holders available on our website).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Notes will be governed by and construed in accordance with the laws of the State of New York without regard to conflicts of laws.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 xml:space="preserve">The Trustee, in its individual and any other capacity, may make loans to, accept deposits from, and perform services for the Issuer as if it were not the Trustee; </w:t>
      </w:r>
      <w:r>
        <w:rPr>
          <w:rFonts w:ascii="Arial" w:cs="Arial" w:eastAsia="Arial" w:hAnsi="Arial"/>
          <w:sz w:val="16"/>
          <w:szCs w:val="16"/>
          <w:i w:val="1"/>
          <w:iCs w:val="1"/>
          <w:color w:val="auto"/>
        </w:rPr>
        <w:t>however</w:t>
      </w:r>
      <w:r>
        <w:rPr>
          <w:rFonts w:ascii="Arial" w:cs="Arial" w:eastAsia="Arial" w:hAnsi="Arial"/>
          <w:sz w:val="16"/>
          <w:szCs w:val="16"/>
          <w:color w:val="auto"/>
        </w:rPr>
        <w:t>, if it acquires any conflicting interest, it must eliminate such conflict within 90 days, apply to the SEC for permission to continue or resign.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that in case an Event of Default shall occur and be continuing (which shall not be cured),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the Notes, unless such holder shall have offered to the Trustee security and indemnity satisfactory to it against any loss, liability or expense.</w:t>
      </w:r>
    </w:p>
    <w:p>
      <w:pPr>
        <w:spacing w:after="0" w:line="19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American Stock Transfer &amp; Trust Company, LLC is the Trustee under the Indenture. Initially, the Trustee will also act as the paying agent, registrar and custodian for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 Delivery and Form</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 will issue the Notes in the form of one or more global notes in definitive, fully registered, book-entry form.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global notes will be deposited with or on behalf of DTC and registered in the name of Cede &amp; Co., as nominee of DTC.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DTC, Clearstream and Euroclear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société anonyme,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obtained the information in this section concerning DTC, Clearstream and Euroclear and the book-entry system and procedures from sources that we believe to be reliable, but we take no responsibility for the accuracy of this information.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understand that:</w:t>
      </w:r>
    </w:p>
    <w:p>
      <w:pPr>
        <w:spacing w:after="0" w:line="239" w:lineRule="exact"/>
        <w:rPr>
          <w:sz w:val="20"/>
          <w:szCs w:val="20"/>
          <w:color w:val="auto"/>
        </w:rPr>
      </w:pPr>
    </w:p>
    <w:p>
      <w:pPr>
        <w:ind w:left="1080" w:right="2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560"/>
        <w:spacing w:after="0" w:line="268" w:lineRule="auto"/>
        <w:rPr>
          <w:sz w:val="20"/>
          <w:szCs w:val="20"/>
          <w:color w:val="auto"/>
        </w:rPr>
      </w:pPr>
      <w:r>
        <w:rPr>
          <w:rFonts w:ascii="Arial" w:cs="Arial" w:eastAsia="Arial" w:hAnsi="Arial"/>
          <w:sz w:val="18"/>
          <w:szCs w:val="18"/>
          <w:color w:val="auto"/>
        </w:rPr>
        <w:t>Federal Reserve System, a "clearing corporation" within the meaning of the New York Uniform Commercial Code and a "clearing agency" registered under Section 17A of the Exchange Act.</w:t>
      </w:r>
    </w:p>
    <w:p>
      <w:pPr>
        <w:spacing w:after="0" w:line="199" w:lineRule="exact"/>
        <w:rPr>
          <w:sz w:val="20"/>
          <w:szCs w:val="20"/>
          <w:color w:val="auto"/>
        </w:rPr>
      </w:pPr>
    </w:p>
    <w:p>
      <w:pPr>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 participants include securities brokers and dealers, banks, trust companies, clearing corporations and other organizations.</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DTC is owned by a number of its direct participants and by The New York Stock Exchange, Inc., the American Stock Exchange, LLC and the Financial Industry Regulatory Authority, Inc. (successor to the National Association of Securities Dealers, Inc.).</w:t>
      </w:r>
    </w:p>
    <w:p>
      <w:pPr>
        <w:spacing w:after="0" w:line="152"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understand that Clearstream is incorporated under the laws of Luxembourg as a professional depositary. Clearstream holds securities for its customers and facilitates the clearance and settlement of securities transactions between its customers through electronic book-changes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w:t>
      </w:r>
    </w:p>
    <w:p>
      <w:pPr>
        <w:spacing w:after="0" w:line="172"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understand that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understand that the Euroclear Operator is licensed by the Belgian Banking and Finance Commission to carry out banking activities on a global basis. As a Belgian bank, it is regulated and examined by the Belgian Banking and Finance Commission.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provided the descriptions of the operations and procedures of DTC, Clearstream and Euroclear in this prospectus supplement solely as a matter of convenience, and we make no representation or warranty of any kind with respect to these operations and procedures. These operations and procedures are solely within the control of those organizations and are subject to change by them from time to time. None of the Issuer, the underwriters or the Trustee takes any responsibility for these operations or procedures, and you are urged to contact DTC, Clearstream and Euroclear or their participants directly to discuss these matters.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under procedures established by DTC:</w:t>
      </w:r>
    </w:p>
    <w:p>
      <w:pPr>
        <w:spacing w:after="0" w:line="239" w:lineRule="exact"/>
        <w:rPr>
          <w:sz w:val="20"/>
          <w:szCs w:val="20"/>
          <w:color w:val="auto"/>
        </w:rPr>
      </w:pPr>
    </w:p>
    <w:p>
      <w:pPr>
        <w:ind w:left="1080" w:right="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deposit of the global notes with DTC or its custodian, DTC will credit on its internal system the accounts of direct participants designated by the underwriters with portions of the principal amounts of the global notes;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Neither the Issuer nor the Trustee will have any responsibility or liability for any aspect of the records relating to or payments made on account of Notes by DTC, Clearstream or Euroclear, or for maintaining, supervising or reviewing any records of those organizations relating to the Notes.</w:t>
      </w:r>
    </w:p>
    <w:p>
      <w:pPr>
        <w:spacing w:after="0" w:line="13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solely responsible for those payments.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Distributions on the Notes held beneficially through Clearstream will be credited to cash accounts of its customers in accordance with its rules and procedures, to the extent received by the U.S. depositary for Clearstream.</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herein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9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Distributions on the Notes held beneficially through Euroclear will be credited to the cash accounts of its participants in accordance with the Terms and Conditions, to the extent received by the U.S. depositary for Euroclear.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the U.S. depositary. Such cross-market transactions, however,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U.S. depositaries.</w:t>
      </w:r>
    </w:p>
    <w:p>
      <w:pPr>
        <w:spacing w:after="0" w:line="172"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154"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Issuer will issue certificated Notes to each person that DTC identifies as the beneficial owner of the Notes represented by a global note upon surrender by DTC of the global note if:</w:t>
      </w:r>
    </w:p>
    <w:p>
      <w:pPr>
        <w:spacing w:after="0" w:line="199" w:lineRule="exact"/>
        <w:rPr>
          <w:sz w:val="20"/>
          <w:szCs w:val="20"/>
          <w:color w:val="auto"/>
        </w:rPr>
      </w:pPr>
    </w:p>
    <w:p>
      <w:pPr>
        <w:ind w:left="1080" w:right="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Event of Default under the Indenture has occurred and is continuing, and DTC requests the issuance of certificated Notes;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determine not to have the Notes represented by a global note.</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Neither the Issuer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cannot assure you that we will not be subject to any Bermuda tax after March 31, 2035.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the Additional Notes that may be applicable to you.</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Our Operating Income</w:t>
      </w:r>
    </w:p>
    <w:p>
      <w:pPr>
        <w:spacing w:after="0" w:line="225" w:lineRule="exact"/>
        <w:rPr>
          <w:sz w:val="20"/>
          <w:szCs w:val="20"/>
          <w:color w:val="auto"/>
        </w:rPr>
      </w:pPr>
    </w:p>
    <w:p>
      <w:pPr>
        <w:ind w:right="80" w:firstLine="348"/>
        <w:spacing w:after="0" w:line="284" w:lineRule="auto"/>
        <w:rPr>
          <w:sz w:val="20"/>
          <w:szCs w:val="20"/>
          <w:color w:val="auto"/>
        </w:rPr>
      </w:pPr>
      <w:r>
        <w:rPr>
          <w:rFonts w:ascii="Arial" w:cs="Arial" w:eastAsia="Arial" w:hAnsi="Arial"/>
          <w:sz w:val="16"/>
          <w:szCs w:val="16"/>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Federal income tax in respect of our U.S. source gross transportation income (without the allowance for deductions).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Federal income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Under Section 883 of the Code and the regulations thereunder, we will be exempt from U.S. Federal income tax on our U.S. source gross transportation income if:</w:t>
      </w:r>
    </w:p>
    <w:p>
      <w:pPr>
        <w:spacing w:after="0" w:line="199" w:lineRule="exact"/>
        <w:rPr>
          <w:sz w:val="20"/>
          <w:szCs w:val="20"/>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organized in a foreign country (the "country of organization") that grants an "equivalent exemption" to corporations organized in the United States;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207" w:lineRule="exact"/>
        <w:rPr>
          <w:rFonts w:ascii="Arial" w:cs="Arial" w:eastAsia="Arial" w:hAnsi="Arial"/>
          <w:sz w:val="18"/>
          <w:szCs w:val="18"/>
          <w:color w:val="auto"/>
        </w:rPr>
      </w:pPr>
    </w:p>
    <w:p>
      <w:pPr>
        <w:ind w:left="1620" w:right="200" w:hanging="532"/>
        <w:spacing w:after="0" w:line="332" w:lineRule="auto"/>
        <w:tabs>
          <w:tab w:leader="none" w:pos="16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qualified for the statutory tax exemption for the year of 2018 and intend to continue to qualify for the foreseeable future. However, no assurance can be given that this will be the case. If we are not entitled to this exemption under Section 883 for any taxable year we would be subject to the 4% U.S. Federal income tax (subject to the discussion of "effectively connected income" below).</w:t>
      </w:r>
    </w:p>
    <w:p>
      <w:pPr>
        <w:spacing w:after="0" w:line="194"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To the extent the exemption under Section 883 is unavailable,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gross transportation income would be considered effectively connected with the conduct of a U.S. trade or business only if:</w:t>
      </w:r>
    </w:p>
    <w:p>
      <w:pPr>
        <w:spacing w:after="0" w:line="275" w:lineRule="exact"/>
        <w:rPr>
          <w:sz w:val="20"/>
          <w:szCs w:val="20"/>
          <w:color w:val="auto"/>
        </w:rPr>
      </w:pPr>
    </w:p>
    <w:p>
      <w:pPr>
        <w:ind w:left="1080" w:right="4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income attributable to transportation that both begins and ends in the United States is not subject to the tax 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ind w:right="120" w:firstLine="345"/>
        <w:spacing w:after="0" w:line="298" w:lineRule="auto"/>
        <w:rPr>
          <w:sz w:val="20"/>
          <w:szCs w:val="20"/>
          <w:color w:val="auto"/>
        </w:rPr>
      </w:pPr>
      <w:r>
        <w:rPr>
          <w:rFonts w:ascii="Arial" w:cs="Arial" w:eastAsia="Arial" w:hAnsi="Arial"/>
          <w:sz w:val="16"/>
          <w:szCs w:val="16"/>
          <w:color w:val="auto"/>
        </w:rPr>
        <w:t>You are a "U.S. holder" if you are a beneficial owner of the Additional Notes and you are (i) a U.S. citizen or resident, (ii) a U.S. corporation (or other U.S. entity taxable as a corporation), (iii) an estate the income of which is subject to U.S. Federal income taxation regardless of its source or (iv) a trust if (x) a court within the United States is able to exercise primary jurisdiction over the administration of the trust and one or more U.S. persons have the authority to control all substantial decisions of the trust or (y) the trust has a valid election in effect to be treated as a U.S. person for U.S. Federal income tax purposes.</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a partnership holds the Additional Notes, the tax treatment of a partner will generally depend upon the status of the partner and upon the activities of the partnership. If you are a partner in a partnership holding the Additional Notes, you should consult your own tax advisor.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Qualified Reopening</w:t>
      </w:r>
    </w:p>
    <w:p>
      <w:pPr>
        <w:spacing w:after="0" w:line="225"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We intend to treat the issuance of the Additional Notes as a "qualified reopening" of the Existing Notes. For U.S. Federal income tax purposes, debt instruments issued in a qualified reopening are deemed to be part of the same issue as the original debt instruments. Under the treatment described in this paragraph, all of the Additional Notes issued pursuant to this prospectus supplement will be deemed to have the same issue date and the same issue price as the Existing Notes for U.S. Federal income tax purposes. The remainder of this discussion assumes that the issuance of the Additional Notes offered hereby will be treated as a qualified reopening of the Existing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Pre-issuance accrued interest</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portion of the price paid for the Additional Notes may be attributable to the amount of interest accrued prior to the date such Additional Notes are purchased ("pre-issuance accrued interest"). In such circumstances, we intend to take the position that, on the first interest payment date, a portion of the interest received in an amount equal to the pre-issuance accrued interest will be treated as a nontaxable return of the pre-issuance accrued interest rather than a payment of interest on the Additional Notes. A U.S. holder's tax basis in the Additional Note will not include the portion of the purchase price attributable to the pre-issuance accrued interest.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Amortizable Bond Premium</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a U.S. holder purchases an Additional Note for a price (excluding any amount attributable to pre-issuance accrued interest as described above) in excess of the stated principal amount of such Additional Note, such U.S. holder will be considered to have acquired an Additional Note with bond premium in an amount equal to such excess. Generally, a U.S. holder may elect to amortize bond premium under the constant yield method over the remaining term of the Additional Note. However, because the Additional Notes may be redeemed by us prior to maturity at a premium, special rules apply that may reduce, eliminate or defer the amount of premium that a U.S. holder may amortize with respect to the Additional Notes. If a U.S. holder elects to amortize bond premium, the election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apply to all taxable debt instruments having bond premium that such U.S. holder owns or subsequently acquires on or after the first day of the first taxable year to which the election applies, and the election may not be revoked without the consent of the IRS. Amortizable bond premium will be treated as an offset to interest income of an Additional Note rather than as a separate item of deduction. If a U.S. holder does not elect to amortize bond premium, then that premium will decrease the gain or increase the loss such U.S. holder would otherwise recognize on the disposition of such Additional Note. The rules regarding instruments purchased with amortizable bond premium are complex and, accordingly, you should consult your own tax advisors concerning the application of such rules to the Additional Notes.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on the Additional Notes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Interest (other than pre-issuance accrued interest) on the Additional Notes generally will be taxable to a U.S. holder as ordinary income at the time such interest is received or accrued, in accordance with such U.S. holder's method of tax accounting for U.S. Federal income tax purposes. Interest (other than pre-issuance accrued interest) received or accrued on the Additional Notes generally will be foreign source income and, depending on your circumstances, treated as either "passive" or "general" category income for purposes of computing allowable foreign tax credits for U.S. Federal income tax purposes.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the Additional Notes</w:t>
      </w:r>
    </w:p>
    <w:p>
      <w:pPr>
        <w:spacing w:after="0" w:line="225"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 U.S. holder generally will recognize capital gain or loss upon a sale, exchange or other disposition of the Additional Notes in an amount equal to the difference between the amount realized by the U.S. holder from such sale, exchange or other disposition (including any make-whole amount received upon redemption, but less any amounts attributable to accrued but unpaid interest, which, unless it represents pre-issuance accrued interest, will be taxable as ordinary interest income to the extent not previously included in income) and the U.S. holder's adjusted tax basis in such Additional Notes. A U.S. holder's adjusted tax basis in an Additional Note will generally equal the acquisition cost of such Additional Note (excluding the portion of the purchase price attributable to pre-issuance accrued interest) decreased by amortizable bond premium that such U.S. holder previously elected to amortize against interest income. Such gain or loss will generally be treated as capital gain or loss, and generally will be long-term capital gain or loss if the U.S. holder's holding period is greater than one year at the time of the sale, exchange or other disposition. Such capital gain or loss will generally be treated as U.S. source income or loss, as applicable, for U.S. foreign tax credit purposes. Long-term capital gains of non-corporate U.S. holders are generally eligible for a reduced tax rate. A U.S. holder's ability to deduct capital losses against income is subject to certain limitations.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Unearned Income Medicare Contribution Tax</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interest income and capital gains from the sale, exchange or other disposition of the Additional Notes, subject to certain exceptions. You are encouraged to consult your own tax advisor regarding the applicability of the Medicare tax to your income and gains from your ownership or disposition of the Additional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You are a "non-U.S. holder" if you are a beneficial owner of the Notes (other than a partnership for U.S. tax purposes) and you are not a U.S. holder.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on the Additional Notes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Non-U.S. holders generally will not be subject to U.S. Federal income tax or withholding tax on interest received from us with respect to the Additional Notes, unless that interest is effectively connected with the non-U.S. holder's conduct of a trade or business in the United States. If the non-U.S. holder is entitled to the benefits of an applicable U.S. income tax treaty with respect to such interest, that income is taxable only if it is attributable to a permanent establishment maintained by the non-U.S. holder in the United States.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the Additional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generally will not be subject to U.S. Federal income tax or withholding tax on any gain realized upon the sale, exchange or other disposition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 Notes, unless:</w:t>
      </w:r>
    </w:p>
    <w:p>
      <w:pPr>
        <w:spacing w:after="0" w:line="232" w:lineRule="exact"/>
        <w:rPr>
          <w:sz w:val="20"/>
          <w:szCs w:val="20"/>
          <w:color w:val="auto"/>
        </w:rPr>
      </w:pPr>
    </w:p>
    <w:p>
      <w:pPr>
        <w:ind w:left="1080" w:right="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during the tax year of disposition and certain other conditions are met.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Backup Withholding and Information Reporting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general, if you are a non-corporate U.S. holder, interest payments made within the United States will be subject to information reporting requirements and backup withholding tax if you:</w:t>
      </w:r>
    </w:p>
    <w:p>
      <w:pPr>
        <w:spacing w:after="0" w:line="19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 to provide an accurate taxpayer identification number;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are notified by the IRS that you have failed to report all interest or dividends required to be shown on your U.S. Federal income tax returns;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certain circumstances, fail to comply with applicable certification requirements.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you sell the Additional Notes to or through a U.S. office or broker, the payment of the sales proceeds is subject to both U.S. backup withholding and information reporting unless you certify that you are a non-U.S. person, under penalties of perjury, or you otherwise establish an exemption. If you sell the Additional Notes through a non-U.S. office of a non-U.S. broker and the sales proceeds are paid to you outside the United States, then information reporting and backup withholding generally will not apply to that payment.</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However, U.S. information reporting requirements (but not backup withholding) will apply to a payment of sales proceeds, even if that payment is made outside the United States, if you sell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Notes through a non-U.S. office of a broker that is a U.S. person or has certain other connections with the United States.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Return Disclosure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U.S. individuals who hold certain "specified foreign financial assets" with values in excess of certain dollar thresholds are subject to U.S. return disclosure obligations (and related penalties for failure to disclose). Such U.S. individuals are required to file IRS Form 8938 with their U.S. Federal income tax returns. Notes of a foreign corporation, including the Additional Notes, are a specified foreign asset for this purpose. You are encouraged to consult with your own tax advisors regarding the filing of IRS Form 8938.</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estimate the expenses in connection with the issuance and distribution of the Additional Notes in this offering, other than the underwriting discount, will be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720" w:type="dxa"/>
            <w:vAlign w:val="bottom"/>
          </w:tcPr>
          <w:p>
            <w:pPr>
              <w:spacing w:after="0"/>
              <w:rPr>
                <w:sz w:val="24"/>
                <w:szCs w:val="24"/>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r>
              <w:rPr>
                <w:rFonts w:ascii="Arial" w:cs="Arial" w:eastAsia="Arial" w:hAnsi="Arial"/>
                <w:sz w:val="29"/>
                <w:szCs w:val="29"/>
                <w:color w:val="auto"/>
                <w:vertAlign w:val="superscript"/>
              </w:rPr>
              <w:t>*</w:t>
            </w:r>
          </w:p>
        </w:tc>
        <w:tc>
          <w:tcPr>
            <w:tcW w:w="4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9,090</w:t>
            </w:r>
          </w:p>
        </w:tc>
        <w:tc>
          <w:tcPr>
            <w:tcW w:w="172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Printing</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Accountants' Fees and Expenses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Miscellaneous Costs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10,910</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430,000</w:t>
            </w:r>
          </w:p>
        </w:tc>
        <w:tc>
          <w:tcPr>
            <w:tcW w:w="1720" w:type="dxa"/>
            <w:vAlign w:val="bottom"/>
          </w:tcPr>
          <w:p>
            <w:pPr>
              <w:spacing w:after="0"/>
              <w:rPr>
                <w:sz w:val="18"/>
                <w:szCs w:val="18"/>
                <w:color w:val="auto"/>
              </w:rPr>
            </w:pPr>
          </w:p>
        </w:tc>
      </w:tr>
      <w:tr>
        <w:trPr>
          <w:trHeight w:val="20"/>
        </w:trPr>
        <w:tc>
          <w:tcPr>
            <w:tcW w:w="18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358"/>
        </w:trPr>
        <w:tc>
          <w:tcPr>
            <w:tcW w:w="1840" w:type="dxa"/>
            <w:vAlign w:val="bottom"/>
            <w:gridSpan w:val="2"/>
          </w:tcPr>
          <w:p>
            <w:pPr>
              <w:ind w:left="1720"/>
              <w:spacing w:after="0"/>
              <w:rPr>
                <w:sz w:val="20"/>
                <w:szCs w:val="20"/>
                <w:color w:val="auto"/>
              </w:rPr>
            </w:pPr>
            <w:r>
              <w:rPr>
                <w:rFonts w:ascii="Arial" w:cs="Arial" w:eastAsia="Arial" w:hAnsi="Arial"/>
                <w:sz w:val="11"/>
                <w:szCs w:val="11"/>
                <w:color w:val="auto"/>
              </w:rPr>
              <w:t>*</w:t>
            </w:r>
          </w:p>
        </w:tc>
        <w:tc>
          <w:tcPr>
            <w:tcW w:w="3020" w:type="dxa"/>
            <w:vAlign w:val="bottom"/>
            <w:gridSpan w:val="2"/>
          </w:tcPr>
          <w:p>
            <w:pPr>
              <w:ind w:left="420"/>
              <w:spacing w:after="0"/>
              <w:rPr>
                <w:sz w:val="20"/>
                <w:szCs w:val="20"/>
                <w:color w:val="auto"/>
              </w:rPr>
            </w:pPr>
            <w:r>
              <w:rPr>
                <w:rFonts w:ascii="Arial" w:cs="Arial" w:eastAsia="Arial" w:hAnsi="Arial"/>
                <w:sz w:val="14"/>
                <w:szCs w:val="14"/>
                <w:color w:val="auto"/>
              </w:rPr>
              <w:t>Previously paid.</w:t>
            </w: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7"/>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40" w:type="dxa"/>
            <w:vAlign w:val="bottom"/>
            <w:gridSpan w:val="2"/>
          </w:tcPr>
          <w:p>
            <w:pPr>
              <w:jc w:val="right"/>
              <w:ind w:right="3020"/>
              <w:spacing w:after="0"/>
              <w:rPr>
                <w:sz w:val="20"/>
                <w:szCs w:val="20"/>
                <w:color w:val="auto"/>
              </w:rPr>
            </w:pPr>
            <w:r>
              <w:rPr>
                <w:rFonts w:ascii="Arial" w:cs="Arial" w:eastAsia="Arial" w:hAnsi="Arial"/>
                <w:sz w:val="18"/>
                <w:szCs w:val="18"/>
                <w:color w:val="auto"/>
              </w:rPr>
              <w:t>S-59</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Credit Suisse Securities (USA) LLC, DNB Markets, Inc. and Stifel, Nicolaus &amp; Company, Incorporated are acting as joint book-running managers of this offering. Subject to the terms and conditions stated in the underwriting agreement dated the date of this prospectus, each underwriter named below has severally agreed to purchase, and we have agreed to sell to that underwriter, the principal amount of Additional Notes set forth opposite the underwriter's name.</w:t>
      </w:r>
    </w:p>
    <w:p>
      <w:pPr>
        <w:spacing w:after="0" w:line="12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61"/>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76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760" w:type="dxa"/>
            <w:vAlign w:val="bottom"/>
            <w:gridSpan w:val="2"/>
          </w:tcPr>
          <w:p>
            <w:pPr>
              <w:jc w:val="right"/>
              <w:ind w:right="589"/>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760" w:type="dxa"/>
            <w:vAlign w:val="bottom"/>
            <w:gridSpan w:val="2"/>
            <w:shd w:val="clear" w:color="auto" w:fill="CCEEFF"/>
          </w:tcPr>
          <w:p>
            <w:pPr>
              <w:jc w:val="right"/>
              <w:ind w:right="589"/>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underwriting agreement provides that the obligations of the underwriters to purchase the Additional Notes in this offering are subject to approval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legal matters by counsel and to other conditions. The underwriters are obligated to purchase all the Additional Notes if they purchase any of the Additional Notes.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Notes sold by the underwriters to the public will initially be offered at the initial public offering price set forth on the cover of this prospectus.</w:t>
      </w:r>
    </w:p>
    <w:p>
      <w:pPr>
        <w:spacing w:after="0" w:line="38" w:lineRule="exact"/>
        <w:rPr>
          <w:sz w:val="20"/>
          <w:szCs w:val="20"/>
          <w:color w:val="auto"/>
        </w:rPr>
      </w:pPr>
    </w:p>
    <w:p>
      <w:pPr>
        <w:spacing w:after="0"/>
        <w:tabs>
          <w:tab w:leader="none" w:pos="10760" w:val="left"/>
        </w:tabs>
        <w:rPr>
          <w:sz w:val="20"/>
          <w:szCs w:val="20"/>
          <w:color w:val="auto"/>
        </w:rPr>
      </w:pPr>
      <w:r>
        <w:rPr>
          <w:rFonts w:ascii="Arial" w:cs="Arial" w:eastAsia="Arial" w:hAnsi="Arial"/>
          <w:sz w:val="16"/>
          <w:szCs w:val="16"/>
          <w:color w:val="auto"/>
        </w:rPr>
        <w:t>Any Additional Notes sold by the underwriters to securities dealers may be sold at a discount from the initial public offering price not to exceed $</w:t>
      </w:r>
      <w:r>
        <w:rPr>
          <w:sz w:val="20"/>
          <w:szCs w:val="20"/>
          <w:color w:val="auto"/>
        </w:rPr>
        <w:tab/>
      </w:r>
      <w:r>
        <w:rPr>
          <w:rFonts w:ascii="Arial" w:cs="Arial" w:eastAsia="Arial" w:hAnsi="Arial"/>
          <w:sz w:val="15"/>
          <w:szCs w:val="15"/>
          <w:color w:val="auto"/>
        </w:rPr>
        <w:t>per note</w:t>
      </w:r>
    </w:p>
    <w:p>
      <w:pPr>
        <w:spacing w:after="0" w:line="3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the case of sales to retail investors, and $ per note in the case of sales to institutional investors. If all the Additional Notes are not sold at the initial offering price, the underwriters may change the offering price and the other selling terms.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Paid by us</w:t>
            </w:r>
          </w:p>
        </w:tc>
        <w:tc>
          <w:tcPr>
            <w:tcW w:w="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10"/>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Additional Note</w:t>
            </w:r>
          </w:p>
        </w:tc>
        <w:tc>
          <w:tcPr>
            <w:tcW w:w="31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14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3860" w:type="dxa"/>
            <w:vAlign w:val="bottom"/>
            <w:gridSpan w:val="4"/>
          </w:tcPr>
          <w:p>
            <w:pPr>
              <w:spacing w:after="0"/>
              <w:rPr>
                <w:sz w:val="8"/>
                <w:szCs w:val="8"/>
                <w:color w:val="auto"/>
              </w:rPr>
            </w:pPr>
          </w:p>
        </w:tc>
        <w:tc>
          <w:tcPr>
            <w:tcW w:w="1800" w:type="dxa"/>
            <w:vAlign w:val="bottom"/>
            <w:gridSpan w:val="2"/>
          </w:tcPr>
          <w:p>
            <w:pPr>
              <w:spacing w:after="0"/>
              <w:rPr>
                <w:sz w:val="8"/>
                <w:szCs w:val="8"/>
                <w:color w:val="auto"/>
              </w:rPr>
            </w:pPr>
          </w:p>
        </w:tc>
      </w:tr>
      <w:tr>
        <w:trPr>
          <w:trHeight w:val="334"/>
        </w:trPr>
        <w:tc>
          <w:tcPr>
            <w:tcW w:w="460" w:type="dxa"/>
            <w:vAlign w:val="bottom"/>
          </w:tcPr>
          <w:p>
            <w:pPr>
              <w:spacing w:after="0"/>
              <w:rPr>
                <w:sz w:val="20"/>
                <w:szCs w:val="20"/>
                <w:color w:val="auto"/>
              </w:rPr>
            </w:pPr>
            <w:r>
              <w:rPr>
                <w:rFonts w:ascii="Arial" w:cs="Arial" w:eastAsia="Arial" w:hAnsi="Arial"/>
                <w:sz w:val="11"/>
                <w:szCs w:val="11"/>
                <w:color w:val="auto"/>
              </w:rPr>
              <w:t>(1)</w:t>
            </w:r>
          </w:p>
        </w:tc>
        <w:tc>
          <w:tcPr>
            <w:tcW w:w="3560" w:type="dxa"/>
            <w:vAlign w:val="bottom"/>
            <w:gridSpan w:val="2"/>
          </w:tcPr>
          <w:p>
            <w:pPr>
              <w:ind w:left="80"/>
              <w:spacing w:after="0"/>
              <w:rPr>
                <w:sz w:val="20"/>
                <w:szCs w:val="20"/>
                <w:color w:val="auto"/>
              </w:rPr>
            </w:pPr>
            <w:r>
              <w:rPr>
                <w:rFonts w:ascii="Arial" w:cs="Arial" w:eastAsia="Arial" w:hAnsi="Arial"/>
                <w:sz w:val="14"/>
                <w:szCs w:val="14"/>
                <w:color w:val="auto"/>
                <w:w w:val="89"/>
              </w:rPr>
              <w:t>For sales to retail investors, the underwriting discount will be $</w:t>
            </w:r>
          </w:p>
        </w:tc>
        <w:tc>
          <w:tcPr>
            <w:tcW w:w="3860" w:type="dxa"/>
            <w:vAlign w:val="bottom"/>
            <w:gridSpan w:val="4"/>
          </w:tcPr>
          <w:p>
            <w:pPr>
              <w:jc w:val="right"/>
              <w:ind w:right="380"/>
              <w:spacing w:after="0"/>
              <w:rPr>
                <w:sz w:val="20"/>
                <w:szCs w:val="20"/>
                <w:color w:val="auto"/>
              </w:rPr>
            </w:pPr>
            <w:r>
              <w:rPr>
                <w:rFonts w:ascii="Arial" w:cs="Arial" w:eastAsia="Arial" w:hAnsi="Arial"/>
                <w:sz w:val="14"/>
                <w:szCs w:val="14"/>
                <w:color w:val="auto"/>
                <w:w w:val="94"/>
              </w:rPr>
              <w:t>per note, resulting in proceeds, before expenses, to us of $</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w w:val="87"/>
              </w:rPr>
              <w:t>per Additional Note. For sales to</w:t>
            </w:r>
          </w:p>
        </w:tc>
      </w:tr>
      <w:tr>
        <w:trPr>
          <w:trHeight w:val="172"/>
        </w:trPr>
        <w:tc>
          <w:tcPr>
            <w:tcW w:w="460" w:type="dxa"/>
            <w:vAlign w:val="bottom"/>
          </w:tcPr>
          <w:p>
            <w:pPr>
              <w:spacing w:after="0"/>
              <w:rPr>
                <w:sz w:val="14"/>
                <w:szCs w:val="14"/>
                <w:color w:val="auto"/>
              </w:rPr>
            </w:pPr>
          </w:p>
        </w:tc>
        <w:tc>
          <w:tcPr>
            <w:tcW w:w="3560" w:type="dxa"/>
            <w:vAlign w:val="bottom"/>
            <w:gridSpan w:val="2"/>
          </w:tcPr>
          <w:p>
            <w:pPr>
              <w:ind w:left="80"/>
              <w:spacing w:after="0"/>
              <w:rPr>
                <w:sz w:val="20"/>
                <w:szCs w:val="20"/>
                <w:color w:val="auto"/>
              </w:rPr>
            </w:pPr>
            <w:r>
              <w:rPr>
                <w:rFonts w:ascii="Arial" w:cs="Arial" w:eastAsia="Arial" w:hAnsi="Arial"/>
                <w:sz w:val="14"/>
                <w:szCs w:val="14"/>
                <w:color w:val="auto"/>
                <w:w w:val="99"/>
              </w:rPr>
              <w:t>institutional investors, the underwriting discount will be $</w:t>
            </w:r>
          </w:p>
        </w:tc>
        <w:tc>
          <w:tcPr>
            <w:tcW w:w="3860" w:type="dxa"/>
            <w:vAlign w:val="bottom"/>
            <w:gridSpan w:val="4"/>
          </w:tcPr>
          <w:p>
            <w:pPr>
              <w:jc w:val="right"/>
              <w:ind w:right="40"/>
              <w:spacing w:after="0"/>
              <w:rPr>
                <w:sz w:val="20"/>
                <w:szCs w:val="20"/>
                <w:color w:val="auto"/>
              </w:rPr>
            </w:pPr>
            <w:r>
              <w:rPr>
                <w:rFonts w:ascii="Arial" w:cs="Arial" w:eastAsia="Arial" w:hAnsi="Arial"/>
                <w:sz w:val="14"/>
                <w:szCs w:val="14"/>
                <w:color w:val="auto"/>
                <w:w w:val="87"/>
              </w:rPr>
              <w:t>per Additional Note, resulting in proceeds, before expenses, to us of $</w:t>
            </w:r>
          </w:p>
        </w:tc>
        <w:tc>
          <w:tcPr>
            <w:tcW w:w="100" w:type="dxa"/>
            <w:vAlign w:val="bottom"/>
          </w:tcPr>
          <w:p>
            <w:pPr>
              <w:spacing w:after="0"/>
              <w:rPr>
                <w:sz w:val="14"/>
                <w:szCs w:val="14"/>
                <w:color w:val="auto"/>
              </w:rPr>
            </w:pPr>
          </w:p>
        </w:tc>
        <w:tc>
          <w:tcPr>
            <w:tcW w:w="1700" w:type="dxa"/>
            <w:vAlign w:val="bottom"/>
          </w:tcPr>
          <w:p>
            <w:pPr>
              <w:ind w:left="280"/>
              <w:spacing w:after="0"/>
              <w:rPr>
                <w:sz w:val="20"/>
                <w:szCs w:val="20"/>
                <w:color w:val="auto"/>
              </w:rPr>
            </w:pPr>
            <w:r>
              <w:rPr>
                <w:rFonts w:ascii="Arial" w:cs="Arial" w:eastAsia="Arial" w:hAnsi="Arial"/>
                <w:sz w:val="14"/>
                <w:szCs w:val="14"/>
                <w:color w:val="auto"/>
              </w:rPr>
              <w:t>per Additional Note.</w:t>
            </w: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for this offering will be approximately $430,000.</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199" w:lineRule="exact"/>
        <w:rPr>
          <w:sz w:val="20"/>
          <w:szCs w:val="20"/>
          <w:color w:val="auto"/>
        </w:rPr>
      </w:pPr>
    </w:p>
    <w:p>
      <w:pPr>
        <w:ind w:left="1080" w:right="3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principal amount of Notes than they are required to purchase in the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Covering transactions involve purchases of Notes by the underwriters in the open market in order to cover short positions.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close a short position, the underwriters must purchase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6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to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Notes may be sold only to purchasers purchasing, or deemed to be purchasing, as principal that are accredited investors, as defined in National Instrument 45-106—</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that are permitted clients, as defined in National Instrument 31-103—</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Notes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Pursuant to section 3A.3 of National Instrument 33-105—</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underwriters are not required to comply with the disclosure requirements of NI 33-105 regarding underwriter conflicts of interest in connection with this prospectus supplement.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PRIIPs Regulation/Prohibition of sales to EEA retail investors</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2016/97/EU (as amended, the "Insurance Distribution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Directive from the requirement to publish a prospectus for offers of Notes. This prospectus supplement and the accompanying prospectus is not a prospectus for the purposes of the Prospectus Directive.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(the "Order"), or (ii) high net worth entitles,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This prospectus supplement and the accompanying prospectus have not been registered as a prospectus with the Monetary Authority of Singapore (the "MAS").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17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Where the Notes are subscribed or purchased under Section 275 by a relevant person which is: (i) a corporation (which is not an accredited investor) the sole business of which is to hold investments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We are a Bermuda exempted company. Our registered address in Bermuda is Clarendon House, 2 Church Street, Hamilton, HM 11, Bermuda. A majority of our directors and some of the named experts referred to in this prospectus supplement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Certain legal matters, including tax matters, with respect to the laws of Bermuda will be passed upon for us by our special counsel as to Bermuda law, Conyers Dill &amp; Pearman Limited. The validity of the Notes and certain matters with respect to this offering, including tax matters with respect to U.S. law, will be passed upon for us by Cravath, Swaine &amp; Moore LLP, New York, New York. Cravath, Swaine &amp; Moore LLP may rely on the opinion of Conyers Dill &amp; Pearman Limited for all matters of Bermuda law. Certain matters with respect to this offering will be passed upon for the underwriters by Morgan, Lewis &amp; Bockius LLP, New York, New York.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consolidated financial statements as of December 31, 2017 and 2018, and for each of the three years in the period ended December 31, 2018, incorporated in this prospectus supplement by reference from the Company's Annual Report on Form 20-F for the year ended December 31, 2018, and the effectiveness of GasLog Ltd.'s internal control over financial reporting as of December 31, 2018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1 New Street Square, London, EC4A 3HQ, United Kingdom.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supplement and GasLog Ltd., reference is made to the registration statement.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the SEC.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hereby incorporate:</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our Annual Report on Form 20-F for the year ended December 31, 2018, filed with the SEC on March 5, 2019; and</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97">
        <w:r>
          <w:rPr>
            <w:rFonts w:ascii="Arial" w:cs="Arial" w:eastAsia="Arial" w:hAnsi="Arial"/>
            <w:sz w:val="18"/>
            <w:szCs w:val="18"/>
            <w:u w:val="single" w:color="auto"/>
            <w:color w:val="0000EE"/>
          </w:rPr>
          <w:t>April 23, 2019</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May 3,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9">
        <w:r>
          <w:rPr>
            <w:rFonts w:ascii="Arial" w:cs="Arial" w:eastAsia="Arial" w:hAnsi="Arial"/>
            <w:sz w:val="18"/>
            <w:szCs w:val="18"/>
            <w:u w:val="single" w:color="auto"/>
            <w:color w:val="0000EE"/>
          </w:rPr>
          <w:t>May 10, 2019.</w:t>
        </w:r>
      </w:hyperlink>
    </w:p>
    <w:p>
      <w:pPr>
        <w:spacing w:after="0" w:line="225" w:lineRule="exact"/>
        <w:rPr>
          <w:rFonts w:ascii="Arial" w:cs="Arial" w:eastAsia="Arial" w:hAnsi="Arial"/>
          <w:sz w:val="18"/>
          <w:szCs w:val="18"/>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the Notes made by this prospectus supplement has been terminated. In all cases, you should rely on the later information over different information included in this prospectus supplement.</w:t>
      </w:r>
    </w:p>
    <w:p>
      <w:pPr>
        <w:spacing w:after="0" w:line="197" w:lineRule="exact"/>
        <w:rPr>
          <w:rFonts w:ascii="Arial" w:cs="Arial" w:eastAsia="Arial" w:hAnsi="Arial"/>
          <w:sz w:val="18"/>
          <w:szCs w:val="18"/>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Rule 402 of Regulation S-T, the XBRL-related information in Exhibit 101 to our Annual Report on Form 20-F and our reports on Form 6-K will not be deemed to be incorporated by reference into this prospectus supplement.</w:t>
      </w:r>
    </w:p>
    <w:p>
      <w:pPr>
        <w:spacing w:after="0" w:line="186" w:lineRule="exact"/>
        <w:rPr>
          <w:rFonts w:ascii="Arial" w:cs="Arial" w:eastAsia="Arial" w:hAnsi="Arial"/>
          <w:sz w:val="18"/>
          <w:szCs w:val="18"/>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We will provide, free of charge upon written or oral request, to each person to whom this prospectus supplement is delivered, a copy of any or all of the information that has been incorporated by reference into this prospectus supplement, but which has not been delivered with the prospectus supplement. Copies of these documents also may be obtained on the "Investor Relations" section of our website at </w:t>
      </w:r>
      <w:r>
        <w:rPr>
          <w:rFonts w:ascii="Arial" w:cs="Arial" w:eastAsia="Arial" w:hAnsi="Arial"/>
          <w:sz w:val="18"/>
          <w:szCs w:val="18"/>
          <w:i w:val="1"/>
          <w:iCs w:val="1"/>
          <w:color w:val="auto"/>
        </w:rPr>
        <w:t>www.gaslogltd.com.</w:t>
      </w:r>
      <w:r>
        <w:rPr>
          <w:rFonts w:ascii="Arial" w:cs="Arial" w:eastAsia="Arial" w:hAnsi="Arial"/>
          <w:sz w:val="18"/>
          <w:szCs w:val="18"/>
          <w:color w:val="auto"/>
        </w:rPr>
        <w:t xml:space="preserve"> Requests for such information should be made to us at the following address: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GasLog Ltd.</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+ 377 97 97 51 15</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rFonts w:ascii="Arial" w:cs="Arial" w:eastAsia="Arial" w:hAnsi="Arial"/>
          <w:sz w:val="18"/>
          <w:szCs w:val="18"/>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543685" cy="720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5436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GasLog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Shares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Preference Shares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8.75% Series A Preference Shares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Through this prospectus, we may offer common shares, preference shares, Series A Preference Shares, debt securities, warrants, rights and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shares are traded on the New York Stock Exchange under the symbol "GLOG".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8.75% Series A Preference Shares are traded on the New York Stock Exchange under the symbol "GLOG PR A".</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4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2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Consent under the Exchange Control Act 1972 (and its related regulations) has been obtained from the Bermuda Monetary Authority for the issue and transfer of our offered securities to and between residents and non-residents of Bermuda for exchange control purposes provided our shares remain listed on an appointed stock exchange, which includes the New York Stock Exchange. In granting such consent, the Bermuda Monetary Authority accepts no responsibility for our financial soundness or the correctness of any of the statements made or opinions expressed in this prospectus.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6"/>
          </w:tcPr>
          <w:p>
            <w:pPr>
              <w:jc w:val="center"/>
              <w:ind w:right="312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FORWARD-LOOKING STATEMENTS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72">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THE COMPANY</w:t>
              </w:r>
            </w:hyperlink>
          </w:p>
        </w:tc>
        <w:tc>
          <w:tcPr>
            <w:tcW w:w="1580" w:type="dxa"/>
            <w:vAlign w:val="bottom"/>
            <w:gridSpan w:val="8"/>
          </w:tcPr>
          <w:p>
            <w:pPr>
              <w:spacing w:after="0"/>
              <w:rPr>
                <w:sz w:val="24"/>
                <w:szCs w:val="24"/>
                <w:color w:val="auto"/>
              </w:rPr>
            </w:pPr>
          </w:p>
        </w:tc>
        <w:tc>
          <w:tcPr>
            <w:tcW w:w="616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RISK FACTORS</w:t>
              </w:r>
            </w:hyperlink>
          </w:p>
        </w:tc>
        <w:tc>
          <w:tcPr>
            <w:tcW w:w="7740" w:type="dxa"/>
            <w:vAlign w:val="bottom"/>
            <w:gridSpan w:val="1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SERVICE OF PROCESS AND ENFORCEMENT OF LIABILITIES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7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88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ABOUT THIS PROSPECTUS</w:t>
              </w:r>
            </w:hyperlink>
          </w:p>
        </w:tc>
        <w:tc>
          <w:tcPr>
            <w:tcW w:w="4080" w:type="dxa"/>
            <w:vAlign w:val="bottom"/>
            <w:gridSpan w:val="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gridSpan w:val="17"/>
          </w:tcPr>
          <w:p>
            <w:pPr>
              <w:spacing w:after="0"/>
              <w:rPr>
                <w:rFonts w:ascii="Arial" w:cs="Arial" w:eastAsia="Arial" w:hAnsi="Arial"/>
                <w:sz w:val="18"/>
                <w:szCs w:val="18"/>
                <w:color w:val="0000EE"/>
                <w:w w:val="96"/>
              </w:rPr>
            </w:pPr>
            <w:hyperlink w:anchor="page78">
              <w:r>
                <w:rPr>
                  <w:rFonts w:ascii="Arial" w:cs="Arial" w:eastAsia="Arial" w:hAnsi="Arial"/>
                  <w:sz w:val="18"/>
                  <w:szCs w:val="18"/>
                  <w:color w:val="0000EE"/>
                  <w:w w:val="96"/>
                </w:rPr>
                <w:t>WHERE YOU CAN FIND ADDITIONAL INFORMATION</w:t>
              </w:r>
            </w:hyperlink>
          </w:p>
        </w:tc>
        <w:tc>
          <w:tcPr>
            <w:tcW w:w="4640" w:type="dxa"/>
            <w:vAlign w:val="bottom"/>
            <w:gridSpan w:val="4"/>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60" w:type="dxa"/>
            <w:vAlign w:val="bottom"/>
            <w:gridSpan w:val="20"/>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INCORPORATION OF CERTAIN INFORMATION BY REFERENCE</w:t>
              </w:r>
            </w:hyperlink>
          </w:p>
        </w:tc>
        <w:tc>
          <w:tcPr>
            <w:tcW w:w="3900" w:type="dxa"/>
            <w:vAlign w:val="bottom"/>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gridSpan w:val="6"/>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USE OF PROCEEDS</w:t>
              </w:r>
            </w:hyperlink>
          </w:p>
        </w:tc>
        <w:tc>
          <w:tcPr>
            <w:tcW w:w="3500" w:type="dxa"/>
            <w:vAlign w:val="bottom"/>
            <w:gridSpan w:val="14"/>
          </w:tcPr>
          <w:p>
            <w:pPr>
              <w:spacing w:after="0"/>
              <w:rPr>
                <w:sz w:val="24"/>
                <w:szCs w:val="24"/>
                <w:color w:val="auto"/>
              </w:rPr>
            </w:pPr>
          </w:p>
        </w:tc>
        <w:tc>
          <w:tcPr>
            <w:tcW w:w="3900" w:type="dxa"/>
            <w:vAlign w:val="bottom"/>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CAPITALIZATION AND INDEBTEDNESS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00" w:type="dxa"/>
            <w:vAlign w:val="bottom"/>
            <w:gridSpan w:val="1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DESCRIPTION OF SHARE CAPITAL</w:t>
              </w:r>
            </w:hyperlink>
          </w:p>
        </w:tc>
        <w:tc>
          <w:tcPr>
            <w:tcW w:w="5760" w:type="dxa"/>
            <w:vAlign w:val="bottom"/>
            <w:gridSpan w:val="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DESCRIPTION OF PREFERENCE SHARES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8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DESCRIPTION OF DEBT SECURITIES</w:t>
              </w:r>
            </w:hyperlink>
          </w:p>
        </w:tc>
        <w:tc>
          <w:tcPr>
            <w:tcW w:w="320" w:type="dxa"/>
            <w:vAlign w:val="bottom"/>
            <w:gridSpan w:val="2"/>
          </w:tcPr>
          <w:p>
            <w:pPr>
              <w:spacing w:after="0"/>
              <w:rPr>
                <w:sz w:val="24"/>
                <w:szCs w:val="24"/>
                <w:color w:val="auto"/>
              </w:rPr>
            </w:pPr>
          </w:p>
        </w:tc>
        <w:tc>
          <w:tcPr>
            <w:tcW w:w="568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11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DESCRIPTION OF WARRANTS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19</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24"/>
                <w:szCs w:val="24"/>
                <w:color w:val="auto"/>
              </w:rPr>
            </w:pPr>
          </w:p>
        </w:tc>
        <w:tc>
          <w:tcPr>
            <w:tcW w:w="654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DESCRIPTION OF THE UNITS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92">
              <w:r>
                <w:rPr>
                  <w:rFonts w:ascii="Arial" w:cs="Arial" w:eastAsia="Arial" w:hAnsi="Arial"/>
                  <w:sz w:val="18"/>
                  <w:szCs w:val="18"/>
                  <w:color w:val="0000EE"/>
                  <w:w w:val="94"/>
                </w:rPr>
                <w:t>MATERIAL U.S. FEDERAL INCOME TAX CONSIDERATIONS</w:t>
              </w:r>
            </w:hyperlink>
          </w:p>
        </w:tc>
        <w:tc>
          <w:tcPr>
            <w:tcW w:w="42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NON-UNITED STATES TAX CONSIDERATIONS</w:t>
              </w:r>
            </w:hyperlink>
          </w:p>
        </w:tc>
        <w:tc>
          <w:tcPr>
            <w:tcW w:w="526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21</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EXPENSES</w:t>
              </w:r>
            </w:hyperlink>
          </w:p>
        </w:tc>
        <w:tc>
          <w:tcPr>
            <w:tcW w:w="1120" w:type="dxa"/>
            <w:vAlign w:val="bottom"/>
            <w:tcBorders>
              <w:top w:val="single" w:sz="8" w:color="0000EE"/>
            </w:tcBorders>
            <w:gridSpan w:val="4"/>
          </w:tcPr>
          <w:p>
            <w:pPr>
              <w:spacing w:after="0"/>
              <w:rPr>
                <w:sz w:val="24"/>
                <w:szCs w:val="24"/>
                <w:color w:val="auto"/>
              </w:rPr>
            </w:pPr>
          </w:p>
        </w:tc>
        <w:tc>
          <w:tcPr>
            <w:tcW w:w="6960" w:type="dxa"/>
            <w:vAlign w:val="bottom"/>
            <w:gridSpan w:val="1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EXPERTS</w:t>
              </w:r>
            </w:hyperlink>
          </w:p>
        </w:tc>
        <w:tc>
          <w:tcPr>
            <w:tcW w:w="7540" w:type="dxa"/>
            <w:vAlign w:val="bottom"/>
            <w:gridSpan w:val="1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24</w:t>
              </w:r>
            </w:hyperlink>
          </w:p>
        </w:tc>
        <w:tc>
          <w:tcPr>
            <w:tcW w:w="114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4"/>
          </w:tcPr>
          <w:p>
            <w:pPr>
              <w:jc w:val="center"/>
              <w:ind w:right="4140"/>
              <w:spacing w:after="0"/>
              <w:rPr>
                <w:sz w:val="20"/>
                <w:szCs w:val="20"/>
                <w:color w:val="auto"/>
              </w:rPr>
            </w:pPr>
            <w:r>
              <w:rPr>
                <w:rFonts w:ascii="Arial" w:cs="Arial" w:eastAsia="Arial" w:hAnsi="Arial"/>
                <w:sz w:val="18"/>
                <w:szCs w:val="18"/>
                <w:color w:val="auto"/>
              </w:rPr>
              <w:t>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6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 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4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66"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21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5, 2019 and available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Unless otherwise indicated, references in this prospectus to "GasLog", the "Company", the "Group", "we", "our", "us" or similar terms refer to GasLog Ltd. or any one or more of its subsidiaries (including GasLog Partners LP) or their predecessors, or to such entities collectively, except that when such terms are used in this prospectus in reference to the common shares or the 8.75% Series A Cumulative Redeemable Perpetual Preference Shares (the "Series A Preference Shares"), they refer to GasLog Ltd.; "GasLog Partners" or the "Partnership", refers to GasLog Partners LP, a master limited partnership formed by GasLog to own, operate and acquire LNG carriers under multi-year charters, or any one or more of GasLog Partners' subsidiaries; "GasLog LNG Services" refers to GasLog LNG Services Ltd., our wholly owned subsidiary; "our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 and "Samsung" refers to Samsung Heavy Industries Co., Ltd., or, in each case, one or more of their subsidiaries or to such entities collectively; "NYSE" refers to the New York Stock Exchange; "SEC" refers to the U.S. Securities and Exchange Commission; "dollars" and "$" refers to, and amounts are presented in, U.S. dollars; "Lepta Shipping" refers to Lepta Shipping Co., Ltd.; and "Mitsui" refers to Mitsui &amp; Co., Ltd.</w:t>
      </w:r>
    </w:p>
    <w:p>
      <w:pPr>
        <w:spacing w:after="0" w:line="178"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As of March 12, 2019, our owned fleet consists of 35 LNG carriers, including 26 ships on the water and nine LNG carriers on order at one of the world's leading LNG shipbuilders, Samsung. This includes 14 LNG carriers in operation that are owned by our NYSE-listed subsidiary GasLog Partners, with which we have entered into certain agreements governing our relationship, including purchase options for certain of our ships. We currently manage and operate 26 LNG carriers including 11 of our wholly owned ships in operation, 13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have secured multi-year contracts for six of our owned ships, the 13 of the 14 ships owned by the Partnership, seven of our nine newbuildings on order and the one vessel secured under a long-term bareboat charter with Lepta Shipping. As of December 31, 2018, these contracts are expected to provide total contracted revenues of $3.6 billion during their initial terms, which expire between 2019 and 2029.</w:t>
      </w:r>
    </w:p>
    <w:p>
      <w:pPr>
        <w:spacing w:after="0" w:line="174"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management and reporting. With over 18 years of technical management experience, including 15 years as sole technical manager of BG Group plc's owned fleet of LNG carriers, we have established a track record for the efficient, safe and reliable operation of LNG carriers which is evidenced by our safety performance and the limited off-hire days of the 25 ships currently operating under our management.</w:t>
      </w:r>
    </w:p>
    <w:p>
      <w:pPr>
        <w:spacing w:after="0" w:line="15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April 4, 2012, we completed an initial public offering and a concurrent private placement of our common shares. On January 22, 2014, we completed a follow-on public offering and concurrent private placement of our common shares. On April 16, 2014, we completed a second follow-on public offering of our common shares. Our common shares are listed on the NYSE under the ticker symbol "GLOG". If any securities are to be listed or quoted on any other securities exchange or quotation system, the applicable prospectus supplement will so state.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April 7, 2015, we completed a public offering of our Series A Preference Shares, par value $0.01 per share. The Series A Preference Shares are listed on the NYSE under the ticker symbol "GLOG PR A".</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March 22, 2017, we completed a public offering of $250.0 million aggregate principal amount of 8.875% senior unsecured notes due in 2022 (the "8.875% Senior Notes") at a public offering price of 100% of the principal amount. The net proceeds from the offering after deducting the underwriting discount and offering expenses were $245.3 million.</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pay dividends and lower the trading price of our securities. The risks referred to above are not the only ones that may exist. Additional risks not currently known by us or risks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are a Bermuda exempted company. Our registered address in Bermuda is Clarendon House, 2 Church Street, Hamilton, HM 11, Bermuda. As a result, the rights of holders of our securities will be governed by Bermuda law and our memorandum of association and bye-laws. The rights of shareholders under Bermuda law may differ from the rights of shareholders of companies incorporated in other jurisdictions.</w:t>
      </w:r>
    </w:p>
    <w:p>
      <w:pPr>
        <w:spacing w:after="0" w:line="194"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 majority of our directors and some of the named experts referred to in this prospectus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9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in one or more offerings.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"Incorporation of Certain Information by Reference" and "Where You Can Find Additional Information".</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of 1933, as amended,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Ltd., reference is made to the registration statement.</w:t>
      </w:r>
    </w:p>
    <w:p>
      <w:pPr>
        <w:spacing w:after="0" w:line="17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the SEC.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2018, filed with the SEC on March 5, 2019;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Current Report on Form 6-K furnished to the SEC on March 8, 2019;</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description of our common shares which is contained in our registration statement on Form 8-A (File No. 001-35466), filed with the SEC on March 21, 2012, including any amendment or report filed for the purpose of updating such description; and</w:t>
      </w:r>
    </w:p>
    <w:p>
      <w:pPr>
        <w:spacing w:after="0" w:line="199"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description of our Series A Preference Shares which is contained in our registration statement on Form 8-A (File No. 001-35466), filed with the SEC on March 31, 2015, including any amendment or report filed for the purpose of updating such description.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 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In accordance with Rule 402 of Regulation S-T, the XBRL-related information in Exhibit 101 to our Annual Report on Form 20-F and our reports on Form 6-K will not be deemed to be incorporated by reference into any registration statement or other document filed under the Securities Act of 1933, as amended, except as will be expressly set forth by specific reference in such filing.</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www.gaslogltd.com.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GasLog Monaco S.A.M.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otherwise set forth in the applicable prospectus supplement, we intend to use the net proceeds received from the sale of the securities we offer by this prospectus for general corporate purposes.</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More information on our share capital is included under "Item 10. Additional Information" in our annual report on Form 20-F for the year ended December 31, 2018, filed with the SEC on March 5, 2019.</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 description of our common shares can be found in our registration statement on Form 8-A (File No. 001-35466), filed with the SEC on March 21, 2012, including any amendment or report filed for the purpose of updating such description.</w:t>
      </w:r>
    </w:p>
    <w:p>
      <w:pPr>
        <w:spacing w:after="0" w:line="186"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 description of our Series A Preference Shares can be found in our registration statement on Form 8-A (File No. 001-35466), filed with the SEC on March 31, 2015, including any amendment or report filed for the purpose of updating such description.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PREFERENCE SHARES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bye-laws authorize our board of directors to establish one or more series of preference shares, in addition to the Series A Preference Shares, and to determine, with respect to any series of preference shares, the terms and rights of that series. The issuance of preference shares may have the effect of discouraging, delaying or preventing a change of control of us or the removal of our management. The issuance of preference shares with voting and conversion rights may adversely affect the voting power of the holders of shares of our common shares.</w:t>
      </w:r>
    </w:p>
    <w:p>
      <w:pPr>
        <w:spacing w:after="0" w:line="167"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applicable prospectus supplement will describe the following terms of any series of preference shares in respect of which this prospectus is being delivered:</w:t>
      </w:r>
    </w:p>
    <w:p>
      <w:pPr>
        <w:spacing w:after="0" w:line="19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shares constituting a series and the distinctive designation of the series;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dividend rate of the series, whether dividends shall be cumulative and, if so, from which date or dates, and the relative rights of priority, if any, of the payment of dividends on shares of the series;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 in addition to the voting rights provided by law;</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the series will have conversion or exchange privileges (including, without limitation, conversion into common shares), and if so, the terms and conditions of such conversion or exchange, including provision for adjustment of the conversion or exchange rate;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the shares of the series will be redeemable or repurchaseable and, if so, the terms and conditions or such redemption or repurchase;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series will have a sinking fund for the redemption or repurchase of shares of the series;</w:t>
      </w:r>
    </w:p>
    <w:p>
      <w:pPr>
        <w:spacing w:after="0" w:line="252" w:lineRule="exact"/>
        <w:rPr>
          <w:rFonts w:ascii="Arial" w:cs="Arial" w:eastAsia="Arial" w:hAnsi="Arial"/>
          <w:sz w:val="18"/>
          <w:szCs w:val="18"/>
          <w:color w:val="auto"/>
        </w:rPr>
      </w:pPr>
    </w:p>
    <w:p>
      <w:pPr>
        <w:ind w:left="1080" w:right="38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of the shares of the series to the benefit of conditions and restrictions upon the creation of indebtedness of the Company or any subsidiary, upon issuance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of the shares of the series in the event of voluntary or involuntary liquidation, dissolution or winding up of the Company, and the relative rights of priority, if any of payment in respect of shares of the series;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rights, qualifications, limitations or restrictions of the series.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description in the applicable prospectus supplement of any preference shares we offer will not necessarily be complete and will be qualified in its entirety by reference to the applicable board resolution, certificate of designations or specimen share certificate, which will be filed with the SEC if we offer preference shares. For more information on how you can obtain copies of any board resolution, certificate of designations or specimen share certificate if we offer preference shares, see "Where You Can Find Additional Information" beginning on page 4 of this prospectus. We urge you to read the applicable board resolution, applicable certificate of designations or the applicable specimen share certificate, and any applicable prospectus supplement in their entirety.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We may issue debt securities from time to time in one or more series, under one or more indentures, each dated as of a date on or prior to the issuance of the debt securities to which it relates. We may issue debt securities from time to time in series under an indenture dated March 22, 2017, between us and American Stock Transfer &amp; Trust Company, LLC, as trustee, which is filed as Exhibit 4.1 to our Form 6-K filed with the SEC on March 22, 2017, or a separate indenture.</w:t>
      </w:r>
    </w:p>
    <w:p>
      <w:pPr>
        <w:spacing w:after="0" w:line="14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description of debt securities sets forth the material terms and provisions of the debt securities to which any prospectus supplement may relate. The debt securities we may offer may be convertible into common shares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67"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shares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shares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certain payments on the debt securities will be guaranteed under a financial insurance guarantee policy and the terms of that guarantee;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80" w:hanging="532"/>
        <w:spacing w:after="0" w:line="29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20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199"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5620" w:right="3860" w:hanging="5072"/>
        <w:spacing w:after="0" w:line="519" w:lineRule="auto"/>
        <w:tabs>
          <w:tab w:leader="none" w:pos="10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52"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24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199" w:lineRule="exact"/>
        <w:rPr>
          <w:rFonts w:ascii="Arial" w:cs="Arial" w:eastAsia="Arial" w:hAnsi="Arial"/>
          <w:sz w:val="18"/>
          <w:szCs w:val="18"/>
          <w:color w:val="auto"/>
        </w:rPr>
      </w:pPr>
    </w:p>
    <w:p>
      <w:pPr>
        <w:ind w:left="1620" w:right="260" w:hanging="532"/>
        <w:spacing w:after="0" w:line="332" w:lineRule="auto"/>
        <w:tabs>
          <w:tab w:leader="none" w:pos="16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213"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60" w:hanging="532"/>
        <w:spacing w:after="0" w:line="370"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33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shares or other securities, other than in accordance with the antidilution provisions or other similar adjustment provisions included in the terms of the debt securities;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3"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Registered Global Securities. </w:t>
      </w:r>
      <w:r>
        <w:rPr>
          <w:rFonts w:ascii="Arial" w:cs="Arial" w:eastAsia="Arial" w:hAnsi="Arial"/>
          <w:sz w:val="16"/>
          <w:szCs w:val="16"/>
          <w:color w:val="auto"/>
        </w:rPr>
        <w:t>We may issue the debt securities in the form of one or more fully registered global securities that will be deposited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67" w:lineRule="exact"/>
        <w:rPr>
          <w:sz w:val="20"/>
          <w:szCs w:val="20"/>
          <w:color w:val="auto"/>
        </w:rPr>
      </w:pPr>
    </w:p>
    <w:p>
      <w:pPr>
        <w:jc w:val="both"/>
        <w:ind w:right="3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4 of this prospectus. We urge you to read the applicable warrant certificate, the applicable warrant agreement and any applicable prospectus supplement in their entirety.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4 of this prospectus. We urge you to read the applicable rights certificate, the applicable rights agreement and any applicable prospectus supplement in their entirety.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UNITS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may issue units consisting of any combination of common shares, preference shares, Series A Preference Shares, debt securities, warrants and rights.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series of units will describe the terms of the units, including, where applicable, the following:</w:t>
      </w:r>
    </w:p>
    <w:p>
      <w:pPr>
        <w:spacing w:after="0" w:line="262" w:lineRule="exact"/>
        <w:rPr>
          <w:sz w:val="20"/>
          <w:szCs w:val="20"/>
          <w:color w:val="auto"/>
        </w:rPr>
      </w:pPr>
    </w:p>
    <w:p>
      <w:pPr>
        <w:ind w:left="1080" w:right="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units we offer will not necessarily be complete and will be qualified in its entirety by reference to the applicable unit certificate or unit agreement, which will be filed with the SEC if we offer units. For more information on how you can obtain copies of any unit certificate or unit agreement if we offer units, see "Where You Can Find Additional Information" beginning on page 4 of this prospectus. We urge you to read the applicable unit certificate, the applicable unit agreement and any applicable prospectus supplement in their entirety.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our securities. The applicable prospectus supplement may also contain information about any material U.S. federal income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Bermuda tax consequences that may be relevant to prospective investors in our securities. The applicable prospectus supplement may also contain information about any non-U.S.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prices subject to change, at varying prices determined at the time of sale or at negotiated prices, by a variety of methods including the following:</w:t>
      </w:r>
    </w:p>
    <w:p>
      <w:pPr>
        <w:spacing w:after="0" w:line="262" w:lineRule="exact"/>
        <w:rPr>
          <w:sz w:val="20"/>
          <w:szCs w:val="20"/>
          <w:color w:val="auto"/>
        </w:rPr>
      </w:pPr>
    </w:p>
    <w:p>
      <w:pPr>
        <w:ind w:left="1080" w:right="3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shares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9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4"/>
              </w:rPr>
              <w:t>30,300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240" w:hanging="540"/>
        <w:spacing w:after="0" w:line="268" w:lineRule="auto"/>
        <w:tabs>
          <w:tab w:leader="none" w:pos="2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validity of the securities that may be offered by this prospectus and certain other matters relating to Bermuda law will be passed upon for us by Conyers Dill &amp; Pearman Limited, Bermuda. Certain other legal matters relating to United States law will be passed upon for us by Cravath, Swaine &amp; Moore LLP, New York, New York.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consolidated financial statements of GasLog Ltd. as of December 31, 2018 and December 31, 2017, and for each of the years in the three-year period ended December 31, 2018, incorporated in this prospectus by reference from the Company's Annual Report on Form 20-F for the year ended December 31, 2018 and the effectiveness of GasLog Ltd.'s internal control over financial reporting as of December 31, 2018, have been audited by Deloitte LLP, an independent registered public accounting firm, as stated in their reports, which are incorporated herein by reference. Such consolidated financial statements have been so incorporated in reliance upon the report of such firm, given upon their authority as experts in accounting and auditing.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39"/>
        <w:spacing w:after="0"/>
        <w:rPr>
          <w:sz w:val="20"/>
          <w:szCs w:val="20"/>
          <w:color w:val="auto"/>
        </w:rPr>
      </w:pPr>
      <w:r>
        <w:rPr>
          <w:rFonts w:ascii="Arial" w:cs="Arial" w:eastAsia="Arial" w:hAnsi="Arial"/>
          <w:sz w:val="24"/>
          <w:szCs w:val="24"/>
          <w:b w:val="1"/>
          <w:bCs w:val="1"/>
          <w:color w:val="auto"/>
        </w:rPr>
        <w:t>$75,000,000</w:t>
      </w:r>
    </w:p>
    <w:p>
      <w:pPr>
        <w:spacing w:after="0" w:line="224" w:lineRule="exact"/>
        <w:rPr>
          <w:sz w:val="20"/>
          <w:szCs w:val="20"/>
          <w:color w:val="auto"/>
        </w:rPr>
      </w:pPr>
    </w:p>
    <w:p>
      <w:pPr>
        <w:jc w:val="center"/>
        <w:ind w:right="-1139"/>
        <w:spacing w:after="0"/>
        <w:rPr>
          <w:sz w:val="20"/>
          <w:szCs w:val="20"/>
          <w:color w:val="auto"/>
        </w:rPr>
      </w:pPr>
      <w:r>
        <w:rPr>
          <w:rFonts w:ascii="Arial" w:cs="Arial" w:eastAsia="Arial" w:hAnsi="Arial"/>
          <w:sz w:val="24"/>
          <w:szCs w:val="24"/>
          <w:b w:val="1"/>
          <w:bCs w:val="1"/>
          <w:color w:val="auto"/>
        </w:rPr>
        <w:t>8.875% Senior Notes due 2022</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auto"/>
        </w:rPr>
        <w:t>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1224915</wp:posOffset>
            </wp:positionV>
            <wp:extent cx="18954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161290</wp:posOffset>
            </wp:positionV>
            <wp:extent cx="2032635" cy="926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203263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2520"/>
        <w:spacing w:after="0"/>
        <w:tabs>
          <w:tab w:leader="none" w:pos="1940" w:val="left"/>
        </w:tabs>
        <w:rPr>
          <w:sz w:val="20"/>
          <w:szCs w:val="20"/>
          <w:color w:val="auto"/>
        </w:rPr>
      </w:pPr>
      <w:r>
        <w:rPr>
          <w:rFonts w:ascii="Arial" w:cs="Arial" w:eastAsia="Arial" w:hAnsi="Arial"/>
          <w:sz w:val="22"/>
          <w:szCs w:val="22"/>
          <w:b w:val="1"/>
          <w:bCs w:val="1"/>
          <w:color w:val="auto"/>
        </w:rPr>
        <w:t>P R O S P E C T U S</w:t>
      </w:r>
      <w:r>
        <w:rPr>
          <w:sz w:val="20"/>
          <w:szCs w:val="20"/>
          <w:color w:val="auto"/>
        </w:rPr>
        <w:tab/>
      </w:r>
      <w:r>
        <w:rPr>
          <w:rFonts w:ascii="Arial" w:cs="Arial" w:eastAsia="Arial" w:hAnsi="Arial"/>
          <w:sz w:val="19"/>
          <w:szCs w:val="19"/>
          <w:b w:val="1"/>
          <w:bCs w:val="1"/>
          <w:color w:val="auto"/>
        </w:rPr>
        <w:t>S U P P L E M E N T</w:t>
      </w:r>
    </w:p>
    <w:p>
      <w:pPr>
        <w:spacing w:after="0" w:line="21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Joint Bookrunners</w:t>
      </w:r>
    </w:p>
    <w:p>
      <w:pPr>
        <w:sectPr>
          <w:pgSz w:w="11900" w:h="16838" w:orient="portrait"/>
          <w:cols w:equalWidth="0" w:num="1">
            <w:col w:w="10280"/>
          </w:cols>
          <w:pgMar w:left="240" w:top="131" w:right="1379" w:bottom="1440" w:gutter="0" w:footer="0" w:header="0"/>
        </w:sectPr>
      </w:pPr>
    </w:p>
    <w:p>
      <w:pPr>
        <w:spacing w:after="0" w:line="192" w:lineRule="exact"/>
        <w:rPr>
          <w:sz w:val="20"/>
          <w:szCs w:val="20"/>
          <w:color w:val="auto"/>
        </w:rPr>
      </w:pPr>
    </w:p>
    <w:p>
      <w:pPr>
        <w:ind w:left="1140"/>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DNB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348615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365760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535305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Stifel</w:t>
      </w:r>
    </w:p>
    <w:p>
      <w:pPr>
        <w:sectPr>
          <w:pgSz w:w="11900" w:h="16838" w:orient="portrait"/>
          <w:cols w:equalWidth="0" w:num="3">
            <w:col w:w="4020" w:space="720"/>
            <w:col w:w="4100" w:space="720"/>
            <w:col w:w="720"/>
          </w:cols>
          <w:pgMar w:left="240" w:top="131" w:right="1379" w:bottom="1440" w:gutter="0" w:footer="0" w:header="0"/>
          <w:type w:val="continuous"/>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5"/>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lvl w:ilvl="1">
      <w:lvlJc w:val="left"/>
      <w:lvlText w:val="(%2)"/>
      <w:numFmt w:val="lowerRoman"/>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6"/>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2"/>
    </w:lvl>
    <w:lvl w:ilvl="1">
      <w:lvlJc w:val="left"/>
      <w:lvlText w:val="(%2)"/>
      <w:numFmt w:val="lowerLetter"/>
      <w:start w:val="1"/>
    </w:lvl>
  </w:abstractNum>
  <w:abstractNum w:abstractNumId="22">
    <w:nsid w:val="70C6A529"/>
    <w:multiLevelType w:val="hybridMultilevel"/>
    <w:lvl w:ilvl="0">
      <w:lvlJc w:val="left"/>
      <w:lvlText w:val="%1"/>
      <w:numFmt w:val="decimal"/>
      <w:start w:val="1"/>
    </w:lvl>
    <w:lvl w:ilvl="1">
      <w:lvlJc w:val="left"/>
      <w:lvlText w:val="(%2)"/>
      <w:numFmt w:val="lowerLetter"/>
      <w:start w:val="35"/>
    </w:lvl>
  </w:abstractNum>
  <w:abstractNum w:abstractNumId="23">
    <w:nsid w:val="520EEDD1"/>
    <w:multiLevelType w:val="hybridMultilevel"/>
    <w:lvl w:ilvl="0">
      <w:lvlJc w:val="left"/>
      <w:lvlText w:val="(%1)"/>
      <w:numFmt w:val="decimal"/>
      <w:start w:val="9"/>
    </w:lvl>
  </w:abstractNum>
  <w:abstractNum w:abstractNumId="24">
    <w:nsid w:val="374A3FE6"/>
    <w:multiLevelType w:val="hybridMultilevel"/>
    <w:lvl w:ilvl="0">
      <w:lvlJc w:val="left"/>
      <w:lvlText w:val="(%1)"/>
      <w:numFmt w:val="lowerLetter"/>
      <w:start w:val="4"/>
    </w:lvl>
  </w:abstractNum>
  <w:abstractNum w:abstractNumId="25">
    <w:nsid w:val="4F4EF005"/>
    <w:multiLevelType w:val="hybridMultilevel"/>
    <w:lvl w:ilvl="0">
      <w:lvlJc w:val="left"/>
      <w:lvlText w:val="(%1)"/>
      <w:numFmt w:val="lowerRoman"/>
      <w:start w:val="2"/>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2"/>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7"/>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1)"/>
      <w:numFmt w:val="decimal"/>
      <w:start w:val="1"/>
    </w:lvl>
    <w:lvl w:ilvl="1">
      <w:lvlJc w:val="left"/>
      <w:lvlText w:val="(%2)"/>
      <w:numFmt w:val="lowerLetter"/>
      <w:start w:val="1"/>
    </w:lvl>
  </w:abstractNum>
  <w:abstractNum w:abstractNumId="41">
    <w:nsid w:val="7E0C57B1"/>
    <w:multiLevelType w:val="hybridMultilevel"/>
    <w:lvl w:ilvl="0">
      <w:lvlJc w:val="left"/>
      <w:lvlText w:val="(%1)"/>
      <w:numFmt w:val="decimal"/>
      <w:start w:val="5"/>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lowerRoman"/>
      <w:start w:val="2"/>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lowerRoman"/>
      <w:start w:val="1"/>
    </w:lvl>
  </w:abstractNum>
  <w:abstractNum w:abstractNumId="50">
    <w:nsid w:val="1F48EAA1"/>
    <w:multiLevelType w:val="hybridMultilevel"/>
    <w:lvl w:ilvl="0">
      <w:lvlJc w:val="left"/>
      <w:lvlText w:val="(%1)"/>
      <w:numFmt w:val="lowerRoman"/>
      <w:start w:val="2"/>
    </w:lvl>
  </w:abstractNum>
  <w:abstractNum w:abstractNumId="51">
    <w:nsid w:val="1381823A"/>
    <w:multiLevelType w:val="hybridMultilevel"/>
    <w:lvl w:ilvl="0">
      <w:lvlJc w:val="left"/>
      <w:lvlText w:val="(%1)"/>
      <w:numFmt w:val="lowerRoman"/>
      <w:start w:val="1"/>
    </w:lvl>
    <w:lvl w:ilvl="1">
      <w:lvlJc w:val="left"/>
      <w:lvlText w:val="(%2)"/>
      <w:numFmt w:val="lowerLetter"/>
      <w:start w:val="1"/>
    </w:lvl>
  </w:abstractNum>
  <w:abstractNum w:abstractNumId="52">
    <w:nsid w:val="5DB70AE5"/>
    <w:multiLevelType w:val="hybridMultilevel"/>
    <w:lvl w:ilvl="0">
      <w:lvlJc w:val="left"/>
      <w:lvlText w:val="(%1)"/>
      <w:numFmt w:val="lowerRoman"/>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lvl w:ilvl="1">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lvl w:ilvl="1">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lvl w:ilvl="1">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jpe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jpe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96" Type="http://schemas.openxmlformats.org/officeDocument/2006/relationships/hyperlink" Target="http://www.sec.gov/Archives/edgar/data/1534126/000104746919000888/0001047469-19-000888-index.htm" TargetMode="External"/><Relationship Id="rId97" Type="http://schemas.openxmlformats.org/officeDocument/2006/relationships/hyperlink" Target="http://www.sec.gov/Archives/edgar/data/1534126/000110465919023101/0001104659-19-023101-index.htm" TargetMode="External"/><Relationship Id="rId98" Type="http://schemas.openxmlformats.org/officeDocument/2006/relationships/hyperlink" Target="http://www.sec.gov/Archives/edgar/data/1534126/000110465919026593/0001104659-19-026593-index.htm" TargetMode="External"/><Relationship Id="rId99" Type="http://schemas.openxmlformats.org/officeDocument/2006/relationships/hyperlink" Target="http://www.sec.gov/Archives/edgar/data/1534126/000110465919028649/0001104659-19-02864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2019-12-02T20:09:26Z</dcterms:created>
  <dcterms:modified xsi:type="dcterms:W3CDTF">2019-12-02T20:09:26Z</dcterms:modified>
</cp:coreProperties>
</file>