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9539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5390" cy="33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419735</wp:posOffset>
            </wp:positionV>
            <wp:extent cx="62953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109220</wp:posOffset>
            </wp:positionV>
            <wp:extent cx="157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spacing w:after="0" w:line="36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20-F</w:t>
      </w:r>
    </w:p>
    <w:p>
      <w:pPr>
        <w:spacing w:after="0" w:line="113"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1120" w:right="280" w:hanging="639"/>
        <w:spacing w:after="0" w:line="247" w:lineRule="auto"/>
        <w:tabs>
          <w:tab w:leader="none" w:pos="11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REGISTRATION STATEMENT PURSUANT TO SECTION 12(b) OR (g) OF THE SECURITIES EXCHANGE ACT OF 1934</w:t>
      </w:r>
    </w:p>
    <w:p>
      <w:pPr>
        <w:spacing w:after="0" w:line="1" w:lineRule="exact"/>
        <w:rPr>
          <w:sz w:val="24"/>
          <w:szCs w:val="24"/>
          <w:color w:val="auto"/>
        </w:rPr>
      </w:pPr>
    </w:p>
    <w:p>
      <w:pPr>
        <w:ind w:left="1120" w:right="160" w:hanging="639"/>
        <w:spacing w:after="0" w:line="247" w:lineRule="auto"/>
        <w:tabs>
          <w:tab w:leader="none" w:pos="11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ind w:left="1120" w:right="200" w:hanging="639"/>
        <w:spacing w:after="0" w:line="249" w:lineRule="auto"/>
        <w:tabs>
          <w:tab w:leader="none" w:pos="1120"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highlight w:val="black"/>
        </w:rPr>
      </w:pPr>
    </w:p>
    <w:p>
      <w:pPr>
        <w:ind w:left="1120" w:right="60" w:hanging="639"/>
        <w:spacing w:after="0" w:line="255" w:lineRule="auto"/>
        <w:tabs>
          <w:tab w:leader="none" w:pos="1120"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85725</wp:posOffset>
            </wp:positionV>
            <wp:extent cx="157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spacing w:after="0" w:line="324"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GasLog Ltd.</w:t>
      </w:r>
    </w:p>
    <w:p>
      <w:pPr>
        <w:spacing w:after="0" w:line="100"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Not Applicable</w:t>
      </w:r>
    </w:p>
    <w:p>
      <w:pPr>
        <w:spacing w:after="0" w:line="11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(Translation of Company’s name into English)</w:t>
      </w:r>
    </w:p>
    <w:p>
      <w:pPr>
        <w:spacing w:after="0" w:line="23"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Bermuda</w:t>
      </w:r>
    </w:p>
    <w:p>
      <w:pPr>
        <w:spacing w:after="0" w:line="11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(Jurisdiction of incorporation or organization)</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LNG Services Ltd</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69 Akti Miaouli</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18537 Piraeus</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Greece</w:t>
      </w:r>
    </w:p>
    <w:p>
      <w:pPr>
        <w:spacing w:after="0" w:line="1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Alexandros Laios, General Counsel</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GasLog LNG Services Ltd</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69 Akti Miaouli</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18537 Piraeus</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Greece</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Telephone: +30 210 459 1000 Facsimile: +30 210 459 1242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30480</wp:posOffset>
            </wp:positionV>
            <wp:extent cx="6295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1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109220</wp:posOffset>
            </wp:positionV>
            <wp:extent cx="157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3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Title of Each Class</w:t>
            </w:r>
          </w:p>
        </w:tc>
        <w:tc>
          <w:tcPr>
            <w:tcW w:w="3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2"/>
        </w:trPr>
        <w:tc>
          <w:tcPr>
            <w:tcW w:w="37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87"/>
              </w:rPr>
              <w:t>Series A Preference Shares, $0.01 par value per</w:t>
            </w:r>
          </w:p>
        </w:tc>
        <w:tc>
          <w:tcPr>
            <w:tcW w:w="140" w:type="dxa"/>
            <w:vAlign w:val="bottom"/>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r>
      <w:tr>
        <w:trPr>
          <w:trHeight w:val="226"/>
        </w:trPr>
        <w:tc>
          <w:tcPr>
            <w:tcW w:w="38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w:t>
            </w:r>
          </w:p>
        </w:tc>
        <w:tc>
          <w:tcPr>
            <w:tcW w:w="32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GLOG PR A</w:t>
            </w: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FOR WHICH THERE IS A REPORTING OBLIGATION PURSUANT TO SECTION 15(d) OF THE ACT: </w:t>
      </w:r>
      <w:r>
        <w:rPr>
          <w:rFonts w:ascii="Arial" w:cs="Arial" w:eastAsia="Arial" w:hAnsi="Arial"/>
          <w:sz w:val="18"/>
          <w:szCs w:val="18"/>
          <w:color w:val="auto"/>
        </w:rPr>
        <w:t>None</w:t>
      </w:r>
    </w:p>
    <w:p>
      <w:pPr>
        <w:spacing w:after="0" w:line="104" w:lineRule="exact"/>
        <w:rPr>
          <w:sz w:val="24"/>
          <w:szCs w:val="24"/>
          <w:color w:val="auto"/>
        </w:rPr>
      </w:pPr>
    </w:p>
    <w:p>
      <w:pPr>
        <w:ind w:right="220"/>
        <w:spacing w:after="0" w:line="270"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55" w:lineRule="exact"/>
        <w:rPr>
          <w:sz w:val="24"/>
          <w:szCs w:val="24"/>
          <w:color w:val="auto"/>
        </w:rPr>
      </w:pPr>
    </w:p>
    <w:p>
      <w:pPr>
        <w:ind w:right="380"/>
        <w:spacing w:after="0" w:line="270" w:lineRule="auto"/>
        <w:rPr>
          <w:sz w:val="20"/>
          <w:szCs w:val="20"/>
          <w:color w:val="auto"/>
        </w:rPr>
      </w:pPr>
      <w:r>
        <w:rPr>
          <w:rFonts w:ascii="Arial" w:cs="Arial" w:eastAsia="Arial" w:hAnsi="Arial"/>
          <w:sz w:val="18"/>
          <w:szCs w:val="18"/>
          <w:color w:val="auto"/>
        </w:rPr>
        <w:t>As of December 31, 2021, there were 95,389,062 common shares of the Company’s common stock and 4,600,000 Series A Preference Shares issued and outstanding.</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60"/>
          </w:cols>
          <w:pgMar w:left="980" w:top="659" w:right="9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90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9" w:lineRule="exact"/>
        <w:rPr>
          <w:sz w:val="20"/>
          <w:szCs w:val="20"/>
          <w:color w:val="auto"/>
        </w:rPr>
      </w:pPr>
    </w:p>
    <w:p>
      <w:pPr>
        <w:ind w:left="90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0"/>
          <w:szCs w:val="20"/>
          <w:color w:val="auto"/>
        </w:rPr>
      </w:pPr>
    </w:p>
    <w:p>
      <w:pPr>
        <w:ind w:left="90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0"/>
          <w:szCs w:val="20"/>
          <w:color w:val="auto"/>
        </w:rPr>
      </w:pPr>
    </w:p>
    <w:p>
      <w:pPr>
        <w:ind w:left="90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20" w:lineRule="exact"/>
        <w:rPr>
          <w:sz w:val="20"/>
          <w:szCs w:val="20"/>
          <w:color w:val="auto"/>
        </w:rPr>
      </w:pPr>
    </w:p>
    <w:p>
      <w:pPr>
        <w:spacing w:after="0" w:line="207" w:lineRule="exact"/>
        <w:tabs>
          <w:tab w:leader="none" w:pos="2900" w:val="left"/>
          <w:tab w:leader="none" w:pos="5680" w:val="left"/>
          <w:tab w:leader="none" w:pos="7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2" w:lineRule="exact"/>
        <w:rPr>
          <w:sz w:val="20"/>
          <w:szCs w:val="20"/>
          <w:color w:val="auto"/>
        </w:rPr>
      </w:pPr>
    </w:p>
    <w:p>
      <w:pPr>
        <w:ind w:right="420"/>
        <w:spacing w:after="0" w:line="224" w:lineRule="exact"/>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right="120" w:firstLine="7"/>
        <w:spacing w:after="0" w:line="270" w:lineRule="auto"/>
        <w:tabs>
          <w:tab w:leader="none" w:pos="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p>
    <w:p>
      <w:pPr>
        <w:ind w:left="90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59" w:right="999" w:bottom="1440" w:gutter="0" w:footer="0" w:header="0"/>
        </w:sectPr>
      </w:pPr>
    </w:p>
    <w:p>
      <w:pPr>
        <w:spacing w:after="0" w:line="7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42" w:lineRule="exact"/>
        <w:rPr>
          <w:sz w:val="20"/>
          <w:szCs w:val="20"/>
          <w:color w:val="auto"/>
        </w:rPr>
      </w:pPr>
    </w:p>
    <w:p>
      <w:pPr>
        <w:ind w:left="80"/>
        <w:spacing w:after="0" w:line="184" w:lineRule="exact"/>
        <w:rPr>
          <w:sz w:val="20"/>
          <w:szCs w:val="20"/>
          <w:color w:val="auto"/>
        </w:rPr>
      </w:pPr>
      <w:r>
        <w:rPr>
          <w:rFonts w:ascii="Arial" w:cs="Arial" w:eastAsia="Arial" w:hAnsi="Arial"/>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392" w:lineRule="exact"/>
        <w:rPr>
          <w:sz w:val="20"/>
          <w:szCs w:val="20"/>
          <w:color w:val="auto"/>
        </w:rPr>
      </w:pPr>
    </w:p>
    <w:p>
      <w:pPr>
        <w:sectPr>
          <w:pgSz w:w="11900" w:h="16838" w:orient="portrait"/>
          <w:cols w:equalWidth="0" w:num="3">
            <w:col w:w="2320" w:space="720"/>
            <w:col w:w="5560" w:space="720"/>
            <w:col w:w="600"/>
          </w:cols>
          <w:pgMar w:left="980" w:top="659" w:right="999" w:bottom="1440" w:gutter="0" w:footer="0" w:header="0"/>
          <w:type w:val="continuous"/>
        </w:sectPr>
      </w:pPr>
    </w:p>
    <w:p>
      <w:pPr>
        <w:ind w:right="60"/>
        <w:spacing w:after="0" w:line="270"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9" w:lineRule="exact"/>
        <w:rPr>
          <w:sz w:val="20"/>
          <w:szCs w:val="20"/>
          <w:color w:val="auto"/>
        </w:rPr>
      </w:pPr>
    </w:p>
    <w:p>
      <w:pPr>
        <w:ind w:left="8380"/>
        <w:spacing w:after="0" w:line="184" w:lineRule="exact"/>
        <w:rPr>
          <w:sz w:val="20"/>
          <w:szCs w:val="20"/>
          <w:color w:val="auto"/>
        </w:rPr>
      </w:pPr>
      <w:r>
        <w:rPr>
          <w:rFonts w:ascii="Arial" w:cs="Arial" w:eastAsia="Arial" w:hAnsi="Arial"/>
          <w:sz w:val="16"/>
          <w:szCs w:val="16"/>
          <w:color w:val="auto"/>
        </w:rPr>
        <w:t xml:space="preserve">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 </w:t>
      </w:r>
      <w:r>
        <w:rPr>
          <w:rFonts w:ascii="MS PGothic" w:cs="MS PGothic" w:eastAsia="MS PGothic" w:hAnsi="MS PGothic"/>
          <w:sz w:val="16"/>
          <w:szCs w:val="16"/>
          <w:color w:val="auto"/>
        </w:rPr>
        <w:t>☐</w:t>
      </w:r>
    </w:p>
    <w:p>
      <w:pPr>
        <w:spacing w:after="0" w:line="155"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2"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534035</wp:posOffset>
            </wp:positionV>
            <wp:extent cx="62865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6500" cy="254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110490</wp:posOffset>
            </wp:positionV>
            <wp:extent cx="6295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152400</wp:posOffset>
            </wp:positionV>
            <wp:extent cx="629539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5390" cy="3365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0" w:type="dxa"/>
            <w:vAlign w:val="bottom"/>
            <w:gridSpan w:val="8"/>
            <w:vMerge w:val="restart"/>
          </w:tcPr>
          <w:p>
            <w:pPr>
              <w:spacing w:after="0"/>
              <w:rPr>
                <w:rFonts w:ascii="Arial" w:cs="Arial" w:eastAsia="Arial" w:hAnsi="Arial"/>
                <w:sz w:val="16"/>
                <w:szCs w:val="16"/>
                <w:color w:val="0000EE"/>
                <w:w w:val="94"/>
              </w:rPr>
            </w:pPr>
            <w:hyperlink w:anchor="page4">
              <w:r>
                <w:rPr>
                  <w:rFonts w:ascii="Arial" w:cs="Arial" w:eastAsia="Arial" w:hAnsi="Arial"/>
                  <w:sz w:val="16"/>
                  <w:szCs w:val="16"/>
                  <w:color w:val="0000EE"/>
                  <w:w w:val="94"/>
                </w:rPr>
                <w:t>ABOUT THIS REPORT</w:t>
              </w:r>
            </w:hyperlink>
          </w:p>
        </w:tc>
        <w:tc>
          <w:tcPr>
            <w:tcW w:w="7360" w:type="dxa"/>
            <w:vAlign w:val="bottom"/>
            <w:gridSpan w:val="27"/>
            <w:vMerge w:val="restart"/>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0000EE"/>
            </w:tcBorders>
            <w:gridSpan w:val="8"/>
            <w:vMerge w:val="continue"/>
          </w:tcPr>
          <w:p>
            <w:pPr>
              <w:spacing w:after="0"/>
              <w:rPr>
                <w:sz w:val="12"/>
                <w:szCs w:val="12"/>
                <w:color w:val="auto"/>
              </w:rPr>
            </w:pPr>
          </w:p>
        </w:tc>
        <w:tc>
          <w:tcPr>
            <w:tcW w:w="7360" w:type="dxa"/>
            <w:vAlign w:val="bottom"/>
            <w:gridSpan w:val="27"/>
            <w:vMerge w:val="continue"/>
          </w:tcPr>
          <w:p>
            <w:pPr>
              <w:spacing w:after="0"/>
              <w:rPr>
                <w:sz w:val="12"/>
                <w:szCs w:val="12"/>
                <w:color w:val="auto"/>
              </w:rPr>
            </w:pPr>
          </w:p>
        </w:tc>
        <w:tc>
          <w:tcPr>
            <w:tcW w:w="960" w:type="dxa"/>
            <w:vAlign w:val="bottom"/>
          </w:tcPr>
          <w:p>
            <w:pPr>
              <w:jc w:val="right"/>
              <w:spacing w:after="0" w:line="127" w:lineRule="exact"/>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193"/>
        </w:trPr>
        <w:tc>
          <w:tcPr>
            <w:tcW w:w="8960" w:type="dxa"/>
            <w:vAlign w:val="bottom"/>
            <w:gridSpan w:val="3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FORWARD-LOOKING STATEMENTS</w:t>
              </w:r>
            </w:hyperlink>
          </w:p>
        </w:tc>
        <w:tc>
          <w:tcPr>
            <w:tcW w:w="960" w:type="dxa"/>
            <w:vAlign w:val="bottom"/>
          </w:tcPr>
          <w:p>
            <w:pPr>
              <w:jc w:val="right"/>
              <w:spacing w:after="0"/>
              <w:rPr>
                <w:sz w:val="20"/>
                <w:szCs w:val="20"/>
                <w:color w:val="auto"/>
              </w:rPr>
            </w:pPr>
            <w:r>
              <w:rPr>
                <w:rFonts w:ascii="Arial" w:cs="Arial" w:eastAsia="Arial" w:hAnsi="Arial"/>
                <w:sz w:val="16"/>
                <w:szCs w:val="16"/>
                <w:color w:val="auto"/>
              </w:rPr>
              <w:t>v</w:t>
            </w:r>
          </w:p>
        </w:tc>
        <w:tc>
          <w:tcPr>
            <w:tcW w:w="0" w:type="dxa"/>
            <w:vAlign w:val="bottom"/>
          </w:tcPr>
          <w:p>
            <w:pPr>
              <w:spacing w:after="0"/>
              <w:rPr>
                <w:sz w:val="1"/>
                <w:szCs w:val="1"/>
                <w:color w:val="auto"/>
              </w:rPr>
            </w:pPr>
          </w:p>
        </w:tc>
      </w:tr>
      <w:tr>
        <w:trPr>
          <w:trHeight w:val="180"/>
        </w:trPr>
        <w:tc>
          <w:tcPr>
            <w:tcW w:w="900" w:type="dxa"/>
            <w:vAlign w:val="bottom"/>
            <w:tcBorders>
              <w:top w:val="single" w:sz="8" w:color="0000EE"/>
            </w:tcBorders>
            <w:gridSpan w:val="7"/>
          </w:tcPr>
          <w:p>
            <w:pPr>
              <w:spacing w:after="0" w:line="180" w:lineRule="exact"/>
              <w:rPr>
                <w:rFonts w:ascii="Arial" w:cs="Arial" w:eastAsia="Arial" w:hAnsi="Arial"/>
                <w:sz w:val="16"/>
                <w:szCs w:val="16"/>
                <w:color w:val="0000EE"/>
              </w:rPr>
            </w:pPr>
            <w:hyperlink w:anchor="page9">
              <w:r>
                <w:rPr>
                  <w:rFonts w:ascii="Arial" w:cs="Arial" w:eastAsia="Arial" w:hAnsi="Arial"/>
                  <w:sz w:val="16"/>
                  <w:szCs w:val="16"/>
                  <w:color w:val="0000EE"/>
                </w:rPr>
                <w:t>PART I</w:t>
              </w:r>
            </w:hyperlink>
          </w:p>
        </w:tc>
        <w:tc>
          <w:tcPr>
            <w:tcW w:w="7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 w:type="dxa"/>
            <w:vAlign w:val="bottom"/>
            <w:gridSpan w:val="3"/>
          </w:tcPr>
          <w:p>
            <w:pPr>
              <w:spacing w:after="0" w:line="180" w:lineRule="exact"/>
              <w:rPr>
                <w:rFonts w:ascii="Arial" w:cs="Arial" w:eastAsia="Arial" w:hAnsi="Arial"/>
                <w:sz w:val="16"/>
                <w:szCs w:val="16"/>
                <w:color w:val="0000EE"/>
                <w:w w:val="96"/>
              </w:rPr>
            </w:pPr>
            <w:hyperlink w:anchor="page9">
              <w:r>
                <w:rPr>
                  <w:rFonts w:ascii="Arial" w:cs="Arial" w:eastAsia="Arial" w:hAnsi="Arial"/>
                  <w:sz w:val="16"/>
                  <w:szCs w:val="16"/>
                  <w:color w:val="0000EE"/>
                  <w:w w:val="96"/>
                </w:rPr>
                <w:t>ITEM 1.</w:t>
              </w:r>
            </w:hyperlink>
          </w:p>
        </w:tc>
        <w:tc>
          <w:tcPr>
            <w:tcW w:w="340" w:type="dxa"/>
            <w:vAlign w:val="bottom"/>
            <w:gridSpan w:val="4"/>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9">
              <w:r>
                <w:rPr>
                  <w:rFonts w:ascii="Arial" w:cs="Arial" w:eastAsia="Arial" w:hAnsi="Arial"/>
                  <w:sz w:val="16"/>
                  <w:szCs w:val="16"/>
                  <w:color w:val="0000EE"/>
                </w:rPr>
                <w:t>IDENTITY OF DIRECTORS, SENIOR MANAGEMENT AND ADVISERS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560" w:type="dxa"/>
            <w:vAlign w:val="bottom"/>
            <w:tcBorders>
              <w:top w:val="single" w:sz="8" w:color="0000EE"/>
              <w:bottom w:val="single" w:sz="8" w:color="0000EE"/>
            </w:tcBorders>
            <w:gridSpan w:val="3"/>
          </w:tcPr>
          <w:p>
            <w:pPr>
              <w:spacing w:after="0" w:line="180" w:lineRule="exact"/>
              <w:rPr>
                <w:rFonts w:ascii="Arial" w:cs="Arial" w:eastAsia="Arial" w:hAnsi="Arial"/>
                <w:sz w:val="16"/>
                <w:szCs w:val="16"/>
                <w:color w:val="0000EE"/>
                <w:w w:val="96"/>
              </w:rPr>
            </w:pPr>
            <w:hyperlink w:anchor="page9">
              <w:r>
                <w:rPr>
                  <w:rFonts w:ascii="Arial" w:cs="Arial" w:eastAsia="Arial" w:hAnsi="Arial"/>
                  <w:sz w:val="16"/>
                  <w:szCs w:val="16"/>
                  <w:color w:val="0000EE"/>
                  <w:w w:val="96"/>
                </w:rPr>
                <w:t>ITEM 2.</w:t>
              </w:r>
            </w:hyperlink>
          </w:p>
        </w:tc>
        <w:tc>
          <w:tcPr>
            <w:tcW w:w="340" w:type="dxa"/>
            <w:vAlign w:val="bottom"/>
            <w:gridSpan w:val="4"/>
          </w:tcPr>
          <w:p>
            <w:pPr>
              <w:spacing w:after="0"/>
              <w:rPr>
                <w:sz w:val="15"/>
                <w:szCs w:val="15"/>
                <w:color w:val="auto"/>
              </w:rPr>
            </w:pPr>
          </w:p>
        </w:tc>
        <w:tc>
          <w:tcPr>
            <w:tcW w:w="3580" w:type="dxa"/>
            <w:vAlign w:val="bottom"/>
            <w:tcBorders>
              <w:top w:val="single" w:sz="8" w:color="0000EE"/>
              <w:bottom w:val="single" w:sz="8" w:color="0000EE"/>
            </w:tcBorders>
            <w:gridSpan w:val="16"/>
          </w:tcPr>
          <w:p>
            <w:pPr>
              <w:spacing w:after="0" w:line="180" w:lineRule="exact"/>
              <w:rPr>
                <w:rFonts w:ascii="Arial" w:cs="Arial" w:eastAsia="Arial" w:hAnsi="Arial"/>
                <w:sz w:val="16"/>
                <w:szCs w:val="16"/>
                <w:color w:val="0000EE"/>
                <w:w w:val="95"/>
              </w:rPr>
            </w:pPr>
            <w:hyperlink w:anchor="page9">
              <w:r>
                <w:rPr>
                  <w:rFonts w:ascii="Arial" w:cs="Arial" w:eastAsia="Arial" w:hAnsi="Arial"/>
                  <w:sz w:val="16"/>
                  <w:szCs w:val="16"/>
                  <w:color w:val="0000EE"/>
                  <w:w w:val="95"/>
                </w:rPr>
                <w:t>OFFER STATISTICS AND EXPECTED TIMETABLE</w:t>
              </w:r>
            </w:hyperlink>
          </w:p>
        </w:tc>
        <w:tc>
          <w:tcPr>
            <w:tcW w:w="1400" w:type="dxa"/>
            <w:vAlign w:val="bottom"/>
            <w:tcBorders>
              <w:top w:val="single" w:sz="8" w:color="0000EE"/>
            </w:tcBorders>
            <w:gridSpan w:val="7"/>
          </w:tcPr>
          <w:p>
            <w:pPr>
              <w:spacing w:after="0"/>
              <w:rPr>
                <w:sz w:val="15"/>
                <w:szCs w:val="15"/>
                <w:color w:val="auto"/>
              </w:rPr>
            </w:pPr>
          </w:p>
        </w:tc>
        <w:tc>
          <w:tcPr>
            <w:tcW w:w="3080" w:type="dxa"/>
            <w:vAlign w:val="bottom"/>
            <w:gridSpan w:val="5"/>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560" w:type="dxa"/>
            <w:vAlign w:val="bottom"/>
            <w:tcBorders>
              <w:bottom w:val="single" w:sz="8" w:color="0000EE"/>
            </w:tcBorders>
            <w:gridSpan w:val="3"/>
          </w:tcPr>
          <w:p>
            <w:pPr>
              <w:spacing w:after="0" w:line="180" w:lineRule="exact"/>
              <w:rPr>
                <w:rFonts w:ascii="Arial" w:cs="Arial" w:eastAsia="Arial" w:hAnsi="Arial"/>
                <w:sz w:val="16"/>
                <w:szCs w:val="16"/>
                <w:color w:val="0000EE"/>
                <w:w w:val="96"/>
              </w:rPr>
            </w:pPr>
            <w:hyperlink w:anchor="page9">
              <w:r>
                <w:rPr>
                  <w:rFonts w:ascii="Arial" w:cs="Arial" w:eastAsia="Arial" w:hAnsi="Arial"/>
                  <w:sz w:val="16"/>
                  <w:szCs w:val="16"/>
                  <w:color w:val="0000EE"/>
                  <w:w w:val="96"/>
                </w:rPr>
                <w:t>ITEM 3.</w:t>
              </w:r>
            </w:hyperlink>
          </w:p>
        </w:tc>
        <w:tc>
          <w:tcPr>
            <w:tcW w:w="340" w:type="dxa"/>
            <w:vAlign w:val="bottom"/>
            <w:gridSpan w:val="4"/>
          </w:tcPr>
          <w:p>
            <w:pPr>
              <w:spacing w:after="0"/>
              <w:rPr>
                <w:sz w:val="15"/>
                <w:szCs w:val="15"/>
                <w:color w:val="auto"/>
              </w:rPr>
            </w:pPr>
          </w:p>
        </w:tc>
        <w:tc>
          <w:tcPr>
            <w:tcW w:w="1480" w:type="dxa"/>
            <w:vAlign w:val="bottom"/>
            <w:tcBorders>
              <w:bottom w:val="single" w:sz="8" w:color="0000EE"/>
            </w:tcBorders>
            <w:gridSpan w:val="5"/>
          </w:tcPr>
          <w:p>
            <w:pPr>
              <w:spacing w:after="0" w:line="180" w:lineRule="exact"/>
              <w:rPr>
                <w:rFonts w:ascii="Arial" w:cs="Arial" w:eastAsia="Arial" w:hAnsi="Arial"/>
                <w:sz w:val="16"/>
                <w:szCs w:val="16"/>
                <w:color w:val="0000EE"/>
                <w:w w:val="98"/>
              </w:rPr>
            </w:pPr>
            <w:hyperlink w:anchor="page9">
              <w:r>
                <w:rPr>
                  <w:rFonts w:ascii="Arial" w:cs="Arial" w:eastAsia="Arial" w:hAnsi="Arial"/>
                  <w:sz w:val="16"/>
                  <w:szCs w:val="16"/>
                  <w:color w:val="0000EE"/>
                  <w:w w:val="98"/>
                </w:rPr>
                <w:t>KEY INFORMATION</w:t>
              </w:r>
            </w:hyperlink>
          </w:p>
        </w:tc>
        <w:tc>
          <w:tcPr>
            <w:tcW w:w="6580" w:type="dxa"/>
            <w:vAlign w:val="bottom"/>
            <w:gridSpan w:val="23"/>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560" w:type="dxa"/>
            <w:vAlign w:val="bottom"/>
            <w:tcBorders>
              <w:bottom w:val="single" w:sz="8" w:color="0000EE"/>
            </w:tcBorders>
            <w:gridSpan w:val="3"/>
          </w:tcPr>
          <w:p>
            <w:pPr>
              <w:spacing w:after="0" w:line="180" w:lineRule="exact"/>
              <w:rPr>
                <w:rFonts w:ascii="Arial" w:cs="Arial" w:eastAsia="Arial" w:hAnsi="Arial"/>
                <w:sz w:val="16"/>
                <w:szCs w:val="16"/>
                <w:color w:val="0000EE"/>
                <w:w w:val="96"/>
              </w:rPr>
            </w:pPr>
            <w:hyperlink w:anchor="page39">
              <w:r>
                <w:rPr>
                  <w:rFonts w:ascii="Arial" w:cs="Arial" w:eastAsia="Arial" w:hAnsi="Arial"/>
                  <w:sz w:val="16"/>
                  <w:szCs w:val="16"/>
                  <w:color w:val="0000EE"/>
                  <w:w w:val="96"/>
                </w:rPr>
                <w:t>ITEM 4.</w:t>
              </w:r>
            </w:hyperlink>
          </w:p>
        </w:tc>
        <w:tc>
          <w:tcPr>
            <w:tcW w:w="340" w:type="dxa"/>
            <w:vAlign w:val="bottom"/>
            <w:gridSpan w:val="4"/>
          </w:tcPr>
          <w:p>
            <w:pPr>
              <w:spacing w:after="0"/>
              <w:rPr>
                <w:sz w:val="15"/>
                <w:szCs w:val="15"/>
                <w:color w:val="auto"/>
              </w:rPr>
            </w:pPr>
          </w:p>
        </w:tc>
        <w:tc>
          <w:tcPr>
            <w:tcW w:w="2560" w:type="dxa"/>
            <w:vAlign w:val="bottom"/>
            <w:tcBorders>
              <w:bottom w:val="single" w:sz="8" w:color="0000EE"/>
            </w:tcBorders>
            <w:gridSpan w:val="13"/>
          </w:tcPr>
          <w:p>
            <w:pPr>
              <w:spacing w:after="0" w:line="180" w:lineRule="exact"/>
              <w:rPr>
                <w:rFonts w:ascii="Arial" w:cs="Arial" w:eastAsia="Arial" w:hAnsi="Arial"/>
                <w:sz w:val="16"/>
                <w:szCs w:val="16"/>
                <w:color w:val="0000EE"/>
                <w:w w:val="96"/>
              </w:rPr>
            </w:pPr>
            <w:hyperlink w:anchor="page39">
              <w:r>
                <w:rPr>
                  <w:rFonts w:ascii="Arial" w:cs="Arial" w:eastAsia="Arial" w:hAnsi="Arial"/>
                  <w:sz w:val="16"/>
                  <w:szCs w:val="16"/>
                  <w:color w:val="0000EE"/>
                  <w:w w:val="96"/>
                </w:rPr>
                <w:t>INFORMATION ON THE COMPANY</w:t>
              </w:r>
            </w:hyperlink>
          </w:p>
        </w:tc>
        <w:tc>
          <w:tcPr>
            <w:tcW w:w="5500" w:type="dxa"/>
            <w:vAlign w:val="bottom"/>
            <w:gridSpan w:val="15"/>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0"/>
        </w:trPr>
        <w:tc>
          <w:tcPr>
            <w:tcW w:w="720" w:type="dxa"/>
            <w:vAlign w:val="bottom"/>
            <w:gridSpan w:val="5"/>
          </w:tcPr>
          <w:p>
            <w:pPr>
              <w:spacing w:after="0" w:line="180" w:lineRule="exact"/>
              <w:rPr>
                <w:rFonts w:ascii="Arial" w:cs="Arial" w:eastAsia="Arial" w:hAnsi="Arial"/>
                <w:sz w:val="16"/>
                <w:szCs w:val="16"/>
                <w:color w:val="0000EE"/>
                <w:w w:val="98"/>
              </w:rPr>
            </w:pPr>
            <w:hyperlink w:anchor="page61">
              <w:r>
                <w:rPr>
                  <w:rFonts w:ascii="Arial" w:cs="Arial" w:eastAsia="Arial" w:hAnsi="Arial"/>
                  <w:sz w:val="16"/>
                  <w:szCs w:val="16"/>
                  <w:color w:val="0000EE"/>
                  <w:w w:val="98"/>
                </w:rPr>
                <w:t>ITEM 4.A.</w:t>
              </w:r>
            </w:hyperlink>
          </w:p>
        </w:tc>
        <w:tc>
          <w:tcPr>
            <w:tcW w:w="180" w:type="dxa"/>
            <w:vAlign w:val="bottom"/>
            <w:gridSpan w:val="2"/>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61">
              <w:r>
                <w:rPr>
                  <w:rFonts w:ascii="Arial" w:cs="Arial" w:eastAsia="Arial" w:hAnsi="Arial"/>
                  <w:sz w:val="16"/>
                  <w:szCs w:val="16"/>
                  <w:color w:val="0000EE"/>
                </w:rPr>
                <w:t>UNRESOLVED STAFF COMMENTS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 w:type="dxa"/>
            <w:vAlign w:val="bottom"/>
            <w:tcBorders>
              <w:bottom w:val="single" w:sz="8" w:color="0000EE"/>
            </w:tcBorders>
            <w:gridSpan w:val="3"/>
          </w:tcPr>
          <w:p>
            <w:pPr>
              <w:spacing w:after="0" w:line="180" w:lineRule="exact"/>
              <w:rPr>
                <w:rFonts w:ascii="Arial" w:cs="Arial" w:eastAsia="Arial" w:hAnsi="Arial"/>
                <w:sz w:val="16"/>
                <w:szCs w:val="16"/>
                <w:color w:val="0000EE"/>
                <w:w w:val="96"/>
              </w:rPr>
            </w:pPr>
            <w:hyperlink w:anchor="page61">
              <w:r>
                <w:rPr>
                  <w:rFonts w:ascii="Arial" w:cs="Arial" w:eastAsia="Arial" w:hAnsi="Arial"/>
                  <w:sz w:val="16"/>
                  <w:szCs w:val="16"/>
                  <w:color w:val="0000EE"/>
                  <w:w w:val="96"/>
                </w:rPr>
                <w:t>ITEM 5.</w:t>
              </w:r>
            </w:hyperlink>
          </w:p>
        </w:tc>
        <w:tc>
          <w:tcPr>
            <w:tcW w:w="16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4160" w:type="dxa"/>
            <w:vAlign w:val="bottom"/>
            <w:tcBorders>
              <w:bottom w:val="single" w:sz="8" w:color="0000EE"/>
            </w:tcBorders>
            <w:gridSpan w:val="19"/>
          </w:tcPr>
          <w:p>
            <w:pPr>
              <w:spacing w:after="0" w:line="180" w:lineRule="exact"/>
              <w:rPr>
                <w:rFonts w:ascii="Arial" w:cs="Arial" w:eastAsia="Arial" w:hAnsi="Arial"/>
                <w:sz w:val="16"/>
                <w:szCs w:val="16"/>
                <w:color w:val="0000EE"/>
                <w:w w:val="96"/>
              </w:rPr>
            </w:pPr>
            <w:hyperlink w:anchor="page61">
              <w:r>
                <w:rPr>
                  <w:rFonts w:ascii="Arial" w:cs="Arial" w:eastAsia="Arial" w:hAnsi="Arial"/>
                  <w:sz w:val="16"/>
                  <w:szCs w:val="16"/>
                  <w:color w:val="0000EE"/>
                  <w:w w:val="96"/>
                </w:rPr>
                <w:t>OPERATING AND FINANCIAL REVIEW AND PROSPECTS</w:t>
              </w:r>
            </w:hyperlink>
          </w:p>
        </w:tc>
        <w:tc>
          <w:tcPr>
            <w:tcW w:w="3900" w:type="dxa"/>
            <w:vAlign w:val="bottom"/>
            <w:gridSpan w:val="9"/>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0"/>
        </w:trPr>
        <w:tc>
          <w:tcPr>
            <w:tcW w:w="560" w:type="dxa"/>
            <w:vAlign w:val="bottom"/>
            <w:tcBorders>
              <w:bottom w:val="single" w:sz="8" w:color="0000EE"/>
            </w:tcBorders>
            <w:gridSpan w:val="3"/>
          </w:tcPr>
          <w:p>
            <w:pPr>
              <w:spacing w:after="0" w:line="180" w:lineRule="exact"/>
              <w:rPr>
                <w:rFonts w:ascii="Arial" w:cs="Arial" w:eastAsia="Arial" w:hAnsi="Arial"/>
                <w:sz w:val="16"/>
                <w:szCs w:val="16"/>
                <w:color w:val="0000EE"/>
                <w:w w:val="96"/>
              </w:rPr>
            </w:pPr>
            <w:hyperlink w:anchor="page85">
              <w:r>
                <w:rPr>
                  <w:rFonts w:ascii="Arial" w:cs="Arial" w:eastAsia="Arial" w:hAnsi="Arial"/>
                  <w:sz w:val="16"/>
                  <w:szCs w:val="16"/>
                  <w:color w:val="0000EE"/>
                  <w:w w:val="96"/>
                </w:rPr>
                <w:t>ITEM 6.</w:t>
              </w:r>
            </w:hyperlink>
          </w:p>
        </w:tc>
        <w:tc>
          <w:tcPr>
            <w:tcW w:w="340" w:type="dxa"/>
            <w:vAlign w:val="bottom"/>
            <w:gridSpan w:val="4"/>
          </w:tcPr>
          <w:p>
            <w:pPr>
              <w:spacing w:after="0"/>
              <w:rPr>
                <w:sz w:val="15"/>
                <w:szCs w:val="15"/>
                <w:color w:val="auto"/>
              </w:rPr>
            </w:pPr>
          </w:p>
        </w:tc>
        <w:tc>
          <w:tcPr>
            <w:tcW w:w="4120" w:type="dxa"/>
            <w:vAlign w:val="bottom"/>
            <w:tcBorders>
              <w:bottom w:val="single" w:sz="8" w:color="0000EE"/>
            </w:tcBorders>
            <w:gridSpan w:val="18"/>
          </w:tcPr>
          <w:p>
            <w:pPr>
              <w:spacing w:after="0" w:line="180" w:lineRule="exact"/>
              <w:rPr>
                <w:rFonts w:ascii="Arial" w:cs="Arial" w:eastAsia="Arial" w:hAnsi="Arial"/>
                <w:sz w:val="16"/>
                <w:szCs w:val="16"/>
                <w:color w:val="0000EE"/>
                <w:w w:val="96"/>
              </w:rPr>
            </w:pPr>
            <w:hyperlink w:anchor="page85">
              <w:r>
                <w:rPr>
                  <w:rFonts w:ascii="Arial" w:cs="Arial" w:eastAsia="Arial" w:hAnsi="Arial"/>
                  <w:sz w:val="16"/>
                  <w:szCs w:val="16"/>
                  <w:color w:val="0000EE"/>
                  <w:w w:val="96"/>
                </w:rPr>
                <w:t>DIRECTORS, SENIOR MANAGEMENT AND EMPLOYEES</w:t>
              </w:r>
            </w:hyperlink>
          </w:p>
        </w:tc>
        <w:tc>
          <w:tcPr>
            <w:tcW w:w="3940" w:type="dxa"/>
            <w:vAlign w:val="bottom"/>
            <w:gridSpan w:val="10"/>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0"/>
        </w:trPr>
        <w:tc>
          <w:tcPr>
            <w:tcW w:w="560" w:type="dxa"/>
            <w:vAlign w:val="bottom"/>
            <w:gridSpan w:val="3"/>
          </w:tcPr>
          <w:p>
            <w:pPr>
              <w:spacing w:after="0" w:line="180" w:lineRule="exact"/>
              <w:rPr>
                <w:rFonts w:ascii="Arial" w:cs="Arial" w:eastAsia="Arial" w:hAnsi="Arial"/>
                <w:sz w:val="16"/>
                <w:szCs w:val="16"/>
                <w:color w:val="0000EE"/>
                <w:w w:val="96"/>
              </w:rPr>
            </w:pPr>
            <w:hyperlink w:anchor="page91">
              <w:r>
                <w:rPr>
                  <w:rFonts w:ascii="Arial" w:cs="Arial" w:eastAsia="Arial" w:hAnsi="Arial"/>
                  <w:sz w:val="16"/>
                  <w:szCs w:val="16"/>
                  <w:color w:val="0000EE"/>
                  <w:w w:val="96"/>
                </w:rPr>
                <w:t>ITEM 7.</w:t>
              </w:r>
            </w:hyperlink>
          </w:p>
        </w:tc>
        <w:tc>
          <w:tcPr>
            <w:tcW w:w="340" w:type="dxa"/>
            <w:vAlign w:val="bottom"/>
            <w:gridSpan w:val="4"/>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91">
              <w:r>
                <w:rPr>
                  <w:rFonts w:ascii="Arial" w:cs="Arial" w:eastAsia="Arial" w:hAnsi="Arial"/>
                  <w:sz w:val="16"/>
                  <w:szCs w:val="16"/>
                  <w:color w:val="0000EE"/>
                </w:rPr>
                <w:t>MAJOR SHAREHOLDERS AND RELATED PARTY TRANSACTIONS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0"/>
        </w:trPr>
        <w:tc>
          <w:tcPr>
            <w:tcW w:w="560" w:type="dxa"/>
            <w:vAlign w:val="bottom"/>
            <w:tcBorders>
              <w:top w:val="single" w:sz="8" w:color="0000EE"/>
            </w:tcBorders>
            <w:gridSpan w:val="3"/>
          </w:tcPr>
          <w:p>
            <w:pPr>
              <w:spacing w:after="0" w:line="180" w:lineRule="exact"/>
              <w:rPr>
                <w:rFonts w:ascii="Arial" w:cs="Arial" w:eastAsia="Arial" w:hAnsi="Arial"/>
                <w:sz w:val="16"/>
                <w:szCs w:val="16"/>
                <w:color w:val="0000EE"/>
                <w:w w:val="96"/>
              </w:rPr>
            </w:pPr>
            <w:hyperlink w:anchor="page99">
              <w:r>
                <w:rPr>
                  <w:rFonts w:ascii="Arial" w:cs="Arial" w:eastAsia="Arial" w:hAnsi="Arial"/>
                  <w:sz w:val="16"/>
                  <w:szCs w:val="16"/>
                  <w:color w:val="0000EE"/>
                  <w:w w:val="96"/>
                </w:rPr>
                <w:t>ITEM 8.</w:t>
              </w:r>
            </w:hyperlink>
          </w:p>
        </w:tc>
        <w:tc>
          <w:tcPr>
            <w:tcW w:w="340" w:type="dxa"/>
            <w:vAlign w:val="bottom"/>
            <w:gridSpan w:val="4"/>
          </w:tcPr>
          <w:p>
            <w:pPr>
              <w:spacing w:after="0"/>
              <w:rPr>
                <w:sz w:val="15"/>
                <w:szCs w:val="15"/>
                <w:color w:val="auto"/>
              </w:rPr>
            </w:pPr>
          </w:p>
        </w:tc>
        <w:tc>
          <w:tcPr>
            <w:tcW w:w="4780" w:type="dxa"/>
            <w:vAlign w:val="bottom"/>
            <w:tcBorders>
              <w:top w:val="single" w:sz="8" w:color="0000EE"/>
            </w:tcBorders>
            <w:gridSpan w:val="21"/>
          </w:tcPr>
          <w:p>
            <w:pPr>
              <w:spacing w:after="0" w:line="180" w:lineRule="exact"/>
              <w:rPr>
                <w:rFonts w:ascii="Arial" w:cs="Arial" w:eastAsia="Arial" w:hAnsi="Arial"/>
                <w:sz w:val="16"/>
                <w:szCs w:val="16"/>
                <w:color w:val="0000EE"/>
              </w:rPr>
            </w:pPr>
            <w:hyperlink w:anchor="page99">
              <w:r>
                <w:rPr>
                  <w:rFonts w:ascii="Arial" w:cs="Arial" w:eastAsia="Arial" w:hAnsi="Arial"/>
                  <w:sz w:val="16"/>
                  <w:szCs w:val="16"/>
                  <w:color w:val="0000EE"/>
                </w:rPr>
                <w:t>FINANCIAL INFORMATION</w:t>
              </w:r>
            </w:hyperlink>
          </w:p>
        </w:tc>
        <w:tc>
          <w:tcPr>
            <w:tcW w:w="3280" w:type="dxa"/>
            <w:vAlign w:val="bottom"/>
            <w:gridSpan w:val="7"/>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0"/>
        </w:trPr>
        <w:tc>
          <w:tcPr>
            <w:tcW w:w="560" w:type="dxa"/>
            <w:vAlign w:val="bottom"/>
            <w:tcBorders>
              <w:top w:val="single" w:sz="8" w:color="0000EE"/>
              <w:bottom w:val="single" w:sz="8" w:color="0000EE"/>
            </w:tcBorders>
            <w:gridSpan w:val="3"/>
          </w:tcPr>
          <w:p>
            <w:pPr>
              <w:spacing w:after="0" w:line="180" w:lineRule="exact"/>
              <w:rPr>
                <w:rFonts w:ascii="Arial" w:cs="Arial" w:eastAsia="Arial" w:hAnsi="Arial"/>
                <w:sz w:val="16"/>
                <w:szCs w:val="16"/>
                <w:color w:val="0000EE"/>
                <w:w w:val="96"/>
              </w:rPr>
            </w:pPr>
            <w:hyperlink w:anchor="page100">
              <w:r>
                <w:rPr>
                  <w:rFonts w:ascii="Arial" w:cs="Arial" w:eastAsia="Arial" w:hAnsi="Arial"/>
                  <w:sz w:val="16"/>
                  <w:szCs w:val="16"/>
                  <w:color w:val="0000EE"/>
                  <w:w w:val="96"/>
                </w:rPr>
                <w:t>ITEM 9.</w:t>
              </w:r>
            </w:hyperlink>
          </w:p>
        </w:tc>
        <w:tc>
          <w:tcPr>
            <w:tcW w:w="340" w:type="dxa"/>
            <w:vAlign w:val="bottom"/>
            <w:gridSpan w:val="4"/>
          </w:tcPr>
          <w:p>
            <w:pPr>
              <w:spacing w:after="0"/>
              <w:rPr>
                <w:sz w:val="15"/>
                <w:szCs w:val="15"/>
                <w:color w:val="auto"/>
              </w:rPr>
            </w:pPr>
          </w:p>
        </w:tc>
        <w:tc>
          <w:tcPr>
            <w:tcW w:w="1900" w:type="dxa"/>
            <w:vAlign w:val="bottom"/>
            <w:tcBorders>
              <w:top w:val="single" w:sz="8" w:color="0000EE"/>
              <w:bottom w:val="single" w:sz="8" w:color="0000EE"/>
            </w:tcBorders>
            <w:gridSpan w:val="7"/>
          </w:tcPr>
          <w:p>
            <w:pPr>
              <w:spacing w:after="0" w:line="180" w:lineRule="exact"/>
              <w:rPr>
                <w:rFonts w:ascii="Arial" w:cs="Arial" w:eastAsia="Arial" w:hAnsi="Arial"/>
                <w:sz w:val="16"/>
                <w:szCs w:val="16"/>
                <w:color w:val="0000EE"/>
                <w:w w:val="96"/>
              </w:rPr>
            </w:pPr>
            <w:hyperlink w:anchor="page100">
              <w:r>
                <w:rPr>
                  <w:rFonts w:ascii="Arial" w:cs="Arial" w:eastAsia="Arial" w:hAnsi="Arial"/>
                  <w:sz w:val="16"/>
                  <w:szCs w:val="16"/>
                  <w:color w:val="0000EE"/>
                  <w:w w:val="96"/>
                </w:rPr>
                <w:t>THE OFFER AND LISTING</w:t>
              </w:r>
            </w:hyperlink>
          </w:p>
        </w:tc>
        <w:tc>
          <w:tcPr>
            <w:tcW w:w="100" w:type="dxa"/>
            <w:vAlign w:val="bottom"/>
            <w:tcBorders>
              <w:top w:val="single" w:sz="8" w:color="0000EE"/>
            </w:tcBorders>
            <w:gridSpan w:val="2"/>
          </w:tcPr>
          <w:p>
            <w:pPr>
              <w:spacing w:after="0"/>
              <w:rPr>
                <w:sz w:val="15"/>
                <w:szCs w:val="15"/>
                <w:color w:val="auto"/>
              </w:rPr>
            </w:pPr>
          </w:p>
        </w:tc>
        <w:tc>
          <w:tcPr>
            <w:tcW w:w="6060" w:type="dxa"/>
            <w:vAlign w:val="bottom"/>
            <w:gridSpan w:val="19"/>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0"/>
        </w:trPr>
        <w:tc>
          <w:tcPr>
            <w:tcW w:w="580" w:type="dxa"/>
            <w:vAlign w:val="bottom"/>
            <w:gridSpan w:val="4"/>
          </w:tcPr>
          <w:p>
            <w:pPr>
              <w:spacing w:after="0" w:line="180" w:lineRule="exact"/>
              <w:rPr>
                <w:rFonts w:ascii="Arial" w:cs="Arial" w:eastAsia="Arial" w:hAnsi="Arial"/>
                <w:sz w:val="16"/>
                <w:szCs w:val="16"/>
                <w:color w:val="0000EE"/>
                <w:w w:val="83"/>
              </w:rPr>
            </w:pPr>
            <w:hyperlink w:anchor="page100">
              <w:r>
                <w:rPr>
                  <w:rFonts w:ascii="Arial" w:cs="Arial" w:eastAsia="Arial" w:hAnsi="Arial"/>
                  <w:sz w:val="16"/>
                  <w:szCs w:val="16"/>
                  <w:color w:val="0000EE"/>
                  <w:w w:val="83"/>
                </w:rPr>
                <w:t>ITEM 10.</w:t>
              </w:r>
            </w:hyperlink>
          </w:p>
        </w:tc>
        <w:tc>
          <w:tcPr>
            <w:tcW w:w="320" w:type="dxa"/>
            <w:vAlign w:val="bottom"/>
            <w:gridSpan w:val="3"/>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100">
              <w:r>
                <w:rPr>
                  <w:rFonts w:ascii="Arial" w:cs="Arial" w:eastAsia="Arial" w:hAnsi="Arial"/>
                  <w:sz w:val="16"/>
                  <w:szCs w:val="16"/>
                  <w:color w:val="0000EE"/>
                </w:rPr>
                <w:t>ADDITIONAL INFORMATION</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 w:type="dxa"/>
            <w:vAlign w:val="bottom"/>
            <w:gridSpan w:val="4"/>
          </w:tcPr>
          <w:p>
            <w:pPr>
              <w:spacing w:after="0" w:line="180" w:lineRule="exact"/>
              <w:rPr>
                <w:rFonts w:ascii="Arial" w:cs="Arial" w:eastAsia="Arial" w:hAnsi="Arial"/>
                <w:sz w:val="16"/>
                <w:szCs w:val="16"/>
                <w:color w:val="0000EE"/>
                <w:w w:val="83"/>
              </w:rPr>
            </w:pPr>
            <w:hyperlink w:anchor="page114">
              <w:r>
                <w:rPr>
                  <w:rFonts w:ascii="Arial" w:cs="Arial" w:eastAsia="Arial" w:hAnsi="Arial"/>
                  <w:sz w:val="16"/>
                  <w:szCs w:val="16"/>
                  <w:color w:val="0000EE"/>
                  <w:w w:val="83"/>
                </w:rPr>
                <w:t>ITEM 11.</w:t>
              </w:r>
            </w:hyperlink>
          </w:p>
        </w:tc>
        <w:tc>
          <w:tcPr>
            <w:tcW w:w="320" w:type="dxa"/>
            <w:vAlign w:val="bottom"/>
            <w:gridSpan w:val="3"/>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114">
              <w:r>
                <w:rPr>
                  <w:rFonts w:ascii="Arial" w:cs="Arial" w:eastAsia="Arial" w:hAnsi="Arial"/>
                  <w:sz w:val="16"/>
                  <w:szCs w:val="16"/>
                  <w:color w:val="0000EE"/>
                </w:rPr>
                <w:t>QUANTITATIVE AND QUALITATIVE DISCLOSURES ABOUT MARKET RISK</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0"/>
        </w:trPr>
        <w:tc>
          <w:tcPr>
            <w:tcW w:w="580" w:type="dxa"/>
            <w:vAlign w:val="bottom"/>
            <w:tcBorders>
              <w:top w:val="single" w:sz="8" w:color="0000EE"/>
              <w:bottom w:val="single" w:sz="8" w:color="0000EE"/>
            </w:tcBorders>
            <w:gridSpan w:val="4"/>
          </w:tcPr>
          <w:p>
            <w:pPr>
              <w:spacing w:after="0" w:line="180" w:lineRule="exact"/>
              <w:rPr>
                <w:rFonts w:ascii="Arial" w:cs="Arial" w:eastAsia="Arial" w:hAnsi="Arial"/>
                <w:sz w:val="16"/>
                <w:szCs w:val="16"/>
                <w:color w:val="0000EE"/>
                <w:w w:val="83"/>
              </w:rPr>
            </w:pPr>
            <w:hyperlink w:anchor="page114">
              <w:r>
                <w:rPr>
                  <w:rFonts w:ascii="Arial" w:cs="Arial" w:eastAsia="Arial" w:hAnsi="Arial"/>
                  <w:sz w:val="16"/>
                  <w:szCs w:val="16"/>
                  <w:color w:val="0000EE"/>
                  <w:w w:val="83"/>
                </w:rPr>
                <w:t>ITEM 12.</w:t>
              </w:r>
            </w:hyperlink>
          </w:p>
        </w:tc>
        <w:tc>
          <w:tcPr>
            <w:tcW w:w="320" w:type="dxa"/>
            <w:vAlign w:val="bottom"/>
            <w:gridSpan w:val="3"/>
          </w:tcPr>
          <w:p>
            <w:pPr>
              <w:spacing w:after="0"/>
              <w:rPr>
                <w:sz w:val="15"/>
                <w:szCs w:val="15"/>
                <w:color w:val="auto"/>
              </w:rPr>
            </w:pPr>
          </w:p>
        </w:tc>
        <w:tc>
          <w:tcPr>
            <w:tcW w:w="4880" w:type="dxa"/>
            <w:vAlign w:val="bottom"/>
            <w:tcBorders>
              <w:top w:val="single" w:sz="8" w:color="0000EE"/>
              <w:bottom w:val="single" w:sz="8" w:color="0000EE"/>
            </w:tcBorders>
            <w:gridSpan w:val="22"/>
          </w:tcPr>
          <w:p>
            <w:pPr>
              <w:spacing w:after="0" w:line="180" w:lineRule="exact"/>
              <w:rPr>
                <w:rFonts w:ascii="Arial" w:cs="Arial" w:eastAsia="Arial" w:hAnsi="Arial"/>
                <w:sz w:val="16"/>
                <w:szCs w:val="16"/>
                <w:color w:val="0000EE"/>
                <w:w w:val="95"/>
              </w:rPr>
            </w:pPr>
            <w:hyperlink w:anchor="page114">
              <w:r>
                <w:rPr>
                  <w:rFonts w:ascii="Arial" w:cs="Arial" w:eastAsia="Arial" w:hAnsi="Arial"/>
                  <w:sz w:val="16"/>
                  <w:szCs w:val="16"/>
                  <w:color w:val="0000EE"/>
                  <w:w w:val="95"/>
                </w:rPr>
                <w:t>DESCRIPTION OF SECURITIES OTHER THAN EQUITY SECURITIES</w:t>
              </w:r>
            </w:hyperlink>
          </w:p>
        </w:tc>
        <w:tc>
          <w:tcPr>
            <w:tcW w:w="580" w:type="dxa"/>
            <w:vAlign w:val="bottom"/>
            <w:tcBorders>
              <w:top w:val="single" w:sz="8" w:color="0000EE"/>
            </w:tcBorders>
            <w:gridSpan w:val="2"/>
          </w:tcPr>
          <w:p>
            <w:pPr>
              <w:spacing w:after="0"/>
              <w:rPr>
                <w:sz w:val="15"/>
                <w:szCs w:val="15"/>
                <w:color w:val="auto"/>
              </w:rPr>
            </w:pPr>
          </w:p>
        </w:tc>
        <w:tc>
          <w:tcPr>
            <w:tcW w:w="2600" w:type="dxa"/>
            <w:vAlign w:val="bottom"/>
            <w:gridSpan w:val="4"/>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0"/>
        </w:trPr>
        <w:tc>
          <w:tcPr>
            <w:tcW w:w="540" w:type="dxa"/>
            <w:vAlign w:val="bottom"/>
            <w:tcBorders>
              <w:bottom w:val="single" w:sz="8" w:color="0000EE"/>
            </w:tcBorders>
            <w:gridSpan w:val="2"/>
          </w:tcPr>
          <w:p>
            <w:pPr>
              <w:spacing w:after="0" w:line="180" w:lineRule="exact"/>
              <w:rPr>
                <w:rFonts w:ascii="Arial" w:cs="Arial" w:eastAsia="Arial" w:hAnsi="Arial"/>
                <w:sz w:val="16"/>
                <w:szCs w:val="16"/>
                <w:color w:val="0000EE"/>
                <w:w w:val="92"/>
              </w:rPr>
            </w:pPr>
            <w:hyperlink w:anchor="page114">
              <w:r>
                <w:rPr>
                  <w:rFonts w:ascii="Arial" w:cs="Arial" w:eastAsia="Arial" w:hAnsi="Arial"/>
                  <w:sz w:val="16"/>
                  <w:szCs w:val="16"/>
                  <w:color w:val="0000EE"/>
                  <w:w w:val="92"/>
                </w:rPr>
                <w:t>PART II</w:t>
              </w:r>
            </w:hyperlink>
          </w:p>
        </w:tc>
        <w:tc>
          <w:tcPr>
            <w:tcW w:w="36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0"/>
        </w:trPr>
        <w:tc>
          <w:tcPr>
            <w:tcW w:w="580" w:type="dxa"/>
            <w:vAlign w:val="bottom"/>
            <w:gridSpan w:val="4"/>
          </w:tcPr>
          <w:p>
            <w:pPr>
              <w:spacing w:after="0" w:line="180" w:lineRule="exact"/>
              <w:rPr>
                <w:rFonts w:ascii="Arial" w:cs="Arial" w:eastAsia="Arial" w:hAnsi="Arial"/>
                <w:sz w:val="16"/>
                <w:szCs w:val="16"/>
                <w:color w:val="0000EE"/>
                <w:w w:val="83"/>
              </w:rPr>
            </w:pPr>
            <w:hyperlink w:anchor="page114">
              <w:r>
                <w:rPr>
                  <w:rFonts w:ascii="Arial" w:cs="Arial" w:eastAsia="Arial" w:hAnsi="Arial"/>
                  <w:sz w:val="16"/>
                  <w:szCs w:val="16"/>
                  <w:color w:val="0000EE"/>
                  <w:w w:val="83"/>
                </w:rPr>
                <w:t>ITEM 13.</w:t>
              </w:r>
            </w:hyperlink>
          </w:p>
        </w:tc>
        <w:tc>
          <w:tcPr>
            <w:tcW w:w="320" w:type="dxa"/>
            <w:vAlign w:val="bottom"/>
            <w:gridSpan w:val="3"/>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114">
              <w:r>
                <w:rPr>
                  <w:rFonts w:ascii="Arial" w:cs="Arial" w:eastAsia="Arial" w:hAnsi="Arial"/>
                  <w:sz w:val="16"/>
                  <w:szCs w:val="16"/>
                  <w:color w:val="0000EE"/>
                </w:rPr>
                <w:t>DEFAULTS, DIVIDEND ARREARAGES AND DELINQUENCIES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 w:type="dxa"/>
            <w:vAlign w:val="bottom"/>
            <w:tcBorders>
              <w:bottom w:val="single" w:sz="8" w:color="0000EE"/>
            </w:tcBorders>
            <w:gridSpan w:val="4"/>
          </w:tcPr>
          <w:p>
            <w:pPr>
              <w:spacing w:after="0" w:line="180" w:lineRule="exact"/>
              <w:rPr>
                <w:rFonts w:ascii="Arial" w:cs="Arial" w:eastAsia="Arial" w:hAnsi="Arial"/>
                <w:sz w:val="16"/>
                <w:szCs w:val="16"/>
                <w:color w:val="0000EE"/>
                <w:w w:val="83"/>
              </w:rPr>
            </w:pPr>
            <w:hyperlink w:anchor="page114">
              <w:r>
                <w:rPr>
                  <w:rFonts w:ascii="Arial" w:cs="Arial" w:eastAsia="Arial" w:hAnsi="Arial"/>
                  <w:sz w:val="16"/>
                  <w:szCs w:val="16"/>
                  <w:color w:val="0000EE"/>
                  <w:w w:val="83"/>
                </w:rPr>
                <w:t>ITEM 14.</w:t>
              </w:r>
            </w:hyperlink>
          </w:p>
        </w:tc>
        <w:tc>
          <w:tcPr>
            <w:tcW w:w="320" w:type="dxa"/>
            <w:vAlign w:val="bottom"/>
            <w:gridSpan w:val="3"/>
          </w:tcPr>
          <w:p>
            <w:pPr>
              <w:spacing w:after="0"/>
              <w:rPr>
                <w:sz w:val="15"/>
                <w:szCs w:val="15"/>
                <w:color w:val="auto"/>
              </w:rPr>
            </w:pPr>
          </w:p>
        </w:tc>
        <w:tc>
          <w:tcPr>
            <w:tcW w:w="7000" w:type="dxa"/>
            <w:vAlign w:val="bottom"/>
            <w:tcBorders>
              <w:bottom w:val="single" w:sz="8" w:color="0000EE"/>
            </w:tcBorders>
            <w:gridSpan w:val="27"/>
          </w:tcPr>
          <w:p>
            <w:pPr>
              <w:spacing w:after="0" w:line="180" w:lineRule="exact"/>
              <w:rPr>
                <w:rFonts w:ascii="Arial" w:cs="Arial" w:eastAsia="Arial" w:hAnsi="Arial"/>
                <w:sz w:val="16"/>
                <w:szCs w:val="16"/>
                <w:color w:val="0000EE"/>
                <w:w w:val="95"/>
              </w:rPr>
            </w:pPr>
            <w:hyperlink w:anchor="page114">
              <w:r>
                <w:rPr>
                  <w:rFonts w:ascii="Arial" w:cs="Arial" w:eastAsia="Arial" w:hAnsi="Arial"/>
                  <w:sz w:val="16"/>
                  <w:szCs w:val="16"/>
                  <w:color w:val="0000EE"/>
                  <w:w w:val="95"/>
                </w:rPr>
                <w:t>MATERIAL MODIFICATIONS TO THE RIGHTS OF SECURITY HOLDERS AND USE OF PROCEEDS</w:t>
              </w:r>
            </w:hyperlink>
          </w:p>
        </w:tc>
        <w:tc>
          <w:tcPr>
            <w:tcW w:w="10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0"/>
        </w:trPr>
        <w:tc>
          <w:tcPr>
            <w:tcW w:w="580" w:type="dxa"/>
            <w:vAlign w:val="bottom"/>
            <w:tcBorders>
              <w:bottom w:val="single" w:sz="8" w:color="0000EE"/>
            </w:tcBorders>
            <w:gridSpan w:val="4"/>
          </w:tcPr>
          <w:p>
            <w:pPr>
              <w:spacing w:after="0" w:line="180" w:lineRule="exact"/>
              <w:rPr>
                <w:rFonts w:ascii="Arial" w:cs="Arial" w:eastAsia="Arial" w:hAnsi="Arial"/>
                <w:sz w:val="16"/>
                <w:szCs w:val="16"/>
                <w:color w:val="0000EE"/>
                <w:w w:val="83"/>
              </w:rPr>
            </w:pPr>
            <w:hyperlink w:anchor="page114">
              <w:r>
                <w:rPr>
                  <w:rFonts w:ascii="Arial" w:cs="Arial" w:eastAsia="Arial" w:hAnsi="Arial"/>
                  <w:sz w:val="16"/>
                  <w:szCs w:val="16"/>
                  <w:color w:val="0000EE"/>
                  <w:w w:val="83"/>
                </w:rPr>
                <w:t>ITEM 15.</w:t>
              </w:r>
            </w:hyperlink>
          </w:p>
        </w:tc>
        <w:tc>
          <w:tcPr>
            <w:tcW w:w="320" w:type="dxa"/>
            <w:vAlign w:val="bottom"/>
            <w:gridSpan w:val="3"/>
          </w:tcPr>
          <w:p>
            <w:pPr>
              <w:spacing w:after="0"/>
              <w:rPr>
                <w:sz w:val="15"/>
                <w:szCs w:val="15"/>
                <w:color w:val="auto"/>
              </w:rPr>
            </w:pPr>
          </w:p>
        </w:tc>
        <w:tc>
          <w:tcPr>
            <w:tcW w:w="2320" w:type="dxa"/>
            <w:vAlign w:val="bottom"/>
            <w:tcBorders>
              <w:bottom w:val="single" w:sz="8" w:color="0000EE"/>
            </w:tcBorders>
            <w:gridSpan w:val="11"/>
          </w:tcPr>
          <w:p>
            <w:pPr>
              <w:spacing w:after="0" w:line="180" w:lineRule="exact"/>
              <w:rPr>
                <w:rFonts w:ascii="Arial" w:cs="Arial" w:eastAsia="Arial" w:hAnsi="Arial"/>
                <w:sz w:val="16"/>
                <w:szCs w:val="16"/>
                <w:color w:val="0000EE"/>
                <w:w w:val="94"/>
              </w:rPr>
            </w:pPr>
            <w:hyperlink w:anchor="page114">
              <w:r>
                <w:rPr>
                  <w:rFonts w:ascii="Arial" w:cs="Arial" w:eastAsia="Arial" w:hAnsi="Arial"/>
                  <w:sz w:val="16"/>
                  <w:szCs w:val="16"/>
                  <w:color w:val="0000EE"/>
                  <w:w w:val="94"/>
                </w:rPr>
                <w:t>CONTROLS AND PROCEDURES</w:t>
              </w:r>
            </w:hyperlink>
          </w:p>
        </w:tc>
        <w:tc>
          <w:tcPr>
            <w:tcW w:w="5740" w:type="dxa"/>
            <w:vAlign w:val="bottom"/>
            <w:gridSpan w:val="17"/>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0"/>
        </w:trPr>
        <w:tc>
          <w:tcPr>
            <w:tcW w:w="580" w:type="dxa"/>
            <w:vAlign w:val="bottom"/>
            <w:gridSpan w:val="4"/>
          </w:tcPr>
          <w:p>
            <w:pPr>
              <w:spacing w:after="0" w:line="180" w:lineRule="exact"/>
              <w:rPr>
                <w:rFonts w:ascii="Arial" w:cs="Arial" w:eastAsia="Arial" w:hAnsi="Arial"/>
                <w:sz w:val="16"/>
                <w:szCs w:val="16"/>
                <w:color w:val="0000EE"/>
                <w:w w:val="83"/>
              </w:rPr>
            </w:pPr>
            <w:hyperlink w:anchor="page115">
              <w:r>
                <w:rPr>
                  <w:rFonts w:ascii="Arial" w:cs="Arial" w:eastAsia="Arial" w:hAnsi="Arial"/>
                  <w:sz w:val="16"/>
                  <w:szCs w:val="16"/>
                  <w:color w:val="0000EE"/>
                  <w:w w:val="83"/>
                </w:rPr>
                <w:t>ITEM 16.</w:t>
              </w:r>
            </w:hyperlink>
          </w:p>
        </w:tc>
        <w:tc>
          <w:tcPr>
            <w:tcW w:w="320" w:type="dxa"/>
            <w:vAlign w:val="bottom"/>
            <w:gridSpan w:val="3"/>
          </w:tcPr>
          <w:p>
            <w:pPr>
              <w:spacing w:after="0"/>
              <w:rPr>
                <w:sz w:val="15"/>
                <w:szCs w:val="15"/>
                <w:color w:val="auto"/>
              </w:rPr>
            </w:pPr>
          </w:p>
        </w:tc>
        <w:tc>
          <w:tcPr>
            <w:tcW w:w="8060" w:type="dxa"/>
            <w:vAlign w:val="bottom"/>
            <w:gridSpan w:val="28"/>
          </w:tcPr>
          <w:p>
            <w:pPr>
              <w:spacing w:after="0" w:line="180" w:lineRule="exact"/>
              <w:rPr>
                <w:rFonts w:ascii="Arial" w:cs="Arial" w:eastAsia="Arial" w:hAnsi="Arial"/>
                <w:sz w:val="16"/>
                <w:szCs w:val="16"/>
                <w:color w:val="0000EE"/>
              </w:rPr>
            </w:pPr>
            <w:hyperlink w:anchor="page115">
              <w:r>
                <w:rPr>
                  <w:rFonts w:ascii="Arial" w:cs="Arial" w:eastAsia="Arial" w:hAnsi="Arial"/>
                  <w:sz w:val="16"/>
                  <w:szCs w:val="16"/>
                  <w:color w:val="0000EE"/>
                </w:rPr>
                <w:t>[RESERVED]</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5">
              <w:r>
                <w:rPr>
                  <w:rFonts w:ascii="Arial" w:cs="Arial" w:eastAsia="Arial" w:hAnsi="Arial"/>
                  <w:sz w:val="16"/>
                  <w:szCs w:val="16"/>
                  <w:color w:val="0000EE"/>
                </w:rPr>
                <w:t>ITEM 16.A.  AUDIT COMMITTEE FINANCIAL EXPERT</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5">
              <w:r>
                <w:rPr>
                  <w:rFonts w:ascii="Arial" w:cs="Arial" w:eastAsia="Arial" w:hAnsi="Arial"/>
                  <w:sz w:val="16"/>
                  <w:szCs w:val="16"/>
                  <w:color w:val="0000EE"/>
                </w:rPr>
                <w:t>ITEM 16.B.  CODE OF ETHICS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6">
              <w:r>
                <w:rPr>
                  <w:rFonts w:ascii="Arial" w:cs="Arial" w:eastAsia="Arial" w:hAnsi="Arial"/>
                  <w:sz w:val="16"/>
                  <w:szCs w:val="16"/>
                  <w:color w:val="0000EE"/>
                </w:rPr>
                <w:t>ITEM 16.C.  PRINCIPAL ACCOUNTANT FEES AND SERVICES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7">
              <w:r>
                <w:rPr>
                  <w:rFonts w:ascii="Arial" w:cs="Arial" w:eastAsia="Arial" w:hAnsi="Arial"/>
                  <w:sz w:val="16"/>
                  <w:szCs w:val="16"/>
                  <w:color w:val="0000EE"/>
                </w:rPr>
                <w:t>ITEM 16.D.  EXEMPTIONS FROM THE LISTING STANDARDS FOR AUDIT COMMITTEES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7">
              <w:r>
                <w:rPr>
                  <w:rFonts w:ascii="Arial" w:cs="Arial" w:eastAsia="Arial" w:hAnsi="Arial"/>
                  <w:sz w:val="16"/>
                  <w:szCs w:val="16"/>
                  <w:color w:val="0000EE"/>
                </w:rPr>
                <w:t>ITEM 16.E.  PURCHASES OF EQUITY SECURITIES BY THE ISSUER AND AFFILIATED PURCHASERS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2400" w:type="dxa"/>
            <w:vAlign w:val="bottom"/>
            <w:gridSpan w:val="9"/>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7">
              <w:r>
                <w:rPr>
                  <w:rFonts w:ascii="Arial" w:cs="Arial" w:eastAsia="Arial" w:hAnsi="Arial"/>
                  <w:sz w:val="16"/>
                  <w:szCs w:val="16"/>
                  <w:color w:val="0000EE"/>
                </w:rPr>
                <w:t>ITEM 16.F.  CHANGE IN COMPANY’S CERTIFYING ACCOUNTANT</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410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7">
              <w:r>
                <w:rPr>
                  <w:rFonts w:ascii="Arial" w:cs="Arial" w:eastAsia="Arial" w:hAnsi="Arial"/>
                  <w:sz w:val="16"/>
                  <w:szCs w:val="16"/>
                  <w:color w:val="0000EE"/>
                </w:rPr>
                <w:t>ITEM 16.G.  CORPORATE GOVERNANCE</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18">
              <w:r>
                <w:rPr>
                  <w:rFonts w:ascii="Arial" w:cs="Arial" w:eastAsia="Arial" w:hAnsi="Arial"/>
                  <w:sz w:val="16"/>
                  <w:szCs w:val="16"/>
                  <w:color w:val="0000EE"/>
                </w:rPr>
                <w:t>ITEM 16.H.  MINE SAFETY DISCLOSURE</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0"/>
        </w:trPr>
        <w:tc>
          <w:tcPr>
            <w:tcW w:w="760" w:type="dxa"/>
            <w:vAlign w:val="bottom"/>
            <w:tcBorders>
              <w:top w:val="single" w:sz="8" w:color="0000EE"/>
            </w:tcBorders>
            <w:gridSpan w:val="6"/>
          </w:tcPr>
          <w:p>
            <w:pPr>
              <w:spacing w:after="0" w:line="180" w:lineRule="exact"/>
              <w:rPr>
                <w:rFonts w:ascii="Arial" w:cs="Arial" w:eastAsia="Arial" w:hAnsi="Arial"/>
                <w:sz w:val="16"/>
                <w:szCs w:val="16"/>
                <w:color w:val="0000EE"/>
              </w:rPr>
            </w:pPr>
            <w:hyperlink w:anchor="page119">
              <w:r>
                <w:rPr>
                  <w:rFonts w:ascii="Arial" w:cs="Arial" w:eastAsia="Arial" w:hAnsi="Arial"/>
                  <w:sz w:val="16"/>
                  <w:szCs w:val="16"/>
                  <w:color w:val="0000EE"/>
                </w:rPr>
                <w:t>PART III</w:t>
              </w:r>
            </w:hyperlink>
          </w:p>
        </w:tc>
        <w:tc>
          <w:tcPr>
            <w:tcW w:w="140" w:type="dxa"/>
            <w:vAlign w:val="bottom"/>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 w:type="dxa"/>
            <w:vAlign w:val="bottom"/>
            <w:tcBorders>
              <w:bottom w:val="single" w:sz="8" w:color="0000EE"/>
            </w:tcBorders>
            <w:gridSpan w:val="4"/>
          </w:tcPr>
          <w:p>
            <w:pPr>
              <w:spacing w:after="0" w:line="180" w:lineRule="exact"/>
              <w:rPr>
                <w:rFonts w:ascii="Arial" w:cs="Arial" w:eastAsia="Arial" w:hAnsi="Arial"/>
                <w:sz w:val="16"/>
                <w:szCs w:val="16"/>
                <w:color w:val="0000EE"/>
                <w:w w:val="83"/>
              </w:rPr>
            </w:pPr>
            <w:hyperlink w:anchor="page119">
              <w:r>
                <w:rPr>
                  <w:rFonts w:ascii="Arial" w:cs="Arial" w:eastAsia="Arial" w:hAnsi="Arial"/>
                  <w:sz w:val="16"/>
                  <w:szCs w:val="16"/>
                  <w:color w:val="0000EE"/>
                  <w:w w:val="83"/>
                </w:rPr>
                <w:t>ITEM 17.</w:t>
              </w:r>
            </w:hyperlink>
          </w:p>
        </w:tc>
        <w:tc>
          <w:tcPr>
            <w:tcW w:w="320" w:type="dxa"/>
            <w:vAlign w:val="bottom"/>
            <w:gridSpan w:val="3"/>
          </w:tcPr>
          <w:p>
            <w:pPr>
              <w:spacing w:after="0"/>
              <w:rPr>
                <w:sz w:val="15"/>
                <w:szCs w:val="15"/>
                <w:color w:val="auto"/>
              </w:rPr>
            </w:pPr>
          </w:p>
        </w:tc>
        <w:tc>
          <w:tcPr>
            <w:tcW w:w="1920" w:type="dxa"/>
            <w:vAlign w:val="bottom"/>
            <w:tcBorders>
              <w:bottom w:val="single" w:sz="8" w:color="0000EE"/>
            </w:tcBorders>
            <w:gridSpan w:val="8"/>
          </w:tcPr>
          <w:p>
            <w:pPr>
              <w:spacing w:after="0" w:line="180" w:lineRule="exact"/>
              <w:rPr>
                <w:rFonts w:ascii="Arial" w:cs="Arial" w:eastAsia="Arial" w:hAnsi="Arial"/>
                <w:sz w:val="16"/>
                <w:szCs w:val="16"/>
                <w:color w:val="0000EE"/>
                <w:w w:val="97"/>
              </w:rPr>
            </w:pPr>
            <w:hyperlink w:anchor="page119">
              <w:r>
                <w:rPr>
                  <w:rFonts w:ascii="Arial" w:cs="Arial" w:eastAsia="Arial" w:hAnsi="Arial"/>
                  <w:sz w:val="16"/>
                  <w:szCs w:val="16"/>
                  <w:color w:val="0000EE"/>
                  <w:w w:val="97"/>
                </w:rPr>
                <w:t>FINANCIAL STATEMENTS</w:t>
              </w:r>
            </w:hyperlink>
          </w:p>
        </w:tc>
        <w:tc>
          <w:tcPr>
            <w:tcW w:w="6140" w:type="dxa"/>
            <w:vAlign w:val="bottom"/>
            <w:gridSpan w:val="20"/>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0"/>
        </w:trPr>
        <w:tc>
          <w:tcPr>
            <w:tcW w:w="580" w:type="dxa"/>
            <w:vAlign w:val="bottom"/>
            <w:tcBorders>
              <w:bottom w:val="single" w:sz="8" w:color="0000EE"/>
            </w:tcBorders>
            <w:gridSpan w:val="4"/>
          </w:tcPr>
          <w:p>
            <w:pPr>
              <w:spacing w:after="0" w:line="180" w:lineRule="exact"/>
              <w:rPr>
                <w:rFonts w:ascii="Arial" w:cs="Arial" w:eastAsia="Arial" w:hAnsi="Arial"/>
                <w:sz w:val="16"/>
                <w:szCs w:val="16"/>
                <w:color w:val="0000EE"/>
                <w:w w:val="83"/>
              </w:rPr>
            </w:pPr>
            <w:hyperlink w:anchor="page119">
              <w:r>
                <w:rPr>
                  <w:rFonts w:ascii="Arial" w:cs="Arial" w:eastAsia="Arial" w:hAnsi="Arial"/>
                  <w:sz w:val="16"/>
                  <w:szCs w:val="16"/>
                  <w:color w:val="0000EE"/>
                  <w:w w:val="83"/>
                </w:rPr>
                <w:t>ITEM 18.</w:t>
              </w:r>
            </w:hyperlink>
          </w:p>
        </w:tc>
        <w:tc>
          <w:tcPr>
            <w:tcW w:w="320" w:type="dxa"/>
            <w:vAlign w:val="bottom"/>
            <w:gridSpan w:val="3"/>
          </w:tcPr>
          <w:p>
            <w:pPr>
              <w:spacing w:after="0"/>
              <w:rPr>
                <w:sz w:val="15"/>
                <w:szCs w:val="15"/>
                <w:color w:val="auto"/>
              </w:rPr>
            </w:pPr>
          </w:p>
        </w:tc>
        <w:tc>
          <w:tcPr>
            <w:tcW w:w="1920" w:type="dxa"/>
            <w:vAlign w:val="bottom"/>
            <w:tcBorders>
              <w:bottom w:val="single" w:sz="8" w:color="0000EE"/>
            </w:tcBorders>
            <w:gridSpan w:val="8"/>
          </w:tcPr>
          <w:p>
            <w:pPr>
              <w:spacing w:after="0" w:line="180" w:lineRule="exact"/>
              <w:rPr>
                <w:rFonts w:ascii="Arial" w:cs="Arial" w:eastAsia="Arial" w:hAnsi="Arial"/>
                <w:sz w:val="16"/>
                <w:szCs w:val="16"/>
                <w:color w:val="0000EE"/>
                <w:w w:val="97"/>
              </w:rPr>
            </w:pPr>
            <w:hyperlink w:anchor="page119">
              <w:r>
                <w:rPr>
                  <w:rFonts w:ascii="Arial" w:cs="Arial" w:eastAsia="Arial" w:hAnsi="Arial"/>
                  <w:sz w:val="16"/>
                  <w:szCs w:val="16"/>
                  <w:color w:val="0000EE"/>
                  <w:w w:val="97"/>
                </w:rPr>
                <w:t>FINANCIAL STATEMENTS</w:t>
              </w:r>
            </w:hyperlink>
          </w:p>
        </w:tc>
        <w:tc>
          <w:tcPr>
            <w:tcW w:w="6140" w:type="dxa"/>
            <w:vAlign w:val="bottom"/>
            <w:gridSpan w:val="20"/>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0"/>
        </w:trPr>
        <w:tc>
          <w:tcPr>
            <w:tcW w:w="580" w:type="dxa"/>
            <w:vAlign w:val="bottom"/>
            <w:tcBorders>
              <w:bottom w:val="single" w:sz="8" w:color="0000EE"/>
            </w:tcBorders>
            <w:gridSpan w:val="4"/>
          </w:tcPr>
          <w:p>
            <w:pPr>
              <w:spacing w:after="0" w:line="180" w:lineRule="exact"/>
              <w:rPr>
                <w:rFonts w:ascii="Arial" w:cs="Arial" w:eastAsia="Arial" w:hAnsi="Arial"/>
                <w:sz w:val="16"/>
                <w:szCs w:val="16"/>
                <w:color w:val="0000EE"/>
                <w:w w:val="83"/>
              </w:rPr>
            </w:pPr>
            <w:hyperlink w:anchor="page119">
              <w:r>
                <w:rPr>
                  <w:rFonts w:ascii="Arial" w:cs="Arial" w:eastAsia="Arial" w:hAnsi="Arial"/>
                  <w:sz w:val="16"/>
                  <w:szCs w:val="16"/>
                  <w:color w:val="0000EE"/>
                  <w:w w:val="83"/>
                </w:rPr>
                <w:t>ITEM 19.</w:t>
              </w:r>
            </w:hyperlink>
          </w:p>
        </w:tc>
        <w:tc>
          <w:tcPr>
            <w:tcW w:w="320" w:type="dxa"/>
            <w:vAlign w:val="bottom"/>
            <w:gridSpan w:val="3"/>
          </w:tcPr>
          <w:p>
            <w:pPr>
              <w:spacing w:after="0"/>
              <w:rPr>
                <w:sz w:val="15"/>
                <w:szCs w:val="15"/>
                <w:color w:val="auto"/>
              </w:rPr>
            </w:pPr>
          </w:p>
        </w:tc>
        <w:tc>
          <w:tcPr>
            <w:tcW w:w="740" w:type="dxa"/>
            <w:vAlign w:val="bottom"/>
            <w:tcBorders>
              <w:bottom w:val="single" w:sz="8" w:color="0000EE"/>
            </w:tcBorders>
            <w:gridSpan w:val="2"/>
          </w:tcPr>
          <w:p>
            <w:pPr>
              <w:spacing w:after="0" w:line="180" w:lineRule="exact"/>
              <w:rPr>
                <w:rFonts w:ascii="Arial" w:cs="Arial" w:eastAsia="Arial" w:hAnsi="Arial"/>
                <w:sz w:val="16"/>
                <w:szCs w:val="16"/>
                <w:color w:val="0000EE"/>
                <w:w w:val="98"/>
              </w:rPr>
            </w:pPr>
            <w:hyperlink w:anchor="page119">
              <w:r>
                <w:rPr>
                  <w:rFonts w:ascii="Arial" w:cs="Arial" w:eastAsia="Arial" w:hAnsi="Arial"/>
                  <w:sz w:val="16"/>
                  <w:szCs w:val="16"/>
                  <w:color w:val="0000EE"/>
                  <w:w w:val="98"/>
                </w:rPr>
                <w:t>EXHIBITS</w:t>
              </w:r>
            </w:hyperlink>
          </w:p>
        </w:tc>
        <w:tc>
          <w:tcPr>
            <w:tcW w:w="7320" w:type="dxa"/>
            <w:vAlign w:val="bottom"/>
            <w:gridSpan w:val="26"/>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0"/>
        </w:trPr>
        <w:tc>
          <w:tcPr>
            <w:tcW w:w="8960" w:type="dxa"/>
            <w:vAlign w:val="bottom"/>
            <w:gridSpan w:val="35"/>
          </w:tcPr>
          <w:p>
            <w:pPr>
              <w:spacing w:after="0" w:line="180" w:lineRule="exact"/>
              <w:rPr>
                <w:rFonts w:ascii="Arial" w:cs="Arial" w:eastAsia="Arial" w:hAnsi="Arial"/>
                <w:sz w:val="16"/>
                <w:szCs w:val="16"/>
                <w:color w:val="0000EE"/>
              </w:rPr>
            </w:pPr>
            <w:hyperlink w:anchor="page123">
              <w:r>
                <w:rPr>
                  <w:rFonts w:ascii="Arial" w:cs="Arial" w:eastAsia="Arial" w:hAnsi="Arial"/>
                  <w:sz w:val="16"/>
                  <w:szCs w:val="16"/>
                  <w:color w:val="0000EE"/>
                </w:rPr>
                <w:t>INDEX TO CONSOLIDATED FINANCIAL STATEMENTS</w:t>
              </w:r>
            </w:hyperlink>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ABOUT THIS REPORT</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In this annual report, unless otherwise indicated:</w:t>
      </w:r>
    </w:p>
    <w:p>
      <w:pPr>
        <w:spacing w:after="0" w:line="213" w:lineRule="exact"/>
        <w:rPr>
          <w:sz w:val="20"/>
          <w:szCs w:val="20"/>
          <w:color w:val="auto"/>
        </w:rPr>
      </w:pPr>
    </w:p>
    <w:p>
      <w:pPr>
        <w:ind w:left="680" w:right="200" w:hanging="326"/>
        <w:spacing w:after="0" w:line="255"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107" w:lineRule="exact"/>
        <w:rPr>
          <w:rFonts w:ascii="Arial" w:cs="Arial" w:eastAsia="Arial" w:hAnsi="Arial"/>
          <w:sz w:val="18"/>
          <w:szCs w:val="18"/>
          <w:color w:val="auto"/>
        </w:rPr>
      </w:pPr>
    </w:p>
    <w:p>
      <w:pPr>
        <w:ind w:left="680" w:right="20" w:hanging="326"/>
        <w:spacing w:after="0" w:line="333"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63" w:lineRule="exact"/>
        <w:rPr>
          <w:rFonts w:ascii="Arial" w:cs="Arial" w:eastAsia="Arial" w:hAnsi="Arial"/>
          <w:sz w:val="16"/>
          <w:szCs w:val="16"/>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partner” refers to GasLog Partners GP LLC, the general partner of GasLog Partners;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our wholly owned subsidiary;</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Carriers” refers to GasLog Carriers Ltd., our wholly owned subsidiary;</w:t>
      </w:r>
    </w:p>
    <w:p>
      <w:pPr>
        <w:spacing w:after="0" w:line="153" w:lineRule="exact"/>
        <w:rPr>
          <w:rFonts w:ascii="Arial" w:cs="Arial" w:eastAsia="Arial" w:hAnsi="Arial"/>
          <w:sz w:val="18"/>
          <w:szCs w:val="18"/>
          <w:color w:val="auto"/>
        </w:rPr>
      </w:pPr>
    </w:p>
    <w:p>
      <w:pPr>
        <w:ind w:left="680" w:right="200" w:hanging="326"/>
        <w:spacing w:after="0" w:line="25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23" w:lineRule="exact"/>
        <w:rPr>
          <w:rFonts w:ascii="Arial" w:cs="Arial" w:eastAsia="Arial" w:hAnsi="Arial"/>
          <w:sz w:val="18"/>
          <w:szCs w:val="18"/>
          <w:color w:val="auto"/>
        </w:rPr>
      </w:pPr>
    </w:p>
    <w:p>
      <w:pPr>
        <w:ind w:left="680" w:hanging="326"/>
        <w:spacing w:after="0" w:line="287"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“Merger Agreement”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of GasLog for a purchase price of $5.80 in cash per share (the “Transaction”). Following the consummation of the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shares of GasLog and GEPIF holds approximately 45%;</w:t>
      </w:r>
    </w:p>
    <w:p>
      <w:pPr>
        <w:spacing w:after="0" w:line="87" w:lineRule="exact"/>
        <w:rPr>
          <w:rFonts w:ascii="Arial" w:cs="Arial" w:eastAsia="Arial" w:hAnsi="Arial"/>
          <w:sz w:val="16"/>
          <w:szCs w:val="16"/>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“BlackRock” refers to GEPIF III Crown Bidco L.P.;</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“Blenheim Special” refers to Blenheim Special Investments Holding Ltd.;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“Olympic LNG” refers to Olympic LNG Investments Ltd., a wholly-owned affiliate of the Onassis Foundation;</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“DSME” refers to Daewoo Shipbuilding and Marine Engineering Co., Ltd.;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“Hyundai” refers to Hyundai Heavy Industries Co., Ltd. or any one or more of its subsidiaries;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“TotalEnergies” refers to TotalEnergies Gas &amp; Power Limited, a wholly owned subsidiary of TotalEnergies SE;</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“Cheniere” refers to Cheniere Marketing International LLP, a wholly owned subsidiary of Cheniere Energy, Inc.;</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“Trafigura” refers to Trafigura Maritime Logistics PTE Ltd.;</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60"/>
          </w:cols>
          <w:pgMar w:left="980" w:top="512" w:right="10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“Egypt LNG” refers to Egypt LNG Shipping Ltd.;</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“Gunvor” refers to Clearlake Shipping Pte. Ltd., a wholly owned subsidiary of Gunvor Group Ltd.;</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“Sinolam” refers to Sinolam LNG Terminal, S.A.;</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“Endesa” refers to Endesa S.A.;</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“Jera” refers to LNG Marine Transport Limited, the principal LNG shipping entity of Japan’s Jera Co., Inc.;</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“JOVO” refers to Singapore Carbon Hydrogen Energy Pte. Ltd., a wholly owned subsidiary of JOVO Group;</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“CNTIC VPower” refers to CNTIC VPower Energy Ltd., an independent Chinese energy company;</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“Glencore” refers to ST Shipping &amp; Transport Pte. Ltd., a wholly owned subsidiary of Glencore PLC;</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“ENI” refers to LNG Shipping SpA, a wholly owned subsidiary of ENI SpA.;</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“Naturgy” refers to Naturgy Aprovisionamientos SA.;</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“RWE” refers to RWE Supply and Trading GmBH;</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“Chevron” refers to Chevron Asia Pacific Shipping PTE. Ltd., a wholly owned subsidiary of Chevron Corporation;</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“Sea 190 Leasing” refers to Sea 190 Leasing Co. Limited, an indirectly owned subsidiary of CMB Financial Leasing Co. Ltd.;</w:t>
      </w:r>
    </w:p>
    <w:p>
      <w:pPr>
        <w:spacing w:after="0" w:line="176" w:lineRule="exact"/>
        <w:rPr>
          <w:rFonts w:ascii="Arial" w:cs="Arial" w:eastAsia="Arial" w:hAnsi="Arial"/>
          <w:sz w:val="16"/>
          <w:szCs w:val="16"/>
          <w:color w:val="auto"/>
        </w:rPr>
      </w:pPr>
    </w:p>
    <w:p>
      <w:pPr>
        <w:ind w:left="680" w:right="1060" w:hanging="326"/>
        <w:spacing w:after="0" w:line="27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“Hai Kuo Shipping” refers to Hai Kuo Shipping 2051G Limited, a wholly owned subsidiary of ICBC Financial Leasing Co., Ltd.;</w:t>
      </w:r>
    </w:p>
    <w:p>
      <w:pPr>
        <w:spacing w:after="0" w:line="94"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“CDBL” refers to CL Gas Three Limited, a wholly owned subsidiary of China Development Bank Leasing;</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“ICBC” refers to ICBC Financial Leasing Co. Ltd.;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“Gastrade” refers to Gastrade S.A.;</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“Ceres Shipping” refers to Ceres Shipping Ltd.;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“dollars” and “$” refers to, and amounts are presented in, U.S. dollars;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“FSUs” refers to Floating Storage Units;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“TFDE” refers to tri-fuel diesel electric engine propulsion;</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“Steam” refers to steam turbine propulsion;</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“MEGI” refers to M-type, electronically controlled, gas injection;</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660"/>
          </w:cols>
          <w:pgMar w:left="980" w:top="512" w:right="1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“X-DF” refers to low pressure dual fuel two-stroke engine propulsion manufactured by Winterthur Gas &amp; Diesel; and</w:t>
      </w:r>
    </w:p>
    <w:p>
      <w:pPr>
        <w:spacing w:after="0" w:line="176" w:lineRule="exact"/>
        <w:rPr>
          <w:rFonts w:ascii="Arial" w:cs="Arial" w:eastAsia="Arial" w:hAnsi="Arial"/>
          <w:sz w:val="16"/>
          <w:szCs w:val="16"/>
          <w:color w:val="auto"/>
        </w:rPr>
      </w:pPr>
    </w:p>
    <w:p>
      <w:pPr>
        <w:ind w:left="680" w:hanging="326"/>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“Mitsui” refers to Mitsui &amp; Co., Ltd. and “Lepta Shipping” refers to Lepta Shipping Co., Ltd., a subsidiary of Mitsui.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479"/>
          </w:cols>
          <w:pgMar w:left="980" w:top="512"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ind w:right="20" w:firstLine="320"/>
        <w:spacing w:after="0" w:line="282"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0" w:lineRule="exact"/>
        <w:rPr>
          <w:sz w:val="20"/>
          <w:szCs w:val="20"/>
          <w:color w:val="auto"/>
        </w:rPr>
      </w:pPr>
    </w:p>
    <w:p>
      <w:pPr>
        <w:ind w:left="680" w:right="120" w:hanging="326"/>
        <w:spacing w:after="0" w:line="25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06"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153" w:lineRule="exact"/>
        <w:rPr>
          <w:rFonts w:ascii="Arial" w:cs="Arial" w:eastAsia="Arial" w:hAnsi="Arial"/>
          <w:sz w:val="18"/>
          <w:szCs w:val="18"/>
          <w:color w:val="auto"/>
        </w:rPr>
      </w:pPr>
    </w:p>
    <w:p>
      <w:pPr>
        <w:ind w:left="680" w:right="220" w:hanging="326"/>
        <w:spacing w:after="0" w:line="306"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70" w:lineRule="exact"/>
        <w:rPr>
          <w:rFonts w:ascii="Arial" w:cs="Arial" w:eastAsia="Arial" w:hAnsi="Arial"/>
          <w:sz w:val="16"/>
          <w:szCs w:val="16"/>
          <w:color w:val="auto"/>
        </w:rPr>
      </w:pPr>
    </w:p>
    <w:p>
      <w:pPr>
        <w:ind w:left="680" w:hanging="326"/>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76" w:lineRule="exact"/>
        <w:rPr>
          <w:rFonts w:ascii="Arial" w:cs="Arial" w:eastAsia="Arial" w:hAnsi="Arial"/>
          <w:sz w:val="16"/>
          <w:szCs w:val="16"/>
          <w:color w:val="auto"/>
        </w:rPr>
      </w:pPr>
    </w:p>
    <w:p>
      <w:pPr>
        <w:ind w:left="680" w:right="360" w:hanging="326"/>
        <w:spacing w:after="0" w:line="27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off-hire days and dry-docking requirements including our ability to complete scheduled dry-dockings on time and within budget;</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19" w:lineRule="exact"/>
        <w:rPr>
          <w:rFonts w:ascii="Arial" w:cs="Arial" w:eastAsia="Arial" w:hAnsi="Arial"/>
          <w:sz w:val="18"/>
          <w:szCs w:val="18"/>
          <w:color w:val="auto"/>
        </w:rPr>
      </w:pPr>
    </w:p>
    <w:p>
      <w:pPr>
        <w:ind w:left="680" w:right="480" w:hanging="326"/>
        <w:spacing w:after="0" w:line="27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disruptions resulting from measures taken to reduce the spread of COVID-19, including possible delays due to the quarantine of vessels and crew, as well as government-imposed shutdowns;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76" w:lineRule="exact"/>
        <w:rPr>
          <w:rFonts w:ascii="Arial" w:cs="Arial" w:eastAsia="Arial" w:hAnsi="Arial"/>
          <w:sz w:val="16"/>
          <w:szCs w:val="16"/>
          <w:color w:val="auto"/>
        </w:rPr>
      </w:pPr>
    </w:p>
    <w:p>
      <w:pPr>
        <w:ind w:left="680" w:hanging="326"/>
        <w:spacing w:after="0" w:line="25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06" w:lineRule="exact"/>
        <w:rPr>
          <w:rFonts w:ascii="Arial" w:cs="Arial" w:eastAsia="Arial" w:hAnsi="Arial"/>
          <w:sz w:val="18"/>
          <w:szCs w:val="18"/>
          <w:color w:val="auto"/>
        </w:rPr>
      </w:pPr>
    </w:p>
    <w:p>
      <w:pPr>
        <w:ind w:left="680" w:right="360" w:hanging="326"/>
        <w:spacing w:after="0" w:line="27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153" w:lineRule="exact"/>
        <w:rPr>
          <w:rFonts w:ascii="Arial" w:cs="Arial" w:eastAsia="Arial" w:hAnsi="Arial"/>
          <w:sz w:val="18"/>
          <w:szCs w:val="18"/>
          <w:color w:val="auto"/>
        </w:rPr>
      </w:pPr>
    </w:p>
    <w:p>
      <w:pPr>
        <w:ind w:left="680" w:right="80" w:hanging="326"/>
        <w:spacing w:after="0" w:line="255"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21" w:lineRule="exact"/>
        <w:rPr>
          <w:rFonts w:ascii="Arial" w:cs="Arial" w:eastAsia="Arial" w:hAnsi="Arial"/>
          <w:sz w:val="18"/>
          <w:szCs w:val="18"/>
          <w:color w:val="auto"/>
        </w:rPr>
      </w:pPr>
    </w:p>
    <w:p>
      <w:pPr>
        <w:ind w:left="680" w:hanging="32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disruption of shipping routes due to accidents, diseases, pandemics, political events, piracy or acts by terrorists;</w:t>
      </w:r>
    </w:p>
    <w:p>
      <w:pPr>
        <w:spacing w:after="0" w:line="164" w:lineRule="exact"/>
        <w:rPr>
          <w:rFonts w:ascii="Arial" w:cs="Arial" w:eastAsia="Arial" w:hAnsi="Arial"/>
          <w:sz w:val="17"/>
          <w:szCs w:val="17"/>
          <w:color w:val="auto"/>
        </w:rPr>
      </w:pPr>
    </w:p>
    <w:p>
      <w:pPr>
        <w:ind w:left="680" w:hanging="32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39" w:lineRule="exact"/>
        <w:rPr>
          <w:rFonts w:ascii="Arial" w:cs="Arial" w:eastAsia="Arial" w:hAnsi="Arial"/>
          <w:sz w:val="18"/>
          <w:szCs w:val="18"/>
          <w:color w:val="auto"/>
        </w:rPr>
      </w:pPr>
    </w:p>
    <w:p>
      <w:pPr>
        <w:ind w:left="680" w:right="260" w:hanging="326"/>
        <w:spacing w:after="0" w:line="27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0"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20"/>
          </w:cols>
          <w:pgMar w:left="980" w:top="512" w:right="10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OFFER STATISTICS AND EXPECTED TIMETABLE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tab/>
        <w:t>KEY INFORMATION</w:t>
      </w:r>
    </w:p>
    <w:p>
      <w:pPr>
        <w:spacing w:after="0" w:line="220" w:lineRule="exact"/>
        <w:rPr>
          <w:sz w:val="20"/>
          <w:szCs w:val="20"/>
          <w:color w:val="auto"/>
        </w:rPr>
      </w:pPr>
    </w:p>
    <w:p>
      <w:pPr>
        <w:ind w:left="220" w:hanging="213"/>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19" w:lineRule="exact"/>
        <w:rPr>
          <w:rFonts w:ascii="Arial" w:cs="Arial" w:eastAsia="Arial" w:hAnsi="Arial"/>
          <w:sz w:val="18"/>
          <w:szCs w:val="18"/>
          <w:b w:val="1"/>
          <w:bCs w:val="1"/>
          <w:color w:val="auto"/>
        </w:rPr>
      </w:pPr>
    </w:p>
    <w:p>
      <w:pPr>
        <w:ind w:left="320" w:right="7200" w:hanging="313"/>
        <w:spacing w:after="0" w:line="524" w:lineRule="auto"/>
        <w:tabs>
          <w:tab w:leader="none" w:pos="20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Capitalization and Indebtedness </w:t>
      </w:r>
      <w:r>
        <w:rPr>
          <w:rFonts w:ascii="Arial" w:cs="Arial" w:eastAsia="Arial" w:hAnsi="Arial"/>
          <w:sz w:val="17"/>
          <w:szCs w:val="17"/>
          <w:color w:val="auto"/>
        </w:rPr>
        <w:t>Not applicable.</w:t>
      </w:r>
    </w:p>
    <w:p>
      <w:pPr>
        <w:ind w:left="320" w:right="6440" w:hanging="313"/>
        <w:spacing w:after="0" w:line="495" w:lineRule="auto"/>
        <w:tabs>
          <w:tab w:leader="none" w:pos="21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220" w:hanging="213"/>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4" w:lineRule="exact"/>
        <w:rPr>
          <w:sz w:val="20"/>
          <w:szCs w:val="20"/>
          <w:color w:val="auto"/>
        </w:rPr>
      </w:pPr>
    </w:p>
    <w:p>
      <w:pPr>
        <w:ind w:right="60" w:firstLine="320"/>
        <w:spacing w:after="0" w:line="281" w:lineRule="auto"/>
        <w:rPr>
          <w:sz w:val="20"/>
          <w:szCs w:val="20"/>
          <w:color w:val="auto"/>
        </w:rPr>
      </w:pPr>
      <w:r>
        <w:rPr>
          <w:rFonts w:ascii="Arial" w:cs="Arial" w:eastAsia="Arial" w:hAnsi="Arial"/>
          <w:sz w:val="17"/>
          <w:szCs w:val="17"/>
          <w:color w:val="auto"/>
        </w:rPr>
        <w:t>An investment in our preference shares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LNG Carrier Business</w:t>
      </w:r>
    </w:p>
    <w:p>
      <w:pPr>
        <w:spacing w:after="0" w:line="224" w:lineRule="exact"/>
        <w:rPr>
          <w:sz w:val="20"/>
          <w:szCs w:val="20"/>
          <w:color w:val="auto"/>
        </w:rPr>
      </w:pPr>
    </w:p>
    <w:p>
      <w:pPr>
        <w:ind w:left="680" w:hanging="326"/>
        <w:spacing w:after="0" w:line="255"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face difficulty finding long-term charters for our vessels with similar or better rates than their initial long-term charters,which means that our revenues and cash flows from these vessels may decline. This could have a material adverse effect on our business, results of operations, financial condition and the value of our assets, and could significantly reduce or eliminate our ability to pay dividends on our Preference Shares.</w:t>
      </w:r>
    </w:p>
    <w:p>
      <w:pPr>
        <w:spacing w:after="0" w:line="121" w:lineRule="exact"/>
        <w:rPr>
          <w:rFonts w:ascii="Arial" w:cs="Arial" w:eastAsia="Arial" w:hAnsi="Arial"/>
          <w:sz w:val="18"/>
          <w:szCs w:val="18"/>
          <w:color w:val="auto"/>
        </w:rPr>
      </w:pPr>
    </w:p>
    <w:p>
      <w:pPr>
        <w:ind w:left="680" w:right="120" w:hanging="326"/>
        <w:spacing w:after="0" w:line="281"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w:t>
      </w:r>
    </w:p>
    <w:p>
      <w:pPr>
        <w:spacing w:after="0" w:line="87" w:lineRule="exact"/>
        <w:rPr>
          <w:rFonts w:ascii="Arial" w:cs="Arial" w:eastAsia="Arial" w:hAnsi="Arial"/>
          <w:sz w:val="17"/>
          <w:szCs w:val="17"/>
          <w:color w:val="auto"/>
        </w:rPr>
      </w:pPr>
    </w:p>
    <w:p>
      <w:pPr>
        <w:ind w:left="680" w:right="180" w:hanging="326"/>
        <w:spacing w:after="0" w:line="27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continuing COVID-19 pandemic and the spread of new variants may have further negative effects on the global economy, energy demand and our business.</w:t>
      </w:r>
    </w:p>
    <w:p>
      <w:pPr>
        <w:spacing w:after="0" w:line="108" w:lineRule="exact"/>
        <w:rPr>
          <w:rFonts w:ascii="Arial" w:cs="Arial" w:eastAsia="Arial" w:hAnsi="Arial"/>
          <w:sz w:val="18"/>
          <w:szCs w:val="18"/>
          <w:color w:val="auto"/>
        </w:rPr>
      </w:pPr>
    </w:p>
    <w:p>
      <w:pPr>
        <w:ind w:left="680" w:right="400" w:hanging="326"/>
        <w:spacing w:after="0" w:line="281"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00" w:lineRule="exact"/>
        <w:rPr>
          <w:rFonts w:ascii="Arial" w:cs="Arial" w:eastAsia="Arial" w:hAnsi="Arial"/>
          <w:sz w:val="17"/>
          <w:szCs w:val="17"/>
          <w:color w:val="auto"/>
        </w:rPr>
      </w:pPr>
    </w:p>
    <w:p>
      <w:pPr>
        <w:jc w:val="both"/>
        <w:ind w:left="680" w:hanging="326"/>
        <w:spacing w:after="0" w:line="258"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oversupply of LNG carriers as a result of excessive new speculative ordering in previous years may lead to a reduction in the charter hire rates that we are able to obtain when seeking charters which could adversely affect our results of operations and cash flows.</w:t>
      </w:r>
    </w:p>
    <w:p>
      <w:pPr>
        <w:spacing w:after="0" w:line="106" w:lineRule="exact"/>
        <w:rPr>
          <w:rFonts w:ascii="Arial" w:cs="Arial" w:eastAsia="Arial" w:hAnsi="Arial"/>
          <w:sz w:val="18"/>
          <w:szCs w:val="18"/>
          <w:color w:val="auto"/>
        </w:rPr>
      </w:pPr>
    </w:p>
    <w:p>
      <w:pPr>
        <w:ind w:left="680" w:right="40" w:hanging="326"/>
        <w:spacing w:after="0" w:line="333"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future capital needs are uncertain and we may need to raise additional funds. We must make substantial capital expenditures to fund the four newbuildings we have on order as of March 7, 2022, and any additional ships we may acquire</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60"/>
          </w:cols>
          <w:pgMar w:left="980" w:top="659" w:right="10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560"/>
        <w:spacing w:after="0" w:line="270" w:lineRule="auto"/>
        <w:rPr>
          <w:sz w:val="20"/>
          <w:szCs w:val="20"/>
          <w:color w:val="auto"/>
        </w:rPr>
      </w:pPr>
      <w:r>
        <w:rPr>
          <w:rFonts w:ascii="Arial" w:cs="Arial" w:eastAsia="Arial" w:hAnsi="Arial"/>
          <w:sz w:val="18"/>
          <w:szCs w:val="18"/>
          <w:color w:val="auto"/>
        </w:rPr>
        <w:t>in the future. In addition we cannot guarantee that renewal, replacement or new lines of credit will be available or will be available on similar or more favourable terms.</w:t>
      </w:r>
    </w:p>
    <w:p>
      <w:pPr>
        <w:spacing w:after="0" w:line="108" w:lineRule="exact"/>
        <w:rPr>
          <w:sz w:val="20"/>
          <w:szCs w:val="20"/>
          <w:color w:val="auto"/>
        </w:rPr>
      </w:pPr>
    </w:p>
    <w:p>
      <w:pPr>
        <w:ind w:left="680" w:hanging="326"/>
        <w:spacing w:after="0" w:line="333"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future success depends on our ability to maintain relationships with existing customers, establish new customer relationships and obtain new time charter contracts for existing vessels and/or FSRUs/FSUs, for which we face considerable competition.</w:t>
      </w:r>
    </w:p>
    <w:p>
      <w:pPr>
        <w:spacing w:after="0" w:line="49" w:lineRule="exact"/>
        <w:rPr>
          <w:rFonts w:ascii="Arial" w:cs="Arial" w:eastAsia="Arial" w:hAnsi="Arial"/>
          <w:sz w:val="16"/>
          <w:szCs w:val="16"/>
          <w:color w:val="auto"/>
        </w:rPr>
      </w:pPr>
    </w:p>
    <w:p>
      <w:pPr>
        <w:ind w:left="680" w:right="40" w:hanging="326"/>
        <w:spacing w:after="0" w:line="258"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derive a substantial majority of our contracted revenues from a small number of customers, and the loss of any customer, charter or vessel would result in a significant loss of revenues and could have a material adverse effect on our business, financial condition, results of operations and cash flows.</w:t>
      </w:r>
    </w:p>
    <w:p>
      <w:pPr>
        <w:spacing w:after="0" w:line="119" w:lineRule="exact"/>
        <w:rPr>
          <w:rFonts w:ascii="Arial" w:cs="Arial" w:eastAsia="Arial" w:hAnsi="Arial"/>
          <w:sz w:val="18"/>
          <w:szCs w:val="18"/>
          <w:color w:val="auto"/>
        </w:rPr>
      </w:pPr>
    </w:p>
    <w:p>
      <w:pPr>
        <w:ind w:left="680" w:right="200" w:hanging="326"/>
        <w:spacing w:after="0" w:line="258"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Ship values may fluctuate substantially which may result in impairment charges. A further decline in ship values could impact our compliance with the covenants in our loan agreements and, if the values are lower at a time when we are attempting to dispose of ships, cause us to incur a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Us</w:t>
      </w:r>
    </w:p>
    <w:p>
      <w:pPr>
        <w:spacing w:after="0" w:line="224" w:lineRule="exact"/>
        <w:rPr>
          <w:sz w:val="20"/>
          <w:szCs w:val="20"/>
          <w:color w:val="auto"/>
        </w:rPr>
      </w:pPr>
    </w:p>
    <w:p>
      <w:pPr>
        <w:ind w:left="680" w:right="320" w:hanging="326"/>
        <w:spacing w:after="0" w:line="270"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our lack of diversification, adverse developments in the LNG market and/or in the LNG transportation industry could adversely affect our business.</w:t>
      </w:r>
    </w:p>
    <w:p>
      <w:pPr>
        <w:spacing w:after="0" w:line="108" w:lineRule="exact"/>
        <w:rPr>
          <w:rFonts w:ascii="Arial" w:cs="Arial" w:eastAsia="Arial" w:hAnsi="Arial"/>
          <w:sz w:val="18"/>
          <w:szCs w:val="18"/>
          <w:color w:val="auto"/>
        </w:rPr>
      </w:pPr>
    </w:p>
    <w:p>
      <w:pPr>
        <w:ind w:left="680" w:right="120" w:hanging="326"/>
        <w:spacing w:after="0" w:line="270"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contracts for the four newbuildings we have on order as of March 7, 2022 are subject to risks that could cause delays in the delivery of the ships, which could adversely affect our results of operations and cash flows.</w:t>
      </w:r>
    </w:p>
    <w:p>
      <w:pPr>
        <w:spacing w:after="0" w:line="94" w:lineRule="exact"/>
        <w:rPr>
          <w:rFonts w:ascii="Arial" w:cs="Arial" w:eastAsia="Arial" w:hAnsi="Arial"/>
          <w:sz w:val="18"/>
          <w:szCs w:val="18"/>
          <w:color w:val="auto"/>
        </w:rPr>
      </w:pPr>
    </w:p>
    <w:p>
      <w:pPr>
        <w:ind w:left="680" w:right="60" w:hanging="326"/>
        <w:spacing w:after="0" w:line="258"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we take delivery of our newbuildings or any secondhand ships we may acquire, we will need to expand our staff and crew. If we cannot recruit and retain employees and provide adequate compensation, our business, financial condition, results of operations and cash flows may be adversely affected.</w:t>
      </w:r>
    </w:p>
    <w:p>
      <w:pPr>
        <w:spacing w:after="0" w:line="119" w:lineRule="exact"/>
        <w:rPr>
          <w:rFonts w:ascii="Arial" w:cs="Arial" w:eastAsia="Arial" w:hAnsi="Arial"/>
          <w:sz w:val="18"/>
          <w:szCs w:val="18"/>
          <w:color w:val="auto"/>
        </w:rPr>
      </w:pPr>
    </w:p>
    <w:p>
      <w:pPr>
        <w:ind w:left="680" w:right="120" w:hanging="326"/>
        <w:spacing w:after="0" w:line="258"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and foreclosure on our ships.</w:t>
      </w:r>
    </w:p>
    <w:p>
      <w:pPr>
        <w:spacing w:after="0" w:line="119" w:lineRule="exact"/>
        <w:rPr>
          <w:rFonts w:ascii="Arial" w:cs="Arial" w:eastAsia="Arial" w:hAnsi="Arial"/>
          <w:sz w:val="18"/>
          <w:szCs w:val="18"/>
          <w:color w:val="auto"/>
        </w:rPr>
      </w:pPr>
    </w:p>
    <w:p>
      <w:pPr>
        <w:ind w:left="680" w:right="60" w:hanging="326"/>
        <w:spacing w:after="0" w:line="270"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holding company and we depend on the ability of our subsidiaries, including GasLog Partners, to distribute funds to us in order to satisfy our financial obligations and to make dividend payments.</w:t>
      </w:r>
    </w:p>
    <w:p>
      <w:pPr>
        <w:spacing w:after="0" w:line="94" w:lineRule="exact"/>
        <w:rPr>
          <w:rFonts w:ascii="Arial" w:cs="Arial" w:eastAsia="Arial" w:hAnsi="Arial"/>
          <w:sz w:val="18"/>
          <w:szCs w:val="18"/>
          <w:color w:val="auto"/>
        </w:rPr>
      </w:pPr>
    </w:p>
    <w:p>
      <w:pPr>
        <w:jc w:val="both"/>
        <w:ind w:left="680" w:right="60" w:hanging="326"/>
        <w:spacing w:after="0" w:line="258"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close of the Transaction, our corporate actions are substantially controlled by the Rolling Shareholders, who have the ability to effectively control the outcome of most important corporate matters. The interests of the Rolling Shareholders may be different than yours.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Preference Shares</w:t>
      </w:r>
    </w:p>
    <w:p>
      <w:pPr>
        <w:spacing w:after="0" w:line="224" w:lineRule="exact"/>
        <w:rPr>
          <w:sz w:val="20"/>
          <w:szCs w:val="20"/>
          <w:color w:val="auto"/>
        </w:rPr>
      </w:pPr>
    </w:p>
    <w:p>
      <w:pPr>
        <w:ind w:left="680" w:right="520" w:hanging="326"/>
        <w:spacing w:after="0" w:line="27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Preference Shares are subordinated to our debt obligations and investors’ interests could be diluted by the issuance of additional preference shares and by other transactions.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Holders of our Preference Shares have extremely limited voting rights.</w:t>
      </w:r>
    </w:p>
    <w:p>
      <w:pPr>
        <w:spacing w:after="0" w:line="219" w:lineRule="exact"/>
        <w:rPr>
          <w:rFonts w:ascii="Arial" w:cs="Arial" w:eastAsia="Arial" w:hAnsi="Arial"/>
          <w:sz w:val="18"/>
          <w:szCs w:val="18"/>
          <w:color w:val="auto"/>
        </w:rPr>
      </w:pPr>
    </w:p>
    <w:p>
      <w:pPr>
        <w:ind w:left="680" w:right="360" w:hanging="326"/>
        <w:spacing w:after="0" w:line="27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Preference Shares represent perpetual equity interests and holders have no right to receive any greater payment than the liquidation preference regardless of the circumstances.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60"/>
          </w:cols>
          <w:pgMar w:left="980" w:top="659" w:right="10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LNG Carriers Business</w:t>
      </w:r>
    </w:p>
    <w:p>
      <w:pPr>
        <w:spacing w:after="0" w:line="22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As of March 7, 2022, our owned and bareboat fleet consists of 35 LNG carriers (including the 15 LNG carriers owned and bareboat vessels of GasLog Partners) and four newbuilds. 19 of our ships currently operate under long-term time charters (defined as those with initial duration of more than five years) and 16 ships trade in the short-term spot market (defined as contracts with initial duration of less than five years). On redelivery, the vessels will trade in the short-term spot market unless we are able to secure new long-term charters. Furthermore, advances in LNG carrier technology may negatively impact our ability to recharter the Steam or TFDE vessels at attractive rates and may result in lower levels of utilization.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Preference shares.</w:t>
      </w:r>
    </w:p>
    <w:p>
      <w:pPr>
        <w:spacing w:after="0" w:line="171" w:lineRule="exact"/>
        <w:rPr>
          <w:sz w:val="20"/>
          <w:szCs w:val="20"/>
          <w:color w:val="auto"/>
        </w:rPr>
      </w:pPr>
    </w:p>
    <w:p>
      <w:pPr>
        <w:ind w:right="20" w:firstLine="320"/>
        <w:spacing w:after="0" w:line="255" w:lineRule="auto"/>
        <w:rPr>
          <w:sz w:val="20"/>
          <w:szCs w:val="20"/>
          <w:color w:val="auto"/>
        </w:rPr>
      </w:pPr>
      <w:r>
        <w:rPr>
          <w:rFonts w:ascii="Arial" w:cs="Arial" w:eastAsia="Arial" w:hAnsi="Arial"/>
          <w:sz w:val="18"/>
          <w:szCs w:val="18"/>
          <w:color w:val="auto"/>
        </w:rPr>
        <w:t>19 of our owned and bareboat vessels (including six of the 15 LNG Carriers owned and bareboat vessels of GasLog Partners) and three of our newbuild vessels currently operate or will operate under long-term time charters (defined as those with initial duration of more than five years). 16 of our vessels (including nine vessels owned by GasLog Partners) are currently trading in the short-term spot market (defined as contracts with initial duration of less than five years).</w:t>
      </w:r>
    </w:p>
    <w:p>
      <w:pPr>
        <w:spacing w:after="0" w:line="188"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Six of the vessels (including five vessels owned by GasLog Partners) operating in the short-term spot market are Steam vessels. Our Steam vessels are less efficient and have higher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88" w:lineRule="exact"/>
        <w:rPr>
          <w:sz w:val="20"/>
          <w:szCs w:val="20"/>
          <w:color w:val="auto"/>
        </w:rPr>
      </w:pPr>
    </w:p>
    <w:p>
      <w:pPr>
        <w:ind w:right="160" w:firstLine="320"/>
        <w:spacing w:after="0" w:line="266" w:lineRule="auto"/>
        <w:rPr>
          <w:sz w:val="20"/>
          <w:szCs w:val="20"/>
          <w:color w:val="auto"/>
        </w:rPr>
      </w:pPr>
      <w:r>
        <w:rPr>
          <w:rFonts w:ascii="Arial" w:cs="Arial" w:eastAsia="Arial" w:hAnsi="Arial"/>
          <w:sz w:val="17"/>
          <w:szCs w:val="17"/>
          <w:color w:val="auto"/>
        </w:rPr>
        <w:t>GasLog Partners and GasLog continue to pursue opportunities for new term time charters with third parties for the vessels trading in the spot market but may have difficulty in securing new charters at attractive rates and for multi-year durations. In the interim, we may have increased exposure to the volatile spot market which is highly competitive and subject to significant price fluctuations. In addition, there may be extended periods of idle time between charters. Moreover, any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82" w:lineRule="exact"/>
        <w:rPr>
          <w:sz w:val="20"/>
          <w:szCs w:val="20"/>
          <w:color w:val="auto"/>
        </w:rPr>
      </w:pPr>
    </w:p>
    <w:p>
      <w:pPr>
        <w:ind w:right="340" w:firstLine="320"/>
        <w:spacing w:after="0" w:line="333" w:lineRule="auto"/>
        <w:rPr>
          <w:sz w:val="20"/>
          <w:szCs w:val="20"/>
          <w:color w:val="auto"/>
        </w:rPr>
      </w:pPr>
      <w:r>
        <w:rPr>
          <w:rFonts w:ascii="Arial" w:cs="Arial" w:eastAsia="Arial" w:hAnsi="Arial"/>
          <w:sz w:val="16"/>
          <w:szCs w:val="16"/>
          <w:color w:val="auto"/>
        </w:rPr>
        <w:t>Failure to secure new term charters could adversely affect our future liquidity, results of operations and cash flows, including cash available for dividends to our shareholders, as well as our ability to meet certain of our debt obligations and covenants.</w:t>
      </w:r>
    </w:p>
    <w:p>
      <w:pPr>
        <w:spacing w:after="0" w:line="130" w:lineRule="exact"/>
        <w:rPr>
          <w:sz w:val="20"/>
          <w:szCs w:val="20"/>
          <w:color w:val="auto"/>
        </w:rPr>
      </w:pPr>
    </w:p>
    <w:p>
      <w:pPr>
        <w:ind w:right="40" w:firstLine="320"/>
        <w:spacing w:after="0" w:line="284" w:lineRule="auto"/>
        <w:rPr>
          <w:sz w:val="20"/>
          <w:szCs w:val="20"/>
          <w:color w:val="auto"/>
        </w:rPr>
      </w:pPr>
      <w:r>
        <w:rPr>
          <w:rFonts w:ascii="Arial" w:cs="Arial" w:eastAsia="Arial" w:hAnsi="Arial"/>
          <w:sz w:val="16"/>
          <w:szCs w:val="16"/>
          <w:color w:val="auto"/>
        </w:rPr>
        <w:t>A decline in expected long-term charter rates and employment opportunities, together with uncertainty about the environmental regulations, especially for the older technology vessels, could adversely affect the market value of our vessels, on which certain of the ratios and financial covenants with which we are required to comply are based. A significant decline in the market value of our vessels could impact our compliance with these covenants in our loan agreements and, if the values are lower at a time when we are attempting to dispose of vessels, could cause us to incur a loss. These declines caused the Group to recognize a total non-cash impairment loss of $125.8 million during the year ended December 31, 2021 for its six Steam vessels built in 2006 and 2007 as well as a $16.9 million impairment loss in relation to the sale and leaseback of one of our TFDE vessels. If any of our vessels is unable to generate revenues for any significant period of time for any reason, including unexpected periods of off-hire, early charter termination (which could result from damage to our vessels) or failure to secure employment for any vessels for which we have not secured charters, our business, financial condition, results of operations and cash flows, including cash available for dividends to our shareholders, could be materially and adversely affected. The impact of any limitation in the operation of our vessels or any early</w:t>
      </w:r>
    </w:p>
    <w:p>
      <w:pPr>
        <w:sectPr>
          <w:pgSz w:w="11900" w:h="16838" w:orient="portrait"/>
          <w:cols w:equalWidth="0" w:num="1">
            <w:col w:w="9920"/>
          </w:cols>
          <w:pgMar w:left="980" w:top="659" w:right="9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charter termination would be magnified by the fact that we would still be expending cash to cover the operating costs of the vessel and the costs of servicing the debt on the vessel, if any. If we are unable to re-deploy a vessel, we will not receive any revenues from that vessel and we would be required to pay expenses necessary to maintain the vessel in proper operating condition as well as to service the debt attached to that vessel.</w:t>
      </w:r>
    </w:p>
    <w:p>
      <w:pPr>
        <w:spacing w:after="0" w:line="188"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i w:val="1"/>
          <w:iCs w:val="1"/>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w:t>
      </w:r>
    </w:p>
    <w:p>
      <w:pPr>
        <w:spacing w:after="0" w:line="167" w:lineRule="exact"/>
        <w:rPr>
          <w:sz w:val="20"/>
          <w:szCs w:val="20"/>
          <w:color w:val="auto"/>
        </w:rPr>
      </w:pPr>
    </w:p>
    <w:p>
      <w:pPr>
        <w:ind w:right="60" w:firstLine="320"/>
        <w:spacing w:after="0" w:line="266" w:lineRule="auto"/>
        <w:rPr>
          <w:sz w:val="20"/>
          <w:szCs w:val="20"/>
          <w:color w:val="auto"/>
        </w:rPr>
      </w:pPr>
      <w:r>
        <w:rPr>
          <w:rFonts w:ascii="Arial" w:cs="Arial" w:eastAsia="Arial" w:hAnsi="Arial"/>
          <w:sz w:val="17"/>
          <w:szCs w:val="17"/>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affect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82" w:lineRule="exact"/>
        <w:rPr>
          <w:sz w:val="20"/>
          <w:szCs w:val="20"/>
          <w:color w:val="auto"/>
        </w:rPr>
      </w:pPr>
    </w:p>
    <w:p>
      <w:pPr>
        <w:ind w:right="40" w:firstLine="320"/>
        <w:spacing w:after="0" w:line="292" w:lineRule="auto"/>
        <w:rPr>
          <w:sz w:val="20"/>
          <w:szCs w:val="20"/>
          <w:color w:val="auto"/>
        </w:rPr>
      </w:pPr>
      <w:r>
        <w:rPr>
          <w:rFonts w:ascii="Arial" w:cs="Arial" w:eastAsia="Arial" w:hAnsi="Arial"/>
          <w:sz w:val="16"/>
          <w:szCs w:val="16"/>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162"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(the “IMO”) has become effective, governing ballast water management systems on oceangoing ships. The IMO has also established progressive standards limiting emissions from ships (ratified in the MEPC75) starting from 2023 towards 2030 and 2050 goals. The EU is trying to incorporate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71" w:lineRule="exact"/>
        <w:rPr>
          <w:sz w:val="20"/>
          <w:szCs w:val="20"/>
          <w:color w:val="auto"/>
        </w:rPr>
      </w:pPr>
    </w:p>
    <w:p>
      <w:pPr>
        <w:ind w:firstLine="320"/>
        <w:spacing w:after="0" w:line="292" w:lineRule="auto"/>
        <w:rPr>
          <w:sz w:val="20"/>
          <w:szCs w:val="20"/>
          <w:color w:val="auto"/>
        </w:rPr>
      </w:pPr>
      <w:r>
        <w:rPr>
          <w:rFonts w:ascii="Arial" w:cs="Arial" w:eastAsia="Arial" w:hAnsi="Arial"/>
          <w:sz w:val="16"/>
          <w:szCs w:val="16"/>
          <w:color w:val="auto"/>
        </w:rPr>
        <w:t>The EU’s Taxonomy Regulation establishes an EU framework for the classification of sustainable economic activities with the aim of providing transparency to investors and business as the EU moves towards its 2050 climate neutrality goal. In February 2022, proposed new rules announced by the EU named natural gas and nuclear power generation as “transitional technologies” (provided they meet certain criteria, such as replacing coal plants, and subject to certain limits and phase out periods) and set out new disclosure rules for companies regarding annual reporting about compliance with green criteria. The proposed rules remain subject to EU approval during 2022.</w:t>
      </w:r>
    </w:p>
    <w:p>
      <w:pPr>
        <w:spacing w:after="0" w:line="162" w:lineRule="exact"/>
        <w:rPr>
          <w:sz w:val="20"/>
          <w:szCs w:val="20"/>
          <w:color w:val="auto"/>
        </w:rPr>
      </w:pPr>
    </w:p>
    <w:p>
      <w:pPr>
        <w:ind w:right="40" w:firstLine="320"/>
        <w:spacing w:after="0" w:line="252" w:lineRule="auto"/>
        <w:rPr>
          <w:sz w:val="20"/>
          <w:szCs w:val="20"/>
          <w:color w:val="auto"/>
        </w:rPr>
      </w:pPr>
      <w:r>
        <w:rPr>
          <w:rFonts w:ascii="Arial" w:cs="Arial" w:eastAsia="Arial" w:hAnsi="Arial"/>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90"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60" w:lineRule="exact"/>
        <w:rPr>
          <w:sz w:val="20"/>
          <w:szCs w:val="20"/>
          <w:color w:val="auto"/>
        </w:rPr>
      </w:pPr>
    </w:p>
    <w:p>
      <w:pPr>
        <w:jc w:val="both"/>
        <w:ind w:right="200" w:firstLine="320"/>
        <w:spacing w:after="0" w:line="306" w:lineRule="auto"/>
        <w:rPr>
          <w:sz w:val="20"/>
          <w:szCs w:val="20"/>
          <w:color w:val="auto"/>
        </w:rPr>
      </w:pPr>
      <w:r>
        <w:rPr>
          <w:rFonts w:ascii="Arial" w:cs="Arial" w:eastAsia="Arial" w:hAnsi="Arial"/>
          <w:sz w:val="16"/>
          <w:szCs w:val="16"/>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50" w:lineRule="exact"/>
        <w:rPr>
          <w:sz w:val="20"/>
          <w:szCs w:val="20"/>
          <w:color w:val="auto"/>
        </w:rPr>
      </w:pPr>
    </w:p>
    <w:p>
      <w:pPr>
        <w:jc w:val="both"/>
        <w:ind w:right="60" w:firstLine="320"/>
        <w:spacing w:after="0" w:line="281" w:lineRule="auto"/>
        <w:rPr>
          <w:sz w:val="20"/>
          <w:szCs w:val="20"/>
          <w:color w:val="auto"/>
        </w:rPr>
      </w:pPr>
      <w:r>
        <w:rPr>
          <w:rFonts w:ascii="Arial" w:cs="Arial" w:eastAsia="Arial" w:hAnsi="Arial"/>
          <w:sz w:val="17"/>
          <w:szCs w:val="17"/>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67" w:lineRule="exact"/>
        <w:rPr>
          <w:sz w:val="20"/>
          <w:szCs w:val="20"/>
          <w:color w:val="auto"/>
        </w:rPr>
      </w:pPr>
    </w:p>
    <w:p>
      <w:pPr>
        <w:ind w:right="240" w:firstLine="320"/>
        <w:spacing w:after="0" w:line="270" w:lineRule="auto"/>
        <w:rPr>
          <w:sz w:val="20"/>
          <w:szCs w:val="20"/>
          <w:color w:val="auto"/>
        </w:rPr>
      </w:pPr>
      <w:r>
        <w:rPr>
          <w:rFonts w:ascii="Arial" w:cs="Arial" w:eastAsia="Arial" w:hAnsi="Arial"/>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0"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Due to concern over the risks of climate change, a number of countries and the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or “GHG”,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1" w:lineRule="exact"/>
        <w:rPr>
          <w:sz w:val="20"/>
          <w:szCs w:val="20"/>
          <w:color w:val="auto"/>
        </w:rPr>
      </w:pPr>
    </w:p>
    <w:p>
      <w:pPr>
        <w:ind w:firstLine="320"/>
        <w:spacing w:after="0" w:line="283"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may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are expected to enter into force on November 1, 2022 and will require ships to reduce GHG emissions using technological and operational approaches to improve energy efficiency and that provide important building blocks for future GHG reduction measures.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the cash available for dividends to our shareholders.</w:t>
      </w:r>
    </w:p>
    <w:p>
      <w:pPr>
        <w:spacing w:after="0" w:line="168" w:lineRule="exact"/>
        <w:rPr>
          <w:sz w:val="20"/>
          <w:szCs w:val="20"/>
          <w:color w:val="auto"/>
        </w:rPr>
      </w:pPr>
    </w:p>
    <w:p>
      <w:pPr>
        <w:ind w:right="20" w:firstLine="320"/>
        <w:spacing w:after="0" w:line="271" w:lineRule="auto"/>
        <w:rPr>
          <w:sz w:val="20"/>
          <w:szCs w:val="20"/>
          <w:color w:val="auto"/>
        </w:rPr>
      </w:pPr>
      <w:r>
        <w:rPr>
          <w:rFonts w:ascii="Arial" w:cs="Arial" w:eastAsia="Arial" w:hAnsi="Arial"/>
          <w:sz w:val="17"/>
          <w:szCs w:val="17"/>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i w:val="1"/>
          <w:iCs w:val="1"/>
          <w:color w:val="auto"/>
        </w:rPr>
        <w:t>The continuing COVID-19 pandemic and the spread of new variants may have further negative effects on the global economy, energy demand and our business.</w:t>
      </w:r>
    </w:p>
    <w:p>
      <w:pPr>
        <w:spacing w:after="0" w:line="175" w:lineRule="exact"/>
        <w:rPr>
          <w:sz w:val="20"/>
          <w:szCs w:val="20"/>
          <w:color w:val="auto"/>
        </w:rPr>
      </w:pPr>
    </w:p>
    <w:p>
      <w:pPr>
        <w:ind w:right="220" w:firstLine="320"/>
        <w:spacing w:after="0" w:line="306" w:lineRule="auto"/>
        <w:rPr>
          <w:sz w:val="20"/>
          <w:szCs w:val="20"/>
          <w:color w:val="auto"/>
        </w:rPr>
      </w:pPr>
      <w:r>
        <w:rPr>
          <w:rFonts w:ascii="Arial" w:cs="Arial" w:eastAsia="Arial" w:hAnsi="Arial"/>
          <w:sz w:val="16"/>
          <w:szCs w:val="16"/>
          <w:color w:val="auto"/>
        </w:rPr>
        <w:t>The COVID-19 pandemic introduced uncertainty in a number of areas of our business, including operational, commercial, administrative and financial activities. Initially, it negatively impacted global economic activity and demand for energy, including LNG. As a result of significantly lower demand for oil and refined products and the failure of the principal producers of oil to reduce</w:t>
      </w:r>
    </w:p>
    <w:p>
      <w:pPr>
        <w:sectPr>
          <w:pgSz w:w="11900" w:h="16838" w:orient="portrait"/>
          <w:cols w:equalWidth="0" w:num="1">
            <w:col w:w="9900"/>
          </w:cols>
          <w:pgMar w:left="980" w:top="659" w:right="101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production in line with the fall in demand, oil prices were pressured downward in 2020. Oil prices had recovered by the end of 2020 and continued to recover during 2021 due to oil production cuts, as well as a more favourable economic outlook following the distribution of several COVID-19 vaccines around the world which helped to balance the market. Similarly global natural gas prices were impacted by lower industrial demand at the start of the COVID-19 pandemic, particularly during the second and third quarters 2020, as well as increasing gas production in export markets such as the United States. Although the LNG market improved throughout 2021 and remains on a positive trend, this improvement may not be sustainable in the long-term. In the financial markets, the virus, and the responses of governments around the world to manage the impact of the virus, led to lower interest rates and extreme volatility in the prices of equities, bonds, commodities and their respective derivatives.</w:t>
      </w:r>
    </w:p>
    <w:p>
      <w:pPr>
        <w:spacing w:after="0" w:line="182" w:lineRule="exact"/>
        <w:rPr>
          <w:sz w:val="20"/>
          <w:szCs w:val="20"/>
          <w:color w:val="auto"/>
        </w:rPr>
      </w:pPr>
    </w:p>
    <w:p>
      <w:pPr>
        <w:ind w:right="20" w:firstLine="320"/>
        <w:spacing w:after="0" w:line="267" w:lineRule="auto"/>
        <w:rPr>
          <w:sz w:val="20"/>
          <w:szCs w:val="20"/>
          <w:color w:val="auto"/>
        </w:rPr>
      </w:pPr>
      <w:r>
        <w:rPr>
          <w:rFonts w:ascii="Arial" w:cs="Arial" w:eastAsia="Arial" w:hAnsi="Arial"/>
          <w:sz w:val="17"/>
          <w:szCs w:val="17"/>
          <w:color w:val="auto"/>
        </w:rPr>
        <w:t>The ongoing spread of the COVID-19 virus, and emergence of new variants, may negatively affect our business and operations, the health of our crews and the availability of our fleet, particularly if crew members contract COVID-19, as well as our financial position and prospects. Any future reduction in LNG demand and further closure of, or restricted access to, ports and terminals in regions affected by the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16 of our vessels (including nine vessels owned by GasLog Partners) currently trading in the short-term spot market, any additional exposure to the spot market or extended periods of idle time between charters could adversely affect our future liquidity, results of operations and cash flows.</w:t>
      </w:r>
    </w:p>
    <w:p>
      <w:pPr>
        <w:spacing w:after="0" w:line="182" w:lineRule="exact"/>
        <w:rPr>
          <w:sz w:val="20"/>
          <w:szCs w:val="20"/>
          <w:color w:val="auto"/>
        </w:rPr>
      </w:pPr>
    </w:p>
    <w:p>
      <w:pPr>
        <w:ind w:right="280" w:firstLine="320"/>
        <w:spacing w:after="0" w:line="255" w:lineRule="auto"/>
        <w:rPr>
          <w:sz w:val="20"/>
          <w:szCs w:val="20"/>
          <w:color w:val="auto"/>
        </w:rPr>
      </w:pPr>
      <w:r>
        <w:rPr>
          <w:rFonts w:ascii="Arial" w:cs="Arial" w:eastAsia="Arial" w:hAnsi="Arial"/>
          <w:sz w:val="18"/>
          <w:szCs w:val="18"/>
          <w:color w:val="auto"/>
        </w:rPr>
        <w:t>Additionally, if the COVID-19 pandemic again causes declines in the LNG market this could negatively impact our estimates regarding future charter rates for non-contracted revenue days and the discount rate in our future impairment assessments. This would negatively affect the future carrying values of our vessels, which could cause significant negative impacts on our liquidity and financial condition.</w:t>
      </w:r>
    </w:p>
    <w:p>
      <w:pPr>
        <w:spacing w:after="0" w:line="188" w:lineRule="exact"/>
        <w:rPr>
          <w:sz w:val="20"/>
          <w:szCs w:val="20"/>
          <w:color w:val="auto"/>
        </w:rPr>
      </w:pPr>
    </w:p>
    <w:p>
      <w:pPr>
        <w:ind w:right="160" w:firstLine="320"/>
        <w:spacing w:after="0" w:line="255" w:lineRule="auto"/>
        <w:rPr>
          <w:sz w:val="20"/>
          <w:szCs w:val="20"/>
          <w:color w:val="auto"/>
        </w:rPr>
      </w:pPr>
      <w:r>
        <w:rPr>
          <w:rFonts w:ascii="Arial" w:cs="Arial" w:eastAsia="Arial" w:hAnsi="Arial"/>
          <w:sz w:val="18"/>
          <w:szCs w:val="18"/>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measures may not be sufficient to protect our business against the impact of COVID-19.</w:t>
      </w:r>
    </w:p>
    <w:p>
      <w:pPr>
        <w:spacing w:after="0" w:line="188"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67" w:lineRule="exact"/>
        <w:rPr>
          <w:sz w:val="20"/>
          <w:szCs w:val="20"/>
          <w:color w:val="auto"/>
        </w:rPr>
      </w:pPr>
    </w:p>
    <w:p>
      <w:pPr>
        <w:ind w:right="20" w:firstLine="320"/>
        <w:spacing w:after="0" w:line="286" w:lineRule="auto"/>
        <w:rPr>
          <w:sz w:val="20"/>
          <w:szCs w:val="20"/>
          <w:color w:val="auto"/>
        </w:rPr>
      </w:pPr>
      <w:r>
        <w:rPr>
          <w:rFonts w:ascii="Arial" w:cs="Arial" w:eastAsia="Arial" w:hAnsi="Arial"/>
          <w:sz w:val="16"/>
          <w:szCs w:val="16"/>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In addition, an active short-term or spot charter market may require us to enter into charters on variable rates depending on market prices at the time, as opposed to fixed rates, and may result in extended periods of idle time between charters. These factors could result in a decrease in our revenues and cash flows, including cash available for dividends to shareholders.</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67"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While we currently believe that the global LNG carrier fleet may experience high levels of utilization over the next one to two years, the supply of LNG carriers has been increasing as a result of the ordering and delivery of new ships. Ordering increased significantly in 2018 and 2019, driven by cyclically low shipyard prices for newbuild vessels, the then strengthening of charter rates and increasing expectations for long-term LNG supply and demand. Whilst ordering of newbuildings declined in 2020, with only 35 LNG carriers ordered, 2021 saw a record 82 orders for LNG carriers. According to Poten, as of January 13, 2022, the global trading fleet of conventional LNG carriers (&gt;100,000 cbm) consisted of 582 vessels, with another 151 LNG carriers on order, of which 122 have multi-year charters. Any future expansion of the global LNG carrier fleet in excess of the demand for LNG shipping may have a negative impact on charter hire rates, vessel utilization and vessel values. 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dividends to shareholders, may decline.</w:t>
      </w:r>
    </w:p>
    <w:p>
      <w:pPr>
        <w:sectPr>
          <w:pgSz w:w="11900" w:h="16838" w:orient="portrait"/>
          <w:cols w:equalWidth="0" w:num="1">
            <w:col w:w="9920"/>
          </w:cols>
          <w:pgMar w:left="980" w:top="659" w:right="99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GasLog’s business.</w:t>
      </w:r>
    </w:p>
    <w:p>
      <w:pPr>
        <w:spacing w:after="0" w:line="220" w:lineRule="exact"/>
        <w:rPr>
          <w:sz w:val="20"/>
          <w:szCs w:val="20"/>
          <w:color w:val="auto"/>
        </w:rPr>
      </w:pPr>
    </w:p>
    <w:p>
      <w:pPr>
        <w:ind w:right="40" w:firstLine="320"/>
        <w:spacing w:after="0" w:line="251" w:lineRule="auto"/>
        <w:rPr>
          <w:sz w:val="20"/>
          <w:szCs w:val="20"/>
          <w:color w:val="auto"/>
        </w:rPr>
      </w:pPr>
      <w:r>
        <w:rPr>
          <w:rFonts w:ascii="Arial" w:cs="Arial" w:eastAsia="Arial" w:hAnsi="Arial"/>
          <w:sz w:val="18"/>
          <w:szCs w:val="18"/>
          <w:color w:val="auto"/>
        </w:rPr>
        <w:t>GasLog’s business operations could be targeted by individuals or groups seeking to sabotage or disrupt GasLog’s information technology systems and networks, or to steal data. A cyber-attack could materially disrupt GasLog’s operations, including the safety of its operations, or lead to unauthorized release of information or alteration of information on its systems. Any such attack or other breach of GasLog’s information technology systems could have a material adverse effect on GasLog’s business, financial condition, results of operations and cash flows, including cash available for dividends to our shareholders. While we have insurance policies in place to cover losses in the event of a cyber related event, there can be no assurance that any specific event would be covered by these policies or that the losses would be covered in full.</w:t>
      </w:r>
    </w:p>
    <w:p>
      <w:pPr>
        <w:spacing w:after="0" w:line="193"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Furthermore, any changes to industry standards and regulations may require additional expenses to ensure compliance.</w:t>
      </w:r>
    </w:p>
    <w:p>
      <w:pPr>
        <w:spacing w:after="0" w:line="220"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Additionally, any changes in the nature of cyber threats might require us to adopt additional procedures for monitoring cybersecurity, which could require additional expenses and/or capital expenditures. Most recently, the escalation in conflict between Russia and Ukraine has been accompanied by cyber-attacks against the Ukrainian government and other countries in the region. It is possible that these attacks could have collateral effects on additional critical infrastructure and financial institutions globally, which could adversely affect the Company’s operations. It is difficult to assess the likelihood of such threat and any potential impact at this time.</w:t>
      </w:r>
    </w:p>
    <w:p>
      <w:pPr>
        <w:spacing w:after="0" w:line="162" w:lineRule="exact"/>
        <w:rPr>
          <w:sz w:val="20"/>
          <w:szCs w:val="20"/>
          <w:color w:val="auto"/>
        </w:rPr>
      </w:pPr>
    </w:p>
    <w:p>
      <w:pPr>
        <w:ind w:right="240"/>
        <w:spacing w:after="0" w:line="350" w:lineRule="auto"/>
        <w:rPr>
          <w:sz w:val="20"/>
          <w:szCs w:val="20"/>
          <w:color w:val="auto"/>
        </w:rPr>
      </w:pPr>
      <w:r>
        <w:rPr>
          <w:rFonts w:ascii="Arial" w:cs="Arial" w:eastAsia="Arial" w:hAnsi="Arial"/>
          <w:sz w:val="14"/>
          <w:szCs w:val="14"/>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 Any delay or cost overrun of the dry-docking could have a material adverse effect on our business, results of operations and financial condition and could significantly reduce or eliminate our ability to pay dividends on our Preference shares.</w:t>
      </w:r>
    </w:p>
    <w:p>
      <w:pPr>
        <w:spacing w:after="0" w:line="128" w:lineRule="exact"/>
        <w:rPr>
          <w:sz w:val="20"/>
          <w:szCs w:val="20"/>
          <w:color w:val="auto"/>
        </w:rPr>
      </w:pPr>
    </w:p>
    <w:p>
      <w:pPr>
        <w:ind w:right="80" w:firstLine="320"/>
        <w:spacing w:after="0" w:line="267" w:lineRule="auto"/>
        <w:rPr>
          <w:sz w:val="20"/>
          <w:szCs w:val="20"/>
          <w:color w:val="auto"/>
        </w:rPr>
      </w:pPr>
      <w:r>
        <w:rPr>
          <w:rFonts w:ascii="Arial" w:cs="Arial" w:eastAsia="Arial" w:hAnsi="Arial"/>
          <w:sz w:val="17"/>
          <w:szCs w:val="17"/>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dividends to our shareholders, could be adversely affected. The upcoming dry-dockings of vessels in operation are expected to be carried out in 2022 (one vessel), 2023 (seven vessels), 2024 (four vessels), 2025 (15 vessels) and 2026 (eight vessels).</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We must make substantial capital expenditures to fund the four newbuildings we have on order as of March 7, 2022, and any additional ships we may acquire in the future. In addition we cannot guarantee that renewal, replacement or new lines of credit will be available or will be available on similar or more favourable terms.</w:t>
      </w:r>
    </w:p>
    <w:p>
      <w:pPr>
        <w:spacing w:after="0" w:line="188" w:lineRule="exact"/>
        <w:rPr>
          <w:sz w:val="20"/>
          <w:szCs w:val="20"/>
          <w:color w:val="auto"/>
        </w:rPr>
      </w:pPr>
    </w:p>
    <w:p>
      <w:pPr>
        <w:ind w:right="40" w:firstLine="320"/>
        <w:spacing w:after="0" w:line="274" w:lineRule="auto"/>
        <w:rPr>
          <w:sz w:val="20"/>
          <w:szCs w:val="20"/>
          <w:color w:val="auto"/>
        </w:rPr>
      </w:pPr>
      <w:r>
        <w:rPr>
          <w:rFonts w:ascii="Arial" w:cs="Arial" w:eastAsia="Arial" w:hAnsi="Arial"/>
          <w:sz w:val="17"/>
          <w:szCs w:val="17"/>
          <w:color w:val="auto"/>
        </w:rPr>
        <w:t>We believe that our existing cash and cash equivalents and our operating cash flow will be sufficient to meet our anticipated cash requirements for at least the next 12 months. However, we are obligated to make substantial capital expenditures to fund our commitments for the four newbuildings we have on order. As of December 31, 2021, the total remaining balance of the contract prices for the four vessels under construction was $820.7 million, which amounts are payable under each shipbuilding contract 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installments upon the attainment of certain specified milestones. The largest portion of the purchase price for each vessel is payable upon its delivery to us from the shipyard.</w:t>
      </w:r>
    </w:p>
    <w:p>
      <w:pPr>
        <w:spacing w:after="0" w:line="175" w:lineRule="exact"/>
        <w:rPr>
          <w:sz w:val="20"/>
          <w:szCs w:val="20"/>
          <w:color w:val="auto"/>
        </w:rPr>
      </w:pPr>
    </w:p>
    <w:p>
      <w:pPr>
        <w:ind w:right="60" w:firstLine="320"/>
        <w:spacing w:after="0" w:line="253" w:lineRule="auto"/>
        <w:rPr>
          <w:sz w:val="20"/>
          <w:szCs w:val="20"/>
          <w:color w:val="auto"/>
        </w:rPr>
      </w:pPr>
      <w:r>
        <w:rPr>
          <w:rFonts w:ascii="Arial" w:cs="Arial" w:eastAsia="Arial" w:hAnsi="Arial"/>
          <w:sz w:val="18"/>
          <w:szCs w:val="18"/>
          <w:color w:val="auto"/>
        </w:rPr>
        <w:t>To the extent that we are unable to put in place new debt facilities of sufficient quantum and on acceptable terms, we will need to find alternative financing. If we are unable to find alternative financing, we will not be capable of funding all of our commitments for capital expenditures relating to our four contracted newbuildings. If we fail to meet our payment obligations under a shipbuilding contract, we would be in default under the applicable contract and the shipbuilder would have the option of cancelling the contract and retaining any previously funded installment payments.</w:t>
      </w:r>
    </w:p>
    <w:p>
      <w:pPr>
        <w:spacing w:after="0" w:line="19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180" w:lineRule="exact"/>
        <w:rPr>
          <w:sz w:val="20"/>
          <w:szCs w:val="20"/>
          <w:color w:val="auto"/>
        </w:rPr>
      </w:pPr>
    </w:p>
    <w:p>
      <w:pPr>
        <w:ind w:right="20" w:firstLine="320"/>
        <w:spacing w:after="0" w:line="268" w:lineRule="auto"/>
        <w:rPr>
          <w:sz w:val="20"/>
          <w:szCs w:val="20"/>
          <w:color w:val="auto"/>
        </w:rPr>
      </w:pPr>
      <w:r>
        <w:rPr>
          <w:rFonts w:ascii="Arial" w:cs="Arial" w:eastAsia="Arial" w:hAnsi="Arial"/>
          <w:sz w:val="17"/>
          <w:szCs w:val="17"/>
          <w:color w:val="auto"/>
        </w:rPr>
        <w:t>In addition, we may choose to make substantial further capital expenditures to expand the size of our fleet and/or to convert existing LNG carriers to FSRUs/FSUs in the future. We expect to finance the cost of any new vessels, including conversion costs through available cash, cash from operations and debt or equity financings. Our ability to obtain bank financing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 beyond our control. Even if we are successful in obtaining the necessary funds, the terms of any debt financings could limit our ability further to expand our fleet and to pay dividends to our shareholders.</w:t>
      </w:r>
    </w:p>
    <w:p>
      <w:pPr>
        <w:spacing w:after="0" w:line="180" w:lineRule="exact"/>
        <w:rPr>
          <w:sz w:val="20"/>
          <w:szCs w:val="20"/>
          <w:color w:val="auto"/>
        </w:rPr>
      </w:pPr>
    </w:p>
    <w:p>
      <w:pPr>
        <w:ind w:right="60" w:firstLine="320"/>
        <w:spacing w:after="0" w:line="253" w:lineRule="auto"/>
        <w:rPr>
          <w:sz w:val="20"/>
          <w:szCs w:val="20"/>
          <w:color w:val="auto"/>
        </w:rPr>
      </w:pPr>
      <w:r>
        <w:rPr>
          <w:rFonts w:ascii="Arial" w:cs="Arial" w:eastAsia="Arial" w:hAnsi="Arial"/>
          <w:sz w:val="18"/>
          <w:szCs w:val="18"/>
          <w:color w:val="auto"/>
        </w:rPr>
        <w:t>Securing access to additional funds in advance of the maturity of our debt facilities cannot be assured on the same or similar terms. Debt financing, if available, may involve covenants restricting our operations or our ability to incur additional debt or to pay dividends to our shareholders. Any debt or additional equity financing raised may contain unfavorable terms to us or our shareholders. If we are unable to raise adequate funds, we may have to liquidate some or all of our assets, or delay, reduce the scope of or eliminate some or all of our fleet expansion plans.</w:t>
      </w:r>
    </w:p>
    <w:p>
      <w:pPr>
        <w:spacing w:after="0" w:line="190" w:lineRule="exact"/>
        <w:rPr>
          <w:sz w:val="20"/>
          <w:szCs w:val="20"/>
          <w:color w:val="auto"/>
        </w:rPr>
      </w:pPr>
    </w:p>
    <w:p>
      <w:pPr>
        <w:ind w:right="280" w:firstLine="320"/>
        <w:spacing w:after="0" w:line="270" w:lineRule="auto"/>
        <w:rPr>
          <w:sz w:val="20"/>
          <w:szCs w:val="20"/>
          <w:color w:val="auto"/>
        </w:rPr>
      </w:pPr>
      <w:r>
        <w:rPr>
          <w:rFonts w:ascii="Arial" w:cs="Arial" w:eastAsia="Arial" w:hAnsi="Arial"/>
          <w:sz w:val="18"/>
          <w:szCs w:val="18"/>
          <w:color w:val="auto"/>
        </w:rPr>
        <w:t>Any of these factors could have a material adverse effect on our business, financial condition, results of operations and cash flows, including cash available for dividends to our shareholders.</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Our future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To the extent that we are unable to finance these obligations and expenditures with cash from operations or incremental bank loans or by issuing debt or equity securities, our ability to make cash dividends may be diminished, or our financial leverage may increase, or our shareholders may be diluted. Our business may be adversely affected if we need to access sources of funding which are more expensive and/or more restrictive.</w:t>
      </w:r>
    </w:p>
    <w:p>
      <w:pPr>
        <w:spacing w:after="0" w:line="182" w:lineRule="exact"/>
        <w:rPr>
          <w:sz w:val="20"/>
          <w:szCs w:val="20"/>
          <w:color w:val="auto"/>
        </w:rPr>
      </w:pPr>
    </w:p>
    <w:p>
      <w:pPr>
        <w:ind w:right="100" w:firstLine="320"/>
        <w:spacing w:after="0" w:line="269" w:lineRule="auto"/>
        <w:rPr>
          <w:sz w:val="20"/>
          <w:szCs w:val="20"/>
          <w:color w:val="auto"/>
        </w:rPr>
      </w:pPr>
      <w:r>
        <w:rPr>
          <w:rFonts w:ascii="Arial" w:cs="Arial" w:eastAsia="Arial" w:hAnsi="Arial"/>
          <w:sz w:val="17"/>
          <w:szCs w:val="17"/>
          <w:color w:val="auto"/>
        </w:rPr>
        <w:t>To fund our existing and future debt obligations and capital expenditures and any future growth, we will be required to use cash from operations, incur borrowings, and/or seek to access other financing sources. Our access to potential funding sources and our future financial and operating performance will be affected by prevailing economic conditions and financial, business, regulatory and other factors, many of which are beyond our control. The COVID-19 virus has had, and may continue to have, a significant negative impact on global financial markets. If we are unable to raise additional bank financing or generate sufficient cash flow to meet our debt, capital expenditure and other business requirements, we may be forced to take actions such as:</w:t>
      </w:r>
    </w:p>
    <w:p>
      <w:pPr>
        <w:spacing w:after="0" w:line="180" w:lineRule="exact"/>
        <w:rPr>
          <w:sz w:val="20"/>
          <w:szCs w:val="20"/>
          <w:color w:val="auto"/>
        </w:rPr>
      </w:pPr>
    </w:p>
    <w:p>
      <w:pPr>
        <w:ind w:left="680" w:hanging="32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waivers or consents from our creditors;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our debt;</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additional debt or equity capital;</w:t>
      </w:r>
    </w:p>
    <w:p>
      <w:pPr>
        <w:sectPr>
          <w:pgSz w:w="11900" w:h="16838" w:orient="portrait"/>
          <w:cols w:equalWidth="0" w:num="1">
            <w:col w:w="9900"/>
          </w:cols>
          <w:pgMar w:left="980" w:top="659" w:right="10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dividends;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delaying or cancelling our business activities, acquisitions, investments or capital expenditures; or</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seeking bankruptcy protection.</w:t>
      </w:r>
    </w:p>
    <w:p>
      <w:pPr>
        <w:spacing w:after="0" w:line="220"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dividends to shareholders. Our ability to obtain bank financing or to access the capital markets may be limited by our financial condition at the time of any such financing or offering as well as by adverse market conditions. Even if we are successful in obtaining the necessary funds, the terms of such financings could limit our ability to pay cash dividends to shareholders or operate our business as currently conducted. In addition, incurring additional debt may significantly increase our interest expense and financial leverage, and issuing additional equity securities may result in significant shareholder dilution and would increase the aggregate amount of cash required to maintain our quarterly dividends to shareholders. Our liquidity position could be challenged in the future, and we may need to raise equity in order to remain in compliance with the financial covenants in our loan facilities.</w:t>
      </w:r>
    </w:p>
    <w:p>
      <w:pPr>
        <w:spacing w:after="0" w:line="17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5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20" w:lineRule="exact"/>
        <w:rPr>
          <w:sz w:val="20"/>
          <w:szCs w:val="20"/>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piracy;</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 events or other failures of operational and information technology systems;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19" w:lineRule="exact"/>
        <w:rPr>
          <w:rFonts w:ascii="Arial" w:cs="Arial" w:eastAsia="Arial" w:hAnsi="Arial"/>
          <w:sz w:val="18"/>
          <w:szCs w:val="18"/>
          <w:color w:val="auto"/>
        </w:rPr>
      </w:pPr>
    </w:p>
    <w:p>
      <w:pPr>
        <w:ind w:left="680" w:right="40" w:hanging="326"/>
        <w:spacing w:after="0" w:line="270"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caused by mechanical failure, human error, war, terrorism, disease (such as the outbreak of the COVID-19 virus) and quarantine, or political action in various countries;</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declining operational performance due to physical degradation as a result of extensive idle time or other factors; and</w:t>
      </w:r>
    </w:p>
    <w:p>
      <w:pPr>
        <w:spacing w:after="0" w:line="231" w:lineRule="exact"/>
        <w:rPr>
          <w:rFonts w:ascii="Arial" w:cs="Arial" w:eastAsia="Arial" w:hAnsi="Arial"/>
          <w:sz w:val="17"/>
          <w:szCs w:val="17"/>
          <w:color w:val="auto"/>
        </w:rPr>
      </w:pPr>
    </w:p>
    <w:p>
      <w:pPr>
        <w:ind w:left="680" w:hanging="32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accident involving any of our owned ships could result in any of the following:</w:t>
      </w:r>
    </w:p>
    <w:p>
      <w:pPr>
        <w:spacing w:after="0" w:line="220" w:lineRule="exact"/>
        <w:rPr>
          <w:sz w:val="20"/>
          <w:szCs w:val="20"/>
          <w:color w:val="auto"/>
        </w:rPr>
      </w:pPr>
    </w:p>
    <w:p>
      <w:pPr>
        <w:ind w:left="4920" w:right="2760" w:hanging="4566"/>
        <w:spacing w:after="0" w:line="765"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death or injury to persons, damage to our ships, loss of property or environmental damage;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628650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0" w:lineRule="exact"/>
        <w:rPr>
          <w:sz w:val="20"/>
          <w:szCs w:val="20"/>
          <w:color w:val="auto"/>
        </w:rPr>
      </w:pPr>
    </w:p>
    <w:p>
      <w:pPr>
        <w:ind w:right="20" w:firstLine="320"/>
        <w:spacing w:after="0" w:line="286"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to our shareholders, could be materially and adversely affected. The impact of any limitation in the operation of our ships or any early charter termination would be amplified, as a substantial portion of our cash flows and income is dependent on the revenues earned by the chartering of our 35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our ability to pay cash dividends to our shareholders.</w:t>
      </w:r>
    </w:p>
    <w:p>
      <w:pPr>
        <w:spacing w:after="0" w:line="16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Our future success depends on our ability to maintain relationships with existing customers, establish new customer relationships and obtain new time charter contracts for existing vessels and/or FSRUs/FSUs, for which we face considerable competition from other established companies with significant resources, as well as recent and potential future new entrants.</w:t>
      </w:r>
    </w:p>
    <w:p>
      <w:pPr>
        <w:spacing w:after="0" w:line="15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One of our principal objectives is to enter into multi-year, fixed-rate charters for our open on-the-water vessels and for potential additional newbuild vessels. We are seeking to enter into long-term time charter contracts for some or all of the 16 vessels currently trading in the short-term spot market (as defined those contracts with initial duration of less than five years). We will also seek to enter into new time charter contracts upon the expiration or early termination of our existing charter arrangements. The process of obtaining multi-year, fixed rate charters for LNG carriers is highly competitive and generally involves an intensive screening process by potential new customers and the submission of competitive bids. The process is lengthy and the LNG carrier time charters are awarded based upon a variety of factors relating to the ship and the ship operator, including:</w:t>
      </w:r>
    </w:p>
    <w:p>
      <w:pPr>
        <w:spacing w:after="0" w:line="180" w:lineRule="exact"/>
        <w:rPr>
          <w:sz w:val="20"/>
          <w:szCs w:val="20"/>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LNG shipping experience and quality and efficiency of ship operations, including level of emissions;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19" w:lineRule="exact"/>
        <w:rPr>
          <w:rFonts w:ascii="Arial" w:cs="Arial" w:eastAsia="Arial" w:hAnsi="Arial"/>
          <w:sz w:val="18"/>
          <w:szCs w:val="18"/>
          <w:color w:val="auto"/>
        </w:rPr>
      </w:pPr>
    </w:p>
    <w:p>
      <w:pPr>
        <w:ind w:left="680" w:right="80" w:hanging="326"/>
        <w:spacing w:after="0" w:line="27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construction and dry-docking management experience, including the ability to obtain on-time delivery of new ships according to customer specifications; and</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competitiveness of the bid in terms of charter rate and other economic and commercial terms.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100" w:firstLine="320"/>
        <w:spacing w:after="0" w:line="284" w:lineRule="auto"/>
        <w:rPr>
          <w:sz w:val="20"/>
          <w:szCs w:val="20"/>
          <w:color w:val="auto"/>
        </w:rPr>
      </w:pPr>
      <w:r>
        <w:rPr>
          <w:rFonts w:ascii="Arial" w:cs="Arial" w:eastAsia="Arial" w:hAnsi="Arial"/>
          <w:sz w:val="16"/>
          <w:szCs w:val="16"/>
          <w:color w:val="auto"/>
        </w:rPr>
        <w:t>We expect substantial competition from a number of experienced companies and recent and potential future new entrants to the LNG shipping market. Competitors may include other independent ship owners, state-sponsored entities and major energy companies that own and operate LNG carriers, all of whom may compete with independent owners by using their own fleets to carry LNG for third parties.</w:t>
      </w:r>
    </w:p>
    <w:p>
      <w:pPr>
        <w:ind w:right="20"/>
        <w:spacing w:after="0" w:line="265" w:lineRule="auto"/>
        <w:rPr>
          <w:sz w:val="20"/>
          <w:szCs w:val="20"/>
          <w:color w:val="auto"/>
        </w:rPr>
      </w:pPr>
      <w:r>
        <w:rPr>
          <w:rFonts w:ascii="Arial" w:cs="Arial" w:eastAsia="Arial" w:hAnsi="Arial"/>
          <w:sz w:val="17"/>
          <w:szCs w:val="17"/>
          <w:color w:val="auto"/>
        </w:rPr>
        <w:t>Some of these competitors have significantly greater financial resources and larger fleets than we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dividends to shareholders.</w:t>
      </w:r>
    </w:p>
    <w:p>
      <w:pPr>
        <w:spacing w:after="0" w:line="182"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i w:val="1"/>
          <w:iCs w:val="1"/>
          <w:color w:val="auto"/>
        </w:rPr>
        <w:t>We derive the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86" w:lineRule="exact"/>
        <w:rPr>
          <w:sz w:val="20"/>
          <w:szCs w:val="20"/>
          <w:color w:val="auto"/>
        </w:rPr>
      </w:pPr>
    </w:p>
    <w:p>
      <w:pPr>
        <w:ind w:right="180" w:firstLine="320"/>
        <w:spacing w:after="0" w:line="292" w:lineRule="auto"/>
        <w:rPr>
          <w:sz w:val="20"/>
          <w:szCs w:val="20"/>
          <w:color w:val="auto"/>
        </w:rPr>
      </w:pPr>
      <w:r>
        <w:rPr>
          <w:rFonts w:ascii="Arial" w:cs="Arial" w:eastAsia="Arial" w:hAnsi="Arial"/>
          <w:sz w:val="16"/>
          <w:szCs w:val="16"/>
          <w:color w:val="auto"/>
        </w:rPr>
        <w:t>For the year ended December 31, 2021, 38.0%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favourable terms, we will suffer a loss of revenues.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20" w:lineRule="exact"/>
        <w:rPr>
          <w:sz w:val="20"/>
          <w:szCs w:val="20"/>
          <w:color w:val="auto"/>
        </w:rPr>
      </w:pPr>
    </w:p>
    <w:p>
      <w:pPr>
        <w:ind w:left="680" w:hanging="32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19" w:lineRule="exact"/>
        <w:rPr>
          <w:rFonts w:ascii="Arial" w:cs="Arial" w:eastAsia="Arial" w:hAnsi="Arial"/>
          <w:sz w:val="18"/>
          <w:szCs w:val="18"/>
          <w:color w:val="auto"/>
        </w:rPr>
      </w:pPr>
    </w:p>
    <w:p>
      <w:pPr>
        <w:ind w:left="680" w:right="240" w:hanging="326"/>
        <w:spacing w:after="0" w:line="27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in any one year period;</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19" w:lineRule="exact"/>
        <w:rPr>
          <w:rFonts w:ascii="Arial" w:cs="Arial" w:eastAsia="Arial" w:hAnsi="Arial"/>
          <w:sz w:val="18"/>
          <w:szCs w:val="18"/>
          <w:color w:val="auto"/>
        </w:rPr>
      </w:pPr>
    </w:p>
    <w:p>
      <w:pPr>
        <w:ind w:left="680" w:right="380" w:hanging="326"/>
        <w:spacing w:after="0" w:line="300" w:lineRule="auto"/>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52" w:lineRule="exact"/>
        <w:rPr>
          <w:sz w:val="20"/>
          <w:szCs w:val="20"/>
          <w:color w:val="auto"/>
        </w:rPr>
      </w:pPr>
    </w:p>
    <w:p>
      <w:pPr>
        <w:ind w:right="20" w:firstLine="320"/>
        <w:spacing w:after="0" w:line="306"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50" w:lineRule="exact"/>
        <w:rPr>
          <w:sz w:val="20"/>
          <w:szCs w:val="20"/>
          <w:color w:val="auto"/>
        </w:rPr>
      </w:pPr>
    </w:p>
    <w:p>
      <w:pPr>
        <w:ind w:right="300" w:firstLine="320"/>
        <w:spacing w:after="0" w:line="333" w:lineRule="auto"/>
        <w:rPr>
          <w:sz w:val="20"/>
          <w:szCs w:val="20"/>
          <w:color w:val="auto"/>
        </w:rPr>
      </w:pPr>
      <w:r>
        <w:rPr>
          <w:rFonts w:ascii="Arial" w:cs="Arial" w:eastAsia="Arial" w:hAnsi="Arial"/>
          <w:sz w:val="16"/>
          <w:szCs w:val="16"/>
          <w:color w:val="auto"/>
        </w:rPr>
        <w:t>Accordingly, the existence of any right of termination or the loss of any customer, charter or vessel could have a material adverse effect on our business, financial condition, results of operations and cash flows, including cash available for dividends to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Ship values may fluctuate substantially over time due to different factors, which may result in impairment charges that may be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recorded in our financial statements. During the year ended December 31, 2021, we recorded a total non-cash impairment charge of</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$125.8 million for the six Steam vessels built in 2006 and 2007, including five GasLog Partners vessels and one vessel wholly owned by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A further decline in ship values in the future could impact our compliance with the covenants in our loan agreements and, if the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values are lower at a time when we are attempting to dispose of ships, cause us to incur a loss, similar to the impairment loss of $16.9</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million recognized during the year ended December 31, 2021 in relation to the sale and leaseback of one of our TFDE vessels.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20" w:lineRule="exact"/>
        <w:rPr>
          <w:sz w:val="20"/>
          <w:szCs w:val="20"/>
          <w:color w:val="auto"/>
        </w:rPr>
      </w:pPr>
    </w:p>
    <w:p>
      <w:pPr>
        <w:ind w:left="4880" w:right="4220" w:hanging="4526"/>
        <w:spacing w:after="0" w:line="890" w:lineRule="auto"/>
        <w:tabs>
          <w:tab w:leader="none" w:pos="6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prevailing economic conditions in the natural gas and energy markets;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23495</wp:posOffset>
            </wp:positionV>
            <wp:extent cx="628650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19" w:lineRule="exact"/>
        <w:rPr>
          <w:rFonts w:ascii="Arial" w:cs="Arial" w:eastAsia="Arial" w:hAnsi="Arial"/>
          <w:sz w:val="18"/>
          <w:szCs w:val="18"/>
          <w:color w:val="auto"/>
        </w:rPr>
      </w:pPr>
    </w:p>
    <w:p>
      <w:pPr>
        <w:ind w:left="680" w:right="260" w:hanging="326"/>
        <w:spacing w:after="0" w:line="27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supply and demand balance of the global LNG carrier fleet and the size and contract profile of the LNG carrier orderbook;</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levels of utilization of the global LNG carrier fleet and of our vessels;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19" w:lineRule="exact"/>
        <w:rPr>
          <w:rFonts w:ascii="Arial" w:cs="Arial" w:eastAsia="Arial" w:hAnsi="Arial"/>
          <w:sz w:val="18"/>
          <w:szCs w:val="18"/>
          <w:color w:val="auto"/>
        </w:rPr>
      </w:pPr>
    </w:p>
    <w:p>
      <w:pPr>
        <w:ind w:left="680" w:right="100" w:hanging="326"/>
        <w:spacing w:after="0" w:line="300"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52"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If the market value of our ships decline, we may be required to record additional impairment charges in our financial statements, in addition to the impairment charge recorded in the year ended December 31, 2021, which could adversely affect our results of operations. See “Item 5. Operating and Financial Review and Prospects—E. Critical Accounting Estimates—Impairment of Vessels and Vessels under Construction”.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dividends to shareholders.</w:t>
      </w:r>
    </w:p>
    <w:p>
      <w:pPr>
        <w:spacing w:after="0" w:line="171"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67" w:lineRule="exact"/>
        <w:rPr>
          <w:sz w:val="20"/>
          <w:szCs w:val="20"/>
          <w:color w:val="auto"/>
        </w:rPr>
      </w:pPr>
    </w:p>
    <w:p>
      <w:pPr>
        <w:ind w:right="100" w:firstLine="320"/>
        <w:spacing w:after="0" w:line="285" w:lineRule="auto"/>
        <w:rPr>
          <w:sz w:val="20"/>
          <w:szCs w:val="20"/>
          <w:color w:val="auto"/>
        </w:rPr>
      </w:pPr>
      <w:r>
        <w:rPr>
          <w:rFonts w:ascii="Arial" w:cs="Arial" w:eastAsia="Arial" w:hAnsi="Arial"/>
          <w:sz w:val="16"/>
          <w:szCs w:val="16"/>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pay cash dividends to our shareholders.</w:t>
      </w:r>
    </w:p>
    <w:p>
      <w:pPr>
        <w:spacing w:after="0" w:line="168"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86" w:lineRule="exact"/>
        <w:rPr>
          <w:sz w:val="20"/>
          <w:szCs w:val="20"/>
          <w:color w:val="auto"/>
        </w:rPr>
      </w:pPr>
    </w:p>
    <w:p>
      <w:pPr>
        <w:ind w:right="80" w:firstLine="320"/>
        <w:spacing w:after="0" w:line="287" w:lineRule="auto"/>
        <w:rPr>
          <w:sz w:val="20"/>
          <w:szCs w:val="20"/>
          <w:color w:val="auto"/>
        </w:rPr>
      </w:pPr>
      <w:r>
        <w:rPr>
          <w:rFonts w:ascii="Arial" w:cs="Arial" w:eastAsia="Arial" w:hAnsi="Arial"/>
          <w:sz w:val="16"/>
          <w:szCs w:val="16"/>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w:t>
      </w:r>
    </w:p>
    <w:p>
      <w:pPr>
        <w:sectPr>
          <w:pgSz w:w="11900" w:h="16838" w:orient="portrait"/>
          <w:cols w:equalWidth="0" w:num="1">
            <w:col w:w="9880"/>
          </w:cols>
          <w:pgMar w:left="980" w:top="659" w:right="103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 as well as our ability to obtain debt financing for ships with older technology whose market values have experienced a significant decline.</w:t>
      </w:r>
    </w:p>
    <w:p>
      <w:pPr>
        <w:spacing w:after="0" w:line="19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Our future performance and ability to secure future employment for our vessels depends on continued growth in LNG production and demand for LNG and LNG shipping.</w:t>
      </w:r>
    </w:p>
    <w:p>
      <w:pPr>
        <w:spacing w:after="0" w:line="175" w:lineRule="exact"/>
        <w:rPr>
          <w:sz w:val="20"/>
          <w:szCs w:val="20"/>
          <w:color w:val="auto"/>
        </w:rPr>
      </w:pPr>
    </w:p>
    <w:p>
      <w:pPr>
        <w:ind w:right="20" w:firstLine="320"/>
        <w:spacing w:after="0" w:line="266" w:lineRule="auto"/>
        <w:rPr>
          <w:sz w:val="20"/>
          <w:szCs w:val="20"/>
          <w:color w:val="auto"/>
        </w:rPr>
      </w:pPr>
      <w:r>
        <w:rPr>
          <w:rFonts w:ascii="Arial" w:cs="Arial" w:eastAsia="Arial" w:hAnsi="Arial"/>
          <w:sz w:val="17"/>
          <w:szCs w:val="17"/>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5" w:lineRule="exact"/>
        <w:rPr>
          <w:sz w:val="20"/>
          <w:szCs w:val="20"/>
          <w:color w:val="auto"/>
        </w:rPr>
      </w:pPr>
    </w:p>
    <w:p>
      <w:pPr>
        <w:ind w:left="680" w:right="300" w:hanging="326"/>
        <w:spacing w:after="0" w:line="333"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prices for crude oil, petroleum products, natural gas. A return to low natural gas prices globally may limit the willingness and ability of developers of new LNG infrastructure projects to approve the development of such new projects;</w:t>
      </w:r>
    </w:p>
    <w:p>
      <w:pPr>
        <w:spacing w:after="0" w:line="129" w:lineRule="exact"/>
        <w:rPr>
          <w:rFonts w:ascii="Arial" w:cs="Arial" w:eastAsia="Arial" w:hAnsi="Arial"/>
          <w:sz w:val="16"/>
          <w:szCs w:val="16"/>
          <w:color w:val="auto"/>
        </w:rPr>
      </w:pPr>
    </w:p>
    <w:p>
      <w:pPr>
        <w:ind w:left="680" w:hanging="326"/>
        <w:spacing w:after="0" w:line="300"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51" w:lineRule="exact"/>
        <w:rPr>
          <w:rFonts w:ascii="Arial" w:cs="Arial" w:eastAsia="Arial" w:hAnsi="Arial"/>
          <w:sz w:val="17"/>
          <w:szCs w:val="17"/>
          <w:color w:val="auto"/>
        </w:rPr>
      </w:pPr>
    </w:p>
    <w:p>
      <w:pPr>
        <w:ind w:left="680" w:right="46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74" w:lineRule="exact"/>
        <w:rPr>
          <w:rFonts w:ascii="Arial" w:cs="Arial" w:eastAsia="Arial" w:hAnsi="Arial"/>
          <w:sz w:val="18"/>
          <w:szCs w:val="18"/>
          <w:color w:val="auto"/>
        </w:rPr>
      </w:pPr>
    </w:p>
    <w:p>
      <w:pPr>
        <w:ind w:left="680" w:right="14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174" w:lineRule="exact"/>
        <w:rPr>
          <w:rFonts w:ascii="Arial" w:cs="Arial" w:eastAsia="Arial" w:hAnsi="Arial"/>
          <w:sz w:val="18"/>
          <w:szCs w:val="18"/>
          <w:color w:val="auto"/>
        </w:rPr>
      </w:pPr>
    </w:p>
    <w:p>
      <w:pPr>
        <w:jc w:val="both"/>
        <w:ind w:left="680" w:right="280" w:hanging="326"/>
        <w:spacing w:after="0" w:line="306"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150" w:lineRule="exact"/>
        <w:rPr>
          <w:rFonts w:ascii="Arial" w:cs="Arial" w:eastAsia="Arial" w:hAnsi="Arial"/>
          <w:sz w:val="16"/>
          <w:szCs w:val="16"/>
          <w:color w:val="auto"/>
        </w:rPr>
      </w:pPr>
    </w:p>
    <w:p>
      <w:pPr>
        <w:ind w:left="680" w:hanging="32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regarding the spread of disease, for example, the COVID-19 virus, safety and terrorism;</w:t>
      </w:r>
    </w:p>
    <w:p>
      <w:pPr>
        <w:spacing w:after="0" w:line="219" w:lineRule="exact"/>
        <w:rPr>
          <w:rFonts w:ascii="Arial" w:cs="Arial" w:eastAsia="Arial" w:hAnsi="Arial"/>
          <w:sz w:val="18"/>
          <w:szCs w:val="18"/>
          <w:color w:val="auto"/>
        </w:rPr>
      </w:pPr>
    </w:p>
    <w:p>
      <w:pPr>
        <w:ind w:left="680" w:right="16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weather patterns leading to warmer winters in the northern hemisphere and lower gas demand in the traditional peak heating season;</w:t>
      </w:r>
    </w:p>
    <w:p>
      <w:pPr>
        <w:spacing w:after="0" w:line="174" w:lineRule="exact"/>
        <w:rPr>
          <w:rFonts w:ascii="Arial" w:cs="Arial" w:eastAsia="Arial" w:hAnsi="Arial"/>
          <w:sz w:val="18"/>
          <w:szCs w:val="18"/>
          <w:color w:val="auto"/>
        </w:rPr>
      </w:pPr>
    </w:p>
    <w:p>
      <w:pPr>
        <w:ind w:left="680" w:right="38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allocation of capital by developers to new LNG projects, especially the major oil and gas companies and other leading participants in the LNG industry;</w:t>
      </w:r>
    </w:p>
    <w:p>
      <w:pPr>
        <w:spacing w:after="0" w:line="174"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74" w:lineRule="exact"/>
        <w:rPr>
          <w:rFonts w:ascii="Arial" w:cs="Arial" w:eastAsia="Arial" w:hAnsi="Arial"/>
          <w:sz w:val="18"/>
          <w:szCs w:val="18"/>
          <w:color w:val="auto"/>
        </w:rPr>
      </w:pPr>
    </w:p>
    <w:p>
      <w:pPr>
        <w:ind w:left="680" w:right="12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19" w:lineRule="exact"/>
        <w:rPr>
          <w:rFonts w:ascii="Arial" w:cs="Arial" w:eastAsia="Arial" w:hAnsi="Arial"/>
          <w:sz w:val="18"/>
          <w:szCs w:val="18"/>
          <w:color w:val="auto"/>
        </w:rPr>
      </w:pPr>
    </w:p>
    <w:p>
      <w:pPr>
        <w:ind w:left="680" w:right="860" w:hanging="326"/>
        <w:spacing w:after="0" w:line="27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 or political unrest or military conflicts affecting existing or proposed areas of LNG production, regasification or consumption;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19" w:lineRule="exact"/>
        <w:rPr>
          <w:rFonts w:ascii="Arial" w:cs="Arial" w:eastAsia="Arial" w:hAnsi="Arial"/>
          <w:sz w:val="18"/>
          <w:szCs w:val="18"/>
          <w:color w:val="auto"/>
        </w:rPr>
      </w:pPr>
    </w:p>
    <w:p>
      <w:pPr>
        <w:ind w:left="680" w:hanging="326"/>
        <w:spacing w:after="0" w:line="27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regional, national or international energy policies that constrain the production or consumption of hydrocarbons including natural gas.</w:t>
      </w:r>
    </w:p>
    <w:p>
      <w:pPr>
        <w:spacing w:after="0" w:line="175" w:lineRule="exact"/>
        <w:rPr>
          <w:sz w:val="20"/>
          <w:szCs w:val="20"/>
          <w:color w:val="auto"/>
        </w:rPr>
      </w:pPr>
    </w:p>
    <w:p>
      <w:pPr>
        <w:jc w:val="both"/>
        <w:ind w:right="80" w:firstLine="320"/>
        <w:spacing w:after="0" w:line="306" w:lineRule="auto"/>
        <w:rPr>
          <w:sz w:val="20"/>
          <w:szCs w:val="20"/>
          <w:color w:val="auto"/>
        </w:rPr>
      </w:pPr>
      <w:r>
        <w:rPr>
          <w:rFonts w:ascii="Arial" w:cs="Arial" w:eastAsia="Arial" w:hAnsi="Arial"/>
          <w:sz w:val="16"/>
          <w:szCs w:val="16"/>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continuation of the recent volatility in natural gas and oil prices may adversely affect our growth prospects and results of operations.</w:t>
      </w:r>
    </w:p>
    <w:p>
      <w:pPr>
        <w:spacing w:after="0" w:line="266" w:lineRule="exact"/>
        <w:rPr>
          <w:sz w:val="20"/>
          <w:szCs w:val="20"/>
          <w:color w:val="auto"/>
        </w:rPr>
      </w:pPr>
    </w:p>
    <w:p>
      <w:pPr>
        <w:ind w:right="360" w:firstLine="320"/>
        <w:spacing w:after="0" w:line="333" w:lineRule="auto"/>
        <w:rPr>
          <w:sz w:val="20"/>
          <w:szCs w:val="20"/>
          <w:color w:val="auto"/>
        </w:rPr>
      </w:pPr>
      <w:r>
        <w:rPr>
          <w:rFonts w:ascii="Arial" w:cs="Arial" w:eastAsia="Arial" w:hAnsi="Arial"/>
          <w:sz w:val="16"/>
          <w:szCs w:val="16"/>
          <w:color w:val="auto"/>
        </w:rPr>
        <w:t>Natural gas prices are volatile, as demonstrated by the multi-year lows in 2020 and record highs seen in 2021in many parts of the world. Natural gas prices are affected by numerous factors beyond our control, including but not limited to the following:</w:t>
      </w:r>
    </w:p>
    <w:p>
      <w:pPr>
        <w:spacing w:after="0" w:line="130" w:lineRule="exact"/>
        <w:rPr>
          <w:sz w:val="20"/>
          <w:szCs w:val="20"/>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availability of crude oil, petroleum products and coal;</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worldwide and regional supply of, demand for and price of natural gas;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exploration, development, production, transportation and distribution of natural gas;</w:t>
      </w:r>
    </w:p>
    <w:p>
      <w:pPr>
        <w:spacing w:after="0" w:line="219" w:lineRule="exact"/>
        <w:rPr>
          <w:rFonts w:ascii="Arial" w:cs="Arial" w:eastAsia="Arial" w:hAnsi="Arial"/>
          <w:sz w:val="18"/>
          <w:szCs w:val="18"/>
          <w:color w:val="auto"/>
        </w:rPr>
      </w:pPr>
    </w:p>
    <w:p>
      <w:pPr>
        <w:ind w:left="680" w:right="60" w:hanging="326"/>
        <w:spacing w:after="0" w:line="27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expectations regarding future energy prices for both natural gas and other sources of energy, including renewable energy sources and coal;</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19" w:lineRule="exact"/>
        <w:rPr>
          <w:rFonts w:ascii="Arial" w:cs="Arial" w:eastAsia="Arial" w:hAnsi="Arial"/>
          <w:sz w:val="18"/>
          <w:szCs w:val="18"/>
          <w:color w:val="auto"/>
        </w:rPr>
      </w:pPr>
    </w:p>
    <w:p>
      <w:pPr>
        <w:ind w:left="680" w:right="260" w:hanging="326"/>
        <w:spacing w:after="0" w:line="27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cost of alternative energy sources, including coal and alternate sources of natural gas in gas importing and consuming countries.</w:t>
      </w:r>
    </w:p>
    <w:p>
      <w:pPr>
        <w:spacing w:after="0" w:line="175"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With 16 vessels (including nine vessels in the GasLog Partners fleet) operating in the short-term spot market (defined as vessels under contracts of less than five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50" w:lineRule="exact"/>
        <w:rPr>
          <w:sz w:val="20"/>
          <w:szCs w:val="20"/>
          <w:color w:val="auto"/>
        </w:rPr>
      </w:pPr>
    </w:p>
    <w:p>
      <w:pPr>
        <w:ind w:left="680" w:right="360" w:hanging="326"/>
        <w:spacing w:after="0" w:line="333"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29" w:lineRule="exact"/>
        <w:rPr>
          <w:rFonts w:ascii="Arial" w:cs="Arial" w:eastAsia="Arial" w:hAnsi="Arial"/>
          <w:sz w:val="16"/>
          <w:szCs w:val="16"/>
          <w:color w:val="auto"/>
        </w:rPr>
      </w:pPr>
    </w:p>
    <w:p>
      <w:pPr>
        <w:ind w:left="680" w:right="20" w:hanging="326"/>
        <w:spacing w:after="0" w:line="258"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86" w:lineRule="exact"/>
        <w:rPr>
          <w:rFonts w:ascii="Arial" w:cs="Arial" w:eastAsia="Arial" w:hAnsi="Arial"/>
          <w:sz w:val="18"/>
          <w:szCs w:val="18"/>
          <w:color w:val="auto"/>
        </w:rPr>
      </w:pPr>
    </w:p>
    <w:p>
      <w:pPr>
        <w:ind w:left="680" w:right="140" w:hanging="326"/>
        <w:spacing w:after="0" w:line="27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oil prices negatively affecting the competitiveness of natural gas to the extent that natural gas prices are linked to the price of crude oil;</w:t>
      </w:r>
    </w:p>
    <w:p>
      <w:pPr>
        <w:spacing w:after="0" w:line="174" w:lineRule="exact"/>
        <w:rPr>
          <w:rFonts w:ascii="Arial" w:cs="Arial" w:eastAsia="Arial" w:hAnsi="Arial"/>
          <w:sz w:val="18"/>
          <w:szCs w:val="18"/>
          <w:color w:val="auto"/>
        </w:rPr>
      </w:pPr>
    </w:p>
    <w:p>
      <w:pPr>
        <w:ind w:left="680" w:right="220" w:hanging="326"/>
        <w:spacing w:after="0" w:line="27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 gas prices globally and/or weak differentials between prices in the Atlantic Basin and the Pacific Basin leading to reduced inter-basin trading of LNG and reduced demand for LNG shipping;</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340" w:hanging="326"/>
        <w:spacing w:after="0" w:line="333"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29" w:lineRule="exact"/>
        <w:rPr>
          <w:rFonts w:ascii="Arial" w:cs="Arial" w:eastAsia="Arial" w:hAnsi="Arial"/>
          <w:sz w:val="16"/>
          <w:szCs w:val="16"/>
          <w:color w:val="auto"/>
        </w:rPr>
      </w:pPr>
    </w:p>
    <w:p>
      <w:pPr>
        <w:ind w:left="680" w:right="220" w:hanging="326"/>
        <w:spacing w:after="0" w:line="270"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customers potentially seeking to renegotiate or terminate existing vessel contracts, or failing to extend or renew contracts upon expiration;</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19" w:lineRule="exact"/>
        <w:rPr>
          <w:rFonts w:ascii="Arial" w:cs="Arial" w:eastAsia="Arial" w:hAnsi="Arial"/>
          <w:sz w:val="18"/>
          <w:szCs w:val="18"/>
          <w:color w:val="auto"/>
        </w:rPr>
      </w:pPr>
    </w:p>
    <w:p>
      <w:pPr>
        <w:ind w:left="680" w:right="20" w:hanging="326"/>
        <w:spacing w:after="0" w:line="270"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compliance with covenants in loan documentation.</w:t>
      </w:r>
    </w:p>
    <w:p>
      <w:pPr>
        <w:spacing w:after="0" w:line="175"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75" w:lineRule="exact"/>
        <w:rPr>
          <w:sz w:val="20"/>
          <w:szCs w:val="20"/>
          <w:color w:val="auto"/>
        </w:rPr>
      </w:pPr>
    </w:p>
    <w:p>
      <w:pPr>
        <w:ind w:firstLine="320"/>
        <w:spacing w:after="0" w:line="283"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continuing COVID-19 pandemic and high inflation experienced in 2021.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168"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Compliance with safety and other requirements imposed by classification societies may be very costly and may adversely affect our business.</w:t>
      </w:r>
    </w:p>
    <w:p>
      <w:pPr>
        <w:spacing w:after="0" w:line="175" w:lineRule="exact"/>
        <w:rPr>
          <w:sz w:val="20"/>
          <w:szCs w:val="20"/>
          <w:color w:val="auto"/>
        </w:rPr>
      </w:pPr>
    </w:p>
    <w:p>
      <w:pPr>
        <w:ind w:right="20" w:firstLine="320"/>
        <w:spacing w:after="0" w:line="253" w:lineRule="auto"/>
        <w:rPr>
          <w:sz w:val="20"/>
          <w:szCs w:val="20"/>
          <w:color w:val="auto"/>
        </w:rPr>
      </w:pPr>
      <w:r>
        <w:rPr>
          <w:rFonts w:ascii="Arial" w:cs="Arial" w:eastAsia="Arial" w:hAnsi="Arial"/>
          <w:sz w:val="18"/>
          <w:szCs w:val="18"/>
          <w:color w:val="auto"/>
        </w:rPr>
        <w:t>The hull and machinery of every commercial LNG carrier must be certified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90"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and potentially its charter contracts. Failure to maintain the class of one or more of our ships could have a material adverse effect on our business, financial condition, results of operations and cash flows, including cash available for dividends to our shareholders.</w:t>
      </w:r>
    </w:p>
    <w:p>
      <w:pPr>
        <w:spacing w:after="0" w:line="188"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b w:val="1"/>
          <w:bCs w:val="1"/>
          <w:i w:val="1"/>
          <w:iCs w:val="1"/>
          <w:color w:val="auto"/>
        </w:rPr>
        <w:t>We operate our ships worldwide, which could expose us to political, governmental and economic instability that could harm our business.</w:t>
      </w:r>
    </w:p>
    <w:p>
      <w:pPr>
        <w:spacing w:after="0" w:line="175" w:lineRule="exact"/>
        <w:rPr>
          <w:sz w:val="20"/>
          <w:szCs w:val="20"/>
          <w:color w:val="auto"/>
        </w:rPr>
      </w:pPr>
    </w:p>
    <w:p>
      <w:pPr>
        <w:ind w:right="60" w:firstLine="320"/>
        <w:spacing w:after="0" w:line="285"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payment of dividends to shareholders.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payment of dividends to shareholders. General trade tensions between the U.S. and China escalated in 2018, with three rounds of U.S. tariffs on Chinese goods taking effect in 2018 and a further round taking effect in September 2019, each followed by a round of retaliatory Chinese tariffs on U.S. goods. Despite a</w:t>
      </w:r>
    </w:p>
    <w:p>
      <w:pPr>
        <w:sectPr>
          <w:pgSz w:w="11900" w:h="16838" w:orient="portrait"/>
          <w:cols w:equalWidth="0" w:num="1">
            <w:col w:w="9920"/>
          </w:cols>
          <w:pgMar w:left="980" w:top="659"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phase one trade deal being signed in January 2020, tensions continue to exist. The recent hostilities between Russia and Ukraine, in addition to sanctions announced on February 22, 2022 by President Biden and several European leaders against Russia and any forthcoming sanctions, may also adversely impact our business, given Russia’s role as a major global exporter of crude oil and natural gas. Our business could be harmed by trade tariffs, as well as any trade embargoes or other economic sanctions by the United States or other countries against countries in Russia, the Middle East, Asia or elsewhere as a result of terrorist attacks, hostilities or diplomatic or political pressures that limit trading activities with those countries.</w:t>
      </w:r>
    </w:p>
    <w:p>
      <w:pPr>
        <w:spacing w:after="0" w:line="180"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75" w:lineRule="exact"/>
        <w:rPr>
          <w:sz w:val="20"/>
          <w:szCs w:val="20"/>
          <w:color w:val="auto"/>
        </w:rPr>
      </w:pPr>
    </w:p>
    <w:p>
      <w:pPr>
        <w:ind w:right="120" w:firstLine="320"/>
        <w:spacing w:after="0" w:line="258" w:lineRule="auto"/>
        <w:rPr>
          <w:sz w:val="20"/>
          <w:szCs w:val="20"/>
          <w:color w:val="auto"/>
        </w:rPr>
      </w:pPr>
      <w:r>
        <w:rPr>
          <w:rFonts w:ascii="Arial" w:cs="Arial" w:eastAsia="Arial" w:hAnsi="Arial"/>
          <w:sz w:val="18"/>
          <w:szCs w:val="18"/>
          <w:color w:val="auto"/>
        </w:rPr>
        <w:t>Terrorist attacks, piracy and the current conflicts in Ukraine, the Middle East and elsewhere, as well as other current and future conflicts and political change, may adversely affect our business, financial condition, results of operations and cash flows, including cash available for dividends to our shareholders.</w:t>
      </w:r>
    </w:p>
    <w:p>
      <w:pPr>
        <w:spacing w:after="0" w:line="186" w:lineRule="exact"/>
        <w:rPr>
          <w:sz w:val="20"/>
          <w:szCs w:val="20"/>
          <w:color w:val="auto"/>
        </w:rPr>
      </w:pPr>
    </w:p>
    <w:p>
      <w:pPr>
        <w:ind w:firstLine="320"/>
        <w:spacing w:after="0" w:line="289" w:lineRule="auto"/>
        <w:rPr>
          <w:sz w:val="20"/>
          <w:szCs w:val="20"/>
          <w:color w:val="auto"/>
        </w:rPr>
      </w:pPr>
      <w:r>
        <w:rPr>
          <w:rFonts w:ascii="Arial" w:cs="Arial" w:eastAsia="Arial" w:hAnsi="Arial"/>
          <w:sz w:val="16"/>
          <w:szCs w:val="16"/>
          <w:color w:val="auto"/>
        </w:rPr>
        <w:t>The recent escalation of conflicts between Russia and Ukraine may lead to further regional and international conflicts or armed action. It is possible that such conflict could disrupt supply chains and cause instability in the global economy.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65" w:lineRule="exact"/>
        <w:rPr>
          <w:sz w:val="20"/>
          <w:szCs w:val="20"/>
          <w:color w:val="auto"/>
        </w:rPr>
      </w:pPr>
    </w:p>
    <w:p>
      <w:pPr>
        <w:ind w:right="60" w:firstLine="320"/>
        <w:spacing w:after="0" w:line="306" w:lineRule="auto"/>
        <w:rPr>
          <w:sz w:val="20"/>
          <w:szCs w:val="20"/>
          <w:color w:val="auto"/>
        </w:rPr>
      </w:pPr>
      <w:r>
        <w:rPr>
          <w:rFonts w:ascii="Arial" w:cs="Arial" w:eastAsia="Arial" w:hAnsi="Arial"/>
          <w:sz w:val="16"/>
          <w:szCs w:val="16"/>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50" w:lineRule="exact"/>
        <w:rPr>
          <w:sz w:val="20"/>
          <w:szCs w:val="20"/>
          <w:color w:val="auto"/>
        </w:rPr>
      </w:pPr>
    </w:p>
    <w:p>
      <w:pPr>
        <w:ind w:right="100" w:firstLine="320"/>
        <w:spacing w:after="0" w:line="296" w:lineRule="auto"/>
        <w:rPr>
          <w:sz w:val="20"/>
          <w:szCs w:val="20"/>
          <w:color w:val="auto"/>
        </w:rPr>
      </w:pPr>
      <w:r>
        <w:rPr>
          <w:rFonts w:ascii="Arial" w:cs="Arial" w:eastAsia="Arial" w:hAnsi="Arial"/>
          <w:sz w:val="16"/>
          <w:szCs w:val="16"/>
          <w:color w:val="auto"/>
        </w:rPr>
        <w:t>In the past, political conflicts have also resulted in attacks on ships, mining of waterways and other efforts to disrupt international shipping, particularly in the Arabian Gulf region and West Africa. Acts of terrorism and piracy have also affected ships trading in regions such as the South China Sea and the Gulf of Aden. Any terrorist attacks targeted at ships may in the future have a material negative affect on our business, financial condition, results of operations and cash flows and could directly impact our ships or our customers.</w:t>
      </w:r>
    </w:p>
    <w:p>
      <w:pPr>
        <w:spacing w:after="0" w:line="160" w:lineRule="exact"/>
        <w:rPr>
          <w:sz w:val="20"/>
          <w:szCs w:val="20"/>
          <w:color w:val="auto"/>
        </w:rPr>
      </w:pPr>
    </w:p>
    <w:p>
      <w:pPr>
        <w:jc w:val="both"/>
        <w:ind w:right="120" w:firstLine="320"/>
        <w:spacing w:after="0" w:line="258" w:lineRule="auto"/>
        <w:rPr>
          <w:sz w:val="20"/>
          <w:szCs w:val="20"/>
          <w:color w:val="auto"/>
        </w:rPr>
      </w:pPr>
      <w:r>
        <w:rPr>
          <w:rFonts w:ascii="Arial" w:cs="Arial" w:eastAsia="Arial" w:hAnsi="Arial"/>
          <w:sz w:val="18"/>
          <w:szCs w:val="18"/>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86" w:lineRule="exact"/>
        <w:rPr>
          <w:sz w:val="20"/>
          <w:szCs w:val="20"/>
          <w:color w:val="auto"/>
        </w:rPr>
      </w:pPr>
    </w:p>
    <w:p>
      <w:pPr>
        <w:ind w:right="80" w:firstLine="320"/>
        <w:spacing w:after="0" w:line="270"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75"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62" w:lineRule="exact"/>
        <w:rPr>
          <w:sz w:val="20"/>
          <w:szCs w:val="20"/>
          <w:color w:val="auto"/>
        </w:rPr>
      </w:pPr>
    </w:p>
    <w:p>
      <w:pPr>
        <w:ind w:right="40" w:firstLine="320"/>
        <w:spacing w:after="0" w:line="269" w:lineRule="auto"/>
        <w:rPr>
          <w:sz w:val="20"/>
          <w:szCs w:val="20"/>
          <w:color w:val="auto"/>
        </w:rPr>
      </w:pPr>
      <w:r>
        <w:rPr>
          <w:rFonts w:ascii="Arial" w:cs="Arial" w:eastAsia="Arial" w:hAnsi="Arial"/>
          <w:sz w:val="17"/>
          <w:szCs w:val="17"/>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In the future, the ships we own or manage could be required to call at ports located in countries that are subject to restrictions imposed by the United States and other governments.</w:t>
      </w:r>
    </w:p>
    <w:p>
      <w:pPr>
        <w:spacing w:after="0" w:line="175" w:lineRule="exact"/>
        <w:rPr>
          <w:sz w:val="20"/>
          <w:szCs w:val="20"/>
          <w:color w:val="auto"/>
        </w:rPr>
      </w:pPr>
    </w:p>
    <w:p>
      <w:pPr>
        <w:ind w:firstLine="320"/>
        <w:spacing w:after="0" w:line="269" w:lineRule="auto"/>
        <w:rPr>
          <w:sz w:val="20"/>
          <w:szCs w:val="20"/>
          <w:color w:val="auto"/>
        </w:rPr>
      </w:pPr>
      <w:r>
        <w:rPr>
          <w:rFonts w:ascii="Arial" w:cs="Arial" w:eastAsia="Arial" w:hAnsi="Arial"/>
          <w:sz w:val="17"/>
          <w:szCs w:val="17"/>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80" w:lineRule="exact"/>
        <w:rPr>
          <w:sz w:val="20"/>
          <w:szCs w:val="20"/>
          <w:color w:val="auto"/>
        </w:rPr>
      </w:pPr>
    </w:p>
    <w:p>
      <w:pPr>
        <w:ind w:right="100" w:firstLine="320"/>
        <w:spacing w:after="0" w:line="281"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9" w:lineRule="exact"/>
        <w:rPr>
          <w:sz w:val="20"/>
          <w:szCs w:val="20"/>
          <w:color w:val="auto"/>
        </w:rPr>
      </w:pPr>
    </w:p>
    <w:p>
      <w:pPr>
        <w:ind w:right="20" w:firstLine="320"/>
        <w:spacing w:after="0" w:line="267" w:lineRule="auto"/>
        <w:rPr>
          <w:sz w:val="20"/>
          <w:szCs w:val="20"/>
          <w:color w:val="auto"/>
        </w:rPr>
      </w:pPr>
      <w:r>
        <w:rPr>
          <w:rFonts w:ascii="Arial" w:cs="Arial" w:eastAsia="Arial" w:hAnsi="Arial"/>
          <w:sz w:val="17"/>
          <w:szCs w:val="17"/>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sectors.</w:t>
      </w:r>
    </w:p>
    <w:p>
      <w:pPr>
        <w:spacing w:after="0" w:line="182" w:lineRule="exact"/>
        <w:rPr>
          <w:sz w:val="20"/>
          <w:szCs w:val="20"/>
          <w:color w:val="auto"/>
        </w:rPr>
      </w:pPr>
    </w:p>
    <w:p>
      <w:pPr>
        <w:ind w:right="160" w:firstLine="320"/>
        <w:spacing w:after="0" w:line="286" w:lineRule="auto"/>
        <w:rPr>
          <w:sz w:val="20"/>
          <w:szCs w:val="20"/>
          <w:color w:val="auto"/>
        </w:rPr>
      </w:pPr>
      <w:r>
        <w:rPr>
          <w:rFonts w:ascii="Arial" w:cs="Arial" w:eastAsia="Arial" w:hAnsi="Arial"/>
          <w:sz w:val="16"/>
          <w:szCs w:val="16"/>
          <w:color w:val="auto"/>
        </w:rPr>
        <w:t>Although the ships we own have not called on ports in countries subject to sanctions or embargoes or in countries identified as state sponsors of terrorism, including Iran, North Korea and Syria, we can give no assurance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67" w:lineRule="exact"/>
        <w:rPr>
          <w:sz w:val="20"/>
          <w:szCs w:val="20"/>
          <w:color w:val="auto"/>
        </w:rPr>
      </w:pPr>
    </w:p>
    <w:p>
      <w:pPr>
        <w:ind w:right="760"/>
        <w:spacing w:after="0" w:line="333"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30" w:lineRule="exact"/>
        <w:rPr>
          <w:sz w:val="20"/>
          <w:szCs w:val="20"/>
          <w:color w:val="auto"/>
        </w:rPr>
      </w:pPr>
    </w:p>
    <w:p>
      <w:pPr>
        <w:ind w:right="140" w:firstLine="320"/>
        <w:spacing w:after="0" w:line="274" w:lineRule="auto"/>
        <w:rPr>
          <w:sz w:val="20"/>
          <w:szCs w:val="20"/>
          <w:color w:val="auto"/>
        </w:rPr>
      </w:pPr>
      <w:r>
        <w:rPr>
          <w:rFonts w:ascii="Arial" w:cs="Arial" w:eastAsia="Arial" w:hAnsi="Arial"/>
          <w:sz w:val="17"/>
          <w:szCs w:val="17"/>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w:t>
      </w:r>
    </w:p>
    <w:p>
      <w:pPr>
        <w:sectPr>
          <w:pgSz w:w="11900" w:h="16838" w:orient="portrait"/>
          <w:cols w:equalWidth="0" w:num="1">
            <w:col w:w="9920"/>
          </w:cols>
          <w:pgMar w:left="980" w:top="659"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0" w:lineRule="exact"/>
        <w:rPr>
          <w:sz w:val="20"/>
          <w:szCs w:val="20"/>
          <w:color w:val="auto"/>
        </w:rPr>
      </w:pPr>
    </w:p>
    <w:p>
      <w:pPr>
        <w:ind w:right="60" w:firstLine="320"/>
        <w:spacing w:after="0" w:line="258" w:lineRule="auto"/>
        <w:rPr>
          <w:sz w:val="20"/>
          <w:szCs w:val="20"/>
          <w:color w:val="auto"/>
        </w:rPr>
      </w:pPr>
      <w:r>
        <w:rPr>
          <w:rFonts w:ascii="Arial" w:cs="Arial" w:eastAsia="Arial" w:hAnsi="Arial"/>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86" w:lineRule="exact"/>
        <w:rPr>
          <w:sz w:val="20"/>
          <w:szCs w:val="20"/>
          <w:color w:val="auto"/>
        </w:rPr>
      </w:pPr>
    </w:p>
    <w:p>
      <w:pPr>
        <w:ind w:right="380" w:firstLine="320"/>
        <w:spacing w:after="0" w:line="292" w:lineRule="auto"/>
        <w:rPr>
          <w:sz w:val="20"/>
          <w:szCs w:val="20"/>
          <w:color w:val="auto"/>
        </w:rPr>
      </w:pPr>
      <w:r>
        <w:rPr>
          <w:rFonts w:ascii="Arial" w:cs="Arial" w:eastAsia="Arial" w:hAnsi="Arial"/>
          <w:sz w:val="16"/>
          <w:szCs w:val="16"/>
          <w:color w:val="auto"/>
        </w:rPr>
        <w:t>The European Union Code of Conduct Group has assessed the tax policies of a range of countries including Bermuda, where our vessel owning entities are incorporated, and the Marshall Islands and British Virgin Islands, where we also have affiliated entities incorporated. Bermuda, the British Virgin Islands and the Marshall Islands all committed to comply with the European Union Code of Conduct Group’s requirements on economic substance and each country has passed legislation in the form of the Bermuda Economic Substance Act of 2018, the British Virgin Islands Economic Substance Act of 2018 and the Marshall Islands Substance Regulations.</w:t>
      </w:r>
    </w:p>
    <w:p>
      <w:pPr>
        <w:spacing w:after="0" w:line="162"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GasLog has filed the required returns confirming we have appropriate economic substance in Bermuda, the British Virgin Islands and the Marshall Islands.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these countries.</w:t>
      </w:r>
    </w:p>
    <w:p>
      <w:pPr>
        <w:spacing w:after="0" w:line="19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75" w:lineRule="exact"/>
        <w:rPr>
          <w:sz w:val="20"/>
          <w:szCs w:val="20"/>
          <w:color w:val="auto"/>
        </w:rPr>
      </w:pPr>
    </w:p>
    <w:p>
      <w:pPr>
        <w:ind w:right="20" w:firstLine="320"/>
        <w:spacing w:after="0" w:line="265" w:lineRule="auto"/>
        <w:rPr>
          <w:sz w:val="20"/>
          <w:szCs w:val="20"/>
          <w:color w:val="auto"/>
        </w:rPr>
      </w:pPr>
      <w:r>
        <w:rPr>
          <w:rFonts w:ascii="Arial" w:cs="Arial" w:eastAsia="Arial" w:hAnsi="Arial"/>
          <w:sz w:val="17"/>
          <w:szCs w:val="17"/>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loss of hire and cyber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w:t>
      </w:r>
    </w:p>
    <w:p>
      <w:pPr>
        <w:spacing w:after="0" w:line="188" w:lineRule="exact"/>
        <w:rPr>
          <w:sz w:val="20"/>
          <w:szCs w:val="20"/>
          <w:color w:val="auto"/>
        </w:rPr>
      </w:pPr>
    </w:p>
    <w:p>
      <w:pPr>
        <w:ind w:right="80" w:firstLine="320"/>
        <w:spacing w:after="0" w:line="258" w:lineRule="auto"/>
        <w:rPr>
          <w:sz w:val="20"/>
          <w:szCs w:val="20"/>
          <w:color w:val="auto"/>
        </w:rPr>
      </w:pPr>
      <w:r>
        <w:rPr>
          <w:rFonts w:ascii="Arial" w:cs="Arial" w:eastAsia="Arial" w:hAnsi="Arial"/>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0" w:lineRule="exact"/>
        <w:rPr>
          <w:sz w:val="20"/>
          <w:szCs w:val="20"/>
          <w:color w:val="auto"/>
        </w:rPr>
      </w:pPr>
    </w:p>
    <w:p>
      <w:pPr>
        <w:ind w:right="80" w:firstLine="320"/>
        <w:spacing w:after="0" w:line="292" w:lineRule="auto"/>
        <w:rPr>
          <w:sz w:val="20"/>
          <w:szCs w:val="20"/>
          <w:color w:val="auto"/>
        </w:rPr>
      </w:pPr>
      <w:r>
        <w:rPr>
          <w:rFonts w:ascii="Arial" w:cs="Arial" w:eastAsia="Arial" w:hAnsi="Arial"/>
          <w:sz w:val="16"/>
          <w:szCs w:val="16"/>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0" w:lineRule="exact"/>
        <w:rPr>
          <w:sz w:val="20"/>
          <w:szCs w:val="20"/>
          <w:color w:val="auto"/>
        </w:rPr>
      </w:pPr>
    </w:p>
    <w:p>
      <w:pPr>
        <w:ind w:right="20" w:firstLine="320"/>
        <w:spacing w:after="0" w:line="250" w:lineRule="auto"/>
        <w:rPr>
          <w:sz w:val="20"/>
          <w:szCs w:val="20"/>
          <w:color w:val="auto"/>
        </w:rPr>
      </w:pPr>
      <w:r>
        <w:rPr>
          <w:rFonts w:ascii="Arial" w:cs="Arial" w:eastAsia="Arial" w:hAnsi="Arial"/>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180" w:lineRule="exact"/>
        <w:rPr>
          <w:sz w:val="20"/>
          <w:szCs w:val="20"/>
          <w:color w:val="auto"/>
        </w:rPr>
      </w:pPr>
    </w:p>
    <w:p>
      <w:pPr>
        <w:ind w:right="140" w:firstLine="320"/>
        <w:spacing w:after="0" w:line="306" w:lineRule="auto"/>
        <w:rPr>
          <w:sz w:val="20"/>
          <w:szCs w:val="20"/>
          <w:color w:val="auto"/>
        </w:rPr>
      </w:pPr>
      <w:r>
        <w:rPr>
          <w:rFonts w:ascii="Arial" w:cs="Arial" w:eastAsia="Arial" w:hAnsi="Arial"/>
          <w:sz w:val="16"/>
          <w:szCs w:val="16"/>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0" w:lineRule="exact"/>
        <w:rPr>
          <w:sz w:val="20"/>
          <w:szCs w:val="20"/>
          <w:color w:val="auto"/>
        </w:rPr>
      </w:pPr>
    </w:p>
    <w:p>
      <w:pPr>
        <w:ind w:right="60" w:firstLine="320"/>
        <w:spacing w:after="0" w:line="284" w:lineRule="auto"/>
        <w:rPr>
          <w:sz w:val="20"/>
          <w:szCs w:val="20"/>
          <w:color w:val="auto"/>
        </w:rPr>
      </w:pPr>
      <w:r>
        <w:rPr>
          <w:rFonts w:ascii="Arial" w:cs="Arial" w:eastAsia="Arial" w:hAnsi="Arial"/>
          <w:sz w:val="16"/>
          <w:szCs w:val="16"/>
          <w:color w:val="auto"/>
        </w:rPr>
        <w:t>We may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Most recently, certain public shareholders exercised their dissension rights in connection with the Transaction and sought appraisal for the fair value of their common shares; in January 2022, we entered into a Deed of Settlement, pursuant to which we agreed to pay the dissenting shareholders an aggregate of approximately $3.5 million in order to settle the claim. While we are not aware of any additional actions relating to the Transaction at this time, it is possible that we may be involved in such actions in the future.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GasLog</w:t>
      </w:r>
    </w:p>
    <w:p>
      <w:pPr>
        <w:spacing w:after="0" w:line="224" w:lineRule="exact"/>
        <w:rPr>
          <w:sz w:val="20"/>
          <w:szCs w:val="20"/>
          <w:color w:val="auto"/>
        </w:rPr>
      </w:pPr>
    </w:p>
    <w:p>
      <w:pPr>
        <w:ind w:right="60"/>
        <w:spacing w:after="0" w:line="415" w:lineRule="auto"/>
        <w:rPr>
          <w:sz w:val="20"/>
          <w:szCs w:val="20"/>
          <w:color w:val="auto"/>
        </w:rPr>
      </w:pPr>
      <w:r>
        <w:rPr>
          <w:rFonts w:ascii="Arial" w:cs="Arial" w:eastAsia="Arial" w:hAnsi="Arial"/>
          <w:sz w:val="14"/>
          <w:szCs w:val="14"/>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84" w:lineRule="exact"/>
        <w:rPr>
          <w:sz w:val="20"/>
          <w:szCs w:val="20"/>
          <w:color w:val="auto"/>
        </w:rPr>
      </w:pPr>
    </w:p>
    <w:p>
      <w:pPr>
        <w:ind w:right="160" w:firstLine="320"/>
        <w:spacing w:after="0" w:line="274" w:lineRule="auto"/>
        <w:rPr>
          <w:sz w:val="20"/>
          <w:szCs w:val="20"/>
          <w:color w:val="auto"/>
        </w:rPr>
      </w:pPr>
      <w:r>
        <w:rPr>
          <w:rFonts w:ascii="Arial" w:cs="Arial" w:eastAsia="Arial" w:hAnsi="Arial"/>
          <w:sz w:val="17"/>
          <w:szCs w:val="17"/>
          <w:color w:val="auto"/>
        </w:rPr>
        <w:t>We rely exclusively on the cash flow generated from charters for our LNG vessels and management of third party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560"/>
        <w:spacing w:after="0" w:line="300" w:lineRule="auto"/>
        <w:rPr>
          <w:sz w:val="20"/>
          <w:szCs w:val="20"/>
          <w:color w:val="auto"/>
        </w:rPr>
      </w:pPr>
      <w:r>
        <w:rPr>
          <w:rFonts w:ascii="Arial" w:cs="Arial" w:eastAsia="Arial" w:hAnsi="Arial"/>
          <w:sz w:val="17"/>
          <w:szCs w:val="17"/>
          <w:b w:val="1"/>
          <w:bCs w:val="1"/>
          <w:i w:val="1"/>
          <w:iCs w:val="1"/>
          <w:color w:val="auto"/>
        </w:rPr>
        <w:t>Our contracts for the four newbuildings we have on order as of March 7, 2022 are subject to risks that could cause delays in the delivery of the ships, which could adversely affect our results of operations and cash flows.</w:t>
      </w:r>
    </w:p>
    <w:p>
      <w:pPr>
        <w:spacing w:after="0" w:line="152" w:lineRule="exact"/>
        <w:rPr>
          <w:sz w:val="20"/>
          <w:szCs w:val="20"/>
          <w:color w:val="auto"/>
        </w:rPr>
      </w:pPr>
    </w:p>
    <w:p>
      <w:pPr>
        <w:ind w:right="40" w:firstLine="320"/>
        <w:spacing w:after="0" w:line="252" w:lineRule="auto"/>
        <w:rPr>
          <w:sz w:val="20"/>
          <w:szCs w:val="20"/>
          <w:color w:val="auto"/>
        </w:rPr>
      </w:pPr>
      <w:r>
        <w:rPr>
          <w:rFonts w:ascii="Arial" w:cs="Arial" w:eastAsia="Arial" w:hAnsi="Arial"/>
          <w:sz w:val="18"/>
          <w:szCs w:val="18"/>
          <w:color w:val="auto"/>
        </w:rPr>
        <w:t>Our four contracted newbuildings are scheduled to be delivered to us during 2024 and 2025. Significant delays in the delivery of these ships,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 the delivery of any of these ships with substantial defects or unexpected operational problems could have similar consequences.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completion and delivery of newbuildings or conversions could be delayed because of:</w:t>
      </w:r>
    </w:p>
    <w:p>
      <w:pPr>
        <w:spacing w:after="0" w:line="220" w:lineRule="exact"/>
        <w:rPr>
          <w:sz w:val="20"/>
          <w:szCs w:val="20"/>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accidents, diseases or pandemics, including the COVID-19 virus;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0" w:lineRule="exact"/>
        <w:rPr>
          <w:sz w:val="20"/>
          <w:szCs w:val="20"/>
          <w:color w:val="auto"/>
        </w:rPr>
      </w:pPr>
    </w:p>
    <w:p>
      <w:pPr>
        <w:ind w:right="180" w:firstLine="320"/>
        <w:spacing w:after="0" w:line="270" w:lineRule="auto"/>
        <w:rPr>
          <w:sz w:val="20"/>
          <w:szCs w:val="20"/>
          <w:color w:val="auto"/>
        </w:rPr>
      </w:pPr>
      <w:r>
        <w:rPr>
          <w:rFonts w:ascii="Arial" w:cs="Arial" w:eastAsia="Arial" w:hAnsi="Arial"/>
          <w:sz w:val="18"/>
          <w:szCs w:val="18"/>
          <w:color w:val="auto"/>
        </w:rPr>
        <w:t>If delivery of a vessel is materially delayed, it could adversely affect our business, financial condition, results of operations and cash flows, including cash available for dividends to our shareholders.</w:t>
      </w:r>
    </w:p>
    <w:p>
      <w:pPr>
        <w:spacing w:after="0" w:line="175"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86" w:lineRule="exact"/>
        <w:rPr>
          <w:sz w:val="20"/>
          <w:szCs w:val="20"/>
          <w:color w:val="auto"/>
        </w:rPr>
      </w:pPr>
    </w:p>
    <w:p>
      <w:pPr>
        <w:ind w:firstLine="320"/>
        <w:spacing w:after="0" w:line="289" w:lineRule="auto"/>
        <w:rPr>
          <w:sz w:val="20"/>
          <w:szCs w:val="20"/>
          <w:color w:val="auto"/>
        </w:rPr>
      </w:pPr>
      <w:r>
        <w:rPr>
          <w:rFonts w:ascii="Arial" w:cs="Arial" w:eastAsia="Arial" w:hAnsi="Arial"/>
          <w:sz w:val="16"/>
          <w:szCs w:val="16"/>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165" w:lineRule="exact"/>
        <w:rPr>
          <w:sz w:val="20"/>
          <w:szCs w:val="20"/>
          <w:color w:val="auto"/>
        </w:rPr>
      </w:pPr>
    </w:p>
    <w:p>
      <w:pPr>
        <w:ind w:right="320" w:firstLine="320"/>
        <w:spacing w:after="0" w:line="296" w:lineRule="auto"/>
        <w:rPr>
          <w:sz w:val="20"/>
          <w:szCs w:val="20"/>
          <w:color w:val="auto"/>
        </w:rPr>
      </w:pPr>
      <w:r>
        <w:rPr>
          <w:rFonts w:ascii="Arial" w:cs="Arial" w:eastAsia="Arial" w:hAnsi="Arial"/>
          <w:sz w:val="16"/>
          <w:szCs w:val="16"/>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to our shareholders.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further expanding our fleet in the future.</w:t>
      </w:r>
    </w:p>
    <w:p>
      <w:pPr>
        <w:spacing w:after="0" w:line="220"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and the eight vessels acquired from MSL in 2014 and 2015. Our future growth will depend on numerous factors, some of which are beyond our control, including our ability to:</w:t>
      </w:r>
    </w:p>
    <w:p>
      <w:pPr>
        <w:spacing w:after="0" w:line="188" w:lineRule="exact"/>
        <w:rPr>
          <w:sz w:val="20"/>
          <w:szCs w:val="20"/>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attractive ship acquisition opportunities and consummate such acquisitions;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newbuilding contracts at acceptable prices;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required equity and debt financing on acceptable terms;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secure charter arrangements on terms acceptable to us and to our lenders;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 and retain additional suitably qualified and experienced seafarers and shore-based employees;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joint ventures; and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the expansion of our operations to integrate the new ships into our fleet.</w:t>
      </w:r>
    </w:p>
    <w:p>
      <w:pPr>
        <w:spacing w:after="0" w:line="220" w:lineRule="exact"/>
        <w:rPr>
          <w:sz w:val="20"/>
          <w:szCs w:val="20"/>
          <w:color w:val="auto"/>
        </w:rPr>
      </w:pPr>
    </w:p>
    <w:p>
      <w:pPr>
        <w:jc w:val="both"/>
        <w:ind w:right="120" w:firstLine="320"/>
        <w:spacing w:after="0" w:line="270" w:lineRule="auto"/>
        <w:rPr>
          <w:sz w:val="20"/>
          <w:szCs w:val="20"/>
          <w:color w:val="auto"/>
        </w:rPr>
      </w:pPr>
      <w:r>
        <w:rPr>
          <w:rFonts w:ascii="Arial" w:cs="Arial" w:eastAsia="Arial" w:hAnsi="Arial"/>
          <w:sz w:val="18"/>
          <w:szCs w:val="18"/>
          <w:color w:val="auto"/>
        </w:rPr>
        <w:t>We may not be successful in executing any future growth plans, and we cannot give any assurances that we will not incur significant expenses and losses in connection with such growth efforts.</w:t>
      </w:r>
    </w:p>
    <w:p>
      <w:pPr>
        <w:spacing w:after="0" w:line="17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50" w:lineRule="exact"/>
        <w:rPr>
          <w:sz w:val="20"/>
          <w:szCs w:val="20"/>
          <w:color w:val="auto"/>
        </w:rPr>
      </w:pPr>
    </w:p>
    <w:p>
      <w:pPr>
        <w:ind w:right="80" w:firstLine="320"/>
        <w:spacing w:after="0" w:line="333" w:lineRule="auto"/>
        <w:rPr>
          <w:sz w:val="20"/>
          <w:szCs w:val="20"/>
          <w:color w:val="auto"/>
        </w:rPr>
      </w:pPr>
      <w:r>
        <w:rPr>
          <w:rFonts w:ascii="Arial" w:cs="Arial" w:eastAsia="Arial" w:hAnsi="Arial"/>
          <w:sz w:val="16"/>
          <w:szCs w:val="16"/>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30" w:lineRule="exact"/>
        <w:rPr>
          <w:sz w:val="20"/>
          <w:szCs w:val="20"/>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153" w:lineRule="exact"/>
        <w:rPr>
          <w:rFonts w:ascii="Arial" w:cs="Arial" w:eastAsia="Arial" w:hAnsi="Arial"/>
          <w:sz w:val="18"/>
          <w:szCs w:val="18"/>
          <w:color w:val="auto"/>
        </w:rPr>
      </w:pPr>
    </w:p>
    <w:p>
      <w:pPr>
        <w:ind w:left="680" w:right="540" w:hanging="326"/>
        <w:spacing w:after="0" w:line="270"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94"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acquire assets, make investments or enter into any joint venture arrangements outside of the ordinary course of business.</w:t>
      </w:r>
    </w:p>
    <w:p>
      <w:pPr>
        <w:spacing w:after="0" w:line="231" w:lineRule="exact"/>
        <w:rPr>
          <w:sz w:val="20"/>
          <w:szCs w:val="20"/>
          <w:color w:val="auto"/>
        </w:rPr>
      </w:pPr>
    </w:p>
    <w:p>
      <w:pPr>
        <w:ind w:firstLine="320"/>
        <w:spacing w:after="0" w:line="281" w:lineRule="auto"/>
        <w:rPr>
          <w:sz w:val="20"/>
          <w:szCs w:val="20"/>
          <w:color w:val="auto"/>
        </w:rPr>
      </w:pPr>
      <w:r>
        <w:rPr>
          <w:rFonts w:ascii="Arial" w:cs="Arial" w:eastAsia="Arial" w:hAnsi="Arial"/>
          <w:sz w:val="17"/>
          <w:szCs w:val="17"/>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part or in full.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credit facilities also impose specified financial covenants that apply to us and our subsidiaries on a consolidated basis and to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and its subsidiaries on a consolidated basis. These financial covenants generally include the following:</w:t>
      </w:r>
    </w:p>
    <w:p>
      <w:pPr>
        <w:spacing w:after="0" w:line="207" w:lineRule="exact"/>
        <w:rPr>
          <w:sz w:val="20"/>
          <w:szCs w:val="20"/>
          <w:color w:val="auto"/>
        </w:rPr>
      </w:pPr>
    </w:p>
    <w:p>
      <w:pPr>
        <w:ind w:left="680" w:right="560" w:hanging="326"/>
        <w:spacing w:after="0" w:line="270"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(not included in the GasLog Partners financial covenants);</w:t>
      </w:r>
    </w:p>
    <w:p>
      <w:pPr>
        <w:spacing w:after="0" w:line="108" w:lineRule="exact"/>
        <w:rPr>
          <w:rFonts w:ascii="Arial" w:cs="Arial" w:eastAsia="Arial" w:hAnsi="Arial"/>
          <w:sz w:val="18"/>
          <w:szCs w:val="18"/>
          <w:color w:val="auto"/>
        </w:rPr>
      </w:pPr>
    </w:p>
    <w:p>
      <w:pPr>
        <w:ind w:left="680" w:right="360" w:hanging="326"/>
        <w:spacing w:after="0" w:line="270"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indebtedness divided by our total assets must not exceed 75.0% (in the case of the GasLog Partners financial covenants, must be less than 65.0%);</w:t>
      </w:r>
    </w:p>
    <w:p>
      <w:pPr>
        <w:spacing w:after="0" w:line="94" w:lineRule="exact"/>
        <w:rPr>
          <w:rFonts w:ascii="Arial" w:cs="Arial" w:eastAsia="Arial" w:hAnsi="Arial"/>
          <w:sz w:val="18"/>
          <w:szCs w:val="18"/>
          <w:color w:val="auto"/>
        </w:rPr>
      </w:pPr>
    </w:p>
    <w:p>
      <w:pPr>
        <w:jc w:val="both"/>
        <w:ind w:left="680" w:right="200" w:hanging="326"/>
        <w:spacing w:after="0" w:line="284" w:lineRule="auto"/>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aggregate amount of cash and cash equivalents and short-term investments must be at least $75.0 million (in the case of the GasLog Partners financial covenants, the aggregate amount of cash and cash equivalents, short-term investments and available undrawn facilities with remaining maturities of at least six months (excluding loans from affiliates) must be at least</w:t>
      </w:r>
    </w:p>
    <w:p>
      <w:pPr>
        <w:ind w:left="680"/>
        <w:spacing w:after="0"/>
        <w:rPr>
          <w:rFonts w:ascii="Arial" w:cs="Arial" w:eastAsia="Arial" w:hAnsi="Arial"/>
          <w:sz w:val="16"/>
          <w:szCs w:val="16"/>
          <w:color w:val="auto"/>
        </w:rPr>
      </w:pPr>
      <w:r>
        <w:rPr>
          <w:rFonts w:ascii="Arial" w:cs="Arial" w:eastAsia="Arial" w:hAnsi="Arial"/>
          <w:sz w:val="18"/>
          <w:szCs w:val="18"/>
          <w:color w:val="auto"/>
        </w:rPr>
        <w:t>$45.0 million);</w:t>
      </w:r>
    </w:p>
    <w:p>
      <w:pPr>
        <w:spacing w:after="0" w:line="206" w:lineRule="exact"/>
        <w:rPr>
          <w:rFonts w:ascii="Arial" w:cs="Arial" w:eastAsia="Arial" w:hAnsi="Arial"/>
          <w:sz w:val="16"/>
          <w:szCs w:val="16"/>
          <w:color w:val="auto"/>
        </w:rPr>
      </w:pPr>
    </w:p>
    <w:p>
      <w:pPr>
        <w:ind w:left="680" w:right="20" w:hanging="326"/>
        <w:spacing w:after="0" w:line="255"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 million (not included in the GasLog Partners financial covenants);</w:t>
      </w:r>
    </w:p>
    <w:p>
      <w:pPr>
        <w:spacing w:after="0" w:line="121" w:lineRule="exact"/>
        <w:rPr>
          <w:rFonts w:ascii="Arial" w:cs="Arial" w:eastAsia="Arial" w:hAnsi="Arial"/>
          <w:sz w:val="18"/>
          <w:szCs w:val="18"/>
          <w:color w:val="auto"/>
        </w:rPr>
      </w:pPr>
    </w:p>
    <w:p>
      <w:pPr>
        <w:ind w:left="680" w:right="100" w:hanging="326"/>
        <w:spacing w:after="0" w:line="258"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being permitted to pay dividends subject to no event of default having occurred or occurring as a consequence of the payment of such dividends (in the case of the GasLog Partners financial covenants, being permitted to pay dividends subject to no event of default having occurred or resulting from such payment); and</w:t>
      </w:r>
    </w:p>
    <w:p>
      <w:pPr>
        <w:spacing w:after="0" w:line="119" w:lineRule="exact"/>
        <w:rPr>
          <w:rFonts w:ascii="Arial" w:cs="Arial" w:eastAsia="Arial" w:hAnsi="Arial"/>
          <w:sz w:val="18"/>
          <w:szCs w:val="18"/>
          <w:color w:val="auto"/>
        </w:rPr>
      </w:pPr>
    </w:p>
    <w:p>
      <w:pPr>
        <w:ind w:left="680" w:hanging="326"/>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market value adjusted net worth must be not less than $350.0 million (not included in the GasLog Partners financial covenants).</w:t>
      </w:r>
    </w:p>
    <w:p>
      <w:pPr>
        <w:spacing w:after="0" w:line="243" w:lineRule="exact"/>
        <w:rPr>
          <w:sz w:val="20"/>
          <w:szCs w:val="20"/>
          <w:color w:val="auto"/>
        </w:rPr>
      </w:pPr>
    </w:p>
    <w:p>
      <w:pPr>
        <w:ind w:firstLine="320"/>
        <w:spacing w:after="0" w:line="264" w:lineRule="auto"/>
        <w:rPr>
          <w:sz w:val="20"/>
          <w:szCs w:val="20"/>
          <w:color w:val="auto"/>
        </w:rPr>
      </w:pPr>
      <w:r>
        <w:rPr>
          <w:rFonts w:ascii="Arial" w:cs="Arial" w:eastAsia="Arial" w:hAnsi="Arial"/>
          <w:sz w:val="17"/>
          <w:szCs w:val="17"/>
          <w:color w:val="auto"/>
        </w:rPr>
        <w:t xml:space="preserve">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120.0% ((1) in the case of the debt financing agreement entered into in October 2015 (the “October 2015 Facility”) and the loan agreement GAS-twenty eight Ltd., GAS-thirty Ltd., GAS-thirty one Ltd., GAS-thirty two Ltd., GAS-thirty three Ltd., GAS-thirty four Ltd. and GAS-thirty five Ltd entered into on December 12, 2019 with 13 international banks, with Citibank N.A. London Branch and DNB Bank ASA, London Branch acting as agents on behalf of the other finance parties (the “7xNB Facility”), 115.0% for the first two years after each drawdown and 120.0% at any time thereafter, (2) in the case of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sale and leaseback transaction with Sea 190 Leasing (the “GasLog Hong Kong SLB”), 100%, (3) in the case of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sale and leaseback transaction with Hai Kuo Shipping (the “GasLog Houston SLB”), 100% until December 31, 2022 inclusive and 110% at any time thereafter and (4) in the case of the credit agreement of $193.7 million GasLog Partners entered into on July 16, 2020, with DNB Bank ASA, London Branch, and ING Bank N.V., London Branch, in order to refinance the existing indebtedness due in 2021 on three of its vessels (the “GasLog Partners $193.7M Facility”), 130%)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90" w:lineRule="exact"/>
        <w:rPr>
          <w:sz w:val="20"/>
          <w:szCs w:val="20"/>
          <w:color w:val="auto"/>
        </w:rPr>
      </w:pPr>
    </w:p>
    <w:p>
      <w:pPr>
        <w:ind w:right="40" w:firstLine="320"/>
        <w:spacing w:after="0" w:line="253" w:lineRule="auto"/>
        <w:rPr>
          <w:sz w:val="20"/>
          <w:szCs w:val="20"/>
          <w:color w:val="auto"/>
        </w:rPr>
      </w:pPr>
      <w:r>
        <w:rPr>
          <w:rFonts w:ascii="Arial" w:cs="Arial" w:eastAsia="Arial" w:hAnsi="Arial"/>
          <w:sz w:val="18"/>
          <w:szCs w:val="18"/>
          <w:color w:val="auto"/>
        </w:rPr>
        <w:t>Further, GasLog has issued the Norwegian Kroner (‘‘NOK’’) denominated bonds issued under the agreement signed on November 27, 2019, between GasLog and the bond trustee, as amended (the ‘‘NOK 2024 Bonds’’) and the US dollar denominated 8.875% senior unsecured notes due in 2022 and issued in March 2017 and May 2019 (the ‘‘8.875% Senior Notes’’) which also impose specified financial covenants that apply to us and our subsidiaries on a consolidated basis. Under the terms of the NOK 2024 Bonds, GasLog is required to comply with the following financial covenants:</w:t>
      </w:r>
    </w:p>
    <w:p>
      <w:pPr>
        <w:spacing w:after="0" w:line="190" w:lineRule="exact"/>
        <w:rPr>
          <w:sz w:val="20"/>
          <w:szCs w:val="20"/>
          <w:color w:val="auto"/>
        </w:rPr>
      </w:pPr>
    </w:p>
    <w:p>
      <w:pPr>
        <w:ind w:left="680" w:hanging="32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40" w:hanging="326"/>
        <w:spacing w:after="0" w:line="281"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ratio of EBITDA over debt service obligations (including interest and debt repayments) on a trailing 12 months basis must be not less than 110.0%.The ratio shall be regarded as having been complied with even if the ratio falls below the stipulated 110% when cash and cash equivalent and short-term investments are at least $110.0 million; and</w:t>
      </w:r>
    </w:p>
    <w:p>
      <w:pPr>
        <w:spacing w:after="0" w:line="100" w:lineRule="exact"/>
        <w:rPr>
          <w:rFonts w:ascii="Arial" w:cs="Arial" w:eastAsia="Arial" w:hAnsi="Arial"/>
          <w:sz w:val="17"/>
          <w:szCs w:val="17"/>
          <w:color w:val="auto"/>
        </w:rPr>
      </w:pPr>
    </w:p>
    <w:p>
      <w:pPr>
        <w:ind w:left="680" w:hanging="32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0" w:lineRule="exact"/>
        <w:rPr>
          <w:sz w:val="20"/>
          <w:szCs w:val="20"/>
          <w:color w:val="auto"/>
        </w:rPr>
      </w:pPr>
    </w:p>
    <w:p>
      <w:pPr>
        <w:ind w:firstLine="320"/>
        <w:spacing w:after="0" w:line="250" w:lineRule="auto"/>
        <w:rPr>
          <w:sz w:val="20"/>
          <w:szCs w:val="20"/>
          <w:color w:val="auto"/>
        </w:rPr>
      </w:pPr>
      <w:r>
        <w:rPr>
          <w:rFonts w:ascii="Arial" w:cs="Arial" w:eastAsia="Arial" w:hAnsi="Arial"/>
          <w:sz w:val="18"/>
          <w:szCs w:val="18"/>
          <w:color w:val="auto"/>
        </w:rPr>
        <w:t>In addition, the terms of the NOK 2024 Bonds include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w:t>
      </w:r>
    </w:p>
    <w:p>
      <w:pPr>
        <w:spacing w:after="0" w:line="196" w:lineRule="exact"/>
        <w:rPr>
          <w:sz w:val="20"/>
          <w:szCs w:val="20"/>
          <w:color w:val="auto"/>
        </w:rPr>
      </w:pPr>
    </w:p>
    <w:p>
      <w:pPr>
        <w:ind w:right="40" w:firstLine="320"/>
        <w:spacing w:after="0" w:line="287" w:lineRule="auto"/>
        <w:rPr>
          <w:sz w:val="20"/>
          <w:szCs w:val="20"/>
          <w:color w:val="auto"/>
        </w:rPr>
      </w:pPr>
      <w:r>
        <w:rPr>
          <w:rFonts w:ascii="Arial" w:cs="Arial" w:eastAsia="Arial" w:hAnsi="Arial"/>
          <w:sz w:val="16"/>
          <w:szCs w:val="16"/>
          <w:color w:val="auto"/>
        </w:rPr>
        <w:t>Additionally, on September 24, 2021, GasLog entered into a Note Purchase Agreement (the “Note Purchase Agreement”) with certain affiliates of The Carlyle Group and EIG (such affiliates, the “Purchasers”) and Wilmington Trust (London) Limited, as administrative agent, for an amount of up to $325.0 million of 7.75% Notes due in 2029 (the “2029 Notes”). The Note Purchase Agreement requires that GasLog comply with financial covenants that are identical to GasLog's financial covenants, and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68" w:lineRule="exact"/>
        <w:rPr>
          <w:sz w:val="20"/>
          <w:szCs w:val="20"/>
          <w:color w:val="auto"/>
        </w:rPr>
      </w:pPr>
    </w:p>
    <w:p>
      <w:pPr>
        <w:ind w:firstLine="320"/>
        <w:spacing w:after="0" w:line="333" w:lineRule="auto"/>
        <w:rPr>
          <w:sz w:val="20"/>
          <w:szCs w:val="20"/>
          <w:color w:val="auto"/>
        </w:rPr>
      </w:pPr>
      <w:r>
        <w:rPr>
          <w:rFonts w:ascii="Arial" w:cs="Arial" w:eastAsia="Arial" w:hAnsi="Arial"/>
          <w:sz w:val="16"/>
          <w:szCs w:val="16"/>
          <w:color w:val="auto"/>
        </w:rPr>
        <w:t>In particular, the terms of the 2029 Notes, impose certain restrictions on GasLog and our wholly owned subsidiaries; for the avoidance of doubt these do not include the Partnership and its subsidiaries. These restrictions generally limit our ability to, among other things:</w:t>
      </w:r>
    </w:p>
    <w:p>
      <w:pPr>
        <w:spacing w:after="0" w:line="130" w:lineRule="exact"/>
        <w:rPr>
          <w:sz w:val="20"/>
          <w:szCs w:val="20"/>
          <w:color w:val="auto"/>
        </w:rPr>
      </w:pPr>
    </w:p>
    <w:p>
      <w:pPr>
        <w:ind w:left="680" w:right="120" w:hanging="326"/>
        <w:spacing w:after="0" w:line="300"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incur additional indebtedness, create liens or provide guarantees in relation to indebtedness above an aggregate amount of $30.0 million; certain exceptions apply mainly for indebtedness incurred in the normal course of business;</w:t>
      </w:r>
    </w:p>
    <w:p>
      <w:pPr>
        <w:spacing w:after="0" w:line="71" w:lineRule="exact"/>
        <w:rPr>
          <w:rFonts w:ascii="Arial" w:cs="Arial" w:eastAsia="Arial" w:hAnsi="Arial"/>
          <w:sz w:val="17"/>
          <w:szCs w:val="17"/>
          <w:color w:val="auto"/>
        </w:rPr>
      </w:pPr>
    </w:p>
    <w:p>
      <w:pPr>
        <w:ind w:left="680" w:right="60" w:hanging="326"/>
        <w:spacing w:after="0" w:line="258"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indebtedness for acquisitions of new vessels unless the Charter Coverage Ratio on a pro-forma basis is either above what it would have been without the acquisition and incurrence of the associated debt or above pre-determined thresholds for the remaining tenor of the 2029 Notes;</w:t>
      </w:r>
    </w:p>
    <w:p>
      <w:pPr>
        <w:spacing w:after="0" w:line="119"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indebtedness for acquisitions of second-hand vessels unless the Charter Coverage Ratio on a pro-forma basis is above pre-determined thresholds for the remaining tenor of the 2029 Notes;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engage in merger or other corporate reconstruction transactions;</w:t>
      </w:r>
    </w:p>
    <w:p>
      <w:pPr>
        <w:spacing w:after="0" w:line="139" w:lineRule="exact"/>
        <w:rPr>
          <w:rFonts w:ascii="Arial" w:cs="Arial" w:eastAsia="Arial" w:hAnsi="Arial"/>
          <w:sz w:val="18"/>
          <w:szCs w:val="18"/>
          <w:color w:val="auto"/>
        </w:rPr>
      </w:pPr>
    </w:p>
    <w:p>
      <w:pPr>
        <w:ind w:left="680" w:right="240" w:hanging="326"/>
        <w:spacing w:after="0" w:line="270"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or otherwise dispose of ships or shares in subsidiaries if the net proceeds are above $10.0 million unless such proceeds are applied towards prepayment of the 2029 Notes;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undergo a change in ownership;</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any loans to third parties except in the ordinary course of business; or</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declare or make any dividend payment of distribution, that in aggregate exceed during any calendar year $1.10/share.</w:t>
      </w:r>
    </w:p>
    <w:p>
      <w:pPr>
        <w:spacing w:after="0" w:line="165" w:lineRule="exact"/>
        <w:rPr>
          <w:sz w:val="20"/>
          <w:szCs w:val="20"/>
          <w:color w:val="auto"/>
        </w:rPr>
      </w:pPr>
    </w:p>
    <w:p>
      <w:pPr>
        <w:ind w:right="60" w:firstLine="320"/>
        <w:spacing w:after="0" w:line="281" w:lineRule="auto"/>
        <w:rPr>
          <w:sz w:val="20"/>
          <w:szCs w:val="20"/>
          <w:color w:val="auto"/>
        </w:rPr>
      </w:pPr>
      <w:r>
        <w:rPr>
          <w:rFonts w:ascii="Arial" w:cs="Arial" w:eastAsia="Arial" w:hAnsi="Arial"/>
          <w:sz w:val="17"/>
          <w:szCs w:val="17"/>
          <w:color w:val="auto"/>
        </w:rPr>
        <w:t>Notwithstanding the foregoing, GasLog may make any amount of Distributions, so long as the Group’s cash and cash equivalents and short-term investments exceed $150.0 million, provided that GasLog can demonstrate by delivering a compliance certificate to the administrative agent that no event of default is continuing or would result from such Distributions.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terms of the 2029 Notes, GasLog is required to comply with the following financial covenants:</w:t>
      </w:r>
    </w:p>
    <w:p>
      <w:pPr>
        <w:spacing w:after="0" w:line="220" w:lineRule="exact"/>
        <w:rPr>
          <w:sz w:val="20"/>
          <w:szCs w:val="20"/>
          <w:color w:val="auto"/>
        </w:rPr>
      </w:pPr>
    </w:p>
    <w:p>
      <w:pPr>
        <w:ind w:left="680" w:hanging="326"/>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139" w:lineRule="exact"/>
        <w:rPr>
          <w:rFonts w:ascii="Arial" w:cs="Arial" w:eastAsia="Arial" w:hAnsi="Arial"/>
          <w:sz w:val="18"/>
          <w:szCs w:val="18"/>
          <w:color w:val="auto"/>
        </w:rPr>
      </w:pPr>
    </w:p>
    <w:p>
      <w:pPr>
        <w:ind w:left="680" w:right="120" w:hanging="326"/>
        <w:spacing w:after="0" w:line="258"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110.0%. The ratio shall be regarded as having been complied with even if the ratio falls below the stipulated 110.0% when cash and cash equivalents are at least $110.0 million;</w:t>
      </w:r>
    </w:p>
    <w:p>
      <w:pPr>
        <w:spacing w:after="0" w:line="119" w:lineRule="exact"/>
        <w:rPr>
          <w:rFonts w:ascii="Arial" w:cs="Arial" w:eastAsia="Arial" w:hAnsi="Arial"/>
          <w:sz w:val="18"/>
          <w:szCs w:val="18"/>
          <w:color w:val="auto"/>
        </w:rPr>
      </w:pPr>
    </w:p>
    <w:p>
      <w:pPr>
        <w:ind w:left="680" w:hanging="326"/>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amount of the company’s cash and cash equivalents must be not less than $75.0 million; and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GasLog’s market value adjusted net worth must be at all times not less than $350.0 million.</w:t>
      </w:r>
    </w:p>
    <w:p>
      <w:pPr>
        <w:spacing w:after="0" w:line="140" w:lineRule="exact"/>
        <w:rPr>
          <w:sz w:val="20"/>
          <w:szCs w:val="20"/>
          <w:color w:val="auto"/>
        </w:rPr>
      </w:pPr>
    </w:p>
    <w:p>
      <w:pPr>
        <w:ind w:firstLine="320"/>
        <w:spacing w:after="0" w:line="285"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 in the cross-acceleration of our other indebtedness. For more information regarding our credit facilities, please read “Item 5. Operating and Financial Review and Prospects—B. Liquidity and Capital Resources—Credit Facilities”.</w:t>
      </w:r>
    </w:p>
    <w:p>
      <w:pPr>
        <w:spacing w:after="0" w:line="168"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8"/>
          <w:szCs w:val="18"/>
          <w:color w:val="auto"/>
        </w:rPr>
        <w:t>As of December 31, 2021, we had a total of 2,739 open vessel days during 2022. A failure to obtain charters at acceptable rates on our vessels could adversely affect our business, financial condition, results of operations and cash flows, including cash available for dividends to our shareholders.</w:t>
      </w:r>
    </w:p>
    <w:p>
      <w:pPr>
        <w:spacing w:after="0" w:line="186"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i w:val="1"/>
          <w:iCs w:val="1"/>
          <w:color w:val="auto"/>
        </w:rPr>
        <w:t>Our debt levels may limit our flexibility in obtaining additional financing, pursuing other business opportunities and paying dividends to our shareholders.</w:t>
      </w:r>
    </w:p>
    <w:p>
      <w:pPr>
        <w:spacing w:after="0" w:line="175" w:lineRule="exact"/>
        <w:rPr>
          <w:sz w:val="20"/>
          <w:szCs w:val="20"/>
          <w:color w:val="auto"/>
        </w:rPr>
      </w:pPr>
    </w:p>
    <w:p>
      <w:pPr>
        <w:ind w:right="180" w:firstLine="320"/>
        <w:spacing w:after="0" w:line="274" w:lineRule="auto"/>
        <w:rPr>
          <w:sz w:val="20"/>
          <w:szCs w:val="20"/>
          <w:color w:val="auto"/>
        </w:rPr>
      </w:pPr>
      <w:r>
        <w:rPr>
          <w:rFonts w:ascii="Arial" w:cs="Arial" w:eastAsia="Arial" w:hAnsi="Arial"/>
          <w:sz w:val="17"/>
          <w:szCs w:val="17"/>
          <w:color w:val="auto"/>
        </w:rPr>
        <w:t>As of December 31, 2021, we had an aggregate of $3.7 billion of indebtedness outstanding under our credit agreements, the NOK 2024 Bonds and the 8.875% Senior Notes, of which $553.2 million was repayable within one year, and finance lease liabilities of $302.8 million, of which $30.9 million was repayable within one year. We may incur additional indebtedness in the future as we grow our fleet. This level of debt could have important consequences to us, including the following:</w:t>
      </w:r>
    </w:p>
    <w:p>
      <w:pPr>
        <w:spacing w:after="0" w:line="175" w:lineRule="exact"/>
        <w:rPr>
          <w:sz w:val="20"/>
          <w:szCs w:val="20"/>
          <w:color w:val="auto"/>
        </w:rPr>
      </w:pPr>
    </w:p>
    <w:p>
      <w:pPr>
        <w:ind w:left="680" w:right="600" w:hanging="326"/>
        <w:spacing w:after="0" w:line="27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174" w:lineRule="exact"/>
        <w:rPr>
          <w:rFonts w:ascii="Arial" w:cs="Arial" w:eastAsia="Arial" w:hAnsi="Arial"/>
          <w:sz w:val="18"/>
          <w:szCs w:val="18"/>
          <w:color w:val="auto"/>
        </w:rPr>
      </w:pPr>
    </w:p>
    <w:p>
      <w:pPr>
        <w:ind w:left="680" w:right="180" w:hanging="326"/>
        <w:spacing w:after="0" w:line="300"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85" w:lineRule="exact"/>
        <w:rPr>
          <w:rFonts w:ascii="Arial" w:cs="Arial" w:eastAsia="Arial" w:hAnsi="Arial"/>
          <w:sz w:val="17"/>
          <w:szCs w:val="17"/>
          <w:color w:val="auto"/>
        </w:rPr>
      </w:pPr>
    </w:p>
    <w:p>
      <w:pPr>
        <w:ind w:left="680" w:right="280" w:hanging="326"/>
        <w:spacing w:after="0" w:line="300"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requirement on us to maintain minimum levels of liquidity as a percentage of our total debt, reducing the funds that would otherwise be available for operations, future business opportunities and dividends to our shareholders;</w:t>
      </w:r>
    </w:p>
    <w:p>
      <w:pPr>
        <w:spacing w:after="0" w:line="85" w:lineRule="exact"/>
        <w:rPr>
          <w:rFonts w:ascii="Arial" w:cs="Arial" w:eastAsia="Arial" w:hAnsi="Arial"/>
          <w:sz w:val="17"/>
          <w:szCs w:val="17"/>
          <w:color w:val="auto"/>
        </w:rPr>
      </w:pPr>
    </w:p>
    <w:p>
      <w:pPr>
        <w:ind w:left="680" w:hanging="326"/>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costs of borrowing could increase as we become more leveraged;</w:t>
      </w:r>
    </w:p>
    <w:p>
      <w:pPr>
        <w:spacing w:after="0" w:line="139" w:lineRule="exact"/>
        <w:rPr>
          <w:rFonts w:ascii="Arial" w:cs="Arial" w:eastAsia="Arial" w:hAnsi="Arial"/>
          <w:sz w:val="18"/>
          <w:szCs w:val="18"/>
          <w:color w:val="auto"/>
        </w:rPr>
      </w:pPr>
    </w:p>
    <w:p>
      <w:pPr>
        <w:ind w:left="680" w:right="260" w:hanging="326"/>
        <w:spacing w:after="0" w:line="27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or a downturn in our industry or the economy generally;</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153" w:lineRule="exact"/>
        <w:rPr>
          <w:rFonts w:ascii="Arial" w:cs="Arial" w:eastAsia="Arial" w:hAnsi="Arial"/>
          <w:sz w:val="18"/>
          <w:szCs w:val="18"/>
          <w:color w:val="auto"/>
        </w:rPr>
      </w:pPr>
    </w:p>
    <w:p>
      <w:pPr>
        <w:ind w:left="680" w:right="280" w:hanging="326"/>
        <w:spacing w:after="0" w:line="333"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we are unable to satisfy the restrictions included in any of our financing agreements or are otherwise in default under any of those agreements, as a result of our debt levels or otherwise, we will not be able to pay cash dividends to our shareholders.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00" w:firstLine="320"/>
        <w:spacing w:after="0" w:line="252"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90" w:lineRule="exact"/>
        <w:rPr>
          <w:sz w:val="20"/>
          <w:szCs w:val="20"/>
          <w:color w:val="auto"/>
        </w:rPr>
      </w:pPr>
    </w:p>
    <w:p>
      <w:pPr>
        <w:spacing w:after="0" w:line="300" w:lineRule="auto"/>
        <w:rPr>
          <w:sz w:val="20"/>
          <w:szCs w:val="20"/>
          <w:color w:val="auto"/>
        </w:rPr>
      </w:pPr>
      <w:r>
        <w:rPr>
          <w:rFonts w:ascii="Arial" w:cs="Arial" w:eastAsia="Arial" w:hAnsi="Arial"/>
          <w:sz w:val="17"/>
          <w:szCs w:val="17"/>
          <w:b w:val="1"/>
          <w:bCs w:val="1"/>
          <w:i w:val="1"/>
          <w:iCs w:val="1"/>
          <w:color w:val="auto"/>
        </w:rPr>
        <w:t>Our ability to pay our preference dividends or to redeem our Preference Shares may be limited by the amount of cash we generate from operations, by restrictions in our credit facilities and by additional factors unrelated to our profitability.</w:t>
      </w:r>
    </w:p>
    <w:p>
      <w:pPr>
        <w:spacing w:after="0" w:line="152" w:lineRule="exact"/>
        <w:rPr>
          <w:sz w:val="20"/>
          <w:szCs w:val="20"/>
          <w:color w:val="auto"/>
        </w:rPr>
      </w:pPr>
    </w:p>
    <w:p>
      <w:pPr>
        <w:ind w:right="180" w:firstLine="320"/>
        <w:spacing w:after="0" w:line="292" w:lineRule="auto"/>
        <w:rPr>
          <w:sz w:val="20"/>
          <w:szCs w:val="20"/>
          <w:color w:val="auto"/>
        </w:rPr>
      </w:pPr>
      <w:r>
        <w:rPr>
          <w:rFonts w:ascii="Arial" w:cs="Arial" w:eastAsia="Arial" w:hAnsi="Arial"/>
          <w:sz w:val="16"/>
          <w:szCs w:val="16"/>
          <w:color w:val="auto"/>
        </w:rPr>
        <w:t>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162" w:lineRule="exact"/>
        <w:rPr>
          <w:sz w:val="20"/>
          <w:szCs w:val="20"/>
          <w:color w:val="auto"/>
        </w:rPr>
      </w:pPr>
    </w:p>
    <w:p>
      <w:pPr>
        <w:ind w:left="680" w:right="260" w:hanging="326"/>
        <w:spacing w:after="0" w:line="27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charter rates, ship values, factors affecting supply and demand, technological advancements and opportunities for the profitable operations of LNG carriers;</w:t>
      </w:r>
    </w:p>
    <w:p>
      <w:pPr>
        <w:spacing w:after="0" w:line="108" w:lineRule="exact"/>
        <w:rPr>
          <w:rFonts w:ascii="Arial" w:cs="Arial" w:eastAsia="Arial" w:hAnsi="Arial"/>
          <w:sz w:val="18"/>
          <w:szCs w:val="18"/>
          <w:color w:val="auto"/>
        </w:rPr>
      </w:pPr>
    </w:p>
    <w:p>
      <w:pPr>
        <w:ind w:left="680" w:right="220" w:hanging="326"/>
        <w:spacing w:after="0" w:line="27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comply with the specified financial covenants in our loan facilities, NOK 2024 Bonds and as corporate guarantor for certain loan facilities on a consolidated basis;</w:t>
      </w:r>
    </w:p>
    <w:p>
      <w:pPr>
        <w:spacing w:after="0" w:line="94"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new charters for our vessels at acceptable rates;</w:t>
      </w:r>
    </w:p>
    <w:p>
      <w:pPr>
        <w:spacing w:after="0" w:line="153" w:lineRule="exact"/>
        <w:rPr>
          <w:rFonts w:ascii="Arial" w:cs="Arial" w:eastAsia="Arial" w:hAnsi="Arial"/>
          <w:sz w:val="18"/>
          <w:szCs w:val="18"/>
          <w:color w:val="auto"/>
        </w:rPr>
      </w:pPr>
    </w:p>
    <w:p>
      <w:pPr>
        <w:ind w:left="680" w:right="160" w:hanging="326"/>
        <w:spacing w:after="0" w:line="27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charter hire payments we obtain from our charters as well as our ability to re-charter the vessels and the rates obtained upon the expiration of our existing charters;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fleet expansion and associated uses of our cash as well as any financing requirements;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due performance by our charterers of their obligations;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the delivery of newbuild vessels and the beginning of payments under charters relating to those vessels;</w:t>
      </w:r>
    </w:p>
    <w:p>
      <w:pPr>
        <w:spacing w:after="0" w:line="153" w:lineRule="exact"/>
        <w:rPr>
          <w:rFonts w:ascii="Arial" w:cs="Arial" w:eastAsia="Arial" w:hAnsi="Arial"/>
          <w:sz w:val="18"/>
          <w:szCs w:val="18"/>
          <w:color w:val="auto"/>
        </w:rPr>
      </w:pPr>
    </w:p>
    <w:p>
      <w:pPr>
        <w:ind w:left="680" w:right="140" w:hanging="326"/>
        <w:spacing w:after="0" w:line="27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 as well as the costs of repairs, maintenance or modifications of our ships;</w:t>
      </w:r>
    </w:p>
    <w:p>
      <w:pPr>
        <w:spacing w:after="0" w:line="108"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ships;</w:t>
      </w:r>
    </w:p>
    <w:p>
      <w:pPr>
        <w:spacing w:after="0" w:line="94" w:lineRule="exact"/>
        <w:rPr>
          <w:rFonts w:ascii="Arial" w:cs="Arial" w:eastAsia="Arial" w:hAnsi="Arial"/>
          <w:sz w:val="18"/>
          <w:szCs w:val="18"/>
          <w:color w:val="auto"/>
        </w:rPr>
      </w:pPr>
    </w:p>
    <w:p>
      <w:pPr>
        <w:ind w:left="680" w:right="140" w:hanging="326"/>
        <w:spacing w:after="0" w:line="270"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prevailing global and regional economic or political conditions;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effect of governmental regulations and maritime self-regulatory organization standards on the conduct of our business;</w:t>
      </w:r>
    </w:p>
    <w:p>
      <w:pPr>
        <w:spacing w:after="0" w:line="164" w:lineRule="exact"/>
        <w:rPr>
          <w:rFonts w:ascii="Arial" w:cs="Arial" w:eastAsia="Arial" w:hAnsi="Arial"/>
          <w:sz w:val="17"/>
          <w:szCs w:val="17"/>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 and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0" w:lineRule="exact"/>
        <w:rPr>
          <w:sz w:val="20"/>
          <w:szCs w:val="20"/>
          <w:color w:val="auto"/>
        </w:rPr>
      </w:pPr>
    </w:p>
    <w:p>
      <w:pPr>
        <w:ind w:right="180" w:firstLine="320"/>
        <w:spacing w:after="0" w:line="274" w:lineRule="auto"/>
        <w:rPr>
          <w:sz w:val="20"/>
          <w:szCs w:val="20"/>
          <w:color w:val="auto"/>
        </w:rPr>
      </w:pPr>
      <w:r>
        <w:rPr>
          <w:rFonts w:ascii="Arial" w:cs="Arial" w:eastAsia="Arial" w:hAnsi="Arial"/>
          <w:sz w:val="17"/>
          <w:szCs w:val="17"/>
          <w:color w:val="auto"/>
        </w:rPr>
        <w:t>For information regarding the dividend payment restrictions in our financing agreements, see “—Risks Inherent in an Investment in GasLog—Our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0" w:firstLine="320"/>
        <w:spacing w:after="0" w:line="333" w:lineRule="auto"/>
        <w:rPr>
          <w:sz w:val="20"/>
          <w:szCs w:val="20"/>
          <w:color w:val="auto"/>
        </w:rPr>
      </w:pPr>
      <w:r>
        <w:rPr>
          <w:rFonts w:ascii="Arial" w:cs="Arial" w:eastAsia="Arial" w:hAnsi="Arial"/>
          <w:sz w:val="16"/>
          <w:szCs w:val="16"/>
          <w:color w:val="auto"/>
        </w:rPr>
        <w:t>The amount of cash we generate from our operations may differ materially from our profit or loss for the period, which will be affected by non-cash items. We may incur other expenses or liabilities that could reduce or eliminate the cash available for dividends.</w:t>
      </w:r>
    </w:p>
    <w:p>
      <w:pPr>
        <w:spacing w:after="0" w:line="130" w:lineRule="exact"/>
        <w:rPr>
          <w:sz w:val="20"/>
          <w:szCs w:val="20"/>
          <w:color w:val="auto"/>
        </w:rPr>
      </w:pPr>
    </w:p>
    <w:p>
      <w:pPr>
        <w:ind w:firstLine="320"/>
        <w:spacing w:after="0" w:line="296"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 We may not declare a common dividend if the payment of our preference dividends is in arrears.</w:t>
      </w:r>
    </w:p>
    <w:p>
      <w:pPr>
        <w:spacing w:after="0" w:line="160" w:lineRule="exact"/>
        <w:rPr>
          <w:sz w:val="20"/>
          <w:szCs w:val="20"/>
          <w:color w:val="auto"/>
        </w:rPr>
      </w:pPr>
    </w:p>
    <w:p>
      <w:pPr>
        <w:ind w:right="120" w:firstLine="320"/>
        <w:spacing w:after="0" w:line="300" w:lineRule="auto"/>
        <w:rPr>
          <w:sz w:val="20"/>
          <w:szCs w:val="20"/>
          <w:color w:val="auto"/>
        </w:rPr>
      </w:pPr>
      <w:r>
        <w:rPr>
          <w:rFonts w:ascii="Arial" w:cs="Arial" w:eastAsia="Arial" w:hAnsi="Arial"/>
          <w:sz w:val="17"/>
          <w:szCs w:val="17"/>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152"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75"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We are a holding company. Our subsidiaries conduct substantially all of our operations and own all of our operating assets, including our ships. As of March 7, 2022, we have no significant assets other than the equity interests in our subsidiaries, including GasLog Partners, in which we hold a 33.3% equity interest (including our 2.0% general partner interest).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 affected by a claim or other action by a third party, including a creditor, or by the law of its jurisdiction of incorporation which regulates the payment of dividends.</w:t>
      </w:r>
    </w:p>
    <w:p>
      <w:pPr>
        <w:spacing w:after="0" w:line="180" w:lineRule="exact"/>
        <w:rPr>
          <w:sz w:val="20"/>
          <w:szCs w:val="20"/>
          <w:color w:val="auto"/>
        </w:rPr>
      </w:pPr>
    </w:p>
    <w:p>
      <w:pPr>
        <w:ind w:right="100" w:firstLine="320"/>
        <w:spacing w:after="0" w:line="268" w:lineRule="auto"/>
        <w:rPr>
          <w:sz w:val="20"/>
          <w:szCs w:val="20"/>
          <w:color w:val="auto"/>
        </w:rPr>
      </w:pPr>
      <w:r>
        <w:rPr>
          <w:rFonts w:ascii="Arial" w:cs="Arial" w:eastAsia="Arial" w:hAnsi="Arial"/>
          <w:sz w:val="17"/>
          <w:szCs w:val="17"/>
          <w:color w:val="auto"/>
        </w:rPr>
        <w:t>On February 6, 2020, in light of reduced expectations for Steam vessel utilization and earnings, as well as increased spot exposure in its fleet, GasLog Partners announced that it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and interest rates could result in financial losses for us.</w:t>
      </w:r>
    </w:p>
    <w:p>
      <w:pPr>
        <w:spacing w:after="0" w:line="220"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As a result, we are exposed to foreign exchange risk. However, we also maintain cash balances in euros, which amounted to approximately $4.1 million as of December 31, 2021.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to our shareholders.</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nature and timing of the phasing out of the London Interbank Offered Rate (“LIBOR”), and agreement on any new alternative reference rates may adversely impact our ability to manage our exposure to fluctuations in interest rates and borrowing costs.</w:t>
      </w:r>
    </w:p>
    <w:p>
      <w:pPr>
        <w:spacing w:after="0" w:line="186" w:lineRule="exact"/>
        <w:rPr>
          <w:sz w:val="20"/>
          <w:szCs w:val="20"/>
          <w:color w:val="auto"/>
        </w:rPr>
      </w:pPr>
    </w:p>
    <w:p>
      <w:pPr>
        <w:ind w:right="20" w:firstLine="320"/>
        <w:spacing w:after="0" w:line="284" w:lineRule="auto"/>
        <w:rPr>
          <w:sz w:val="20"/>
          <w:szCs w:val="20"/>
          <w:color w:val="auto"/>
        </w:rPr>
      </w:pPr>
      <w:r>
        <w:rPr>
          <w:rFonts w:ascii="Arial" w:cs="Arial" w:eastAsia="Arial" w:hAnsi="Arial"/>
          <w:sz w:val="16"/>
          <w:szCs w:val="16"/>
          <w:color w:val="auto"/>
        </w:rPr>
        <w:t>As a result of the majority of our debt being primarily based on LIBOR and certain other interest rate benchmarks, fluctuations in interest rates could have a material effect on our interest expense and borrowing costs. LIBOR and certain other interest rate benchmarks may be subject to regulatory guidance and/or reform that could cause interest rates under our current or future debt agreements to perform differently than in the past or cause other unanticipated consequences. On March 5, 2021, the U.K. Financial Conduct Authority announced the future cessation or loss of representativeness of LIBOR as currently published by the ICE Benchmark Administration with a target date immediately after June 30, 2023. While there is no consensus on what interest rate may become accepted as the alternative to LIBOR, the Alternative Reference Rates Committee, a steering committee comprised of U.S. financial market participants, has selected the Secured Overnight Finance Rate (“SOFR”) as published by the Federal Reserve Bank of New York since May 2018. SOFR is a broad measure of the cost of borrowing cash in the overnight U.S. treasury repo market. At this time, it is impossible to predict whether SOFR or another reference rate will become an accepted alternative to LIBOR.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manner and impact of this transition may materially adversely affect the trading market for LIBOR based agreements, including our credit facilities, interest rate swaps and Preference Shares. We will need to negotiate the replacement benchmark rate on our credit facilities and interest rate swaps and the use of an alternative rate or benchmark, may negatively impact our interest rate expense. Any other contracts entered into in the ordinary course of business which currently refer to, use or include LIBOR may also be impacted.</w:t>
      </w:r>
    </w:p>
    <w:p>
      <w:pPr>
        <w:spacing w:after="0" w:line="160" w:lineRule="exact"/>
        <w:rPr>
          <w:sz w:val="20"/>
          <w:szCs w:val="20"/>
          <w:color w:val="auto"/>
        </w:rPr>
      </w:pPr>
    </w:p>
    <w:p>
      <w:pPr>
        <w:ind w:right="540" w:firstLine="320"/>
        <w:spacing w:after="0" w:line="306" w:lineRule="auto"/>
        <w:rPr>
          <w:sz w:val="20"/>
          <w:szCs w:val="20"/>
          <w:color w:val="auto"/>
        </w:rPr>
      </w:pPr>
      <w:r>
        <w:rPr>
          <w:rFonts w:ascii="Arial" w:cs="Arial" w:eastAsia="Arial" w:hAnsi="Arial"/>
          <w:sz w:val="16"/>
          <w:szCs w:val="16"/>
          <w:color w:val="auto"/>
        </w:rPr>
        <w:t>Further, if a LIBOR rate is not available on a determination date during the floating rate period for any of our LIBOR based agreements, the terms of such agreements will require alternative determination procedures which may result in interest or dividend payments differing from expectations and could affect our profit and the market value of our Preference Shares.</w:t>
      </w:r>
    </w:p>
    <w:p>
      <w:pPr>
        <w:spacing w:after="0" w:line="150" w:lineRule="exact"/>
        <w:rPr>
          <w:sz w:val="20"/>
          <w:szCs w:val="20"/>
          <w:color w:val="auto"/>
        </w:rPr>
      </w:pPr>
    </w:p>
    <w:p>
      <w:pPr>
        <w:ind w:right="40" w:firstLine="320"/>
        <w:spacing w:after="0" w:line="271" w:lineRule="auto"/>
        <w:rPr>
          <w:sz w:val="20"/>
          <w:szCs w:val="20"/>
          <w:color w:val="auto"/>
        </w:rPr>
      </w:pPr>
      <w:r>
        <w:rPr>
          <w:rFonts w:ascii="Arial" w:cs="Arial" w:eastAsia="Arial" w:hAnsi="Arial"/>
          <w:sz w:val="17"/>
          <w:szCs w:val="17"/>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dividend payments during the floating rate period for our LIBOR based agreements would be affected and could affect our profit or the market value of our Preference Shares.</w:t>
      </w:r>
    </w:p>
    <w:p>
      <w:pPr>
        <w:spacing w:after="0" w:line="177"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could result in reductions in our shareholders’ equity as well as charges in our statement of profit and loss.</w:t>
      </w:r>
    </w:p>
    <w:p>
      <w:pPr>
        <w:spacing w:after="0" w:line="175" w:lineRule="exact"/>
        <w:rPr>
          <w:sz w:val="20"/>
          <w:szCs w:val="20"/>
          <w:color w:val="auto"/>
        </w:rPr>
      </w:pPr>
    </w:p>
    <w:p>
      <w:pPr>
        <w:ind w:firstLine="320"/>
        <w:spacing w:after="0" w:line="269" w:lineRule="auto"/>
        <w:rPr>
          <w:sz w:val="20"/>
          <w:szCs w:val="20"/>
          <w:color w:val="auto"/>
        </w:rPr>
      </w:pPr>
      <w:r>
        <w:rPr>
          <w:rFonts w:ascii="Arial" w:cs="Arial" w:eastAsia="Arial" w:hAnsi="Arial"/>
          <w:sz w:val="17"/>
          <w:szCs w:val="17"/>
          <w:color w:val="auto"/>
        </w:rPr>
        <w:t>We enter into derivative contracts from time to time for purposes of managing our exposure to fluctuations in interest rates applicable to floating rate indebtedness. As of December 31, 2021, we had 25 derivative contracts in place with a notional amount of $1.5 billion. The changes in the fair value of the 25 derivative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80" w:lineRule="exact"/>
        <w:rPr>
          <w:sz w:val="20"/>
          <w:szCs w:val="20"/>
          <w:color w:val="auto"/>
        </w:rPr>
      </w:pPr>
    </w:p>
    <w:p>
      <w:pPr>
        <w:ind w:right="120" w:firstLine="320"/>
        <w:spacing w:after="0" w:line="271" w:lineRule="auto"/>
        <w:rPr>
          <w:sz w:val="20"/>
          <w:szCs w:val="20"/>
          <w:color w:val="auto"/>
        </w:rPr>
      </w:pPr>
      <w:r>
        <w:rPr>
          <w:rFonts w:ascii="Arial" w:cs="Arial" w:eastAsia="Arial" w:hAnsi="Arial"/>
          <w:sz w:val="17"/>
          <w:szCs w:val="17"/>
          <w:color w:val="auto"/>
        </w:rPr>
        <w:t>As of December 31, 2021, we had three Cross Currency Swaps, or “CCSs”, to exchange interest payments and principal on maturity on the same terms as the NOK 2024 Bonds, in order to hedge the variability of the functional currency equivalent cash flows on the NOK 2024 Bonds. As of December 31, 2021, the three CCSs had a notional amount of $98.6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177" w:lineRule="exact"/>
        <w:rPr>
          <w:sz w:val="20"/>
          <w:szCs w:val="20"/>
          <w:color w:val="auto"/>
        </w:rPr>
      </w:pPr>
    </w:p>
    <w:p>
      <w:pPr>
        <w:ind w:right="20" w:firstLine="320"/>
        <w:spacing w:after="0" w:line="268" w:lineRule="auto"/>
        <w:rPr>
          <w:sz w:val="20"/>
          <w:szCs w:val="20"/>
          <w:color w:val="auto"/>
        </w:rPr>
      </w:pPr>
      <w:r>
        <w:rPr>
          <w:rFonts w:ascii="Arial" w:cs="Arial" w:eastAsia="Arial" w:hAnsi="Arial"/>
          <w:sz w:val="17"/>
          <w:szCs w:val="17"/>
          <w:color w:val="auto"/>
        </w:rPr>
        <w:t>We enter into forward foreign exchange contracts from time to time for purposes of managing our exposure to fluctuations in foreign exchange rates applicable to payments in foreign currencies (mainly Euros, British Pounds Sterling, Singapore dollars and Japanese Yen). As of December 31, 2021, we had 75 forward foreign exchange contracts in place with an aggregate notional amount of €50.2 million. The changes in the fair value of these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80"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0" w:lineRule="exact"/>
        <w:rPr>
          <w:sz w:val="20"/>
          <w:szCs w:val="20"/>
          <w:color w:val="auto"/>
        </w:rPr>
      </w:pPr>
    </w:p>
    <w:p>
      <w:pPr>
        <w:ind w:right="60" w:firstLine="320"/>
        <w:spacing w:after="0" w:line="287" w:lineRule="auto"/>
        <w:rPr>
          <w:sz w:val="20"/>
          <w:szCs w:val="20"/>
          <w:color w:val="auto"/>
        </w:rPr>
      </w:pPr>
      <w:r>
        <w:rPr>
          <w:rFonts w:ascii="Arial" w:cs="Arial" w:eastAsia="Arial" w:hAnsi="Arial"/>
          <w:sz w:val="16"/>
          <w:szCs w:val="16"/>
          <w:color w:val="auto"/>
        </w:rPr>
        <w:t>We enter into, among other things, time charters and other contracts with our customers, shipbuilding contracts and refund guarantees relating to newbuildings, credit facilities and commitment letters with banks, insurance contracts, interest rate swaps and foreign exchange forward contracts. Such agreements subject us to counterparty credit risk. For example, for the year ended December 31, 2021, 38.0% of our revenues derived from subsidiaries of Shell. We also have six vessels on charter to Cheniere, two vessels on charter to Centrica and one vessel on charter to each of Eni, RWE, Chevron, Mitsui, Endesa and Jera.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firstLine="320"/>
        <w:spacing w:after="0" w:line="271" w:lineRule="auto"/>
        <w:rPr>
          <w:sz w:val="20"/>
          <w:szCs w:val="20"/>
          <w:color w:val="auto"/>
        </w:rPr>
      </w:pPr>
      <w:r>
        <w:rPr>
          <w:rFonts w:ascii="Arial" w:cs="Arial" w:eastAsia="Arial" w:hAnsi="Arial"/>
          <w:sz w:val="17"/>
          <w:szCs w:val="17"/>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177"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75" w:lineRule="exact"/>
        <w:rPr>
          <w:sz w:val="20"/>
          <w:szCs w:val="20"/>
          <w:color w:val="auto"/>
        </w:rPr>
      </w:pPr>
    </w:p>
    <w:p>
      <w:pPr>
        <w:ind w:firstLine="320"/>
        <w:spacing w:after="0" w:line="267" w:lineRule="auto"/>
        <w:rPr>
          <w:sz w:val="20"/>
          <w:szCs w:val="20"/>
          <w:color w:val="auto"/>
        </w:rPr>
      </w:pPr>
      <w:r>
        <w:rPr>
          <w:rFonts w:ascii="Arial" w:cs="Arial" w:eastAsia="Arial" w:hAnsi="Arial"/>
          <w:sz w:val="17"/>
          <w:szCs w:val="17"/>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 Mr. Livanos or one or more of our senior executives ceased to be affiliated with us, we may be unable to recruit other employees with equivalent talent and experience, and our business and financial condition could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i w:val="1"/>
          <w:iCs w:val="1"/>
          <w:color w:val="auto"/>
        </w:rPr>
        <w:t>We are a “foreign private issuer” under NYSE rules, and as such we are entitled to exemption from certain NYSE corporate governance standards, and you may not have the same protections afforded to hareholders of companies that are subject to all of the NYSE corporate governance requirements.</w:t>
      </w:r>
    </w:p>
    <w:p>
      <w:pPr>
        <w:spacing w:after="0" w:line="186" w:lineRule="exact"/>
        <w:rPr>
          <w:sz w:val="20"/>
          <w:szCs w:val="20"/>
          <w:color w:val="auto"/>
        </w:rPr>
      </w:pPr>
    </w:p>
    <w:p>
      <w:pPr>
        <w:ind w:right="20" w:firstLine="320"/>
        <w:spacing w:after="0" w:line="286"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 (iii) the requirement that the compensation committee be composed entirely of independent directors and have a written charter addressing the committee’s purpose and responsibilities and (iv) the requirement of an annual performance evaluation of the compensation committee.</w:t>
      </w:r>
    </w:p>
    <w:p>
      <w:pPr>
        <w:spacing w:after="0" w:line="167"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As permitted by these exemptions, as well as by our bye-laws and the laws of Bermuda, we may have non-independent directors serving as committee members on our compensation committee. As a result, non-independent directors may, among other things, participate in fixing the compensation of our management, making share and option awards and resolving governance issues regarding our Company.</w:t>
      </w:r>
    </w:p>
    <w:p>
      <w:pPr>
        <w:spacing w:after="0" w:line="188" w:lineRule="exact"/>
        <w:rPr>
          <w:sz w:val="20"/>
          <w:szCs w:val="20"/>
          <w:color w:val="auto"/>
        </w:rPr>
      </w:pPr>
    </w:p>
    <w:p>
      <w:pPr>
        <w:ind w:right="200" w:firstLine="320"/>
        <w:spacing w:after="0" w:line="270" w:lineRule="auto"/>
        <w:rPr>
          <w:sz w:val="20"/>
          <w:szCs w:val="20"/>
          <w:color w:val="auto"/>
        </w:rPr>
      </w:pPr>
      <w:r>
        <w:rPr>
          <w:rFonts w:ascii="Arial" w:cs="Arial" w:eastAsia="Arial" w:hAnsi="Arial"/>
          <w:sz w:val="18"/>
          <w:szCs w:val="18"/>
          <w:color w:val="auto"/>
        </w:rPr>
        <w:t>Accordingly, in the future you may not have the same protections afforded to shareholders of companies that are subject to all of the NYSE corporate governance requirements.</w:t>
      </w:r>
    </w:p>
    <w:p>
      <w:pPr>
        <w:spacing w:after="0" w:line="175"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175" w:lineRule="exact"/>
        <w:rPr>
          <w:sz w:val="20"/>
          <w:szCs w:val="20"/>
          <w:color w:val="auto"/>
        </w:rPr>
      </w:pPr>
    </w:p>
    <w:p>
      <w:pPr>
        <w:ind w:firstLine="320"/>
        <w:spacing w:after="0" w:line="285" w:lineRule="auto"/>
        <w:rPr>
          <w:sz w:val="20"/>
          <w:szCs w:val="20"/>
          <w:color w:val="auto"/>
        </w:rPr>
      </w:pPr>
      <w:r>
        <w:rPr>
          <w:rFonts w:ascii="Arial" w:cs="Arial" w:eastAsia="Arial" w:hAnsi="Arial"/>
          <w:sz w:val="16"/>
          <w:szCs w:val="16"/>
          <w:color w:val="auto"/>
        </w:rPr>
        <w:t>Our Preference Shares are subordinated to all of our existing and future indebtedness. As of December 31, 2021, we had $3.7 billion of outstanding indebtedness. Our existing indebtedness restricts, and our future indebtedness may include restrictions on, our ability to pay dividends to shareholders. Our memorandum of association and bye-laws currently authorizes the issuance of an 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Shares have extremely limited voting rights.</w:t>
      </w:r>
    </w:p>
    <w:p>
      <w:pPr>
        <w:spacing w:after="0" w:line="220" w:lineRule="exact"/>
        <w:rPr>
          <w:sz w:val="20"/>
          <w:szCs w:val="20"/>
          <w:color w:val="auto"/>
        </w:rPr>
      </w:pPr>
    </w:p>
    <w:p>
      <w:pPr>
        <w:ind w:right="40" w:firstLine="320"/>
        <w:spacing w:after="0" w:line="284" w:lineRule="auto"/>
        <w:rPr>
          <w:sz w:val="20"/>
          <w:szCs w:val="20"/>
          <w:color w:val="auto"/>
        </w:rPr>
      </w:pPr>
      <w:r>
        <w:rPr>
          <w:rFonts w:ascii="Arial" w:cs="Arial" w:eastAsia="Arial" w:hAnsi="Arial"/>
          <w:sz w:val="16"/>
          <w:szCs w:val="16"/>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71"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75" w:lineRule="exact"/>
        <w:rPr>
          <w:sz w:val="20"/>
          <w:szCs w:val="20"/>
          <w:color w:val="auto"/>
        </w:rPr>
      </w:pPr>
    </w:p>
    <w:p>
      <w:pPr>
        <w:ind w:right="60" w:firstLine="320"/>
        <w:spacing w:after="0" w:line="296" w:lineRule="auto"/>
        <w:rPr>
          <w:sz w:val="20"/>
          <w:szCs w:val="20"/>
          <w:color w:val="auto"/>
        </w:rPr>
      </w:pPr>
      <w:r>
        <w:rPr>
          <w:rFonts w:ascii="Arial" w:cs="Arial" w:eastAsia="Arial" w:hAnsi="Arial"/>
          <w:sz w:val="16"/>
          <w:szCs w:val="16"/>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60" w:lineRule="exact"/>
        <w:rPr>
          <w:sz w:val="20"/>
          <w:szCs w:val="20"/>
          <w:color w:val="auto"/>
        </w:rPr>
      </w:pPr>
    </w:p>
    <w:p>
      <w:pPr>
        <w:ind w:right="80" w:firstLine="320"/>
        <w:spacing w:after="0" w:line="253" w:lineRule="auto"/>
        <w:rPr>
          <w:sz w:val="20"/>
          <w:szCs w:val="20"/>
          <w:color w:val="auto"/>
        </w:rPr>
      </w:pPr>
      <w:r>
        <w:rPr>
          <w:rFonts w:ascii="Arial" w:cs="Arial" w:eastAsia="Arial" w:hAnsi="Arial"/>
          <w:sz w:val="18"/>
          <w:szCs w:val="18"/>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19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i w:val="1"/>
          <w:iCs w:val="1"/>
          <w:color w:val="auto"/>
        </w:rPr>
        <w:t>Following the close of the Transaction, our corporate actions are substantially controlled by the Rolling Shareholders, who have the ability to effectively control the outcome of most important corporate matters. The interests of the Rolling Shareholders may be different than yours.</w:t>
      </w:r>
    </w:p>
    <w:p>
      <w:pPr>
        <w:spacing w:after="0" w:line="186"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Following the consummation of the Transaction on June 9, 2021, certain existing shareholders, including Blenheim Holdings, which is wholly owned by the Livanos family, and Olympic LNG, hold approximately 55.2% of the outstanding common shares of GasLog and GEPIF holds approximately 44.8%. As noted above, the holders of our Preferences Shares generally have no voting rights on most matters. See Item 3.D. – Risk Factors – Risks Relating to Our Securities. As a result of the foregoing, the Rolling Shareholders have effective control over our corporate strategy and the outcome of significant corporate matters, and investors may be prevented from influencing such matters including:</w:t>
      </w:r>
    </w:p>
    <w:p>
      <w:pPr>
        <w:spacing w:after="0" w:line="190" w:lineRule="exact"/>
        <w:rPr>
          <w:sz w:val="20"/>
          <w:szCs w:val="20"/>
          <w:color w:val="auto"/>
        </w:rPr>
      </w:pPr>
    </w:p>
    <w:p>
      <w:pPr>
        <w:ind w:left="680" w:right="260" w:hanging="326"/>
        <w:spacing w:after="0" w:line="270"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composition of our board of directors and, through it, any determinations with respect to our operations, business direction and policies, including the appointment and removal of officers;</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determinations with respect to mergers or other business combinations;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disposition of substantially all our assets; and</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 of control.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560" w:firstLine="320"/>
        <w:spacing w:after="0" w:line="300" w:lineRule="auto"/>
        <w:rPr>
          <w:sz w:val="20"/>
          <w:szCs w:val="20"/>
          <w:color w:val="auto"/>
        </w:rPr>
      </w:pPr>
      <w:r>
        <w:rPr>
          <w:rFonts w:ascii="Arial" w:cs="Arial" w:eastAsia="Arial" w:hAnsi="Arial"/>
          <w:sz w:val="17"/>
          <w:szCs w:val="17"/>
          <w:color w:val="auto"/>
        </w:rPr>
        <w:t>The interests of the Rolling Shareholders may be different from yours. These actions may take place even if the holders of our Preference Shares are opposed and therefore may adversely affect the market value of our Preference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4" w:lineRule="exact"/>
        <w:rPr>
          <w:sz w:val="20"/>
          <w:szCs w:val="20"/>
          <w:color w:val="auto"/>
        </w:rPr>
      </w:pPr>
    </w:p>
    <w:p>
      <w:pPr>
        <w:ind w:right="80" w:firstLine="320"/>
        <w:spacing w:after="0" w:line="258" w:lineRule="auto"/>
        <w:rPr>
          <w:sz w:val="20"/>
          <w:szCs w:val="20"/>
          <w:color w:val="auto"/>
        </w:rPr>
      </w:pPr>
      <w:r>
        <w:rPr>
          <w:rFonts w:ascii="Arial" w:cs="Arial" w:eastAsia="Arial" w:hAnsi="Arial"/>
          <w:sz w:val="18"/>
          <w:szCs w:val="18"/>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would reduce our earnings.</w:t>
      </w:r>
    </w:p>
    <w:p>
      <w:pPr>
        <w:spacing w:after="0" w:line="220" w:lineRule="exact"/>
        <w:rPr>
          <w:sz w:val="20"/>
          <w:szCs w:val="20"/>
          <w:color w:val="auto"/>
        </w:rPr>
      </w:pPr>
    </w:p>
    <w:p>
      <w:pPr>
        <w:ind w:right="80" w:firstLine="320"/>
        <w:spacing w:after="0" w:line="271" w:lineRule="auto"/>
        <w:rPr>
          <w:sz w:val="20"/>
          <w:szCs w:val="20"/>
          <w:color w:val="auto"/>
        </w:rPr>
      </w:pPr>
      <w:r>
        <w:rPr>
          <w:rFonts w:ascii="Arial" w:cs="Arial" w:eastAsia="Arial" w:hAnsi="Arial"/>
          <w:sz w:val="17"/>
          <w:szCs w:val="17"/>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77" w:lineRule="exact"/>
        <w:rPr>
          <w:sz w:val="20"/>
          <w:szCs w:val="20"/>
          <w:color w:val="auto"/>
        </w:rPr>
      </w:pPr>
    </w:p>
    <w:p>
      <w:pPr>
        <w:ind w:right="120" w:firstLine="320"/>
        <w:spacing w:after="0" w:line="292" w:lineRule="auto"/>
        <w:rPr>
          <w:sz w:val="20"/>
          <w:szCs w:val="20"/>
          <w:color w:val="auto"/>
        </w:rPr>
      </w:pPr>
      <w:r>
        <w:rPr>
          <w:rFonts w:ascii="Arial" w:cs="Arial" w:eastAsia="Arial" w:hAnsi="Arial"/>
          <w:sz w:val="16"/>
          <w:szCs w:val="16"/>
          <w:color w:val="auto"/>
        </w:rPr>
        <w:t>GasLog does not expect to qualify for the statutory tax exemption for the year of 2021 or for future years. Even if we do not qualify for such an exemption, we do not currently expect any resulting U.S. federal income tax liability to be material or materially reduce the earnings available for dividends to our shareholders. For 2021, the U.S. source gross transportation tax for the wholly owned subsidiaries of GasLog was $3.3 million. For a more detailed discussion, see the section entitled “Item 10. Additional Information—E. Tax Considerations—Material U.S. Federal Income Tax Considerations—U.S. Taxation of Our Operating Income”.</w:t>
      </w:r>
    </w:p>
    <w:p>
      <w:pPr>
        <w:spacing w:after="0" w:line="16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If we were treated as a “passive foreign investment company”, certain adverse U.S. Federal income tax consequences could result to U.S. shareholders.</w:t>
      </w:r>
    </w:p>
    <w:p>
      <w:pPr>
        <w:spacing w:after="0" w:line="175" w:lineRule="exact"/>
        <w:rPr>
          <w:sz w:val="20"/>
          <w:szCs w:val="20"/>
          <w:color w:val="auto"/>
        </w:rPr>
      </w:pPr>
    </w:p>
    <w:p>
      <w:pPr>
        <w:ind w:right="140" w:firstLine="320"/>
        <w:spacing w:after="0" w:line="284" w:lineRule="auto"/>
        <w:rPr>
          <w:sz w:val="20"/>
          <w:szCs w:val="20"/>
          <w:color w:val="auto"/>
        </w:rPr>
      </w:pPr>
      <w:r>
        <w:rPr>
          <w:rFonts w:ascii="Arial" w:cs="Arial" w:eastAsia="Arial" w:hAnsi="Arial"/>
          <w:sz w:val="16"/>
          <w:szCs w:val="16"/>
          <w:color w:val="auto"/>
        </w:rPr>
        <w:t>A foreign corporation will be treated as a “passive foreign investment company”, or “PFIC”, for U.S. Federal income tax purposes if at least 75% of its gross income for any tax year consists of certain 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71" w:lineRule="exact"/>
        <w:rPr>
          <w:sz w:val="20"/>
          <w:szCs w:val="20"/>
          <w:color w:val="auto"/>
        </w:rPr>
      </w:pPr>
    </w:p>
    <w:p>
      <w:pPr>
        <w:ind w:right="80" w:firstLine="320"/>
        <w:spacing w:after="0" w:line="274" w:lineRule="auto"/>
        <w:rPr>
          <w:sz w:val="20"/>
          <w:szCs w:val="20"/>
          <w:color w:val="auto"/>
        </w:rPr>
      </w:pPr>
      <w:r>
        <w:rPr>
          <w:rFonts w:ascii="Arial" w:cs="Arial" w:eastAsia="Arial" w:hAnsi="Arial"/>
          <w:sz w:val="17"/>
          <w:szCs w:val="17"/>
          <w:color w:val="auto"/>
        </w:rPr>
        <w:t>Based on our proposed method of operation, we do not believe that GasLog is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75" w:lineRule="exact"/>
        <w:rPr>
          <w:sz w:val="20"/>
          <w:szCs w:val="20"/>
          <w:color w:val="auto"/>
        </w:rPr>
      </w:pPr>
    </w:p>
    <w:p>
      <w:pPr>
        <w:ind w:right="360" w:firstLine="320"/>
        <w:spacing w:after="0" w:line="255" w:lineRule="auto"/>
        <w:rPr>
          <w:sz w:val="20"/>
          <w:szCs w:val="20"/>
          <w:color w:val="auto"/>
        </w:rPr>
      </w:pPr>
      <w:r>
        <w:rPr>
          <w:rFonts w:ascii="Arial" w:cs="Arial" w:eastAsia="Arial" w:hAnsi="Arial"/>
          <w:sz w:val="18"/>
          <w:szCs w:val="18"/>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GasLog could constitute a PFIC for a future tax year if there were to be changes in the nature and extent of our operations.</w:t>
      </w:r>
    </w:p>
    <w:p>
      <w:pPr>
        <w:spacing w:after="0" w:line="188" w:lineRule="exact"/>
        <w:rPr>
          <w:sz w:val="20"/>
          <w:szCs w:val="20"/>
          <w:color w:val="auto"/>
        </w:rPr>
      </w:pPr>
    </w:p>
    <w:p>
      <w:pPr>
        <w:ind w:firstLine="320"/>
        <w:spacing w:after="0" w:line="289" w:lineRule="auto"/>
        <w:rPr>
          <w:sz w:val="20"/>
          <w:szCs w:val="20"/>
          <w:color w:val="auto"/>
        </w:rPr>
      </w:pPr>
      <w:r>
        <w:rPr>
          <w:rFonts w:ascii="Arial" w:cs="Arial" w:eastAsia="Arial" w:hAnsi="Arial"/>
          <w:sz w:val="16"/>
          <w:szCs w:val="16"/>
          <w:color w:val="auto"/>
        </w:rPr>
        <w:t>If the IRS were to find that GasLog is or has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Considerations—Material U.S. Federal Income Tax Considerations—U.S. Federal Income Taxation of U.S. Holders—PFIC Status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and Significant Tax Consequences” for a more detailed discussion of the U.S. Federal income tax consequences to U.S. shareholders if GasLog Ltd. is treated as a PFIC.</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tab/>
        <w:t>INFORMATION ON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History and Development of the Company</w:t>
      </w:r>
    </w:p>
    <w:p>
      <w:pPr>
        <w:spacing w:after="0" w:line="224" w:lineRule="exact"/>
        <w:rPr>
          <w:sz w:val="20"/>
          <w:szCs w:val="20"/>
          <w:color w:val="auto"/>
        </w:rPr>
      </w:pPr>
    </w:p>
    <w:p>
      <w:pPr>
        <w:jc w:val="both"/>
        <w:ind w:right="20" w:firstLine="320"/>
        <w:spacing w:after="0" w:line="255" w:lineRule="auto"/>
        <w:rPr>
          <w:sz w:val="20"/>
          <w:szCs w:val="20"/>
          <w:color w:val="auto"/>
        </w:rPr>
      </w:pPr>
      <w:r>
        <w:rPr>
          <w:rFonts w:ascii="Arial" w:cs="Arial" w:eastAsia="Arial" w:hAnsi="Arial"/>
          <w:sz w:val="18"/>
          <w:szCs w:val="18"/>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88" w:lineRule="exact"/>
        <w:rPr>
          <w:sz w:val="20"/>
          <w:szCs w:val="20"/>
          <w:color w:val="auto"/>
        </w:rPr>
      </w:pPr>
    </w:p>
    <w:p>
      <w:pPr>
        <w:ind w:firstLine="320"/>
        <w:spacing w:after="0" w:line="285" w:lineRule="auto"/>
        <w:rPr>
          <w:sz w:val="20"/>
          <w:szCs w:val="20"/>
          <w:color w:val="auto"/>
        </w:rPr>
      </w:pPr>
      <w:r>
        <w:rPr>
          <w:rFonts w:ascii="Arial" w:cs="Arial" w:eastAsia="Arial" w:hAnsi="Arial"/>
          <w:sz w:val="16"/>
          <w:szCs w:val="16"/>
          <w:color w:val="auto"/>
        </w:rPr>
        <w:t xml:space="preserve">Our company and its founders have a long history in shipping and in LNG carriers. One of our largest shareholders is Ceres Shipping, whose founding family’s shipping activities commenced more than 100 years ago and which is currently controlled by our Chairman, Peter G. Livanos. Ceres Shipping owns its shareholding in GasLog through its wholly owned subsidiary, Blenheim Holdings. Ceres Shipping entered the LNG sector in 2001 by undertaking the management of BG Group’s owned fleet of LNG carriers through our subsidiary GasLog LNG Services, and in 2003 GasLog was incorporated. Until 2010, when we took delivery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Singapore, </w:t>
      </w:r>
      <w:r>
        <w:rPr>
          <w:rFonts w:ascii="Arial" w:cs="Arial" w:eastAsia="Arial" w:hAnsi="Arial"/>
          <w:sz w:val="16"/>
          <w:szCs w:val="16"/>
          <w:color w:val="auto"/>
        </w:rPr>
        <w:t>our business principally consisted of providing technical ship management services, as well as plan approval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168" w:lineRule="exact"/>
        <w:rPr>
          <w:sz w:val="20"/>
          <w:szCs w:val="20"/>
          <w:color w:val="auto"/>
        </w:rPr>
      </w:pPr>
    </w:p>
    <w:p>
      <w:pPr>
        <w:ind w:right="40" w:firstLine="320"/>
        <w:spacing w:after="0" w:line="266" w:lineRule="auto"/>
        <w:rPr>
          <w:sz w:val="20"/>
          <w:szCs w:val="20"/>
          <w:color w:val="auto"/>
        </w:rPr>
      </w:pPr>
      <w:r>
        <w:rPr>
          <w:rFonts w:ascii="Arial" w:cs="Arial" w:eastAsia="Arial" w:hAnsi="Arial"/>
          <w:sz w:val="17"/>
          <w:szCs w:val="17"/>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 million which were used to partially finance the acquisition of the additional three ships acquired from MSL in 2014.</w:t>
      </w:r>
    </w:p>
    <w:p>
      <w:pPr>
        <w:spacing w:after="0" w:line="185" w:lineRule="exact"/>
        <w:rPr>
          <w:sz w:val="20"/>
          <w:szCs w:val="20"/>
          <w:color w:val="auto"/>
        </w:rPr>
      </w:pPr>
    </w:p>
    <w:p>
      <w:pPr>
        <w:ind w:right="100" w:firstLine="320"/>
        <w:spacing w:after="0" w:line="280" w:lineRule="auto"/>
        <w:rPr>
          <w:sz w:val="20"/>
          <w:szCs w:val="20"/>
          <w:color w:val="auto"/>
        </w:rPr>
      </w:pPr>
      <w:r>
        <w:rPr>
          <w:rFonts w:ascii="Arial" w:cs="Arial" w:eastAsia="Arial" w:hAnsi="Arial"/>
          <w:sz w:val="16"/>
          <w:szCs w:val="16"/>
          <w:color w:val="auto"/>
        </w:rPr>
        <w:t xml:space="preserve">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 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from GasLog, in exchange for (i) 162,358 common units and 9,822,358 subordinated units issued to GasLog representing a 49.8% ownership interest and all of the incentive distribution rights that entitled GasLog to increasing percentages of the cash that the Partnership distributed in excess of $0.43125 per unit per quarter,</w:t>
      </w:r>
    </w:p>
    <w:p>
      <w:pPr>
        <w:spacing w:after="0" w:line="4" w:lineRule="exact"/>
        <w:rPr>
          <w:sz w:val="20"/>
          <w:szCs w:val="20"/>
          <w:color w:val="auto"/>
        </w:rPr>
      </w:pPr>
    </w:p>
    <w:p>
      <w:pPr>
        <w:ind w:right="140" w:firstLine="7"/>
        <w:spacing w:after="0" w:line="286" w:lineRule="auto"/>
        <w:tabs>
          <w:tab w:leader="none" w:pos="2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400,913 general partner units issued to GasLog Partners GP LLC, a wholly owned subsidiary of GasLog, representing a 2.0% general partner interest and (iii) $65.7 million of cash consideration paid directly to us from the offering proceeds. In addition to the cash consideration of $65.7 million paid to us, GasLog Partners used the $186.0 million net proceeds of its IPO to (a) 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00" w:firstLine="320"/>
        <w:spacing w:after="0" w:line="258" w:lineRule="auto"/>
        <w:rPr>
          <w:sz w:val="20"/>
          <w:szCs w:val="20"/>
          <w:color w:val="auto"/>
        </w:rPr>
      </w:pPr>
      <w:r>
        <w:rPr>
          <w:rFonts w:ascii="Arial" w:cs="Arial" w:eastAsia="Arial" w:hAnsi="Arial"/>
          <w:sz w:val="18"/>
          <w:szCs w:val="18"/>
          <w:color w:val="auto"/>
        </w:rPr>
        <w:t>Since GasLog Partners’ IPO, the Partnership has completed follow-on equity offerings as set out below, the proceeds of which have been used for general corporate purposes including partially funding the acquisition of the GasLog subsidiaries that own the vessels listed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Date of Equity</w:t>
            </w:r>
          </w:p>
        </w:tc>
        <w:tc>
          <w:tcPr>
            <w:tcW w:w="240" w:type="dxa"/>
            <w:vAlign w:val="bottom"/>
          </w:tcPr>
          <w:p>
            <w:pPr>
              <w:spacing w:after="0"/>
              <w:rPr>
                <w:sz w:val="14"/>
                <w:szCs w:val="14"/>
                <w:color w:val="auto"/>
              </w:rPr>
            </w:pPr>
          </w:p>
        </w:tc>
        <w:tc>
          <w:tcPr>
            <w:tcW w:w="22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Equity Offering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Net Proceeds</w:t>
            </w:r>
          </w:p>
        </w:tc>
        <w:tc>
          <w:tcPr>
            <w:tcW w:w="2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0"/>
              </w:rPr>
              <w:t>Vessels</w:t>
            </w:r>
          </w:p>
        </w:tc>
        <w:tc>
          <w:tcPr>
            <w:tcW w:w="2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Date Acquisition</w:t>
            </w:r>
          </w:p>
        </w:tc>
        <w:tc>
          <w:tcPr>
            <w:tcW w:w="0" w:type="dxa"/>
            <w:vAlign w:val="bottom"/>
          </w:tcPr>
          <w:p>
            <w:pPr>
              <w:spacing w:after="0"/>
              <w:rPr>
                <w:sz w:val="1"/>
                <w:szCs w:val="1"/>
                <w:color w:val="auto"/>
              </w:rPr>
            </w:pPr>
          </w:p>
        </w:tc>
      </w:tr>
      <w:tr>
        <w:trPr>
          <w:trHeight w:val="169"/>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Offering</w:t>
            </w:r>
          </w:p>
        </w:tc>
        <w:tc>
          <w:tcPr>
            <w:tcW w:w="24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September 29, 2014</w:t>
            </w:r>
          </w:p>
        </w:tc>
        <w:tc>
          <w:tcPr>
            <w:tcW w:w="24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Follow-on common equity offering</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ind w:left="40"/>
              <w:spacing w:after="0" w:line="122" w:lineRule="exact"/>
              <w:rPr>
                <w:sz w:val="20"/>
                <w:szCs w:val="20"/>
                <w:color w:val="auto"/>
              </w:rPr>
            </w:pPr>
            <w:r>
              <w:rPr>
                <w:rFonts w:ascii="Arial" w:cs="Arial" w:eastAsia="Arial" w:hAnsi="Arial"/>
                <w:sz w:val="14"/>
                <w:szCs w:val="14"/>
                <w:color w:val="auto"/>
              </w:rPr>
              <w:t>133.0 million</w:t>
            </w:r>
          </w:p>
        </w:tc>
        <w:tc>
          <w:tcPr>
            <w:tcW w:w="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i w:val="1"/>
                <w:iCs w:val="1"/>
                <w:color w:val="auto"/>
                <w:w w:val="95"/>
              </w:rPr>
              <w:t xml:space="preserve">Methane Rita Andrea </w:t>
            </w:r>
            <w:r>
              <w:rPr>
                <w:rFonts w:ascii="Arial" w:cs="Arial" w:eastAsia="Arial" w:hAnsi="Arial"/>
                <w:sz w:val="14"/>
                <w:szCs w:val="14"/>
                <w:color w:val="auto"/>
                <w:w w:val="95"/>
              </w:rPr>
              <w:t>and</w:t>
            </w:r>
          </w:p>
        </w:tc>
        <w:tc>
          <w:tcPr>
            <w:tcW w:w="26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September 29, 2014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4"/>
                <w:szCs w:val="14"/>
                <w:i w:val="1"/>
                <w:iCs w:val="1"/>
                <w:color w:val="auto"/>
              </w:rPr>
              <w:t>Methane Jane Elizabeth</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40" w:type="dxa"/>
            <w:vAlign w:val="bottom"/>
          </w:tcPr>
          <w:p>
            <w:pPr>
              <w:spacing w:after="0" w:line="129" w:lineRule="exact"/>
              <w:rPr>
                <w:sz w:val="20"/>
                <w:szCs w:val="20"/>
                <w:color w:val="auto"/>
              </w:rPr>
            </w:pPr>
            <w:r>
              <w:rPr>
                <w:rFonts w:ascii="Arial" w:cs="Arial" w:eastAsia="Arial" w:hAnsi="Arial"/>
                <w:sz w:val="14"/>
                <w:szCs w:val="14"/>
                <w:color w:val="auto"/>
              </w:rPr>
              <w:t>June 26, 2015</w:t>
            </w:r>
          </w:p>
        </w:tc>
        <w:tc>
          <w:tcPr>
            <w:tcW w:w="2480" w:type="dxa"/>
            <w:vAlign w:val="bottom"/>
            <w:gridSpan w:val="2"/>
          </w:tcPr>
          <w:p>
            <w:pPr>
              <w:ind w:left="240"/>
              <w:spacing w:after="0" w:line="129" w:lineRule="exact"/>
              <w:rPr>
                <w:sz w:val="20"/>
                <w:szCs w:val="20"/>
                <w:color w:val="auto"/>
              </w:rPr>
            </w:pPr>
            <w:r>
              <w:rPr>
                <w:rFonts w:ascii="Arial" w:cs="Arial" w:eastAsia="Arial" w:hAnsi="Arial"/>
                <w:sz w:val="14"/>
                <w:szCs w:val="14"/>
                <w:color w:val="auto"/>
              </w:rPr>
              <w:t>Follow-on common equity offering</w:t>
            </w: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600" w:type="dxa"/>
            <w:vAlign w:val="bottom"/>
          </w:tcPr>
          <w:p>
            <w:pPr>
              <w:ind w:left="40"/>
              <w:spacing w:after="0" w:line="129" w:lineRule="exact"/>
              <w:rPr>
                <w:sz w:val="20"/>
                <w:szCs w:val="20"/>
                <w:color w:val="auto"/>
              </w:rPr>
            </w:pPr>
            <w:r>
              <w:rPr>
                <w:rFonts w:ascii="Arial" w:cs="Arial" w:eastAsia="Arial" w:hAnsi="Arial"/>
                <w:sz w:val="14"/>
                <w:szCs w:val="14"/>
                <w:color w:val="auto"/>
              </w:rPr>
              <w:t>171.8 million</w:t>
            </w:r>
          </w:p>
        </w:tc>
        <w:tc>
          <w:tcPr>
            <w:tcW w:w="1800" w:type="dxa"/>
            <w:vAlign w:val="bottom"/>
            <w:gridSpan w:val="2"/>
          </w:tcPr>
          <w:p>
            <w:pPr>
              <w:ind w:left="240"/>
              <w:spacing w:after="0" w:line="129" w:lineRule="exact"/>
              <w:rPr>
                <w:sz w:val="20"/>
                <w:szCs w:val="20"/>
                <w:color w:val="auto"/>
              </w:rPr>
            </w:pPr>
            <w:r>
              <w:rPr>
                <w:rFonts w:ascii="Arial" w:cs="Arial" w:eastAsia="Arial" w:hAnsi="Arial"/>
                <w:sz w:val="14"/>
                <w:szCs w:val="14"/>
                <w:i w:val="1"/>
                <w:iCs w:val="1"/>
                <w:color w:val="auto"/>
              </w:rPr>
              <w:t>Methane Alison Victoria,</w:t>
            </w:r>
          </w:p>
        </w:tc>
        <w:tc>
          <w:tcPr>
            <w:tcW w:w="1820" w:type="dxa"/>
            <w:vAlign w:val="bottom"/>
            <w:gridSpan w:val="2"/>
          </w:tcPr>
          <w:p>
            <w:pPr>
              <w:ind w:left="240"/>
              <w:spacing w:after="0" w:line="129" w:lineRule="exact"/>
              <w:rPr>
                <w:sz w:val="20"/>
                <w:szCs w:val="20"/>
                <w:color w:val="auto"/>
              </w:rPr>
            </w:pPr>
            <w:r>
              <w:rPr>
                <w:rFonts w:ascii="Arial" w:cs="Arial" w:eastAsia="Arial" w:hAnsi="Arial"/>
                <w:sz w:val="14"/>
                <w:szCs w:val="14"/>
                <w:color w:val="auto"/>
              </w:rPr>
              <w:t>July 1, 2015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2"/>
          </w:tcPr>
          <w:p>
            <w:pPr>
              <w:ind w:left="240"/>
              <w:spacing w:after="0" w:line="147" w:lineRule="exact"/>
              <w:rPr>
                <w:sz w:val="20"/>
                <w:szCs w:val="20"/>
                <w:color w:val="auto"/>
              </w:rPr>
            </w:pPr>
            <w:r>
              <w:rPr>
                <w:rFonts w:ascii="Arial" w:cs="Arial" w:eastAsia="Arial" w:hAnsi="Arial"/>
                <w:sz w:val="14"/>
                <w:szCs w:val="14"/>
                <w:i w:val="1"/>
                <w:iCs w:val="1"/>
                <w:color w:val="auto"/>
                <w:w w:val="94"/>
              </w:rPr>
              <w:t>Methane Shirley Elisabeth</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 xml:space="preserve">and </w:t>
            </w:r>
            <w:r>
              <w:rPr>
                <w:rFonts w:ascii="Arial" w:cs="Arial" w:eastAsia="Arial" w:hAnsi="Arial"/>
                <w:sz w:val="14"/>
                <w:szCs w:val="14"/>
                <w:i w:val="1"/>
                <w:iCs w:val="1"/>
                <w:color w:val="auto"/>
              </w:rPr>
              <w:t>Methane Heather</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i w:val="1"/>
                <w:iCs w:val="1"/>
                <w:color w:val="auto"/>
              </w:rPr>
              <w:t>Sally</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August 5, 2016</w:t>
            </w:r>
          </w:p>
        </w:tc>
        <w:tc>
          <w:tcPr>
            <w:tcW w:w="24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Follow-on common equity offering</w:t>
            </w:r>
          </w:p>
        </w:tc>
        <w:tc>
          <w:tcPr>
            <w:tcW w:w="3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52.3 million</w:t>
            </w:r>
          </w:p>
        </w:tc>
        <w:tc>
          <w:tcPr>
            <w:tcW w:w="180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i w:val="1"/>
                <w:iCs w:val="1"/>
                <w:color w:val="auto"/>
              </w:rPr>
              <w:t>GasLog Seattle</w:t>
            </w:r>
          </w:p>
        </w:tc>
        <w:tc>
          <w:tcPr>
            <w:tcW w:w="18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November 1, 2016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line="147" w:lineRule="exact"/>
              <w:rPr>
                <w:sz w:val="20"/>
                <w:szCs w:val="20"/>
                <w:color w:val="auto"/>
              </w:rPr>
            </w:pPr>
            <w:r>
              <w:rPr>
                <w:rFonts w:ascii="Arial" w:cs="Arial" w:eastAsia="Arial" w:hAnsi="Arial"/>
                <w:sz w:val="14"/>
                <w:szCs w:val="14"/>
                <w:color w:val="auto"/>
              </w:rPr>
              <w:t>January 27, 2017</w:t>
            </w:r>
          </w:p>
        </w:tc>
        <w:tc>
          <w:tcPr>
            <w:tcW w:w="24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Follow-on common equity offering</w:t>
            </w:r>
          </w:p>
        </w:tc>
        <w:tc>
          <w:tcPr>
            <w:tcW w:w="3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0" w:type="dxa"/>
            <w:vAlign w:val="bottom"/>
          </w:tcPr>
          <w:p>
            <w:pPr>
              <w:ind w:left="40"/>
              <w:spacing w:after="0" w:line="147" w:lineRule="exact"/>
              <w:rPr>
                <w:sz w:val="20"/>
                <w:szCs w:val="20"/>
                <w:color w:val="auto"/>
              </w:rPr>
            </w:pPr>
            <w:r>
              <w:rPr>
                <w:rFonts w:ascii="Arial" w:cs="Arial" w:eastAsia="Arial" w:hAnsi="Arial"/>
                <w:sz w:val="14"/>
                <w:szCs w:val="14"/>
                <w:color w:val="auto"/>
              </w:rPr>
              <w:t>78.2 million</w:t>
            </w:r>
          </w:p>
        </w:tc>
        <w:tc>
          <w:tcPr>
            <w:tcW w:w="1800" w:type="dxa"/>
            <w:vAlign w:val="bottom"/>
            <w:gridSpan w:val="2"/>
          </w:tcPr>
          <w:p>
            <w:pPr>
              <w:ind w:left="240"/>
              <w:spacing w:after="0" w:line="147" w:lineRule="exact"/>
              <w:rPr>
                <w:sz w:val="20"/>
                <w:szCs w:val="20"/>
                <w:color w:val="auto"/>
              </w:rPr>
            </w:pPr>
            <w:r>
              <w:rPr>
                <w:rFonts w:ascii="Arial" w:cs="Arial" w:eastAsia="Arial" w:hAnsi="Arial"/>
                <w:sz w:val="14"/>
                <w:szCs w:val="14"/>
                <w:i w:val="1"/>
                <w:iCs w:val="1"/>
                <w:color w:val="auto"/>
              </w:rPr>
              <w:t>GasLog Greece</w:t>
            </w:r>
          </w:p>
        </w:tc>
        <w:tc>
          <w:tcPr>
            <w:tcW w:w="182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May 3, 2017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May 15, 2017</w:t>
            </w:r>
          </w:p>
        </w:tc>
        <w:tc>
          <w:tcPr>
            <w:tcW w:w="24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Preference equity offering</w:t>
            </w:r>
          </w:p>
        </w:tc>
        <w:tc>
          <w:tcPr>
            <w:tcW w:w="3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138.8 million</w:t>
            </w:r>
          </w:p>
        </w:tc>
        <w:tc>
          <w:tcPr>
            <w:tcW w:w="180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i w:val="1"/>
                <w:iCs w:val="1"/>
                <w:color w:val="auto"/>
              </w:rPr>
              <w:t>GasLog Geneva</w:t>
            </w:r>
          </w:p>
        </w:tc>
        <w:tc>
          <w:tcPr>
            <w:tcW w:w="18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July 3, 2017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40" w:type="dxa"/>
            <w:vAlign w:val="bottom"/>
          </w:tcPr>
          <w:p>
            <w:pPr>
              <w:spacing w:after="0" w:line="128" w:lineRule="exact"/>
              <w:rPr>
                <w:sz w:val="20"/>
                <w:szCs w:val="20"/>
                <w:color w:val="auto"/>
              </w:rPr>
            </w:pPr>
            <w:r>
              <w:rPr>
                <w:rFonts w:ascii="Arial" w:cs="Arial" w:eastAsia="Arial" w:hAnsi="Arial"/>
                <w:sz w:val="14"/>
                <w:szCs w:val="14"/>
                <w:color w:val="auto"/>
              </w:rPr>
              <w:t>May 16, 2017 onwards</w:t>
            </w:r>
          </w:p>
        </w:tc>
        <w:tc>
          <w:tcPr>
            <w:tcW w:w="2480" w:type="dxa"/>
            <w:vAlign w:val="bottom"/>
            <w:gridSpan w:val="2"/>
          </w:tcPr>
          <w:p>
            <w:pPr>
              <w:ind w:left="240"/>
              <w:spacing w:after="0" w:line="128" w:lineRule="exact"/>
              <w:rPr>
                <w:sz w:val="20"/>
                <w:szCs w:val="20"/>
                <w:color w:val="auto"/>
              </w:rPr>
            </w:pPr>
            <w:r>
              <w:rPr>
                <w:rFonts w:ascii="Arial" w:cs="Arial" w:eastAsia="Arial" w:hAnsi="Arial"/>
                <w:sz w:val="14"/>
                <w:szCs w:val="14"/>
                <w:color w:val="auto"/>
              </w:rPr>
              <w:t>Common equity offering through an</w:t>
            </w:r>
          </w:p>
        </w:tc>
        <w:tc>
          <w:tcPr>
            <w:tcW w:w="360" w:type="dxa"/>
            <w:vAlign w:val="bottom"/>
            <w:gridSpan w:val="2"/>
          </w:tcPr>
          <w:p>
            <w:pPr>
              <w:jc w:val="right"/>
              <w:spacing w:after="0" w:line="128" w:lineRule="exact"/>
              <w:rPr>
                <w:sz w:val="20"/>
                <w:szCs w:val="20"/>
                <w:color w:val="auto"/>
              </w:rPr>
            </w:pPr>
            <w:r>
              <w:rPr>
                <w:rFonts w:ascii="Arial" w:cs="Arial" w:eastAsia="Arial" w:hAnsi="Arial"/>
                <w:sz w:val="14"/>
                <w:szCs w:val="14"/>
                <w:color w:val="auto"/>
              </w:rPr>
              <w:t>$</w:t>
            </w:r>
          </w:p>
        </w:tc>
        <w:tc>
          <w:tcPr>
            <w:tcW w:w="1600" w:type="dxa"/>
            <w:vAlign w:val="bottom"/>
          </w:tcPr>
          <w:p>
            <w:pPr>
              <w:ind w:left="40"/>
              <w:spacing w:after="0" w:line="128" w:lineRule="exact"/>
              <w:rPr>
                <w:sz w:val="20"/>
                <w:szCs w:val="20"/>
                <w:color w:val="auto"/>
              </w:rPr>
            </w:pPr>
            <w:r>
              <w:rPr>
                <w:rFonts w:ascii="Arial" w:cs="Arial" w:eastAsia="Arial" w:hAnsi="Arial"/>
                <w:sz w:val="14"/>
                <w:szCs w:val="14"/>
                <w:color w:val="auto"/>
              </w:rPr>
              <w:t>123.4 million (through</w:t>
            </w:r>
          </w:p>
        </w:tc>
        <w:tc>
          <w:tcPr>
            <w:tcW w:w="1800" w:type="dxa"/>
            <w:vAlign w:val="bottom"/>
            <w:gridSpan w:val="2"/>
          </w:tcPr>
          <w:p>
            <w:pPr>
              <w:ind w:left="240"/>
              <w:spacing w:after="0" w:line="128" w:lineRule="exact"/>
              <w:rPr>
                <w:sz w:val="20"/>
                <w:szCs w:val="20"/>
                <w:color w:val="auto"/>
              </w:rPr>
            </w:pPr>
            <w:r>
              <w:rPr>
                <w:rFonts w:ascii="Arial" w:cs="Arial" w:eastAsia="Arial" w:hAnsi="Arial"/>
                <w:sz w:val="14"/>
                <w:szCs w:val="14"/>
                <w:i w:val="1"/>
                <w:iCs w:val="1"/>
                <w:color w:val="auto"/>
              </w:rPr>
              <w:t>Solaris Methane Becki</w:t>
            </w:r>
          </w:p>
        </w:tc>
        <w:tc>
          <w:tcPr>
            <w:tcW w:w="1820" w:type="dxa"/>
            <w:vAlign w:val="bottom"/>
            <w:gridSpan w:val="2"/>
          </w:tcPr>
          <w:p>
            <w:pPr>
              <w:ind w:left="240"/>
              <w:spacing w:after="0" w:line="128" w:lineRule="exact"/>
              <w:rPr>
                <w:sz w:val="20"/>
                <w:szCs w:val="20"/>
                <w:color w:val="auto"/>
              </w:rPr>
            </w:pPr>
            <w:r>
              <w:rPr>
                <w:rFonts w:ascii="Arial" w:cs="Arial" w:eastAsia="Arial" w:hAnsi="Arial"/>
                <w:sz w:val="14"/>
                <w:szCs w:val="14"/>
                <w:color w:val="auto"/>
              </w:rPr>
              <w:t>October 20, 2017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80" w:type="dxa"/>
            <w:vAlign w:val="bottom"/>
            <w:gridSpan w:val="2"/>
          </w:tcPr>
          <w:p>
            <w:pPr>
              <w:ind w:left="240"/>
              <w:spacing w:after="0" w:line="147" w:lineRule="exact"/>
              <w:rPr>
                <w:sz w:val="20"/>
                <w:szCs w:val="20"/>
                <w:color w:val="auto"/>
              </w:rPr>
            </w:pPr>
            <w:r>
              <w:rPr>
                <w:rFonts w:ascii="Arial" w:cs="Arial" w:eastAsia="Arial" w:hAnsi="Arial"/>
                <w:sz w:val="14"/>
                <w:szCs w:val="14"/>
                <w:color w:val="auto"/>
                <w:w w:val="95"/>
              </w:rPr>
              <w:t>at-the-market common equity offering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ind w:left="40"/>
              <w:spacing w:after="0" w:line="147" w:lineRule="exact"/>
              <w:rPr>
                <w:sz w:val="20"/>
                <w:szCs w:val="20"/>
                <w:color w:val="auto"/>
              </w:rPr>
            </w:pPr>
            <w:r>
              <w:rPr>
                <w:rFonts w:ascii="Arial" w:cs="Arial" w:eastAsia="Arial" w:hAnsi="Arial"/>
                <w:sz w:val="14"/>
                <w:szCs w:val="14"/>
                <w:color w:val="auto"/>
              </w:rPr>
              <w:t>December 31, 2020)</w:t>
            </w:r>
          </w:p>
        </w:tc>
        <w:tc>
          <w:tcPr>
            <w:tcW w:w="1800" w:type="dxa"/>
            <w:vAlign w:val="bottom"/>
            <w:gridSpan w:val="2"/>
          </w:tcPr>
          <w:p>
            <w:pPr>
              <w:ind w:left="240"/>
              <w:spacing w:after="0" w:line="147" w:lineRule="exact"/>
              <w:rPr>
                <w:sz w:val="20"/>
                <w:szCs w:val="20"/>
                <w:color w:val="auto"/>
              </w:rPr>
            </w:pPr>
            <w:r>
              <w:rPr>
                <w:rFonts w:ascii="Arial" w:cs="Arial" w:eastAsia="Arial" w:hAnsi="Arial"/>
                <w:sz w:val="14"/>
                <w:szCs w:val="14"/>
                <w:i w:val="1"/>
                <w:iCs w:val="1"/>
                <w:color w:val="auto"/>
              </w:rPr>
              <w:t>Anne</w:t>
            </w:r>
          </w:p>
        </w:tc>
        <w:tc>
          <w:tcPr>
            <w:tcW w:w="182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November 14, 2018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80" w:type="dxa"/>
            <w:vAlign w:val="bottom"/>
            <w:gridSpan w:val="2"/>
          </w:tcPr>
          <w:p>
            <w:pPr>
              <w:ind w:left="240"/>
              <w:spacing w:after="0" w:line="147" w:lineRule="exact"/>
              <w:rPr>
                <w:sz w:val="20"/>
                <w:szCs w:val="20"/>
                <w:color w:val="auto"/>
              </w:rPr>
            </w:pPr>
            <w:r>
              <w:rPr>
                <w:rFonts w:ascii="Arial" w:cs="Arial" w:eastAsia="Arial" w:hAnsi="Arial"/>
                <w:sz w:val="14"/>
                <w:szCs w:val="14"/>
                <w:color w:val="auto"/>
                <w:w w:val="99"/>
              </w:rPr>
              <w:t>which commenced in May 2017 (the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80" w:type="dxa"/>
            <w:vAlign w:val="bottom"/>
            <w:gridSpan w:val="2"/>
          </w:tcPr>
          <w:p>
            <w:pPr>
              <w:ind w:left="240"/>
              <w:spacing w:after="0"/>
              <w:rPr>
                <w:sz w:val="20"/>
                <w:szCs w:val="20"/>
                <w:color w:val="auto"/>
              </w:rPr>
            </w:pPr>
            <w:r>
              <w:rPr>
                <w:rFonts w:ascii="Arial" w:cs="Arial" w:eastAsia="Arial" w:hAnsi="Arial"/>
                <w:sz w:val="14"/>
                <w:szCs w:val="14"/>
                <w:color w:val="auto"/>
              </w:rPr>
              <w:t>“ATM Programme”)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January 17, 2018</w:t>
            </w:r>
          </w:p>
        </w:tc>
        <w:tc>
          <w:tcPr>
            <w:tcW w:w="24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Preference equity offering</w:t>
            </w:r>
          </w:p>
        </w:tc>
        <w:tc>
          <w:tcPr>
            <w:tcW w:w="3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111.0 million</w:t>
            </w:r>
          </w:p>
        </w:tc>
        <w:tc>
          <w:tcPr>
            <w:tcW w:w="180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i w:val="1"/>
                <w:iCs w:val="1"/>
                <w:color w:val="auto"/>
              </w:rPr>
              <w:t>GasLog Gibraltar</w:t>
            </w:r>
          </w:p>
        </w:tc>
        <w:tc>
          <w:tcPr>
            <w:tcW w:w="18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April 26, 2018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November 15, 2018</w:t>
            </w:r>
          </w:p>
        </w:tc>
        <w:tc>
          <w:tcPr>
            <w:tcW w:w="2480" w:type="dxa"/>
            <w:vAlign w:val="bottom"/>
            <w:gridSpan w:val="2"/>
          </w:tcPr>
          <w:p>
            <w:pPr>
              <w:ind w:left="240"/>
              <w:spacing w:after="0"/>
              <w:rPr>
                <w:sz w:val="20"/>
                <w:szCs w:val="20"/>
                <w:color w:val="auto"/>
              </w:rPr>
            </w:pPr>
            <w:r>
              <w:rPr>
                <w:rFonts w:ascii="Arial" w:cs="Arial" w:eastAsia="Arial" w:hAnsi="Arial"/>
                <w:sz w:val="14"/>
                <w:szCs w:val="14"/>
                <w:color w:val="auto"/>
              </w:rPr>
              <w:t>Preference equity offering</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ind w:left="40"/>
              <w:spacing w:after="0"/>
              <w:rPr>
                <w:sz w:val="20"/>
                <w:szCs w:val="20"/>
                <w:color w:val="auto"/>
              </w:rPr>
            </w:pPr>
            <w:r>
              <w:rPr>
                <w:rFonts w:ascii="Arial" w:cs="Arial" w:eastAsia="Arial" w:hAnsi="Arial"/>
                <w:sz w:val="14"/>
                <w:szCs w:val="14"/>
                <w:color w:val="auto"/>
              </w:rPr>
              <w:t>96.3 million</w:t>
            </w:r>
          </w:p>
        </w:tc>
        <w:tc>
          <w:tcPr>
            <w:tcW w:w="1800" w:type="dxa"/>
            <w:vAlign w:val="bottom"/>
            <w:gridSpan w:val="2"/>
          </w:tcPr>
          <w:p>
            <w:pPr>
              <w:ind w:left="240"/>
              <w:spacing w:after="0"/>
              <w:rPr>
                <w:sz w:val="20"/>
                <w:szCs w:val="20"/>
                <w:color w:val="auto"/>
              </w:rPr>
            </w:pPr>
            <w:r>
              <w:rPr>
                <w:rFonts w:ascii="Arial" w:cs="Arial" w:eastAsia="Arial" w:hAnsi="Arial"/>
                <w:sz w:val="14"/>
                <w:szCs w:val="14"/>
                <w:i w:val="1"/>
                <w:iCs w:val="1"/>
                <w:color w:val="auto"/>
              </w:rPr>
              <w:t>GasLog Glasgow</w:t>
            </w:r>
          </w:p>
        </w:tc>
        <w:tc>
          <w:tcPr>
            <w:tcW w:w="1820" w:type="dxa"/>
            <w:vAlign w:val="bottom"/>
            <w:gridSpan w:val="2"/>
          </w:tcPr>
          <w:p>
            <w:pPr>
              <w:ind w:left="240"/>
              <w:spacing w:after="0"/>
              <w:rPr>
                <w:sz w:val="20"/>
                <w:szCs w:val="20"/>
                <w:color w:val="auto"/>
              </w:rPr>
            </w:pPr>
            <w:r>
              <w:rPr>
                <w:rFonts w:ascii="Arial" w:cs="Arial" w:eastAsia="Arial" w:hAnsi="Arial"/>
                <w:sz w:val="14"/>
                <w:szCs w:val="14"/>
                <w:color w:val="auto"/>
              </w:rPr>
              <w:t>April 1, 2019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NYSE under the symbol “GLOG PR A”.</w:t>
      </w:r>
    </w:p>
    <w:p>
      <w:pPr>
        <w:spacing w:after="0" w:line="190" w:lineRule="exact"/>
        <w:rPr>
          <w:sz w:val="20"/>
          <w:szCs w:val="20"/>
          <w:color w:val="auto"/>
        </w:rPr>
      </w:pPr>
    </w:p>
    <w:p>
      <w:pPr>
        <w:ind w:right="20" w:firstLine="320"/>
        <w:spacing w:after="0" w:line="267" w:lineRule="auto"/>
        <w:rPr>
          <w:sz w:val="20"/>
          <w:szCs w:val="20"/>
          <w:color w:val="auto"/>
        </w:rPr>
      </w:pPr>
      <w:r>
        <w:rPr>
          <w:rFonts w:ascii="Arial" w:cs="Arial" w:eastAsia="Arial" w:hAnsi="Arial"/>
          <w:sz w:val="17"/>
          <w:szCs w:val="17"/>
          <w:color w:val="auto"/>
        </w:rPr>
        <w:t>As of March 7, 2022, GasLog holds a 33.3% interest in the Partnership and, as a result of its ownership of the general partner and the fact that the general partner elects the majority of the 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 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182" w:lineRule="exact"/>
        <w:rPr>
          <w:sz w:val="20"/>
          <w:szCs w:val="20"/>
          <w:color w:val="auto"/>
        </w:rPr>
      </w:pPr>
    </w:p>
    <w:p>
      <w:pPr>
        <w:ind w:right="20" w:firstLine="320"/>
        <w:spacing w:after="0" w:line="265" w:lineRule="auto"/>
        <w:rPr>
          <w:sz w:val="20"/>
          <w:szCs w:val="20"/>
          <w:color w:val="auto"/>
        </w:rPr>
      </w:pPr>
      <w:r>
        <w:rPr>
          <w:rFonts w:ascii="Arial" w:cs="Arial" w:eastAsia="Arial" w:hAnsi="Arial"/>
          <w:sz w:val="17"/>
          <w:szCs w:val="17"/>
          <w:color w:val="auto"/>
        </w:rPr>
        <w:t>On June 24, 2019, the Partnership Agreement was amended, effective June 30, 2019, to eliminate the general partner's incentive distribution rights (the “IDRs”) in exchange for the issuance by the Partnership to GasLog of 2,532,911 common units and 2,490,000 Class B units (of which 415,000 were Class B-1 units, 415,000 were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On July 1, 2020 and 2021, the 415,000 Class B-1 units and the 415,000 Class B-2 units were converted into 415,000 and 415,000 common units, respectively. The remaining Class B units will become eligible for conversion on a one-for-one basis into common units at GasLog's option on July 1, 2022, July 1, 2023, July 1, 2024 and July 1, 2025 for the Class B-3 units,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 of the available cash is distributed to the common unitholders and 2% is distributed to the general partner. The updated earnings allocation applies to the total GasLog Partners’ profit for the three months ended June 30, 2019 and onwards.</w:t>
      </w:r>
    </w:p>
    <w:p>
      <w:pPr>
        <w:spacing w:after="0" w:line="183" w:lineRule="exact"/>
        <w:rPr>
          <w:sz w:val="20"/>
          <w:szCs w:val="20"/>
          <w:color w:val="auto"/>
        </w:rPr>
      </w:pPr>
    </w:p>
    <w:p>
      <w:pPr>
        <w:ind w:right="200" w:firstLine="320"/>
        <w:spacing w:after="0" w:line="253" w:lineRule="auto"/>
        <w:rPr>
          <w:sz w:val="20"/>
          <w:szCs w:val="20"/>
          <w:color w:val="auto"/>
        </w:rPr>
      </w:pPr>
      <w:r>
        <w:rPr>
          <w:rFonts w:ascii="Arial" w:cs="Arial" w:eastAsia="Arial" w:hAnsi="Arial"/>
          <w:sz w:val="18"/>
          <w:szCs w:val="18"/>
          <w:color w:val="auto"/>
        </w:rPr>
        <w:t>On June 29, 2020, GasLog completed the sale of 14,400,000 common shares at a price of $2.50 per share for total gross proceeds of $36.0 million through a private placement of unregistered common shares (“the Private Placement”). The net proceeds were used for general corporate purposes. Approximately 75% of shares issued in the Private Placement were purchased by GasLog’s directors and affiliates, including 6,500,000 common shares purchased by Blenheim Holdings, and 4,000,000 common shares purchased by Olympic LNG.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60" w:firstLine="320"/>
        <w:spacing w:after="0" w:line="258" w:lineRule="auto"/>
        <w:rPr>
          <w:sz w:val="20"/>
          <w:szCs w:val="20"/>
          <w:color w:val="auto"/>
        </w:rPr>
      </w:pPr>
      <w:r>
        <w:rPr>
          <w:rFonts w:ascii="Arial" w:cs="Arial" w:eastAsia="Arial" w:hAnsi="Arial"/>
          <w:sz w:val="18"/>
          <w:szCs w:val="18"/>
          <w:color w:val="auto"/>
        </w:rPr>
        <w:t>On February 22, 2021, we announced that GasLog had entered into a Merger Agreement with GEPIF. Under the Merger Agreement, GEPIF would acquire all of the outstanding common shares of GasLog that are not held by the Rolling Shareholders of GasLog in exchange for $5.80 in cash per common share.</w:t>
      </w:r>
    </w:p>
    <w:p>
      <w:pPr>
        <w:spacing w:after="0" w:line="186" w:lineRule="exact"/>
        <w:rPr>
          <w:sz w:val="20"/>
          <w:szCs w:val="20"/>
          <w:color w:val="auto"/>
        </w:rPr>
      </w:pPr>
    </w:p>
    <w:p>
      <w:pPr>
        <w:ind w:right="340" w:firstLine="320"/>
        <w:spacing w:after="0" w:line="253" w:lineRule="auto"/>
        <w:rPr>
          <w:sz w:val="20"/>
          <w:szCs w:val="20"/>
          <w:color w:val="auto"/>
        </w:rPr>
      </w:pPr>
      <w:r>
        <w:rPr>
          <w:rFonts w:ascii="Arial" w:cs="Arial" w:eastAsia="Arial" w:hAnsi="Arial"/>
          <w:sz w:val="18"/>
          <w:szCs w:val="18"/>
          <w:color w:val="auto"/>
        </w:rPr>
        <w:t>On June 9, 2021, we announced the completion of the Transaction with GEPIF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w:t>
      </w:r>
    </w:p>
    <w:p>
      <w:pPr>
        <w:spacing w:after="0" w:line="190" w:lineRule="exact"/>
        <w:rPr>
          <w:sz w:val="20"/>
          <w:szCs w:val="20"/>
          <w:color w:val="auto"/>
        </w:rPr>
      </w:pPr>
    </w:p>
    <w:p>
      <w:pPr>
        <w:ind w:right="300" w:firstLine="320"/>
        <w:spacing w:after="0" w:line="258" w:lineRule="auto"/>
        <w:rPr>
          <w:sz w:val="20"/>
          <w:szCs w:val="20"/>
          <w:color w:val="auto"/>
        </w:rPr>
      </w:pPr>
      <w:r>
        <w:rPr>
          <w:rFonts w:ascii="Arial" w:cs="Arial" w:eastAsia="Arial" w:hAnsi="Arial"/>
          <w:sz w:val="18"/>
          <w:szCs w:val="18"/>
          <w:color w:val="auto"/>
        </w:rPr>
        <w:t>Trading in GasLog’s common shares on the New York Stock Exchange (“NYSE”), was suspended with immediate effect and the delisting of the common shares from the NYSE became effective on June 21, 2021. GasLog’s 8.75% Series A Cumulative Redeemable Perpetual Preference Shares remain outstanding and continue to trade in the NYSE.</w:t>
      </w:r>
    </w:p>
    <w:p>
      <w:pPr>
        <w:spacing w:after="0" w:line="186"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Following the consummation of the Transaction on June 9, 2021, certain existing shareholders, including Blenheim Holdings, which is wholly owned by the Livanos family, and Olympic LNG, hold approximately 55.2% of the outstanding common shares of GasLog and GEPIF holds approximately 44.8%. In addition, Peter G. Livanos holds a proxy to vote the shares of the Rolling Shareholders, and as a result of holding such proxy, controls more than a majority of the voting stock of the Company and controls the right to appoint a majority of the board of the Company.</w:t>
      </w:r>
    </w:p>
    <w:p>
      <w:pPr>
        <w:spacing w:after="0" w:line="190" w:lineRule="exact"/>
        <w:rPr>
          <w:sz w:val="20"/>
          <w:szCs w:val="20"/>
          <w:color w:val="auto"/>
        </w:rPr>
      </w:pPr>
    </w:p>
    <w:p>
      <w:pPr>
        <w:jc w:val="both"/>
        <w:ind w:right="520" w:firstLine="320"/>
        <w:spacing w:after="0" w:line="281" w:lineRule="auto"/>
        <w:rPr>
          <w:sz w:val="20"/>
          <w:szCs w:val="20"/>
          <w:color w:val="auto"/>
        </w:rPr>
      </w:pPr>
      <w:r>
        <w:rPr>
          <w:rFonts w:ascii="Arial" w:cs="Arial" w:eastAsia="Arial" w:hAnsi="Arial"/>
          <w:sz w:val="17"/>
          <w:szCs w:val="17"/>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pacing w:after="0" w:line="167" w:lineRule="exact"/>
        <w:rPr>
          <w:sz w:val="20"/>
          <w:szCs w:val="20"/>
          <w:color w:val="auto"/>
        </w:rPr>
      </w:pPr>
    </w:p>
    <w:p>
      <w:pPr>
        <w:ind w:right="60" w:firstLine="320"/>
        <w:spacing w:after="0" w:line="252"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http://www.gaslogltd.com.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right="20" w:firstLine="320"/>
        <w:spacing w:after="0" w:line="265" w:lineRule="auto"/>
        <w:rPr>
          <w:sz w:val="20"/>
          <w:szCs w:val="20"/>
          <w:color w:val="auto"/>
        </w:rPr>
      </w:pPr>
      <w:r>
        <w:rPr>
          <w:rFonts w:ascii="Arial" w:cs="Arial" w:eastAsia="Arial" w:hAnsi="Arial"/>
          <w:sz w:val="17"/>
          <w:szCs w:val="17"/>
          <w:color w:val="auto"/>
        </w:rPr>
        <w:t>We are an international owner, operator and manager of LNG carriers providing support to international energy companies as part of their LNG logistics chain. Our owned and bareboat fleet as of March 7, 2022, consists of 39 LNG carriers, including 35 ships on the water and four LNG carriers on order at one of the world’s leading LNG shipbuilders, DSME. This includes 15 LNG carriers in GasLog Partners’ owned and bareboat fleet. We have entered into certain agreements with GasLog Partners governing our relationship, including purchase options for certain of our ships. We currently manage and operate 35 LNG carriers including 16 of our wholly owned ships in operation, 13 ships contributed or sold to the Partnership (one is managed by a subsidiary of Shell), one additional LNG carrier in which we have a 25.0% interest and five vessels secured under long-term bareboat charters from Lepta Shipping, Sea 190 Leasing, Hai Kuo Shipping and CDBL. We are also supervising the construction of our newbuildings. We operate our vessels under time charters. As of December 31, 2021, these contracts are expected to provide total contracted revenues of $2.8 billion during their initial terms, which expire between 2022 and 2032. During 2021, 2020 and 2019, we generated revenues of $809.6 million, $674.1 million and $668.6 million, respectively. For disaggregation of revenues, see “Item 5. Operating and Financial Review and Prospects—A. Operating Results— Customers”.</w:t>
      </w:r>
    </w:p>
    <w:p>
      <w:pPr>
        <w:spacing w:after="0" w:line="185"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75" w:lineRule="exact"/>
        <w:rPr>
          <w:sz w:val="20"/>
          <w:szCs w:val="20"/>
          <w:color w:val="auto"/>
        </w:rPr>
      </w:pPr>
    </w:p>
    <w:p>
      <w:pPr>
        <w:ind w:right="360" w:firstLine="320"/>
        <w:spacing w:after="0" w:line="296" w:lineRule="auto"/>
        <w:rPr>
          <w:sz w:val="20"/>
          <w:szCs w:val="20"/>
          <w:color w:val="auto"/>
        </w:rPr>
      </w:pPr>
      <w:r>
        <w:rPr>
          <w:rFonts w:ascii="Arial" w:cs="Arial" w:eastAsia="Arial" w:hAnsi="Arial"/>
          <w:sz w:val="16"/>
          <w:szCs w:val="16"/>
          <w:color w:val="auto"/>
        </w:rPr>
        <w:t>Our current time charters have initial terms of up to 12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orderbook of new LNG carriers has staggered delivery dates, facilitating a smooth integration of the ships into our fleet as well as significant annual growth through 2025. This has</w:t>
      </w:r>
    </w:p>
    <w:p>
      <w:pPr>
        <w:sectPr>
          <w:pgSz w:w="11900" w:h="16838" w:orient="portrait"/>
          <w:cols w:equalWidth="0" w:num="1">
            <w:col w:w="9920"/>
          </w:cols>
          <w:pgMar w:left="980" w:top="659"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the additional advantage of spreading our exposure to the re-delivery of these ships over several years upon expiration of their current charters.</w:t>
      </w:r>
    </w:p>
    <w:p>
      <w:pPr>
        <w:spacing w:after="0" w:line="175" w:lineRule="exact"/>
        <w:rPr>
          <w:sz w:val="20"/>
          <w:szCs w:val="20"/>
          <w:color w:val="auto"/>
        </w:rPr>
      </w:pPr>
    </w:p>
    <w:p>
      <w:pPr>
        <w:ind w:right="160" w:firstLine="320"/>
        <w:spacing w:after="0" w:line="251" w:lineRule="auto"/>
        <w:rPr>
          <w:sz w:val="20"/>
          <w:szCs w:val="20"/>
          <w:color w:val="auto"/>
        </w:rPr>
      </w:pPr>
      <w:r>
        <w:rPr>
          <w:rFonts w:ascii="Arial" w:cs="Arial" w:eastAsia="Arial" w:hAnsi="Arial"/>
          <w:sz w:val="18"/>
          <w:szCs w:val="18"/>
          <w:color w:val="auto"/>
        </w:rPr>
        <w:t>Each of our 35 owned and bareboat LNG carriers and four LNG carriers under construction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 similar specifications, which allows us to benefit from economies of scale and operating efficiencies in ship construction, crew training, crew rotation and shared spare parts. Our owned and bareboat fleet has an average age of 7.4 years, making it one of the youngest in the industry. By comparison, as of December 31, 2021, the average age for the global trading LNG carrier fleet including LNG carriers of all sizes, was 9.92 years.</w:t>
      </w:r>
    </w:p>
    <w:p>
      <w:pPr>
        <w:spacing w:after="0" w:line="193" w:lineRule="exact"/>
        <w:rPr>
          <w:sz w:val="20"/>
          <w:szCs w:val="20"/>
          <w:color w:val="auto"/>
        </w:rPr>
      </w:pPr>
    </w:p>
    <w:p>
      <w:pPr>
        <w:ind w:right="300" w:firstLine="320"/>
        <w:spacing w:after="0" w:line="251" w:lineRule="auto"/>
        <w:rPr>
          <w:sz w:val="20"/>
          <w:szCs w:val="20"/>
          <w:color w:val="auto"/>
        </w:rPr>
      </w:pPr>
      <w:r>
        <w:rPr>
          <w:rFonts w:ascii="Arial" w:cs="Arial" w:eastAsia="Arial" w:hAnsi="Arial"/>
          <w:sz w:val="18"/>
          <w:szCs w:val="18"/>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20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35 ships currently operating under our management.</w:t>
      </w:r>
    </w:p>
    <w:p>
      <w:pPr>
        <w:spacing w:after="0" w:line="193" w:lineRule="exact"/>
        <w:rPr>
          <w:sz w:val="20"/>
          <w:szCs w:val="20"/>
          <w:color w:val="auto"/>
        </w:rPr>
      </w:pPr>
    </w:p>
    <w:p>
      <w:pPr>
        <w:ind w:right="120" w:firstLine="320"/>
        <w:spacing w:after="0" w:line="253" w:lineRule="auto"/>
        <w:rPr>
          <w:sz w:val="20"/>
          <w:szCs w:val="20"/>
          <w:color w:val="auto"/>
        </w:rPr>
      </w:pPr>
      <w:r>
        <w:rPr>
          <w:rFonts w:ascii="Arial" w:cs="Arial" w:eastAsia="Arial" w:hAnsi="Arial"/>
          <w:sz w:val="18"/>
          <w:szCs w:val="18"/>
          <w:color w:val="auto"/>
        </w:rPr>
        <w:t>A wholly owned subsidiary of GasLog acquired a 20% shareholding in Gastrade in 2016. Gastrade is licensed to develop an LNG receiving terminal utilizing an FSRU offshore Alexandroupolis in Northern Greece. The FSRU will be connected to the Greek national grid via a 24km subsea pipeline. A wholly owned subsidiary of GasLog has executed a long-term Operation and Maintenance Agreement with Gastrade under which GasLog will be the operator of the FSRU. This agreement is tied to the Terminal Use Agreement of the Alexandroupolis Project.</w:t>
      </w:r>
    </w:p>
    <w:p>
      <w:pPr>
        <w:spacing w:after="0" w:line="190" w:lineRule="exact"/>
        <w:rPr>
          <w:sz w:val="20"/>
          <w:szCs w:val="20"/>
          <w:color w:val="auto"/>
        </w:rPr>
      </w:pPr>
    </w:p>
    <w:p>
      <w:pPr>
        <w:ind w:right="220" w:firstLine="320"/>
        <w:spacing w:after="0" w:line="274" w:lineRule="auto"/>
        <w:rPr>
          <w:sz w:val="20"/>
          <w:szCs w:val="20"/>
          <w:color w:val="auto"/>
        </w:rPr>
      </w:pPr>
      <w:r>
        <w:rPr>
          <w:rFonts w:ascii="Arial" w:cs="Arial" w:eastAsia="Arial" w:hAnsi="Arial"/>
          <w:sz w:val="17"/>
          <w:szCs w:val="17"/>
          <w:color w:val="auto"/>
        </w:rPr>
        <w:t>In March 2020, Gastrade concluded the second phase of the regulatory market test for long-term capacity in the terminal with an aggregate long-term profile of binding offers for up to 15 years, reaching 2.6 billion cubic meters per year, from Greek and international natural gas companies, as well as end consumers. The binding offers were subsequently confirmed by the signing of Advanced Capacity Reservation Agreements for the reservation of regasification capacity at the FSRU terminal.</w:t>
      </w:r>
    </w:p>
    <w:p>
      <w:pPr>
        <w:spacing w:after="0" w:line="175" w:lineRule="exact"/>
        <w:rPr>
          <w:sz w:val="20"/>
          <w:szCs w:val="20"/>
          <w:color w:val="auto"/>
        </w:rPr>
      </w:pPr>
    </w:p>
    <w:p>
      <w:pPr>
        <w:jc w:val="both"/>
        <w:ind w:right="240" w:firstLine="320"/>
        <w:spacing w:after="0" w:line="258" w:lineRule="auto"/>
        <w:rPr>
          <w:sz w:val="20"/>
          <w:szCs w:val="20"/>
          <w:color w:val="auto"/>
        </w:rPr>
      </w:pPr>
      <w:r>
        <w:rPr>
          <w:rFonts w:ascii="Arial" w:cs="Arial" w:eastAsia="Arial" w:hAnsi="Arial"/>
          <w:sz w:val="18"/>
          <w:szCs w:val="18"/>
          <w:color w:val="auto"/>
        </w:rPr>
        <w:t>DEPA, the Greek State Gas Company, acquired a 20% shareholding in Gastrade in 2019. BulgarTransGaz, the Bulgarian State Gas Transportation Company acquired a 20% shareholding in Gastrade in 2020 and DESFA, the Greek National Gas Transmission Operator acquired a 20% shareholding in Gastrade in December 2021.</w:t>
      </w:r>
    </w:p>
    <w:p>
      <w:pPr>
        <w:spacing w:after="0" w:line="186" w:lineRule="exact"/>
        <w:rPr>
          <w:sz w:val="20"/>
          <w:szCs w:val="20"/>
          <w:color w:val="auto"/>
        </w:rPr>
      </w:pPr>
    </w:p>
    <w:p>
      <w:pPr>
        <w:ind w:right="80" w:firstLine="320"/>
        <w:spacing w:after="0" w:line="255" w:lineRule="auto"/>
        <w:rPr>
          <w:sz w:val="20"/>
          <w:szCs w:val="20"/>
          <w:color w:val="auto"/>
        </w:rPr>
      </w:pPr>
      <w:r>
        <w:rPr>
          <w:rFonts w:ascii="Arial" w:cs="Arial" w:eastAsia="Arial" w:hAnsi="Arial"/>
          <w:sz w:val="18"/>
          <w:szCs w:val="18"/>
          <w:color w:val="auto"/>
        </w:rPr>
        <w:t xml:space="preserve">Following a tender process, Gastrade has signed contracts with the Pipeline EPCI Contractor, the Mooring Contractor and GasLog, as the FSRU provider.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will be converted at Keppel Shipyard Limited in Singapore to an FSRU and transferred to Gastrade at the end of 2023. Gastrade took Final Investment Decision (“FID”) on the project in January 2022 and the start-up of the LNG terminal is anticipated to occur in the fourth quarter of 2023.</w:t>
      </w:r>
    </w:p>
    <w:p>
      <w:pPr>
        <w:spacing w:after="0" w:line="188" w:lineRule="exact"/>
        <w:rPr>
          <w:sz w:val="20"/>
          <w:szCs w:val="20"/>
          <w:color w:val="auto"/>
        </w:rPr>
      </w:pPr>
    </w:p>
    <w:p>
      <w:pPr>
        <w:ind w:firstLine="320"/>
        <w:spacing w:after="0" w:line="285" w:lineRule="auto"/>
        <w:rPr>
          <w:sz w:val="20"/>
          <w:szCs w:val="20"/>
          <w:color w:val="auto"/>
        </w:rPr>
      </w:pPr>
      <w:r>
        <w:rPr>
          <w:rFonts w:ascii="Arial" w:cs="Arial" w:eastAsia="Arial" w:hAnsi="Arial"/>
          <w:sz w:val="16"/>
          <w:szCs w:val="16"/>
          <w:color w:val="auto"/>
        </w:rPr>
        <w:t xml:space="preserve">In September 2019, GasLog announced that a wholly owned subsidiary of GasLog had signed a 10-year time charter with Sinolam for the provision of a LNG FSU to a gas-fired power project being developed on Panama. Subject to receipt of firm notice by the end of 2023, </w:t>
      </w:r>
      <w:r>
        <w:rPr>
          <w:rFonts w:ascii="Arial" w:cs="Arial" w:eastAsia="Arial" w:hAnsi="Arial"/>
          <w:sz w:val="16"/>
          <w:szCs w:val="16"/>
          <w:i w:val="1"/>
          <w:iCs w:val="1"/>
          <w:color w:val="auto"/>
        </w:rPr>
        <w:t xml:space="preserve">GasLog Singapore </w:t>
      </w:r>
      <w:r>
        <w:rPr>
          <w:rFonts w:ascii="Arial" w:cs="Arial" w:eastAsia="Arial" w:hAnsi="Arial"/>
          <w:sz w:val="16"/>
          <w:szCs w:val="16"/>
          <w:color w:val="auto"/>
        </w:rPr>
        <w:t>is expected to be delivered to Sinolam no later than twelve months thereafter for use as a LNG FSU that will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store and send out LNG to a gas-fired power plant currently being developed near Colón, Panama, by Sinolam Smarter energy LNG Power Company, a subsidiary of private Chinese investment group Shanghai Gorgeous Investment Development Company. The power project has signed long-term power purchase agreements with leading Panamanian utility companies as well as a 15-year LNG sale and purchase agreement with Shell. The completion of the power plant was initially scheduled for the second quarter of 2020 but has since been significantly delayed as a result of COVID-19 related impacts to the construction schedule. In the meantime, the vessel has undergone FSU conversion for the Sinolam LNG charter during its scheduled dry-dock in the second quarter of 2021.</w:t>
      </w:r>
    </w:p>
    <w:p>
      <w:pPr>
        <w:spacing w:after="0" w:line="168"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In November 2019, GasLog announced plans to relocate more of its employees including several members of senior management to the Piraeus, Greece office, home of our operational platform, in order to enhance execution, efficiency and operational excellence and to reduce overheads. By the end of 2020, we had concluded these organizational changes, having closed the Monaco office and substantially reduced the number of employees in our London office.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60" w:firstLine="320"/>
        <w:spacing w:after="0" w:line="258" w:lineRule="auto"/>
        <w:rPr>
          <w:sz w:val="20"/>
          <w:szCs w:val="20"/>
          <w:color w:val="auto"/>
        </w:rPr>
      </w:pPr>
      <w:r>
        <w:rPr>
          <w:rFonts w:ascii="Arial" w:cs="Arial" w:eastAsia="Arial" w:hAnsi="Arial"/>
          <w:sz w:val="18"/>
          <w:szCs w:val="18"/>
          <w:color w:val="auto"/>
        </w:rPr>
        <w:t>In August 2020, as the next phase in our strategy to enhance efficiency and reduce costs, we announced that the decision had been taken to include GasLog Partners and the Stamford office in the initiative. We reduced the size of the Partnership’s board of directors from seven to five and closed the Stamford, Connecticut office.</w:t>
      </w:r>
    </w:p>
    <w:p>
      <w:pPr>
        <w:spacing w:after="0" w:line="186" w:lineRule="exact"/>
        <w:rPr>
          <w:sz w:val="20"/>
          <w:szCs w:val="20"/>
          <w:color w:val="auto"/>
        </w:rPr>
      </w:pPr>
    </w:p>
    <w:p>
      <w:pPr>
        <w:ind w:right="20" w:firstLine="320"/>
        <w:spacing w:after="0" w:line="289" w:lineRule="auto"/>
        <w:rPr>
          <w:sz w:val="20"/>
          <w:szCs w:val="20"/>
          <w:color w:val="auto"/>
        </w:rPr>
      </w:pPr>
      <w:r>
        <w:rPr>
          <w:rFonts w:ascii="Arial" w:cs="Arial" w:eastAsia="Arial" w:hAnsi="Arial"/>
          <w:sz w:val="16"/>
          <w:szCs w:val="16"/>
          <w:color w:val="auto"/>
        </w:rPr>
        <w:t>On February 6, 2020, GasLog Partners guided towards a reduction in its quarterly distribution from the first quarter of 2020 as a result of a number of increasingly strong negative indicators in the LNG shipping market. The Partnership reduced its quarterly common unit distribution to $0.125 in the first quarter of 2020 from $0.561 per unit for the fourth quarter 2019, followed by a further reduction to $0.01 per common unit beginning with the third quarter of 2020. GasLog Partners has continued to focus on capital allocation on debt repayment and prioritizing balance sheet strength, in order to lower cash break-evens and to reposition the Partnership for potential future growth if its cost of capital allows GasLog Partners to access debt and equity capital on acceptable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information about our wholly owned vessels and their associated time charters as of March 7, 2022:</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Charterer (for</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Charter</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Vessel Name</w:t>
            </w:r>
          </w:p>
        </w:tc>
        <w:tc>
          <w:tcPr>
            <w:tcW w:w="122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cbm</w:t>
            </w: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contracts of more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Propulsion</w:t>
            </w:r>
          </w:p>
        </w:tc>
        <w:tc>
          <w:tcPr>
            <w:tcW w:w="140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Built</w:t>
            </w:r>
          </w:p>
        </w:tc>
        <w:tc>
          <w:tcPr>
            <w:tcW w:w="1240" w:type="dxa"/>
            <w:vAlign w:val="bottom"/>
            <w:gridSpan w:val="2"/>
            <w:vMerge w:val="continue"/>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than six months)</w:t>
            </w:r>
          </w:p>
        </w:tc>
        <w:tc>
          <w:tcPr>
            <w:tcW w:w="1240" w:type="dxa"/>
            <w:vAlign w:val="bottom"/>
            <w:gridSpan w:val="2"/>
            <w:vMerge w:val="continue"/>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Expiration(1)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Period(2)</w:t>
            </w:r>
          </w:p>
        </w:tc>
        <w:tc>
          <w:tcPr>
            <w:tcW w:w="0" w:type="dxa"/>
            <w:vAlign w:val="bottom"/>
          </w:tcPr>
          <w:p>
            <w:pPr>
              <w:spacing w:after="0"/>
              <w:rPr>
                <w:sz w:val="1"/>
                <w:szCs w:val="1"/>
                <w:color w:val="auto"/>
              </w:rPr>
            </w:pPr>
          </w:p>
        </w:tc>
      </w:tr>
      <w:tr>
        <w:trPr>
          <w:trHeight w:val="207"/>
        </w:trPr>
        <w:tc>
          <w:tcPr>
            <w:tcW w:w="320" w:type="dxa"/>
            <w:vAlign w:val="bottom"/>
            <w:tcBorders>
              <w:top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99"/>
              </w:rPr>
              <w:t>1</w:t>
            </w:r>
          </w:p>
        </w:tc>
        <w:tc>
          <w:tcPr>
            <w:tcW w:w="1840" w:type="dxa"/>
            <w:vAlign w:val="bottom"/>
            <w:tcBorders>
              <w:top w:val="single" w:sz="8" w:color="auto"/>
            </w:tcBorders>
            <w:shd w:val="clear" w:color="auto" w:fill="CCEEFF"/>
          </w:tcPr>
          <w:p>
            <w:pPr>
              <w:jc w:val="center"/>
              <w:spacing w:after="0" w:line="207" w:lineRule="exact"/>
              <w:rPr>
                <w:sz w:val="20"/>
                <w:szCs w:val="20"/>
                <w:color w:val="auto"/>
              </w:rPr>
            </w:pPr>
            <w:r>
              <w:rPr>
                <w:rFonts w:ascii="Arial" w:cs="Arial" w:eastAsia="Arial" w:hAnsi="Arial"/>
                <w:sz w:val="16"/>
                <w:szCs w:val="16"/>
                <w:i w:val="1"/>
                <w:iCs w:val="1"/>
                <w:color w:val="auto"/>
                <w:w w:val="96"/>
              </w:rPr>
              <w:t xml:space="preserve">GasLog Chelsea </w:t>
            </w:r>
            <w:r>
              <w:rPr>
                <w:rFonts w:ascii="Arial" w:cs="Arial" w:eastAsia="Arial" w:hAnsi="Arial"/>
                <w:sz w:val="23"/>
                <w:szCs w:val="23"/>
                <w:i w:val="1"/>
                <w:iCs w:val="1"/>
                <w:color w:val="auto"/>
                <w:w w:val="96"/>
                <w:vertAlign w:val="superscript"/>
              </w:rPr>
              <w:t>(3)</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153,600</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Spot Market</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2</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7"/>
              </w:rPr>
              <w:t>GasLog Savannah</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155,000</w:t>
            </w:r>
          </w:p>
        </w:tc>
        <w:tc>
          <w:tcPr>
            <w:tcW w:w="2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ENI</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TFDE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99"/>
              </w:rPr>
              <w:t>3</w:t>
            </w:r>
          </w:p>
        </w:tc>
        <w:tc>
          <w:tcPr>
            <w:tcW w:w="2040" w:type="dxa"/>
            <w:vAlign w:val="bottom"/>
            <w:gridSpan w:val="2"/>
            <w:shd w:val="clear" w:color="auto" w:fill="CCEEFF"/>
          </w:tcPr>
          <w:p>
            <w:pPr>
              <w:jc w:val="center"/>
              <w:ind w:right="140"/>
              <w:spacing w:after="0" w:line="213" w:lineRule="exact"/>
              <w:rPr>
                <w:sz w:val="20"/>
                <w:szCs w:val="20"/>
                <w:color w:val="auto"/>
              </w:rPr>
            </w:pPr>
            <w:r>
              <w:rPr>
                <w:rFonts w:ascii="Arial" w:cs="Arial" w:eastAsia="Arial" w:hAnsi="Arial"/>
                <w:sz w:val="17"/>
                <w:szCs w:val="17"/>
                <w:i w:val="1"/>
                <w:iCs w:val="1"/>
                <w:color w:val="auto"/>
                <w:w w:val="92"/>
              </w:rPr>
              <w:t xml:space="preserve">GasLog Singapore </w:t>
            </w:r>
            <w:r>
              <w:rPr>
                <w:rFonts w:ascii="Arial" w:cs="Arial" w:eastAsia="Arial" w:hAnsi="Arial"/>
                <w:sz w:val="24"/>
                <w:szCs w:val="24"/>
                <w:i w:val="1"/>
                <w:iCs w:val="1"/>
                <w:color w:val="auto"/>
                <w:w w:val="92"/>
                <w:vertAlign w:val="superscript"/>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155,000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RWE</w:t>
            </w: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TFDE</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April 2022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4</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7"/>
              </w:rPr>
              <w:t>Methane Lydon Volney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145,000</w:t>
            </w:r>
          </w:p>
        </w:tc>
        <w:tc>
          <w:tcPr>
            <w:tcW w:w="2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Naturgy</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Steam</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June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99"/>
              </w:rPr>
              <w:t>5</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86"/>
              </w:rPr>
              <w:t>GasLog Skagen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155,000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Chevron</w:t>
            </w: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TFDE</w:t>
            </w:r>
          </w:p>
        </w:tc>
        <w:tc>
          <w:tcPr>
            <w:tcW w:w="14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September 2022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6</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9"/>
              </w:rPr>
              <w:t>GasLog Saratoga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155,000</w:t>
            </w:r>
          </w:p>
        </w:tc>
        <w:tc>
          <w:tcPr>
            <w:tcW w:w="2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Mitsui</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TFDE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September 2024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99"/>
              </w:rPr>
              <w:t>7</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88"/>
              </w:rPr>
              <w:t>GasLog Genoa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174,000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March 2027</w:t>
            </w:r>
          </w:p>
        </w:tc>
        <w:tc>
          <w:tcPr>
            <w:tcW w:w="104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1"/>
              </w:rPr>
              <w:t>2030-2033</w:t>
            </w:r>
            <w:r>
              <w:rPr>
                <w:rFonts w:ascii="Arial" w:cs="Arial" w:eastAsia="Arial" w:hAnsi="Arial"/>
                <w:sz w:val="24"/>
                <w:szCs w:val="24"/>
                <w:color w:val="auto"/>
                <w:w w:val="91"/>
                <w:vertAlign w:val="superscript"/>
              </w:rPr>
              <w:t>(5)</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8</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89"/>
              </w:rPr>
              <w:t>GasLog Windsor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180,000</w:t>
            </w:r>
          </w:p>
        </w:tc>
        <w:tc>
          <w:tcPr>
            <w:tcW w:w="2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Centrica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2027</w:t>
            </w:r>
          </w:p>
        </w:tc>
        <w:tc>
          <w:tcPr>
            <w:tcW w:w="1040" w:type="dxa"/>
            <w:vAlign w:val="bottom"/>
          </w:tcPr>
          <w:p>
            <w:pPr>
              <w:jc w:val="center"/>
              <w:spacing w:after="0" w:line="213" w:lineRule="exact"/>
              <w:rPr>
                <w:sz w:val="20"/>
                <w:szCs w:val="20"/>
                <w:color w:val="auto"/>
              </w:rPr>
            </w:pPr>
            <w:r>
              <w:rPr>
                <w:rFonts w:ascii="Arial" w:cs="Arial" w:eastAsia="Arial" w:hAnsi="Arial"/>
                <w:sz w:val="17"/>
                <w:szCs w:val="17"/>
                <w:color w:val="auto"/>
                <w:w w:val="92"/>
              </w:rPr>
              <w:t xml:space="preserve">2029-2033 </w:t>
            </w:r>
            <w:r>
              <w:rPr>
                <w:rFonts w:ascii="Arial" w:cs="Arial" w:eastAsia="Arial" w:hAnsi="Arial"/>
                <w:sz w:val="24"/>
                <w:szCs w:val="24"/>
                <w:color w:val="auto"/>
                <w:w w:val="92"/>
                <w:vertAlign w:val="superscript"/>
              </w:rPr>
              <w:t>(6)</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99"/>
              </w:rPr>
              <w:t>9</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88"/>
              </w:rPr>
              <w:t>GasLog Westminster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Centrica</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July 2027</w:t>
            </w:r>
          </w:p>
        </w:tc>
        <w:tc>
          <w:tcPr>
            <w:tcW w:w="104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2029-2033 </w:t>
            </w:r>
            <w:r>
              <w:rPr>
                <w:rFonts w:ascii="Arial" w:cs="Arial" w:eastAsia="Arial" w:hAnsi="Arial"/>
                <w:sz w:val="24"/>
                <w:szCs w:val="24"/>
                <w:color w:val="auto"/>
                <w:w w:val="92"/>
                <w:vertAlign w:val="superscript"/>
              </w:rPr>
              <w:t>(6)</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10</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89"/>
              </w:rPr>
              <w:t>GasLog Georgetown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174,000</w:t>
            </w: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Cheniere</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November 2027</w:t>
            </w:r>
          </w:p>
        </w:tc>
        <w:tc>
          <w:tcPr>
            <w:tcW w:w="1040" w:type="dxa"/>
            <w:vAlign w:val="bottom"/>
          </w:tcPr>
          <w:p>
            <w:pPr>
              <w:jc w:val="center"/>
              <w:spacing w:after="0" w:line="213" w:lineRule="exact"/>
              <w:rPr>
                <w:sz w:val="20"/>
                <w:szCs w:val="20"/>
                <w:color w:val="auto"/>
              </w:rPr>
            </w:pPr>
            <w:r>
              <w:rPr>
                <w:rFonts w:ascii="Arial" w:cs="Arial" w:eastAsia="Arial" w:hAnsi="Arial"/>
                <w:sz w:val="17"/>
                <w:szCs w:val="17"/>
                <w:color w:val="auto"/>
                <w:w w:val="92"/>
              </w:rPr>
              <w:t xml:space="preserve">2030-2034 </w:t>
            </w:r>
            <w:r>
              <w:rPr>
                <w:rFonts w:ascii="Arial" w:cs="Arial" w:eastAsia="Arial" w:hAnsi="Arial"/>
                <w:sz w:val="24"/>
                <w:szCs w:val="24"/>
                <w:color w:val="auto"/>
                <w:w w:val="92"/>
                <w:vertAlign w:val="superscript"/>
              </w:rPr>
              <w:t>(7)</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31"/>
              <w:spacing w:after="0"/>
              <w:rPr>
                <w:sz w:val="20"/>
                <w:szCs w:val="20"/>
                <w:color w:val="auto"/>
              </w:rPr>
            </w:pPr>
            <w:r>
              <w:rPr>
                <w:rFonts w:ascii="Arial" w:cs="Arial" w:eastAsia="Arial" w:hAnsi="Arial"/>
                <w:sz w:val="18"/>
                <w:szCs w:val="18"/>
                <w:b w:val="1"/>
                <w:bCs w:val="1"/>
                <w:color w:val="auto"/>
                <w:w w:val="79"/>
              </w:rPr>
              <w:t>11</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88"/>
              </w:rPr>
              <w:t>GasLog Galveston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174,000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Cheniere</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January 2028</w:t>
            </w:r>
          </w:p>
        </w:tc>
        <w:tc>
          <w:tcPr>
            <w:tcW w:w="104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2031-2035 </w:t>
            </w:r>
            <w:r>
              <w:rPr>
                <w:rFonts w:ascii="Arial" w:cs="Arial" w:eastAsia="Arial" w:hAnsi="Arial"/>
                <w:sz w:val="24"/>
                <w:szCs w:val="24"/>
                <w:color w:val="auto"/>
                <w:w w:val="92"/>
                <w:vertAlign w:val="superscript"/>
              </w:rPr>
              <w:t>(7)</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12</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0"/>
              </w:rPr>
              <w:t>GasLog Wellington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180,000</w:t>
            </w: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Cheniere</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June 2028</w:t>
            </w:r>
          </w:p>
        </w:tc>
        <w:tc>
          <w:tcPr>
            <w:tcW w:w="1040" w:type="dxa"/>
            <w:vAlign w:val="bottom"/>
          </w:tcPr>
          <w:p>
            <w:pPr>
              <w:jc w:val="center"/>
              <w:spacing w:after="0" w:line="213" w:lineRule="exact"/>
              <w:rPr>
                <w:sz w:val="20"/>
                <w:szCs w:val="20"/>
                <w:color w:val="auto"/>
              </w:rPr>
            </w:pPr>
            <w:r>
              <w:rPr>
                <w:rFonts w:ascii="Arial" w:cs="Arial" w:eastAsia="Arial" w:hAnsi="Arial"/>
                <w:sz w:val="17"/>
                <w:szCs w:val="17"/>
                <w:color w:val="auto"/>
                <w:w w:val="92"/>
              </w:rPr>
              <w:t xml:space="preserve">2031-2035 </w:t>
            </w:r>
            <w:r>
              <w:rPr>
                <w:rFonts w:ascii="Arial" w:cs="Arial" w:eastAsia="Arial" w:hAnsi="Arial"/>
                <w:sz w:val="24"/>
                <w:szCs w:val="24"/>
                <w:color w:val="auto"/>
                <w:w w:val="92"/>
                <w:vertAlign w:val="superscript"/>
              </w:rPr>
              <w:t>(7)</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89"/>
              </w:rPr>
              <w:t>13</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88"/>
              </w:rPr>
              <w:t>GasLog Winchester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Cheniere</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August 2028</w:t>
            </w:r>
          </w:p>
        </w:tc>
        <w:tc>
          <w:tcPr>
            <w:tcW w:w="104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2031-2035 </w:t>
            </w:r>
            <w:r>
              <w:rPr>
                <w:rFonts w:ascii="Arial" w:cs="Arial" w:eastAsia="Arial" w:hAnsi="Arial"/>
                <w:sz w:val="24"/>
                <w:szCs w:val="24"/>
                <w:color w:val="auto"/>
                <w:w w:val="92"/>
                <w:vertAlign w:val="superscript"/>
              </w:rPr>
              <w:t>(7)</w:t>
            </w:r>
          </w:p>
        </w:tc>
        <w:tc>
          <w:tcPr>
            <w:tcW w:w="0" w:type="dxa"/>
            <w:vAlign w:val="bottom"/>
          </w:tcPr>
          <w:p>
            <w:pPr>
              <w:spacing w:after="0"/>
              <w:rPr>
                <w:sz w:val="1"/>
                <w:szCs w:val="1"/>
                <w:color w:val="auto"/>
              </w:rPr>
            </w:pPr>
          </w:p>
        </w:tc>
      </w:tr>
      <w:tr>
        <w:trPr>
          <w:trHeight w:val="213"/>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14</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9"/>
              </w:rPr>
              <w:t>GasLog Gladstone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174,000</w:t>
            </w:r>
          </w:p>
        </w:tc>
        <w:tc>
          <w:tcPr>
            <w:tcW w:w="2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January 2029</w:t>
            </w:r>
          </w:p>
        </w:tc>
        <w:tc>
          <w:tcPr>
            <w:tcW w:w="1040" w:type="dxa"/>
            <w:vAlign w:val="bottom"/>
          </w:tcPr>
          <w:p>
            <w:pPr>
              <w:jc w:val="center"/>
              <w:spacing w:after="0" w:line="213" w:lineRule="exact"/>
              <w:rPr>
                <w:sz w:val="20"/>
                <w:szCs w:val="20"/>
                <w:color w:val="auto"/>
              </w:rPr>
            </w:pPr>
            <w:r>
              <w:rPr>
                <w:rFonts w:ascii="Arial" w:cs="Arial" w:eastAsia="Arial" w:hAnsi="Arial"/>
                <w:sz w:val="17"/>
                <w:szCs w:val="17"/>
                <w:color w:val="auto"/>
                <w:w w:val="91"/>
              </w:rPr>
              <w:t>2032-2035</w:t>
            </w:r>
            <w:r>
              <w:rPr>
                <w:rFonts w:ascii="Arial" w:cs="Arial" w:eastAsia="Arial" w:hAnsi="Arial"/>
                <w:sz w:val="24"/>
                <w:szCs w:val="24"/>
                <w:color w:val="auto"/>
                <w:w w:val="91"/>
                <w:vertAlign w:val="superscript"/>
              </w:rPr>
              <w:t>(5)</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89"/>
              </w:rPr>
              <w:t>15</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i w:val="1"/>
                <w:iCs w:val="1"/>
                <w:color w:val="auto"/>
                <w:w w:val="88"/>
              </w:rPr>
              <w:t>GasLog Warsaw</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1"/>
              </w:rPr>
              <w:t>Endesa</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May 2029</w:t>
            </w:r>
          </w:p>
        </w:tc>
        <w:tc>
          <w:tcPr>
            <w:tcW w:w="104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2035-2041 </w:t>
            </w:r>
            <w:r>
              <w:rPr>
                <w:rFonts w:ascii="Arial" w:cs="Arial" w:eastAsia="Arial" w:hAnsi="Arial"/>
                <w:sz w:val="24"/>
                <w:szCs w:val="24"/>
                <w:color w:val="auto"/>
                <w:w w:val="92"/>
                <w:vertAlign w:val="superscript"/>
              </w:rPr>
              <w:t>(8)</w:t>
            </w:r>
          </w:p>
        </w:tc>
        <w:tc>
          <w:tcPr>
            <w:tcW w:w="0" w:type="dxa"/>
            <w:vAlign w:val="bottom"/>
          </w:tcPr>
          <w:p>
            <w:pPr>
              <w:spacing w:after="0"/>
              <w:rPr>
                <w:sz w:val="1"/>
                <w:szCs w:val="1"/>
                <w:color w:val="auto"/>
              </w:rPr>
            </w:pPr>
          </w:p>
        </w:tc>
      </w:tr>
      <w:tr>
        <w:trPr>
          <w:trHeight w:val="349"/>
        </w:trPr>
        <w:tc>
          <w:tcPr>
            <w:tcW w:w="32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16</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6"/>
              </w:rPr>
              <w:t>GasLog Wales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180,000</w:t>
            </w:r>
          </w:p>
        </w:tc>
        <w:tc>
          <w:tcPr>
            <w:tcW w:w="20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Jera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X-DF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March 2032</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 xml:space="preserve">2035-2038 </w:t>
            </w:r>
            <w:r>
              <w:rPr>
                <w:rFonts w:ascii="Arial" w:cs="Arial" w:eastAsia="Arial" w:hAnsi="Arial"/>
                <w:sz w:val="26"/>
                <w:szCs w:val="26"/>
                <w:color w:val="auto"/>
                <w:w w:val="87"/>
                <w:vertAlign w:val="superscript"/>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GasLog Partners’ fleet and their associated time charters as of March 7,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Charterer (for</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89"/>
              </w:rPr>
              <w:t>contracts of</w:t>
            </w: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10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Vessel Name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cbm</w:t>
            </w: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w w:val="90"/>
              </w:rPr>
              <w:t>more than six</w:t>
            </w:r>
          </w:p>
        </w:tc>
        <w:tc>
          <w:tcPr>
            <w:tcW w:w="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Propulsion</w:t>
            </w:r>
          </w:p>
        </w:tc>
        <w:tc>
          <w:tcPr>
            <w:tcW w:w="13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Built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months)</w:t>
            </w:r>
          </w:p>
        </w:tc>
        <w:tc>
          <w:tcPr>
            <w:tcW w:w="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60" w:type="dxa"/>
            <w:vAlign w:val="bottom"/>
            <w:gridSpan w:val="2"/>
          </w:tcPr>
          <w:p>
            <w:pPr>
              <w:jc w:val="center"/>
              <w:ind w:right="180"/>
              <w:spacing w:after="0" w:line="174" w:lineRule="exact"/>
              <w:rPr>
                <w:sz w:val="20"/>
                <w:szCs w:val="20"/>
                <w:color w:val="auto"/>
              </w:rPr>
            </w:pPr>
            <w:r>
              <w:rPr>
                <w:rFonts w:ascii="Arial" w:cs="Arial" w:eastAsia="Arial" w:hAnsi="Arial"/>
                <w:sz w:val="14"/>
                <w:szCs w:val="14"/>
                <w:b w:val="1"/>
                <w:bCs w:val="1"/>
                <w:color w:val="auto"/>
                <w:w w:val="91"/>
              </w:rPr>
              <w:t>Expiration</w:t>
            </w:r>
            <w:r>
              <w:rPr>
                <w:rFonts w:ascii="Arial" w:cs="Arial" w:eastAsia="Arial" w:hAnsi="Arial"/>
                <w:sz w:val="20"/>
                <w:szCs w:val="20"/>
                <w:b w:val="1"/>
                <w:bCs w:val="1"/>
                <w:color w:val="auto"/>
                <w:w w:val="91"/>
                <w:vertAlign w:val="superscript"/>
              </w:rPr>
              <w:t>(1)</w:t>
            </w:r>
          </w:p>
        </w:tc>
        <w:tc>
          <w:tcPr>
            <w:tcW w:w="1080" w:type="dxa"/>
            <w:vAlign w:val="bottom"/>
          </w:tcPr>
          <w:p>
            <w:pPr>
              <w:jc w:val="center"/>
              <w:spacing w:after="0" w:line="174" w:lineRule="exact"/>
              <w:rPr>
                <w:sz w:val="20"/>
                <w:szCs w:val="20"/>
                <w:color w:val="auto"/>
              </w:rPr>
            </w:pPr>
            <w:r>
              <w:rPr>
                <w:rFonts w:ascii="Arial" w:cs="Arial" w:eastAsia="Arial" w:hAnsi="Arial"/>
                <w:sz w:val="14"/>
                <w:szCs w:val="14"/>
                <w:b w:val="1"/>
                <w:bCs w:val="1"/>
                <w:color w:val="auto"/>
                <w:w w:val="86"/>
              </w:rPr>
              <w:t>Period</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 w:type="dxa"/>
            <w:vAlign w:val="bottom"/>
            <w:tcBorders>
              <w:top w:val="single" w:sz="8" w:color="auto"/>
            </w:tcBorders>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1</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Solaris</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4"/>
            <w:shd w:val="clear" w:color="auto" w:fill="CCEEFF"/>
          </w:tcPr>
          <w:p>
            <w:pPr>
              <w:ind w:left="340"/>
              <w:spacing w:after="0"/>
              <w:rPr>
                <w:sz w:val="20"/>
                <w:szCs w:val="20"/>
                <w:color w:val="auto"/>
              </w:rPr>
            </w:pPr>
            <w:r>
              <w:rPr>
                <w:rFonts w:ascii="Arial" w:cs="Arial" w:eastAsia="Arial" w:hAnsi="Arial"/>
                <w:sz w:val="18"/>
                <w:szCs w:val="18"/>
                <w:color w:val="auto"/>
              </w:rPr>
              <w:t>2014</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155,000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ind w:right="76"/>
              <w:spacing w:after="0"/>
              <w:rPr>
                <w:sz w:val="20"/>
                <w:szCs w:val="20"/>
                <w:color w:val="auto"/>
              </w:rPr>
            </w:pPr>
            <w:r>
              <w:rPr>
                <w:rFonts w:ascii="Arial" w:cs="Arial" w:eastAsia="Arial" w:hAnsi="Arial"/>
                <w:sz w:val="18"/>
                <w:szCs w:val="18"/>
                <w:color w:val="auto"/>
                <w:w w:val="89"/>
              </w:rPr>
              <w:t>Shell</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2</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0"/>
              </w:rPr>
              <w:t>Methane Heather Sally</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Cheniere</w:t>
            </w: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Steam</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June 2022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3</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85"/>
              </w:rPr>
              <w:t>GasLog Sydney</w:t>
            </w:r>
          </w:p>
        </w:tc>
        <w:tc>
          <w:tcPr>
            <w:tcW w:w="1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TotalEnergies</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June 2022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4</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88"/>
              </w:rPr>
              <w:t>GasLog Seattle</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TotalEnergies</w:t>
            </w: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June 2022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0"/>
              </w:rPr>
              <w:t>Methane Shirley Elisabeth</w:t>
            </w:r>
          </w:p>
        </w:tc>
        <w:tc>
          <w:tcPr>
            <w:tcW w:w="1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3"/>
              </w:rPr>
              <w:t>JOVO</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Steam</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August 2022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6</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0"/>
              </w:rPr>
              <w:t>Methane Rita Andrea</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Gunvor</w:t>
            </w: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Steam</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September 2022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7</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89"/>
              </w:rPr>
              <w:t>GasLog Santiago</w:t>
            </w:r>
          </w:p>
        </w:tc>
        <w:tc>
          <w:tcPr>
            <w:tcW w:w="1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1"/>
              </w:rPr>
              <w:t>Trafigura</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December 2022</w:t>
            </w:r>
          </w:p>
        </w:tc>
        <w:tc>
          <w:tcPr>
            <w:tcW w:w="108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89"/>
              </w:rPr>
              <w:t xml:space="preserve">2023–2028 </w:t>
            </w:r>
            <w:r>
              <w:rPr>
                <w:rFonts w:ascii="Arial" w:cs="Arial" w:eastAsia="Arial" w:hAnsi="Arial"/>
                <w:sz w:val="24"/>
                <w:szCs w:val="24"/>
                <w:color w:val="auto"/>
                <w:w w:val="89"/>
                <w:vertAlign w:val="superscript"/>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8</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89"/>
              </w:rPr>
              <w:t>Methane Jane Elizabeth</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Cheniere</w:t>
            </w: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Steam</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2023</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2"/>
              </w:rPr>
              <w:t xml:space="preserve">2024-2025 </w:t>
            </w:r>
            <w:r>
              <w:rPr>
                <w:rFonts w:ascii="Arial" w:cs="Arial" w:eastAsia="Arial" w:hAnsi="Arial"/>
                <w:sz w:val="24"/>
                <w:szCs w:val="24"/>
                <w:color w:val="auto"/>
                <w:w w:val="92"/>
                <w:vertAlign w:val="superscript"/>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9</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86"/>
              </w:rPr>
              <w:t>GasLog Geneva</w:t>
            </w:r>
          </w:p>
        </w:tc>
        <w:tc>
          <w:tcPr>
            <w:tcW w:w="1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Shell</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September 2023</w:t>
            </w:r>
          </w:p>
        </w:tc>
        <w:tc>
          <w:tcPr>
            <w:tcW w:w="108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2028-2031 </w:t>
            </w:r>
            <w:r>
              <w:rPr>
                <w:rFonts w:ascii="Arial" w:cs="Arial" w:eastAsia="Arial" w:hAnsi="Arial"/>
                <w:sz w:val="24"/>
                <w:szCs w:val="24"/>
                <w:color w:val="auto"/>
                <w:w w:val="92"/>
                <w:vertAlign w:val="superscript"/>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10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2"/>
              </w:rPr>
              <w:t>Methane Alison Victoria</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CNTIC VPower</w:t>
            </w: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Steam</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October 2023</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89"/>
              </w:rPr>
              <w:t xml:space="preserve">2024-2025 </w:t>
            </w:r>
            <w:r>
              <w:rPr>
                <w:rFonts w:ascii="Arial" w:cs="Arial" w:eastAsia="Arial" w:hAnsi="Arial"/>
                <w:sz w:val="24"/>
                <w:szCs w:val="24"/>
                <w:color w:val="auto"/>
                <w:w w:val="89"/>
                <w:vertAlign w:val="superscript"/>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89"/>
              </w:rPr>
              <w:t>11</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4"/>
              </w:rPr>
              <w:t>GasLog Gibraltar</w:t>
            </w:r>
          </w:p>
        </w:tc>
        <w:tc>
          <w:tcPr>
            <w:tcW w:w="1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Shell</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October 2023</w:t>
            </w:r>
          </w:p>
        </w:tc>
        <w:tc>
          <w:tcPr>
            <w:tcW w:w="108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2028-2031 </w:t>
            </w:r>
            <w:r>
              <w:rPr>
                <w:rFonts w:ascii="Arial" w:cs="Arial" w:eastAsia="Arial" w:hAnsi="Arial"/>
                <w:sz w:val="24"/>
                <w:szCs w:val="24"/>
                <w:color w:val="auto"/>
                <w:w w:val="92"/>
                <w:vertAlign w:val="superscript"/>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12</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87"/>
              </w:rPr>
              <w:t>Methane Becki Anne</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Shell</w:t>
            </w:r>
          </w:p>
        </w:tc>
        <w:tc>
          <w:tcPr>
            <w:tcW w:w="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2024</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2"/>
              </w:rPr>
              <w:t xml:space="preserve">2027-2029 </w:t>
            </w:r>
            <w:r>
              <w:rPr>
                <w:rFonts w:ascii="Arial" w:cs="Arial" w:eastAsia="Arial" w:hAnsi="Arial"/>
                <w:sz w:val="24"/>
                <w:szCs w:val="24"/>
                <w:color w:val="auto"/>
                <w:w w:val="92"/>
                <w:vertAlign w:val="superscript"/>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89"/>
              </w:rPr>
              <w:t>13</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86"/>
              </w:rPr>
              <w:t>GasLog Greece</w:t>
            </w:r>
          </w:p>
        </w:tc>
        <w:tc>
          <w:tcPr>
            <w:tcW w:w="1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Shell</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March 2026</w:t>
            </w:r>
          </w:p>
        </w:tc>
        <w:tc>
          <w:tcPr>
            <w:tcW w:w="108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0"/>
              </w:rPr>
              <w:t xml:space="preserve">2031 </w:t>
            </w:r>
            <w:r>
              <w:rPr>
                <w:rFonts w:ascii="Arial" w:cs="Arial" w:eastAsia="Arial" w:hAnsi="Arial"/>
                <w:sz w:val="24"/>
                <w:szCs w:val="24"/>
                <w:color w:val="auto"/>
                <w:w w:val="90"/>
                <w:vertAlign w:val="superscript"/>
              </w:rPr>
              <w:t>(5)</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8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14</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89"/>
              </w:rPr>
              <w:t>GasLog Glasgow</w:t>
            </w:r>
          </w:p>
        </w:tc>
        <w:tc>
          <w:tcPr>
            <w:tcW w:w="1040" w:type="dxa"/>
            <w:vAlign w:val="bottom"/>
            <w:gridSpan w:val="4"/>
          </w:tcPr>
          <w:p>
            <w:pPr>
              <w:ind w:left="3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c>
          <w:tcPr>
            <w:tcW w:w="1100" w:type="dxa"/>
            <w:vAlign w:val="bottom"/>
            <w:gridSpan w:val="3"/>
          </w:tcPr>
          <w:p>
            <w:pPr>
              <w:jc w:val="right"/>
              <w:ind w:right="203"/>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Shell</w:t>
            </w:r>
          </w:p>
        </w:tc>
        <w:tc>
          <w:tcPr>
            <w:tcW w:w="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June 2026</w:t>
            </w:r>
          </w:p>
        </w:tc>
        <w:tc>
          <w:tcPr>
            <w:tcW w:w="1080" w:type="dxa"/>
            <w:vAlign w:val="bottom"/>
          </w:tcPr>
          <w:p>
            <w:pPr>
              <w:jc w:val="center"/>
              <w:spacing w:after="0"/>
              <w:rPr>
                <w:sz w:val="20"/>
                <w:szCs w:val="20"/>
                <w:color w:val="auto"/>
              </w:rPr>
            </w:pPr>
            <w:r>
              <w:rPr>
                <w:rFonts w:ascii="Arial" w:cs="Arial" w:eastAsia="Arial" w:hAnsi="Arial"/>
                <w:sz w:val="18"/>
                <w:szCs w:val="18"/>
                <w:color w:val="auto"/>
                <w:w w:val="81"/>
              </w:rPr>
              <w:t>2031</w:t>
            </w:r>
            <w:r>
              <w:rPr>
                <w:rFonts w:ascii="Arial" w:cs="Arial" w:eastAsia="Arial" w:hAnsi="Arial"/>
                <w:sz w:val="26"/>
                <w:szCs w:val="26"/>
                <w:color w:val="auto"/>
                <w:w w:val="81"/>
                <w:vertAlign w:val="superscript"/>
              </w:rPr>
              <w:t>(5)</w:t>
            </w:r>
          </w:p>
        </w:tc>
        <w:tc>
          <w:tcPr>
            <w:tcW w:w="0" w:type="dxa"/>
            <w:vAlign w:val="bottom"/>
          </w:tcPr>
          <w:p>
            <w:pPr>
              <w:spacing w:after="0"/>
              <w:rPr>
                <w:sz w:val="1"/>
                <w:szCs w:val="1"/>
                <w:color w:val="auto"/>
              </w:rPr>
            </w:pPr>
          </w:p>
        </w:tc>
      </w:tr>
      <w:tr>
        <w:trPr>
          <w:trHeight w:val="290"/>
        </w:trPr>
        <w:tc>
          <w:tcPr>
            <w:tcW w:w="24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Bareboat Vessels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Charterer (for</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Vessel Name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cbm</w:t>
            </w:r>
          </w:p>
        </w:tc>
        <w:tc>
          <w:tcPr>
            <w:tcW w:w="140" w:type="dxa"/>
            <w:vAlign w:val="bottom"/>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contracts of more</w:t>
            </w:r>
          </w:p>
        </w:tc>
        <w:tc>
          <w:tcPr>
            <w:tcW w:w="4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Propulsion</w:t>
            </w:r>
          </w:p>
        </w:tc>
        <w:tc>
          <w:tcPr>
            <w:tcW w:w="13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Built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than six months)</w:t>
            </w:r>
          </w:p>
        </w:tc>
        <w:tc>
          <w:tcPr>
            <w:tcW w:w="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60" w:type="dxa"/>
            <w:vAlign w:val="bottom"/>
            <w:gridSpan w:val="2"/>
          </w:tcPr>
          <w:p>
            <w:pPr>
              <w:jc w:val="center"/>
              <w:ind w:right="180"/>
              <w:spacing w:after="0" w:line="174" w:lineRule="exact"/>
              <w:rPr>
                <w:sz w:val="20"/>
                <w:szCs w:val="20"/>
                <w:color w:val="auto"/>
              </w:rPr>
            </w:pPr>
            <w:r>
              <w:rPr>
                <w:rFonts w:ascii="Arial" w:cs="Arial" w:eastAsia="Arial" w:hAnsi="Arial"/>
                <w:sz w:val="14"/>
                <w:szCs w:val="14"/>
                <w:b w:val="1"/>
                <w:bCs w:val="1"/>
                <w:color w:val="auto"/>
                <w:w w:val="91"/>
              </w:rPr>
              <w:t>Expiration</w:t>
            </w:r>
            <w:r>
              <w:rPr>
                <w:rFonts w:ascii="Arial" w:cs="Arial" w:eastAsia="Arial" w:hAnsi="Arial"/>
                <w:sz w:val="20"/>
                <w:szCs w:val="20"/>
                <w:b w:val="1"/>
                <w:bCs w:val="1"/>
                <w:color w:val="auto"/>
                <w:w w:val="91"/>
                <w:vertAlign w:val="superscript"/>
              </w:rPr>
              <w:t>(1)</w:t>
            </w:r>
          </w:p>
        </w:tc>
        <w:tc>
          <w:tcPr>
            <w:tcW w:w="1080" w:type="dxa"/>
            <w:vAlign w:val="bottom"/>
          </w:tcPr>
          <w:p>
            <w:pPr>
              <w:jc w:val="center"/>
              <w:spacing w:after="0" w:line="174" w:lineRule="exact"/>
              <w:rPr>
                <w:sz w:val="20"/>
                <w:szCs w:val="20"/>
                <w:color w:val="auto"/>
              </w:rPr>
            </w:pPr>
            <w:r>
              <w:rPr>
                <w:rFonts w:ascii="Arial" w:cs="Arial" w:eastAsia="Arial" w:hAnsi="Arial"/>
                <w:sz w:val="14"/>
                <w:szCs w:val="14"/>
                <w:b w:val="1"/>
                <w:bCs w:val="1"/>
                <w:color w:val="auto"/>
                <w:w w:val="86"/>
              </w:rPr>
              <w:t>Period</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1</w:t>
            </w:r>
          </w:p>
        </w:tc>
        <w:tc>
          <w:tcPr>
            <w:tcW w:w="2160" w:type="dxa"/>
            <w:vAlign w:val="bottom"/>
            <w:tcBorders>
              <w:top w:val="single" w:sz="8" w:color="auto"/>
            </w:tcBorders>
            <w:gridSpan w:val="2"/>
            <w:shd w:val="clear" w:color="auto" w:fill="CCEEFF"/>
          </w:tcPr>
          <w:p>
            <w:pPr>
              <w:jc w:val="center"/>
              <w:spacing w:after="0" w:line="207" w:lineRule="exact"/>
              <w:rPr>
                <w:sz w:val="20"/>
                <w:szCs w:val="20"/>
                <w:color w:val="auto"/>
              </w:rPr>
            </w:pPr>
            <w:r>
              <w:rPr>
                <w:rFonts w:ascii="Arial" w:cs="Arial" w:eastAsia="Arial" w:hAnsi="Arial"/>
                <w:sz w:val="16"/>
                <w:szCs w:val="16"/>
                <w:i w:val="1"/>
                <w:iCs w:val="1"/>
                <w:color w:val="auto"/>
                <w:w w:val="96"/>
              </w:rPr>
              <w:t xml:space="preserve">GasLog Shanghai </w:t>
            </w:r>
            <w:r>
              <w:rPr>
                <w:rFonts w:ascii="Arial" w:cs="Arial" w:eastAsia="Arial" w:hAnsi="Arial"/>
                <w:sz w:val="23"/>
                <w:szCs w:val="23"/>
                <w:i w:val="1"/>
                <w:iCs w:val="1"/>
                <w:color w:val="auto"/>
                <w:w w:val="96"/>
                <w:vertAlign w:val="superscript"/>
              </w:rPr>
              <w:t>(12)</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155,000</w:t>
            </w: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Gunvor</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2022</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2</w:t>
            </w:r>
          </w:p>
        </w:tc>
        <w:tc>
          <w:tcPr>
            <w:tcW w:w="2160" w:type="dxa"/>
            <w:vAlign w:val="bottom"/>
            <w:gridSpan w:val="2"/>
          </w:tcPr>
          <w:p>
            <w:pPr>
              <w:jc w:val="center"/>
              <w:spacing w:after="0" w:line="213" w:lineRule="exact"/>
              <w:rPr>
                <w:sz w:val="20"/>
                <w:szCs w:val="20"/>
                <w:color w:val="auto"/>
              </w:rPr>
            </w:pPr>
            <w:r>
              <w:rPr>
                <w:rFonts w:ascii="Arial" w:cs="Arial" w:eastAsia="Arial" w:hAnsi="Arial"/>
                <w:sz w:val="17"/>
                <w:szCs w:val="17"/>
                <w:i w:val="1"/>
                <w:iCs w:val="1"/>
                <w:color w:val="auto"/>
                <w:w w:val="89"/>
              </w:rPr>
              <w:t xml:space="preserve">GasLog Salem </w:t>
            </w:r>
            <w:r>
              <w:rPr>
                <w:rFonts w:ascii="Arial" w:cs="Arial" w:eastAsia="Arial" w:hAnsi="Arial"/>
                <w:sz w:val="24"/>
                <w:szCs w:val="24"/>
                <w:i w:val="1"/>
                <w:iCs w:val="1"/>
                <w:color w:val="auto"/>
                <w:w w:val="89"/>
                <w:vertAlign w:val="superscript"/>
              </w:rPr>
              <w:t>(12)</w:t>
            </w:r>
          </w:p>
        </w:tc>
        <w:tc>
          <w:tcPr>
            <w:tcW w:w="1040" w:type="dxa"/>
            <w:vAlign w:val="bottom"/>
            <w:gridSpan w:val="4"/>
          </w:tcPr>
          <w:p>
            <w:pPr>
              <w:ind w:left="50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Gunvor</w:t>
            </w:r>
          </w:p>
        </w:tc>
        <w:tc>
          <w:tcPr>
            <w:tcW w:w="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TFDE</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2023</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3</w:t>
            </w:r>
          </w:p>
        </w:tc>
        <w:tc>
          <w:tcPr>
            <w:tcW w:w="2160" w:type="dxa"/>
            <w:vAlign w:val="bottom"/>
            <w:gridSpan w:val="2"/>
            <w:shd w:val="clear" w:color="auto" w:fill="CCEEFF"/>
          </w:tcPr>
          <w:p>
            <w:pPr>
              <w:jc w:val="center"/>
              <w:spacing w:after="0" w:line="213" w:lineRule="exact"/>
              <w:rPr>
                <w:sz w:val="20"/>
                <w:szCs w:val="20"/>
                <w:color w:val="auto"/>
              </w:rPr>
            </w:pPr>
            <w:r>
              <w:rPr>
                <w:rFonts w:ascii="Arial" w:cs="Arial" w:eastAsia="Arial" w:hAnsi="Arial"/>
                <w:sz w:val="17"/>
                <w:szCs w:val="17"/>
                <w:i w:val="1"/>
                <w:iCs w:val="1"/>
                <w:color w:val="auto"/>
                <w:w w:val="93"/>
              </w:rPr>
              <w:t xml:space="preserve">GasLog Hong Kong </w:t>
            </w:r>
            <w:r>
              <w:rPr>
                <w:rFonts w:ascii="Arial" w:cs="Arial" w:eastAsia="Arial" w:hAnsi="Arial"/>
                <w:sz w:val="24"/>
                <w:szCs w:val="24"/>
                <w:i w:val="1"/>
                <w:iCs w:val="1"/>
                <w:color w:val="auto"/>
                <w:w w:val="93"/>
                <w:vertAlign w:val="superscript"/>
              </w:rPr>
              <w:t>(12)</w:t>
            </w:r>
          </w:p>
        </w:tc>
        <w:tc>
          <w:tcPr>
            <w:tcW w:w="10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TotalEnergies</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X-DF</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December 2025</w:t>
            </w:r>
          </w:p>
        </w:tc>
        <w:tc>
          <w:tcPr>
            <w:tcW w:w="108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87"/>
              </w:rPr>
              <w:t xml:space="preserve">2028 </w:t>
            </w:r>
            <w:r>
              <w:rPr>
                <w:rFonts w:ascii="Arial" w:cs="Arial" w:eastAsia="Arial" w:hAnsi="Arial"/>
                <w:sz w:val="24"/>
                <w:szCs w:val="24"/>
                <w:color w:val="auto"/>
                <w:w w:val="87"/>
                <w:vertAlign w:val="superscript"/>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4</w:t>
            </w:r>
          </w:p>
        </w:tc>
        <w:tc>
          <w:tcPr>
            <w:tcW w:w="2160" w:type="dxa"/>
            <w:vAlign w:val="bottom"/>
            <w:gridSpan w:val="2"/>
          </w:tcPr>
          <w:p>
            <w:pPr>
              <w:jc w:val="center"/>
              <w:spacing w:after="0" w:line="213" w:lineRule="exact"/>
              <w:rPr>
                <w:sz w:val="20"/>
                <w:szCs w:val="20"/>
                <w:color w:val="auto"/>
              </w:rPr>
            </w:pPr>
            <w:r>
              <w:rPr>
                <w:rFonts w:ascii="Arial" w:cs="Arial" w:eastAsia="Arial" w:hAnsi="Arial"/>
                <w:sz w:val="17"/>
                <w:szCs w:val="17"/>
                <w:i w:val="1"/>
                <w:iCs w:val="1"/>
                <w:color w:val="auto"/>
                <w:w w:val="92"/>
              </w:rPr>
              <w:t xml:space="preserve">Methane Julia Louise </w:t>
            </w:r>
            <w:r>
              <w:rPr>
                <w:rFonts w:ascii="Arial" w:cs="Arial" w:eastAsia="Arial" w:hAnsi="Arial"/>
                <w:sz w:val="24"/>
                <w:szCs w:val="24"/>
                <w:i w:val="1"/>
                <w:iCs w:val="1"/>
                <w:color w:val="auto"/>
                <w:w w:val="92"/>
                <w:vertAlign w:val="superscript"/>
              </w:rPr>
              <w:t>(12)</w:t>
            </w:r>
          </w:p>
        </w:tc>
        <w:tc>
          <w:tcPr>
            <w:tcW w:w="1040" w:type="dxa"/>
            <w:vAlign w:val="bottom"/>
            <w:gridSpan w:val="4"/>
          </w:tcPr>
          <w:p>
            <w:pPr>
              <w:ind w:left="50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170,000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Shell</w:t>
            </w:r>
          </w:p>
        </w:tc>
        <w:tc>
          <w:tcPr>
            <w:tcW w:w="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TFDE</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2026</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2"/>
              </w:rPr>
              <w:t xml:space="preserve">2029-2031 </w:t>
            </w:r>
            <w:r>
              <w:rPr>
                <w:rFonts w:ascii="Arial" w:cs="Arial" w:eastAsia="Arial" w:hAnsi="Arial"/>
                <w:sz w:val="24"/>
                <w:szCs w:val="24"/>
                <w:color w:val="auto"/>
                <w:w w:val="92"/>
                <w:vertAlign w:val="superscript"/>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5</w:t>
            </w:r>
          </w:p>
        </w:tc>
        <w:tc>
          <w:tcPr>
            <w:tcW w:w="2160" w:type="dxa"/>
            <w:vAlign w:val="bottom"/>
            <w:gridSpan w:val="2"/>
            <w:shd w:val="clear" w:color="auto" w:fill="CCEEFF"/>
          </w:tcPr>
          <w:p>
            <w:pPr>
              <w:jc w:val="center"/>
              <w:spacing w:after="0" w:line="213" w:lineRule="exact"/>
              <w:rPr>
                <w:sz w:val="20"/>
                <w:szCs w:val="20"/>
                <w:color w:val="auto"/>
              </w:rPr>
            </w:pPr>
            <w:r>
              <w:rPr>
                <w:rFonts w:ascii="Arial" w:cs="Arial" w:eastAsia="Arial" w:hAnsi="Arial"/>
                <w:sz w:val="17"/>
                <w:szCs w:val="17"/>
                <w:i w:val="1"/>
                <w:iCs w:val="1"/>
                <w:color w:val="auto"/>
                <w:w w:val="92"/>
              </w:rPr>
              <w:t xml:space="preserve">GasLog Houston </w:t>
            </w:r>
            <w:r>
              <w:rPr>
                <w:rFonts w:ascii="Arial" w:cs="Arial" w:eastAsia="Arial" w:hAnsi="Arial"/>
                <w:sz w:val="24"/>
                <w:szCs w:val="24"/>
                <w:i w:val="1"/>
                <w:iCs w:val="1"/>
                <w:color w:val="auto"/>
                <w:w w:val="92"/>
                <w:vertAlign w:val="superscript"/>
              </w:rPr>
              <w:t>(12)</w:t>
            </w:r>
          </w:p>
        </w:tc>
        <w:tc>
          <w:tcPr>
            <w:tcW w:w="10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Shell</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X-DF</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May 2028</w:t>
            </w:r>
          </w:p>
        </w:tc>
        <w:tc>
          <w:tcPr>
            <w:tcW w:w="1080" w:type="dxa"/>
            <w:vAlign w:val="bottom"/>
            <w:shd w:val="clear" w:color="auto" w:fill="CCEEFF"/>
          </w:tcPr>
          <w:p>
            <w:pPr>
              <w:jc w:val="center"/>
              <w:spacing w:after="0" w:line="213" w:lineRule="exact"/>
              <w:rPr>
                <w:sz w:val="20"/>
                <w:szCs w:val="20"/>
                <w:color w:val="auto"/>
              </w:rPr>
            </w:pPr>
            <w:r>
              <w:rPr>
                <w:rFonts w:ascii="Arial" w:cs="Arial" w:eastAsia="Arial" w:hAnsi="Arial"/>
                <w:sz w:val="17"/>
                <w:szCs w:val="17"/>
                <w:color w:val="auto"/>
                <w:w w:val="92"/>
              </w:rPr>
              <w:t xml:space="preserve">2031-2034 </w:t>
            </w:r>
            <w:r>
              <w:rPr>
                <w:rFonts w:ascii="Arial" w:cs="Arial" w:eastAsia="Arial" w:hAnsi="Arial"/>
                <w:sz w:val="24"/>
                <w:szCs w:val="24"/>
                <w:color w:val="auto"/>
                <w:w w:val="92"/>
                <w:vertAlign w:val="superscript"/>
              </w:rPr>
              <w:t>(5)</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99" w:lineRule="exact"/>
        <w:rPr>
          <w:rFonts w:ascii="Arial" w:cs="Arial" w:eastAsia="Arial" w:hAnsi="Arial"/>
          <w:sz w:val="11"/>
          <w:szCs w:val="11"/>
          <w:color w:val="auto"/>
        </w:rPr>
      </w:pPr>
    </w:p>
    <w:p>
      <w:pPr>
        <w:ind w:left="320" w:hanging="313"/>
        <w:spacing w:after="0"/>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199" w:lineRule="exact"/>
        <w:rPr>
          <w:rFonts w:ascii="Arial" w:cs="Arial" w:eastAsia="Arial" w:hAnsi="Arial"/>
          <w:sz w:val="11"/>
          <w:szCs w:val="11"/>
          <w:color w:val="auto"/>
        </w:rPr>
      </w:pPr>
    </w:p>
    <w:p>
      <w:pPr>
        <w:ind w:left="320" w:hanging="313"/>
        <w:spacing w:after="0"/>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is scheduled to be converted into an FSRU in 2023.</w:t>
      </w:r>
    </w:p>
    <w:p>
      <w:pPr>
        <w:spacing w:after="0" w:line="199" w:lineRule="exact"/>
        <w:rPr>
          <w:rFonts w:ascii="Arial" w:cs="Arial" w:eastAsia="Arial" w:hAnsi="Arial"/>
          <w:sz w:val="11"/>
          <w:szCs w:val="11"/>
          <w:color w:val="auto"/>
        </w:rPr>
      </w:pPr>
    </w:p>
    <w:p>
      <w:pPr>
        <w:ind w:left="320" w:right="80" w:hanging="313"/>
        <w:spacing w:after="0" w:line="248" w:lineRule="auto"/>
        <w:tabs>
          <w:tab w:leader="none" w:pos="320" w:val="left"/>
        </w:tabs>
        <w:numPr>
          <w:ilvl w:val="0"/>
          <w:numId w:val="41"/>
        </w:numPr>
        <w:rPr>
          <w:rFonts w:ascii="Arial" w:cs="Arial" w:eastAsia="Arial" w:hAnsi="Arial"/>
          <w:sz w:val="10"/>
          <w:szCs w:val="10"/>
          <w:color w:val="auto"/>
        </w:rPr>
      </w:pPr>
      <w:r>
        <w:rPr>
          <w:rFonts w:ascii="Arial" w:cs="Arial" w:eastAsia="Arial" w:hAnsi="Arial"/>
          <w:sz w:val="13"/>
          <w:szCs w:val="13"/>
          <w:color w:val="auto"/>
        </w:rPr>
        <w:t>The vessel is chartered to RWE. Subject to receipt of firm notice by the end of 2023, the vessel is expected to be delivered to Sinolam no later than twelve months thereafter for use as an FSU in support of an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significantly delayed as a result of COVID-19 related impacts to the construction schedule. In the meantime, the vessel has undergone FSU conversion for the Sinolam charter during its scheduled dry-dock in the second quarter of 2021.</w:t>
      </w:r>
    </w:p>
    <w:p>
      <w:pPr>
        <w:spacing w:after="0" w:line="174" w:lineRule="exact"/>
        <w:rPr>
          <w:rFonts w:ascii="Arial" w:cs="Arial" w:eastAsia="Arial" w:hAnsi="Arial"/>
          <w:sz w:val="10"/>
          <w:szCs w:val="10"/>
          <w:color w:val="auto"/>
        </w:rPr>
      </w:pPr>
    </w:p>
    <w:p>
      <w:pPr>
        <w:ind w:left="320" w:right="40" w:hanging="313"/>
        <w:spacing w:after="0" w:line="231" w:lineRule="auto"/>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 xml:space="preserve">Shell has the right to extend the charters of (a)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by two additional periods of three years, (b) the </w:t>
      </w:r>
      <w:r>
        <w:rPr>
          <w:rFonts w:ascii="Arial" w:cs="Arial" w:eastAsia="Arial" w:hAnsi="Arial"/>
          <w:sz w:val="14"/>
          <w:szCs w:val="14"/>
          <w:i w:val="1"/>
          <w:iCs w:val="1"/>
          <w:color w:val="auto"/>
        </w:rPr>
        <w:t xml:space="preserve">GasLog Geneva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Gibraltar </w:t>
      </w:r>
      <w:r>
        <w:rPr>
          <w:rFonts w:ascii="Arial" w:cs="Arial" w:eastAsia="Arial" w:hAnsi="Arial"/>
          <w:sz w:val="14"/>
          <w:szCs w:val="14"/>
          <w:color w:val="auto"/>
        </w:rPr>
        <w:t>by two additional periods of five and three years, respectively, (c) the</w:t>
      </w:r>
      <w:r>
        <w:rPr>
          <w:rFonts w:ascii="Arial" w:cs="Arial" w:eastAsia="Arial" w:hAnsi="Arial"/>
          <w:sz w:val="14"/>
          <w:szCs w:val="14"/>
          <w:i w:val="1"/>
          <w:iCs w:val="1"/>
          <w:color w:val="auto"/>
        </w:rPr>
        <w:t xml:space="preserve"> Methane Becki Anne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Julia Louise </w:t>
      </w:r>
      <w:r>
        <w:rPr>
          <w:rFonts w:ascii="Arial" w:cs="Arial" w:eastAsia="Arial" w:hAnsi="Arial"/>
          <w:sz w:val="14"/>
          <w:szCs w:val="14"/>
          <w:color w:val="auto"/>
        </w:rPr>
        <w:t>for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 period of either three or five years and (d)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for a period of five years, provided that Shell gives us advance notice of the declarations.</w:t>
      </w:r>
    </w:p>
    <w:p>
      <w:pPr>
        <w:spacing w:after="0" w:line="180" w:lineRule="exact"/>
        <w:rPr>
          <w:rFonts w:ascii="Arial" w:cs="Arial" w:eastAsia="Arial" w:hAnsi="Arial"/>
          <w:sz w:val="11"/>
          <w:szCs w:val="11"/>
          <w:color w:val="auto"/>
        </w:rPr>
      </w:pPr>
    </w:p>
    <w:p>
      <w:pPr>
        <w:ind w:left="320" w:hanging="313"/>
        <w:spacing w:after="0"/>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Centrica has the right to extend the charters by three additional periods of two years, provided that Centrica gives us advance notice of declaration.</w:t>
      </w:r>
    </w:p>
    <w:p>
      <w:pPr>
        <w:spacing w:after="0" w:line="199" w:lineRule="exact"/>
        <w:rPr>
          <w:rFonts w:ascii="Arial" w:cs="Arial" w:eastAsia="Arial" w:hAnsi="Arial"/>
          <w:sz w:val="11"/>
          <w:szCs w:val="11"/>
          <w:color w:val="auto"/>
        </w:rPr>
      </w:pPr>
    </w:p>
    <w:p>
      <w:pPr>
        <w:ind w:left="320" w:right="420" w:hanging="313"/>
        <w:spacing w:after="0" w:line="235" w:lineRule="auto"/>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 xml:space="preserve">Cheniere has the right to extend the charters of (a) the </w:t>
      </w:r>
      <w:r>
        <w:rPr>
          <w:rFonts w:ascii="Arial" w:cs="Arial" w:eastAsia="Arial" w:hAnsi="Arial"/>
          <w:sz w:val="14"/>
          <w:szCs w:val="14"/>
          <w:i w:val="1"/>
          <w:iCs w:val="1"/>
          <w:color w:val="auto"/>
        </w:rPr>
        <w:t>GasLog Georgetown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Galveston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Wellington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Winchester</w:t>
      </w:r>
      <w:r>
        <w:rPr>
          <w:rFonts w:ascii="Arial" w:cs="Arial" w:eastAsia="Arial" w:hAnsi="Arial"/>
          <w:sz w:val="14"/>
          <w:szCs w:val="14"/>
          <w:color w:val="auto"/>
        </w:rPr>
        <w:t xml:space="preserve"> by three consecutive periods of three years, two years and two years, respectively and (b)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by two additional periods of one year, provided that Cheniere gives us advance notice of the declarations.</w:t>
      </w:r>
    </w:p>
    <w:p>
      <w:pPr>
        <w:spacing w:after="0" w:line="180" w:lineRule="exact"/>
        <w:rPr>
          <w:rFonts w:ascii="Arial" w:cs="Arial" w:eastAsia="Arial" w:hAnsi="Arial"/>
          <w:sz w:val="11"/>
          <w:szCs w:val="11"/>
          <w:color w:val="auto"/>
        </w:rPr>
      </w:pPr>
    </w:p>
    <w:p>
      <w:pPr>
        <w:ind w:left="320" w:hanging="313"/>
        <w:spacing w:after="0"/>
        <w:tabs>
          <w:tab w:leader="none" w:pos="320" w:val="left"/>
        </w:tabs>
        <w:numPr>
          <w:ilvl w:val="0"/>
          <w:numId w:val="41"/>
        </w:numPr>
        <w:rPr>
          <w:rFonts w:ascii="Arial" w:cs="Arial" w:eastAsia="Arial" w:hAnsi="Arial"/>
          <w:sz w:val="10"/>
          <w:szCs w:val="10"/>
          <w:color w:val="auto"/>
        </w:rPr>
      </w:pPr>
      <w:r>
        <w:rPr>
          <w:rFonts w:ascii="Arial" w:cs="Arial" w:eastAsia="Arial" w:hAnsi="Arial"/>
          <w:sz w:val="13"/>
          <w:szCs w:val="13"/>
          <w:color w:val="auto"/>
        </w:rPr>
        <w:t xml:space="preserve">Endesa has the right to extend the charter of the </w:t>
      </w:r>
      <w:r>
        <w:rPr>
          <w:rFonts w:ascii="Arial" w:cs="Arial" w:eastAsia="Arial" w:hAnsi="Arial"/>
          <w:sz w:val="13"/>
          <w:szCs w:val="13"/>
          <w:i w:val="1"/>
          <w:iCs w:val="1"/>
          <w:color w:val="auto"/>
        </w:rPr>
        <w:t>GasLog Warsaw</w:t>
      </w:r>
      <w:r>
        <w:rPr>
          <w:rFonts w:ascii="Arial" w:cs="Arial" w:eastAsia="Arial" w:hAnsi="Arial"/>
          <w:sz w:val="13"/>
          <w:szCs w:val="13"/>
          <w:color w:val="auto"/>
        </w:rPr>
        <w:t xml:space="preserve"> by two additional periods of six years, provided that Endesa gives us advance notice of declaration.</w:t>
      </w:r>
    </w:p>
    <w:p>
      <w:pPr>
        <w:spacing w:after="0" w:line="210" w:lineRule="exact"/>
        <w:rPr>
          <w:rFonts w:ascii="Arial" w:cs="Arial" w:eastAsia="Arial" w:hAnsi="Arial"/>
          <w:sz w:val="10"/>
          <w:szCs w:val="10"/>
          <w:color w:val="auto"/>
        </w:rPr>
      </w:pPr>
    </w:p>
    <w:p>
      <w:pPr>
        <w:ind w:left="320" w:hanging="313"/>
        <w:spacing w:after="0"/>
        <w:tabs>
          <w:tab w:leader="none" w:pos="3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Jera has the right to extend the charter by two additional periods of three years, provided that Jera gives us advance notice of declaration.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0"/>
          <w:szCs w:val="10"/>
          <w:color w:val="auto"/>
        </w:rPr>
      </w:pPr>
      <w:r>
        <w:rPr>
          <w:rFonts w:ascii="Arial" w:cs="Arial" w:eastAsia="Arial" w:hAnsi="Arial"/>
          <w:sz w:val="13"/>
          <w:szCs w:val="13"/>
          <w:color w:val="auto"/>
        </w:rPr>
        <w:t>Trafigura may extend the term of this time charter for a period ranging from one to six years, provided that the charterer gives us advance notice of declaration.</w:t>
      </w:r>
    </w:p>
    <w:p>
      <w:pPr>
        <w:spacing w:after="0" w:line="210" w:lineRule="exact"/>
        <w:rPr>
          <w:rFonts w:ascii="Arial" w:cs="Arial" w:eastAsia="Arial" w:hAnsi="Arial"/>
          <w:sz w:val="10"/>
          <w:szCs w:val="10"/>
          <w:color w:val="auto"/>
        </w:rPr>
      </w:pPr>
    </w:p>
    <w:p>
      <w:pPr>
        <w:ind w:left="320" w:hanging="313"/>
        <w:spacing w:after="0"/>
        <w:tabs>
          <w:tab w:leader="none" w:pos="320" w:val="left"/>
        </w:tabs>
        <w:numPr>
          <w:ilvl w:val="0"/>
          <w:numId w:val="42"/>
        </w:numPr>
        <w:rPr>
          <w:rFonts w:ascii="Arial" w:cs="Arial" w:eastAsia="Arial" w:hAnsi="Arial"/>
          <w:sz w:val="10"/>
          <w:szCs w:val="10"/>
          <w:color w:val="auto"/>
        </w:rPr>
      </w:pPr>
      <w:r>
        <w:rPr>
          <w:rFonts w:ascii="Arial" w:cs="Arial" w:eastAsia="Arial" w:hAnsi="Arial"/>
          <w:sz w:val="13"/>
          <w:szCs w:val="13"/>
          <w:color w:val="auto"/>
        </w:rPr>
        <w:t>CNTIC VPower may extend the term of the related charter by two additional periods of one year, provided that the charterer gives us advance notice of declaration.</w:t>
      </w:r>
    </w:p>
    <w:p>
      <w:pPr>
        <w:spacing w:after="0" w:line="210" w:lineRule="exact"/>
        <w:rPr>
          <w:rFonts w:ascii="Arial" w:cs="Arial" w:eastAsia="Arial" w:hAnsi="Arial"/>
          <w:sz w:val="10"/>
          <w:szCs w:val="10"/>
          <w:color w:val="auto"/>
        </w:rPr>
      </w:pPr>
    </w:p>
    <w:p>
      <w:pPr>
        <w:ind w:left="320" w:right="120" w:hanging="313"/>
        <w:spacing w:after="0" w:line="228" w:lineRule="auto"/>
        <w:tabs>
          <w:tab w:leader="none" w:pos="320" w:val="left"/>
        </w:tabs>
        <w:numPr>
          <w:ilvl w:val="0"/>
          <w:numId w:val="42"/>
        </w:numPr>
        <w:rPr>
          <w:rFonts w:ascii="Arial" w:cs="Arial" w:eastAsia="Arial" w:hAnsi="Arial"/>
          <w:sz w:val="11"/>
          <w:szCs w:val="11"/>
          <w:color w:val="auto"/>
        </w:rPr>
      </w:pPr>
      <w:r>
        <w:rPr>
          <w:rFonts w:ascii="Arial" w:cs="Arial" w:eastAsia="Arial" w:hAnsi="Arial"/>
          <w:sz w:val="14"/>
          <w:szCs w:val="14"/>
          <w:color w:val="auto"/>
        </w:rPr>
        <w:t xml:space="preserve">GAS-ten Ltd. and GAS-three Ltd. have sold the </w:t>
      </w:r>
      <w:r>
        <w:rPr>
          <w:rFonts w:ascii="Arial" w:cs="Arial" w:eastAsia="Arial" w:hAnsi="Arial"/>
          <w:sz w:val="14"/>
          <w:szCs w:val="14"/>
          <w:i w:val="1"/>
          <w:iCs w:val="1"/>
          <w:color w:val="auto"/>
        </w:rPr>
        <w:t>GasLog Salem</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respectively, to CDBL and leased them back for a period of five years, with no repurchase option or obligation. GAS-twenty five Ltd., GAS-twenty six Ltd. and GAS-twenty four Ltd. have sold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to Sea 190 Leasing, the </w:t>
      </w:r>
      <w:r>
        <w:rPr>
          <w:rFonts w:ascii="Arial" w:cs="Arial" w:eastAsia="Arial" w:hAnsi="Arial"/>
          <w:sz w:val="14"/>
          <w:szCs w:val="14"/>
          <w:i w:val="1"/>
          <w:iCs w:val="1"/>
          <w:color w:val="auto"/>
        </w:rPr>
        <w:t xml:space="preserve">Methane Julia Louise </w:t>
      </w:r>
      <w:r>
        <w:rPr>
          <w:rFonts w:ascii="Arial" w:cs="Arial" w:eastAsia="Arial" w:hAnsi="Arial"/>
          <w:sz w:val="14"/>
          <w:szCs w:val="14"/>
          <w:color w:val="auto"/>
        </w:rPr>
        <w:t>to Lepta Shipping and the</w:t>
      </w:r>
      <w:r>
        <w:rPr>
          <w:rFonts w:ascii="Arial" w:cs="Arial" w:eastAsia="Arial" w:hAnsi="Arial"/>
          <w:sz w:val="14"/>
          <w:szCs w:val="14"/>
          <w:i w:val="1"/>
          <w:iCs w:val="1"/>
          <w:color w:val="auto"/>
        </w:rPr>
        <w:t xml:space="preserve"> GasLog Houston </w:t>
      </w:r>
      <w:r>
        <w:rPr>
          <w:rFonts w:ascii="Arial" w:cs="Arial" w:eastAsia="Arial" w:hAnsi="Arial"/>
          <w:sz w:val="14"/>
          <w:szCs w:val="14"/>
          <w:color w:val="auto"/>
        </w:rPr>
        <w:t>to Hai Kuo Shipping, respectively, and leased them back for a period of up to twelve, 17 and eight</w:t>
      </w:r>
      <w:r>
        <w:rPr>
          <w:rFonts w:ascii="Arial" w:cs="Arial" w:eastAsia="Arial" w:hAnsi="Arial"/>
          <w:sz w:val="14"/>
          <w:szCs w:val="14"/>
          <w:i w:val="1"/>
          <w:iCs w:val="1"/>
          <w:color w:val="auto"/>
        </w:rPr>
        <w:t xml:space="preserve"> </w:t>
      </w:r>
      <w:r>
        <w:rPr>
          <w:rFonts w:ascii="Arial" w:cs="Arial" w:eastAsia="Arial" w:hAnsi="Arial"/>
          <w:sz w:val="14"/>
          <w:szCs w:val="14"/>
          <w:color w:val="auto"/>
        </w:rPr>
        <w:t>years, respectively. GAS-twenty five Ltd. and GAS-twenty six Ltd. have the option and GAS-twenty four Ltd. has the option and the obligation to re-purchase the vessels on pre-agreed terms.</w:t>
      </w:r>
    </w:p>
    <w:p>
      <w:pPr>
        <w:spacing w:after="0" w:line="182" w:lineRule="exact"/>
        <w:rPr>
          <w:rFonts w:ascii="Arial" w:cs="Arial" w:eastAsia="Arial" w:hAnsi="Arial"/>
          <w:sz w:val="11"/>
          <w:szCs w:val="11"/>
          <w:color w:val="auto"/>
        </w:rPr>
      </w:pPr>
    </w:p>
    <w:p>
      <w:pPr>
        <w:ind w:left="320" w:hanging="313"/>
        <w:spacing w:after="0"/>
        <w:tabs>
          <w:tab w:leader="none" w:pos="320" w:val="left"/>
        </w:tabs>
        <w:numPr>
          <w:ilvl w:val="0"/>
          <w:numId w:val="42"/>
        </w:numPr>
        <w:rPr>
          <w:rFonts w:ascii="Arial" w:cs="Arial" w:eastAsia="Arial" w:hAnsi="Arial"/>
          <w:sz w:val="11"/>
          <w:szCs w:val="11"/>
          <w:color w:val="auto"/>
        </w:rPr>
      </w:pPr>
      <w:r>
        <w:rPr>
          <w:rFonts w:ascii="Arial" w:cs="Arial" w:eastAsia="Arial" w:hAnsi="Arial"/>
          <w:sz w:val="14"/>
          <w:szCs w:val="14"/>
          <w:color w:val="auto"/>
        </w:rPr>
        <w:t>TotalEnergies has the right to extend the charter for a period of three years, provided that TotalEnergies provides us with advance notice of declaration.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Newbuilds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Expected</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Cargo</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3"/>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560" w:type="dxa"/>
            <w:vAlign w:val="bottom"/>
            <w:gridSpan w:val="2"/>
            <w:vMerge w:val="continue"/>
          </w:tcPr>
          <w:p>
            <w:pPr>
              <w:spacing w:after="0"/>
              <w:rPr>
                <w:sz w:val="12"/>
                <w:szCs w:val="12"/>
                <w:color w:val="auto"/>
              </w:rPr>
            </w:pPr>
          </w:p>
        </w:tc>
        <w:tc>
          <w:tcPr>
            <w:tcW w:w="15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2"/>
              </w:rPr>
              <w:t>Capacity</w:t>
            </w: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Charterer</w:t>
            </w: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Propulsion</w:t>
            </w:r>
          </w:p>
        </w:tc>
        <w:tc>
          <w:tcPr>
            <w:tcW w:w="13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Charter</w:t>
            </w:r>
          </w:p>
        </w:tc>
        <w:tc>
          <w:tcPr>
            <w:tcW w:w="0" w:type="dxa"/>
            <w:vAlign w:val="bottom"/>
          </w:tcPr>
          <w:p>
            <w:pPr>
              <w:spacing w:after="0"/>
              <w:rPr>
                <w:sz w:val="1"/>
                <w:szCs w:val="1"/>
                <w:color w:val="auto"/>
              </w:rPr>
            </w:pPr>
          </w:p>
        </w:tc>
      </w:tr>
      <w:tr>
        <w:trPr>
          <w:trHeight w:val="173"/>
        </w:trPr>
        <w:tc>
          <w:tcPr>
            <w:tcW w:w="2080" w:type="dxa"/>
            <w:vAlign w:val="bottom"/>
            <w:gridSpan w:val="4"/>
            <w:vMerge w:val="continue"/>
          </w:tcPr>
          <w:p>
            <w:pPr>
              <w:spacing w:after="0"/>
              <w:rPr>
                <w:sz w:val="15"/>
                <w:szCs w:val="15"/>
                <w:color w:val="auto"/>
              </w:rPr>
            </w:pPr>
          </w:p>
        </w:tc>
        <w:tc>
          <w:tcPr>
            <w:tcW w:w="1560" w:type="dxa"/>
            <w:vAlign w:val="bottom"/>
            <w:gridSpan w:val="2"/>
          </w:tcPr>
          <w:p>
            <w:pPr>
              <w:ind w:left="340"/>
              <w:spacing w:after="0" w:line="174" w:lineRule="exact"/>
              <w:rPr>
                <w:sz w:val="20"/>
                <w:szCs w:val="20"/>
                <w:color w:val="auto"/>
              </w:rPr>
            </w:pPr>
            <w:r>
              <w:rPr>
                <w:rFonts w:ascii="Arial" w:cs="Arial" w:eastAsia="Arial" w:hAnsi="Arial"/>
                <w:sz w:val="14"/>
                <w:szCs w:val="14"/>
                <w:b w:val="1"/>
                <w:bCs w:val="1"/>
                <w:color w:val="auto"/>
              </w:rPr>
              <w:t>Delivery</w:t>
            </w:r>
            <w:r>
              <w:rPr>
                <w:rFonts w:ascii="Arial" w:cs="Arial" w:eastAsia="Arial" w:hAnsi="Arial"/>
                <w:sz w:val="20"/>
                <w:szCs w:val="20"/>
                <w:b w:val="1"/>
                <w:bCs w:val="1"/>
                <w:color w:val="auto"/>
                <w:vertAlign w:val="superscript"/>
              </w:rPr>
              <w:t>(1)</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(cbm)</w:t>
            </w:r>
          </w:p>
        </w:tc>
        <w:tc>
          <w:tcPr>
            <w:tcW w:w="18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320" w:type="dxa"/>
            <w:vAlign w:val="bottom"/>
          </w:tcPr>
          <w:p>
            <w:pPr>
              <w:jc w:val="center"/>
              <w:spacing w:after="0" w:line="174" w:lineRule="exact"/>
              <w:rPr>
                <w:sz w:val="20"/>
                <w:szCs w:val="20"/>
                <w:color w:val="auto"/>
              </w:rPr>
            </w:pPr>
            <w:r>
              <w:rPr>
                <w:rFonts w:ascii="Arial" w:cs="Arial" w:eastAsia="Arial" w:hAnsi="Arial"/>
                <w:sz w:val="14"/>
                <w:szCs w:val="14"/>
                <w:b w:val="1"/>
                <w:bCs w:val="1"/>
                <w:color w:val="auto"/>
                <w:w w:val="91"/>
              </w:rPr>
              <w:t>Expiration</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15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Hull No. 2532</w:t>
            </w: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Q3 2024</w:t>
            </w:r>
          </w:p>
        </w:tc>
        <w:tc>
          <w:tcPr>
            <w:tcW w:w="2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2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MEGI</w:t>
            </w:r>
          </w:p>
        </w:tc>
        <w:tc>
          <w:tcPr>
            <w:tcW w:w="2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Hull No. 2533</w:t>
            </w: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Q3 2024</w:t>
            </w:r>
          </w:p>
        </w:tc>
        <w:tc>
          <w:tcPr>
            <w:tcW w:w="1320" w:type="dxa"/>
            <w:vAlign w:val="bottom"/>
          </w:tcPr>
          <w:p>
            <w:pPr>
              <w:jc w:val="right"/>
              <w:spacing w:after="0"/>
              <w:rPr>
                <w:sz w:val="20"/>
                <w:szCs w:val="20"/>
                <w:color w:val="auto"/>
              </w:rPr>
            </w:pPr>
            <w:r>
              <w:rPr>
                <w:rFonts w:ascii="Arial" w:cs="Arial" w:eastAsia="Arial" w:hAnsi="Arial"/>
                <w:sz w:val="18"/>
                <w:szCs w:val="18"/>
                <w:color w:val="auto"/>
              </w:rPr>
              <w:t>174,000</w:t>
            </w:r>
          </w:p>
        </w:tc>
        <w:tc>
          <w:tcPr>
            <w:tcW w:w="2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Mitsui</w:t>
            </w: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MEGI</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1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Hull No. 2534</w:t>
            </w:r>
          </w:p>
        </w:tc>
        <w:tc>
          <w:tcPr>
            <w:tcW w:w="1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Q3 2025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Major LNG producer</w:t>
            </w:r>
          </w:p>
        </w:tc>
        <w:tc>
          <w:tcPr>
            <w:tcW w:w="1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MEGI</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Hull No. 2535</w:t>
            </w: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Q4 2025</w:t>
            </w:r>
          </w:p>
        </w:tc>
        <w:tc>
          <w:tcPr>
            <w:tcW w:w="1320" w:type="dxa"/>
            <w:vAlign w:val="bottom"/>
          </w:tcPr>
          <w:p>
            <w:pPr>
              <w:jc w:val="right"/>
              <w:spacing w:after="0"/>
              <w:rPr>
                <w:sz w:val="20"/>
                <w:szCs w:val="20"/>
                <w:color w:val="auto"/>
              </w:rPr>
            </w:pPr>
            <w:r>
              <w:rPr>
                <w:rFonts w:ascii="Arial" w:cs="Arial" w:eastAsia="Arial" w:hAnsi="Arial"/>
                <w:sz w:val="18"/>
                <w:szCs w:val="18"/>
                <w:color w:val="auto"/>
              </w:rPr>
              <w:t>174,000</w:t>
            </w:r>
          </w:p>
        </w:tc>
        <w:tc>
          <w:tcPr>
            <w:tcW w:w="24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Major LNG producer</w:t>
            </w: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MEGI</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15671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116" w:lineRule="exact"/>
        <w:rPr>
          <w:sz w:val="20"/>
          <w:szCs w:val="20"/>
          <w:color w:val="auto"/>
        </w:rPr>
      </w:pPr>
    </w:p>
    <w:p>
      <w:pPr>
        <w:ind w:left="320" w:hanging="313"/>
        <w:spacing w:after="0"/>
        <w:tabs>
          <w:tab w:leader="none" w:pos="320" w:val="left"/>
        </w:tabs>
        <w:numPr>
          <w:ilvl w:val="0"/>
          <w:numId w:val="43"/>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ind w:left="320" w:hanging="313"/>
        <w:spacing w:after="0"/>
        <w:tabs>
          <w:tab w:leader="none" w:pos="320" w:val="left"/>
        </w:tabs>
        <w:numPr>
          <w:ilvl w:val="0"/>
          <w:numId w:val="43"/>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0"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due to come off charter in March 2022;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and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in April 2022; the </w:t>
      </w:r>
      <w:r>
        <w:rPr>
          <w:rFonts w:ascii="Arial" w:cs="Arial" w:eastAsia="Arial" w:hAnsi="Arial"/>
          <w:sz w:val="18"/>
          <w:szCs w:val="18"/>
          <w:i w:val="1"/>
          <w:iCs w:val="1"/>
          <w:color w:val="auto"/>
        </w:rPr>
        <w:t>Methane Lydon</w:t>
      </w:r>
      <w:r>
        <w:rPr>
          <w:rFonts w:ascii="Arial" w:cs="Arial" w:eastAsia="Arial" w:hAnsi="Arial"/>
          <w:sz w:val="18"/>
          <w:szCs w:val="18"/>
          <w:color w:val="auto"/>
        </w:rPr>
        <w:t xml:space="preserve"> </w:t>
      </w:r>
      <w:r>
        <w:rPr>
          <w:rFonts w:ascii="Arial" w:cs="Arial" w:eastAsia="Arial" w:hAnsi="Arial"/>
          <w:sz w:val="18"/>
          <w:szCs w:val="18"/>
          <w:i w:val="1"/>
          <w:iCs w:val="1"/>
          <w:color w:val="auto"/>
        </w:rPr>
        <w:t>Volney</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Sydney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in June 2022; the</w:t>
      </w:r>
      <w:r>
        <w:rPr>
          <w:rFonts w:ascii="Arial" w:cs="Arial" w:eastAsia="Arial" w:hAnsi="Arial"/>
          <w:sz w:val="18"/>
          <w:szCs w:val="18"/>
          <w:i w:val="1"/>
          <w:iCs w:val="1"/>
          <w:color w:val="auto"/>
        </w:rPr>
        <w:t xml:space="preserve"> Methane Shirley Elisabeth </w:t>
      </w:r>
      <w:r>
        <w:rPr>
          <w:rFonts w:ascii="Arial" w:cs="Arial" w:eastAsia="Arial" w:hAnsi="Arial"/>
          <w:sz w:val="18"/>
          <w:szCs w:val="18"/>
          <w:color w:val="auto"/>
        </w:rPr>
        <w:t>in August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and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in September 2022. The Group continues to pursue opportunities for new term charters with third parties, while trading the vessels in the spot/short-term market to pursue the most advantageous redeployment depending on evolving market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Fleet Characteristics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characteristics of our current owned and bareboat fleet include the following:</w:t>
      </w:r>
    </w:p>
    <w:p>
      <w:pPr>
        <w:spacing w:after="0" w:line="220" w:lineRule="exact"/>
        <w:rPr>
          <w:sz w:val="20"/>
          <w:szCs w:val="20"/>
          <w:color w:val="auto"/>
        </w:rPr>
      </w:pPr>
    </w:p>
    <w:p>
      <w:pPr>
        <w:jc w:val="both"/>
        <w:ind w:left="680" w:right="200" w:hanging="326"/>
        <w:spacing w:after="0" w:line="258"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106" w:lineRule="exact"/>
        <w:rPr>
          <w:rFonts w:ascii="Arial" w:cs="Arial" w:eastAsia="Arial" w:hAnsi="Arial"/>
          <w:sz w:val="18"/>
          <w:szCs w:val="18"/>
          <w:color w:val="auto"/>
        </w:rPr>
      </w:pPr>
    </w:p>
    <w:p>
      <w:pPr>
        <w:ind w:left="680" w:hanging="32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153" w:lineRule="exact"/>
        <w:rPr>
          <w:rFonts w:ascii="Arial" w:cs="Arial" w:eastAsia="Arial" w:hAnsi="Arial"/>
          <w:sz w:val="18"/>
          <w:szCs w:val="18"/>
          <w:color w:val="auto"/>
        </w:rPr>
      </w:pPr>
    </w:p>
    <w:p>
      <w:pPr>
        <w:ind w:left="680" w:hanging="326"/>
        <w:spacing w:after="0" w:line="258"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19" w:lineRule="exact"/>
        <w:rPr>
          <w:rFonts w:ascii="Arial" w:cs="Arial" w:eastAsia="Arial" w:hAnsi="Arial"/>
          <w:sz w:val="18"/>
          <w:szCs w:val="18"/>
          <w:color w:val="auto"/>
        </w:rPr>
      </w:pPr>
    </w:p>
    <w:p>
      <w:pPr>
        <w:ind w:left="680" w:hanging="326"/>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of our delivered ships is equipped with a modern Steam turbine or has TFDE or X-DF engine propulsion technology;</w:t>
      </w:r>
    </w:p>
    <w:p>
      <w:pPr>
        <w:spacing w:after="0" w:line="151" w:lineRule="exact"/>
        <w:rPr>
          <w:rFonts w:ascii="Arial" w:cs="Arial" w:eastAsia="Arial" w:hAnsi="Arial"/>
          <w:sz w:val="17"/>
          <w:szCs w:val="17"/>
          <w:color w:val="auto"/>
        </w:rPr>
      </w:pPr>
    </w:p>
    <w:p>
      <w:pPr>
        <w:ind w:left="680" w:hanging="32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Bermuda is the flag state of each ship with the exception of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which has a Hellenic flag;</w:t>
      </w:r>
    </w:p>
    <w:p>
      <w:pPr>
        <w:spacing w:after="0" w:line="153" w:lineRule="exact"/>
        <w:rPr>
          <w:rFonts w:ascii="Arial" w:cs="Arial" w:eastAsia="Arial" w:hAnsi="Arial"/>
          <w:sz w:val="18"/>
          <w:szCs w:val="18"/>
          <w:color w:val="auto"/>
        </w:rPr>
      </w:pPr>
    </w:p>
    <w:p>
      <w:pPr>
        <w:ind w:left="680" w:right="260" w:hanging="326"/>
        <w:spacing w:after="0" w:line="255"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100" w:hanging="326"/>
        <w:spacing w:after="0" w:line="258"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of December 31, 2021 our owned and bareboat fleet has an average age of 7.4 years, making it one of the youngest in the industry, compared to an average age of 9.92 years for the global trading LNG carrier fleet including LNG carriers of all sizes as of December 31, 2021.</w:t>
      </w:r>
    </w:p>
    <w:p>
      <w:pPr>
        <w:spacing w:after="0" w:line="186" w:lineRule="exact"/>
        <w:rPr>
          <w:sz w:val="20"/>
          <w:szCs w:val="20"/>
          <w:color w:val="auto"/>
        </w:rPr>
      </w:pPr>
    </w:p>
    <w:p>
      <w:pPr>
        <w:jc w:val="both"/>
        <w:ind w:right="100" w:firstLine="320"/>
        <w:spacing w:after="0" w:line="281" w:lineRule="auto"/>
        <w:rPr>
          <w:sz w:val="20"/>
          <w:szCs w:val="20"/>
          <w:color w:val="auto"/>
        </w:rPr>
      </w:pPr>
      <w:r>
        <w:rPr>
          <w:rFonts w:ascii="Arial" w:cs="Arial" w:eastAsia="Arial" w:hAnsi="Arial"/>
          <w:sz w:val="17"/>
          <w:szCs w:val="17"/>
          <w:color w:val="auto"/>
        </w:rPr>
        <w:t xml:space="preserve">In addition to our owned and bareboat fleet, we have a 25.0% ownership interest in Egypt LNG, an entity whose principal asset is the </w:t>
      </w:r>
      <w:r>
        <w:rPr>
          <w:rFonts w:ascii="Arial" w:cs="Arial" w:eastAsia="Arial" w:hAnsi="Arial"/>
          <w:sz w:val="17"/>
          <w:szCs w:val="17"/>
          <w:i w:val="1"/>
          <w:iCs w:val="1"/>
          <w:color w:val="auto"/>
        </w:rPr>
        <w:t xml:space="preserve">Methane Nile Eagle. </w:t>
      </w:r>
      <w:r>
        <w:rPr>
          <w:rFonts w:ascii="Arial" w:cs="Arial" w:eastAsia="Arial" w:hAnsi="Arial"/>
          <w:sz w:val="17"/>
          <w:szCs w:val="17"/>
          <w:color w:val="auto"/>
        </w:rPr>
        <w:t>The</w:t>
      </w:r>
      <w:r>
        <w:rPr>
          <w:rFonts w:ascii="Arial" w:cs="Arial" w:eastAsia="Arial" w:hAnsi="Arial"/>
          <w:sz w:val="17"/>
          <w:szCs w:val="17"/>
          <w:i w:val="1"/>
          <w:iCs w:val="1"/>
          <w:color w:val="auto"/>
        </w:rPr>
        <w:t xml:space="preserve"> Methane Nile Eagle </w:t>
      </w:r>
      <w:r>
        <w:rPr>
          <w:rFonts w:ascii="Arial" w:cs="Arial" w:eastAsia="Arial" w:hAnsi="Arial"/>
          <w:sz w:val="17"/>
          <w:szCs w:val="17"/>
          <w:color w:val="auto"/>
        </w:rPr>
        <w:t>is a 145,000 cbm LNG carrier that was built in 2007. It is currently chartered to MSL under</w:t>
      </w:r>
      <w:r>
        <w:rPr>
          <w:rFonts w:ascii="Arial" w:cs="Arial" w:eastAsia="Arial" w:hAnsi="Arial"/>
          <w:sz w:val="17"/>
          <w:szCs w:val="17"/>
          <w:i w:val="1"/>
          <w:iCs w:val="1"/>
          <w:color w:val="auto"/>
        </w:rPr>
        <w:t xml:space="preserve"> </w:t>
      </w:r>
      <w:r>
        <w:rPr>
          <w:rFonts w:ascii="Arial" w:cs="Arial" w:eastAsia="Arial" w:hAnsi="Arial"/>
          <w:sz w:val="17"/>
          <w:szCs w:val="17"/>
          <w:color w:val="auto"/>
        </w:rPr>
        <w:t>a 20-year time charter, which is subject to extension for up to 10 years at the charterer’s option.</w:t>
      </w:r>
    </w:p>
    <w:p>
      <w:pPr>
        <w:spacing w:after="0" w:line="167" w:lineRule="exact"/>
        <w:rPr>
          <w:sz w:val="20"/>
          <w:szCs w:val="20"/>
          <w:color w:val="auto"/>
        </w:rPr>
      </w:pPr>
    </w:p>
    <w:p>
      <w:pPr>
        <w:jc w:val="both"/>
        <w:ind w:right="160" w:firstLine="320"/>
        <w:spacing w:after="0" w:line="306" w:lineRule="auto"/>
        <w:rPr>
          <w:sz w:val="20"/>
          <w:szCs w:val="20"/>
          <w:color w:val="auto"/>
        </w:rPr>
      </w:pPr>
      <w:r>
        <w:rPr>
          <w:rFonts w:ascii="Arial" w:cs="Arial" w:eastAsia="Arial" w:hAnsi="Arial"/>
          <w:sz w:val="16"/>
          <w:szCs w:val="16"/>
          <w:color w:val="auto"/>
        </w:rPr>
        <w:t>We continually evaluate short-term and multi-year charter opportunities for our vessels, including the one newbuilding for which we do not currently have a charter fixed. Our discussions with potential charterers are at various stages of advancement; however, we cannot provide assurance that we will conclude any particular charter or, if concluded, as to the charter rate that will apply.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Fleet</w:t>
      </w:r>
    </w:p>
    <w:p>
      <w:pPr>
        <w:spacing w:after="0" w:line="220" w:lineRule="exact"/>
        <w:rPr>
          <w:sz w:val="20"/>
          <w:szCs w:val="20"/>
          <w:color w:val="auto"/>
        </w:rPr>
      </w:pPr>
    </w:p>
    <w:p>
      <w:pPr>
        <w:ind w:right="100" w:firstLine="320"/>
        <w:spacing w:after="0" w:line="274" w:lineRule="auto"/>
        <w:rPr>
          <w:sz w:val="20"/>
          <w:szCs w:val="20"/>
          <w:color w:val="auto"/>
        </w:rPr>
      </w:pPr>
      <w:r>
        <w:rPr>
          <w:rFonts w:ascii="Arial" w:cs="Arial" w:eastAsia="Arial" w:hAnsi="Arial"/>
          <w:sz w:val="17"/>
          <w:szCs w:val="17"/>
          <w:color w:val="auto"/>
        </w:rPr>
        <w:t xml:space="preserve">Through GasLog LNG Services, we provide technical ship management services for one LNG carrier owned by a third party in addition to management of the 34 LNG carriers currently operating in our owned and bareboat fleet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is managed by a subsidiary of Shell). We supervised the construction by Samsung or Hyundai of each LNG carrier in our managed fleet, and each ship has operated under our technical management since its delivery from the shipyard with the exception of the </w:t>
      </w:r>
      <w:r>
        <w:rPr>
          <w:rFonts w:ascii="Arial" w:cs="Arial" w:eastAsia="Arial" w:hAnsi="Arial"/>
          <w:sz w:val="17"/>
          <w:szCs w:val="17"/>
          <w:i w:val="1"/>
          <w:iCs w:val="1"/>
          <w:color w:val="auto"/>
        </w:rPr>
        <w:t>Solaris</w:t>
      </w:r>
      <w:r>
        <w:rPr>
          <w:rFonts w:ascii="Arial" w:cs="Arial" w:eastAsia="Arial" w:hAnsi="Arial"/>
          <w:sz w:val="17"/>
          <w:szCs w:val="17"/>
          <w:color w:val="auto"/>
        </w:rPr>
        <w: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Vessel Name</w:t>
            </w:r>
          </w:p>
        </w:tc>
        <w:tc>
          <w:tcPr>
            <w:tcW w:w="2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Built</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Cargo</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Propulsion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GasLog</w:t>
            </w:r>
          </w:p>
        </w:tc>
        <w:tc>
          <w:tcPr>
            <w:tcW w:w="420" w:type="dxa"/>
            <w:vAlign w:val="bottom"/>
          </w:tcPr>
          <w:p>
            <w:pPr>
              <w:spacing w:after="0"/>
              <w:rPr>
                <w:sz w:val="14"/>
                <w:szCs w:val="14"/>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Ship Owner</w:t>
            </w: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Capacity (cbm)</w:t>
            </w:r>
          </w:p>
        </w:tc>
        <w:tc>
          <w:tcPr>
            <w:tcW w:w="128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4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1</w:t>
            </w:r>
          </w:p>
        </w:tc>
        <w:tc>
          <w:tcPr>
            <w:tcW w:w="1820" w:type="dxa"/>
            <w:vAlign w:val="bottom"/>
            <w:tcBorders>
              <w:top w:val="single" w:sz="8" w:color="auto"/>
            </w:tcBorders>
            <w:shd w:val="clear" w:color="auto" w:fill="CCEEFF"/>
          </w:tcPr>
          <w:p>
            <w:pPr>
              <w:ind w:left="180"/>
              <w:spacing w:after="0" w:line="207" w:lineRule="exact"/>
              <w:rPr>
                <w:sz w:val="20"/>
                <w:szCs w:val="20"/>
                <w:color w:val="auto"/>
              </w:rPr>
            </w:pPr>
            <w:r>
              <w:rPr>
                <w:rFonts w:ascii="Arial" w:cs="Arial" w:eastAsia="Arial" w:hAnsi="Arial"/>
                <w:sz w:val="16"/>
                <w:szCs w:val="16"/>
                <w:i w:val="1"/>
                <w:iCs w:val="1"/>
                <w:color w:val="auto"/>
                <w:w w:val="99"/>
              </w:rPr>
              <w:t xml:space="preserve">Methane Nile Eagle </w:t>
            </w:r>
            <w:r>
              <w:rPr>
                <w:rFonts w:ascii="Arial" w:cs="Arial" w:eastAsia="Arial" w:hAnsi="Arial"/>
                <w:sz w:val="23"/>
                <w:szCs w:val="23"/>
                <w:i w:val="1"/>
                <w:iCs w:val="1"/>
                <w:color w:val="auto"/>
                <w:w w:val="99"/>
                <w:vertAlign w:val="superscript"/>
              </w:rPr>
              <w:t>(1)</w:t>
            </w: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8"/>
                <w:szCs w:val="18"/>
                <w:color w:val="auto"/>
              </w:rPr>
              <w:t>25.0</w:t>
            </w:r>
          </w:p>
        </w:tc>
        <w:tc>
          <w:tcPr>
            <w:tcW w:w="420" w:type="dxa"/>
            <w:vAlign w:val="bottom"/>
            <w:tcBorders>
              <w:top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tcBorders>
            <w:shd w:val="clear" w:color="auto" w:fill="CCEEFF"/>
          </w:tcPr>
          <w:p>
            <w:pPr>
              <w:jc w:val="center"/>
              <w:spacing w:after="0" w:line="207" w:lineRule="exact"/>
              <w:rPr>
                <w:sz w:val="20"/>
                <w:szCs w:val="20"/>
                <w:color w:val="auto"/>
              </w:rPr>
            </w:pPr>
            <w:r>
              <w:rPr>
                <w:rFonts w:ascii="Arial" w:cs="Arial" w:eastAsia="Arial" w:hAnsi="Arial"/>
                <w:sz w:val="16"/>
                <w:szCs w:val="16"/>
                <w:color w:val="auto"/>
              </w:rPr>
              <w:t xml:space="preserve">Egypt LNG </w:t>
            </w:r>
            <w:r>
              <w:rPr>
                <w:rFonts w:ascii="Arial" w:cs="Arial" w:eastAsia="Arial" w:hAnsi="Arial"/>
                <w:sz w:val="23"/>
                <w:szCs w:val="23"/>
                <w:color w:val="auto"/>
                <w:vertAlign w:val="superscript"/>
              </w:rPr>
              <w:t>(1)</w:t>
            </w: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20" w:right="200" w:hanging="313"/>
        <w:spacing w:after="0" w:line="285" w:lineRule="auto"/>
        <w:tabs>
          <w:tab w:leader="none" w:pos="320" w:val="left"/>
        </w:tabs>
        <w:numPr>
          <w:ilvl w:val="0"/>
          <w:numId w:val="46"/>
        </w:numPr>
        <w:rPr>
          <w:rFonts w:ascii="Arial" w:cs="Arial" w:eastAsia="Arial" w:hAnsi="Arial"/>
          <w:sz w:val="10"/>
          <w:szCs w:val="1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Methane Nile Eagle</w:t>
      </w:r>
      <w:r>
        <w:rPr>
          <w:rFonts w:ascii="Arial" w:cs="Arial" w:eastAsia="Arial" w:hAnsi="Arial"/>
          <w:sz w:val="13"/>
          <w:szCs w:val="13"/>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24" w:lineRule="exact"/>
        <w:rPr>
          <w:sz w:val="20"/>
          <w:szCs w:val="20"/>
          <w:color w:val="auto"/>
        </w:rPr>
      </w:pPr>
    </w:p>
    <w:p>
      <w:pPr>
        <w:ind w:right="20" w:firstLine="320"/>
        <w:spacing w:after="0" w:line="255" w:lineRule="auto"/>
        <w:rPr>
          <w:sz w:val="20"/>
          <w:szCs w:val="20"/>
          <w:color w:val="auto"/>
        </w:rPr>
      </w:pPr>
      <w:r>
        <w:rPr>
          <w:rFonts w:ascii="Arial" w:cs="Arial" w:eastAsia="Arial" w:hAnsi="Arial"/>
          <w:sz w:val="18"/>
          <w:szCs w:val="18"/>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88" w:lineRule="exact"/>
        <w:rPr>
          <w:sz w:val="20"/>
          <w:szCs w:val="20"/>
          <w:color w:val="auto"/>
        </w:rPr>
      </w:pPr>
    </w:p>
    <w:p>
      <w:pPr>
        <w:ind w:right="140" w:firstLine="320"/>
        <w:spacing w:after="0" w:line="274" w:lineRule="auto"/>
        <w:rPr>
          <w:sz w:val="20"/>
          <w:szCs w:val="20"/>
          <w:color w:val="auto"/>
        </w:rPr>
      </w:pPr>
      <w:r>
        <w:rPr>
          <w:rFonts w:ascii="Arial" w:cs="Arial" w:eastAsia="Arial" w:hAnsi="Arial"/>
          <w:sz w:val="17"/>
          <w:szCs w:val="17"/>
          <w:color w:val="auto"/>
        </w:rPr>
        <w:t>Our time charters provide for redelivery of the ship to us at the expiration of the term, which may be extended upon the charterer’s exercise of its extension options, or upon earlier termination of the charter (as described below) plus or minus a specified number of days which is a standard flexibility offered to the charterer to facilitate the final voyage of the charter. Our charter contracts do not provide the charterers with options to purchase our ships during or upon expiration of the charter term.</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discussion describes the material terms of the time charters for our owned and bareboat ships.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Market (defined as charter parties with initial duration of more than five years)</w:t>
      </w:r>
    </w:p>
    <w:p>
      <w:pPr>
        <w:spacing w:after="0" w:line="220" w:lineRule="exact"/>
        <w:rPr>
          <w:sz w:val="20"/>
          <w:szCs w:val="20"/>
          <w:color w:val="auto"/>
        </w:rPr>
      </w:pPr>
    </w:p>
    <w:p>
      <w:pPr>
        <w:ind w:firstLine="320"/>
        <w:spacing w:after="0" w:line="271" w:lineRule="auto"/>
        <w:rPr>
          <w:sz w:val="20"/>
          <w:szCs w:val="20"/>
          <w:color w:val="auto"/>
        </w:rPr>
      </w:pPr>
      <w:r>
        <w:rPr>
          <w:rFonts w:ascii="Arial" w:cs="Arial" w:eastAsia="Arial" w:hAnsi="Arial"/>
          <w:sz w:val="17"/>
          <w:szCs w:val="17"/>
          <w:color w:val="auto"/>
        </w:rPr>
        <w:t xml:space="preserve">The initial term charter for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to MSL began upon delivery of the ship and will terminate in 2024. MSL has options to extend the terms of the charter for an additional period of either three or five years beyond the initial charter expiration date. The initial term of the time charter for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began upon delivery to GasLog and will terminate in 2026. MSL has the option to extend the long-term bareboat charter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which is now owned by Lepta Shipping and leased back to GasLog, for an additional period of either three or five years beyond the initial charter expiration date.</w:t>
      </w:r>
    </w:p>
    <w:p>
      <w:pPr>
        <w:spacing w:after="0" w:line="177" w:lineRule="exact"/>
        <w:rPr>
          <w:sz w:val="20"/>
          <w:szCs w:val="20"/>
          <w:color w:val="auto"/>
        </w:rPr>
      </w:pPr>
    </w:p>
    <w:p>
      <w:pPr>
        <w:ind w:right="460" w:firstLine="320"/>
        <w:spacing w:after="0" w:line="333" w:lineRule="auto"/>
        <w:rPr>
          <w:sz w:val="20"/>
          <w:szCs w:val="20"/>
          <w:color w:val="auto"/>
        </w:rPr>
      </w:pPr>
      <w:r>
        <w:rPr>
          <w:rFonts w:ascii="Arial" w:cs="Arial" w:eastAsia="Arial" w:hAnsi="Arial"/>
          <w:sz w:val="16"/>
          <w:szCs w:val="16"/>
          <w:color w:val="auto"/>
        </w:rPr>
        <w:t xml:space="preserve">The term of the time charter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began upon delivery of the ship to GasLog in 2014 following an initial period during which the ship operated under a maiden voyage time charter, the purpose of which was to facilitate completion by Shell of 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operational discharge inspection of the ship. The Solaris is due to come off charter in March 2022. The vessel is managed by a subsidiary of Shell and such entity covers operating costs.</w:t>
      </w:r>
    </w:p>
    <w:p>
      <w:pPr>
        <w:spacing w:after="0" w:line="175" w:lineRule="exact"/>
        <w:rPr>
          <w:sz w:val="20"/>
          <w:szCs w:val="20"/>
          <w:color w:val="auto"/>
        </w:rPr>
      </w:pPr>
    </w:p>
    <w:p>
      <w:pPr>
        <w:ind w:firstLine="320"/>
        <w:spacing w:after="0" w:line="296" w:lineRule="auto"/>
        <w:rPr>
          <w:sz w:val="20"/>
          <w:szCs w:val="20"/>
          <w:color w:val="auto"/>
        </w:rPr>
      </w:pPr>
      <w:r>
        <w:rPr>
          <w:rFonts w:ascii="Arial" w:cs="Arial" w:eastAsia="Arial" w:hAnsi="Arial"/>
          <w:sz w:val="16"/>
          <w:szCs w:val="16"/>
          <w:color w:val="auto"/>
        </w:rPr>
        <w:t xml:space="preserve">The initial term of the time charter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began upon delivery of the ships and will terminate in 2026, 2026, 2023 and 2023, respectively.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Glasgow, </w:t>
      </w:r>
      <w:r>
        <w:rPr>
          <w:rFonts w:ascii="Arial" w:cs="Arial" w:eastAsia="Arial" w:hAnsi="Arial"/>
          <w:sz w:val="16"/>
          <w:szCs w:val="16"/>
          <w:color w:val="auto"/>
        </w:rPr>
        <w:t>MSL has options to extend the terms of the charters for up to five years and for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MSL has the option to extend the terms of the charters by two additional periods of five and three years, respectively.</w:t>
      </w:r>
    </w:p>
    <w:p>
      <w:pPr>
        <w:spacing w:after="0" w:line="160"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from the shipyard in January 2018 and delivered into her time charter with MSL in January 2019. The initial charter term for the ship will terminate in 2028. MSL has options to extend the terms of the charter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which is now owned by Hai Kuo Shipping and leased back to GasLog, for two consecutive periods of three years each, all at specified hire rates.</w:t>
      </w:r>
    </w:p>
    <w:p>
      <w:pPr>
        <w:spacing w:after="0" w:line="188" w:lineRule="exact"/>
        <w:rPr>
          <w:sz w:val="20"/>
          <w:szCs w:val="20"/>
          <w:color w:val="auto"/>
        </w:rPr>
      </w:pPr>
    </w:p>
    <w:p>
      <w:pPr>
        <w:ind w:right="80" w:firstLine="320"/>
        <w:spacing w:after="0" w:line="306" w:lineRule="auto"/>
        <w:rPr>
          <w:sz w:val="20"/>
          <w:szCs w:val="20"/>
          <w:color w:val="auto"/>
        </w:rPr>
      </w:pPr>
      <w:r>
        <w:rPr>
          <w:rFonts w:ascii="Arial" w:cs="Arial" w:eastAsia="Arial" w:hAnsi="Arial"/>
          <w:sz w:val="16"/>
          <w:szCs w:val="16"/>
          <w:color w:val="auto"/>
        </w:rPr>
        <w:t xml:space="preserve">Our time charter to MSL for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began when the ships were delivered from the shipyard in March 2018 and March 2019, respectively. The initial charter terms for the ships will terminate in 2027 and 2029, respectively. MSL has options to extend terms of the charters for two consecutive periods of three years each, all at specified hire rates.</w:t>
      </w:r>
    </w:p>
    <w:p>
      <w:pPr>
        <w:spacing w:after="0" w:line="150" w:lineRule="exact"/>
        <w:rPr>
          <w:sz w:val="20"/>
          <w:szCs w:val="20"/>
          <w:color w:val="auto"/>
        </w:rPr>
      </w:pPr>
    </w:p>
    <w:p>
      <w:pPr>
        <w:jc w:val="both"/>
        <w:ind w:right="80" w:firstLine="320"/>
        <w:spacing w:after="0" w:line="306" w:lineRule="auto"/>
        <w:rPr>
          <w:sz w:val="20"/>
          <w:szCs w:val="20"/>
          <w:color w:val="auto"/>
        </w:rPr>
      </w:pPr>
      <w:r>
        <w:rPr>
          <w:rFonts w:ascii="Arial" w:cs="Arial" w:eastAsia="Arial" w:hAnsi="Arial"/>
          <w:sz w:val="16"/>
          <w:szCs w:val="16"/>
          <w:color w:val="auto"/>
        </w:rPr>
        <w:t xml:space="preserve">Our time charter to Total for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began when the ship was delivered from the shipyard in March 2018. The initial charter term will terminate in 2025. Total has the option to extend the term of the charter of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which is now owned by Sea 190 Leasing and leased back to GasLog, by a three-year period at the charterer’s option at a specified hire rate.</w:t>
      </w:r>
    </w:p>
    <w:p>
      <w:pPr>
        <w:spacing w:after="0" w:line="150" w:lineRule="exact"/>
        <w:rPr>
          <w:sz w:val="20"/>
          <w:szCs w:val="20"/>
          <w:color w:val="auto"/>
        </w:rPr>
      </w:pPr>
    </w:p>
    <w:p>
      <w:pPr>
        <w:ind w:right="360" w:firstLine="320"/>
        <w:spacing w:after="0" w:line="258" w:lineRule="auto"/>
        <w:rPr>
          <w:sz w:val="20"/>
          <w:szCs w:val="20"/>
          <w:color w:val="auto"/>
        </w:rPr>
      </w:pPr>
      <w:r>
        <w:rPr>
          <w:rFonts w:ascii="Arial" w:cs="Arial" w:eastAsia="Arial" w:hAnsi="Arial"/>
          <w:sz w:val="18"/>
          <w:szCs w:val="18"/>
          <w:color w:val="auto"/>
        </w:rPr>
        <w:t xml:space="preserve">Our time charters to Centrica for the </w:t>
      </w:r>
      <w:r>
        <w:rPr>
          <w:rFonts w:ascii="Arial" w:cs="Arial" w:eastAsia="Arial" w:hAnsi="Arial"/>
          <w:sz w:val="18"/>
          <w:szCs w:val="18"/>
          <w:i w:val="1"/>
          <w:iCs w:val="1"/>
          <w:color w:val="auto"/>
        </w:rPr>
        <w:t>GasLog Windsor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began when the ships were delivered from the shipyard in 2020. The initial charter terms will terminate in 2027. Centrica has the option to extend the term of the charters by three consecutive periods of two years each at the charterer’s option.</w:t>
      </w:r>
    </w:p>
    <w:p>
      <w:pPr>
        <w:spacing w:after="0" w:line="186" w:lineRule="exact"/>
        <w:rPr>
          <w:sz w:val="20"/>
          <w:szCs w:val="20"/>
          <w:color w:val="auto"/>
        </w:rPr>
      </w:pPr>
    </w:p>
    <w:p>
      <w:pPr>
        <w:ind w:right="280" w:firstLine="320"/>
        <w:spacing w:after="0" w:line="270" w:lineRule="auto"/>
        <w:rPr>
          <w:sz w:val="20"/>
          <w:szCs w:val="20"/>
          <w:color w:val="auto"/>
        </w:rPr>
      </w:pPr>
      <w:r>
        <w:rPr>
          <w:rFonts w:ascii="Arial" w:cs="Arial" w:eastAsia="Arial" w:hAnsi="Arial"/>
          <w:sz w:val="18"/>
          <w:szCs w:val="18"/>
          <w:color w:val="auto"/>
        </w:rPr>
        <w:t xml:space="preserve">Our time charter to Jera for the </w:t>
      </w:r>
      <w:r>
        <w:rPr>
          <w:rFonts w:ascii="Arial" w:cs="Arial" w:eastAsia="Arial" w:hAnsi="Arial"/>
          <w:sz w:val="18"/>
          <w:szCs w:val="18"/>
          <w:i w:val="1"/>
          <w:iCs w:val="1"/>
          <w:color w:val="auto"/>
        </w:rPr>
        <w:t>GasLog Wales</w:t>
      </w:r>
      <w:r>
        <w:rPr>
          <w:rFonts w:ascii="Arial" w:cs="Arial" w:eastAsia="Arial" w:hAnsi="Arial"/>
          <w:sz w:val="18"/>
          <w:szCs w:val="18"/>
          <w:color w:val="auto"/>
        </w:rPr>
        <w:t xml:space="preserve"> began upon delivery of the vessel in 2020. The initial charter terms will terminate in 2032. Jera has the option to extend the term of the charter by two consecutive periods of three years.</w:t>
      </w:r>
    </w:p>
    <w:p>
      <w:pPr>
        <w:spacing w:after="0" w:line="175" w:lineRule="exact"/>
        <w:rPr>
          <w:sz w:val="20"/>
          <w:szCs w:val="20"/>
          <w:color w:val="auto"/>
        </w:rPr>
      </w:pPr>
    </w:p>
    <w:p>
      <w:pPr>
        <w:ind w:right="60" w:firstLine="320"/>
        <w:spacing w:after="0" w:line="296" w:lineRule="auto"/>
        <w:rPr>
          <w:sz w:val="20"/>
          <w:szCs w:val="20"/>
          <w:color w:val="auto"/>
        </w:rPr>
      </w:pPr>
      <w:r>
        <w:rPr>
          <w:rFonts w:ascii="Arial" w:cs="Arial" w:eastAsia="Arial" w:hAnsi="Arial"/>
          <w:sz w:val="16"/>
          <w:szCs w:val="16"/>
          <w:color w:val="auto"/>
        </w:rPr>
        <w:t xml:space="preserve">Our time charter to Cheniere for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began when the ship was delivered from the shipyard in 2020 and the initial charter terms will terminate in 2027. The time charters for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Wellington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Winchester</w:t>
      </w:r>
      <w:r>
        <w:rPr>
          <w:rFonts w:ascii="Arial" w:cs="Arial" w:eastAsia="Arial" w:hAnsi="Arial"/>
          <w:sz w:val="16"/>
          <w:szCs w:val="16"/>
          <w:color w:val="auto"/>
        </w:rPr>
        <w:t xml:space="preserve"> began upon delivery of the vessels from the shipyard in 2021 and the initial charter terms will terminate in 2028. Cheniere has the option to extend the term of each of the charters by three consecutive periods of three years, two years and two years, respectively.</w:t>
      </w:r>
    </w:p>
    <w:p>
      <w:pPr>
        <w:spacing w:after="0" w:line="160" w:lineRule="exact"/>
        <w:rPr>
          <w:sz w:val="20"/>
          <w:szCs w:val="20"/>
          <w:color w:val="auto"/>
        </w:rPr>
      </w:pPr>
    </w:p>
    <w:p>
      <w:pPr>
        <w:ind w:right="20" w:firstLine="320"/>
        <w:spacing w:after="0" w:line="270" w:lineRule="auto"/>
        <w:rPr>
          <w:sz w:val="20"/>
          <w:szCs w:val="20"/>
          <w:color w:val="auto"/>
        </w:rPr>
      </w:pPr>
      <w:r>
        <w:rPr>
          <w:rFonts w:ascii="Arial" w:cs="Arial" w:eastAsia="Arial" w:hAnsi="Arial"/>
          <w:sz w:val="18"/>
          <w:szCs w:val="18"/>
          <w:color w:val="auto"/>
        </w:rPr>
        <w:t xml:space="preserve">Our time charter to Endesa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began in May 2021. The initial charter term will terminate in 2029. Endesa has the option to extend the term of the charter by two six-year periods beyond the initial charter expiration date.</w:t>
      </w:r>
    </w:p>
    <w:p>
      <w:pPr>
        <w:spacing w:after="0" w:line="175" w:lineRule="exact"/>
        <w:rPr>
          <w:sz w:val="20"/>
          <w:szCs w:val="20"/>
          <w:color w:val="auto"/>
        </w:rPr>
      </w:pPr>
    </w:p>
    <w:p>
      <w:pPr>
        <w:jc w:val="both"/>
        <w:ind w:right="480" w:firstLine="320"/>
        <w:spacing w:after="0" w:line="333" w:lineRule="auto"/>
        <w:rPr>
          <w:sz w:val="20"/>
          <w:szCs w:val="20"/>
          <w:color w:val="auto"/>
        </w:rPr>
      </w:pPr>
      <w:r>
        <w:rPr>
          <w:rFonts w:ascii="Arial" w:cs="Arial" w:eastAsia="Arial" w:hAnsi="Arial"/>
          <w:sz w:val="16"/>
          <w:szCs w:val="16"/>
          <w:color w:val="auto"/>
        </w:rPr>
        <w:t>Our time charter to Mitsui for the Hull No. 2533 will begin upon delivery of the vessel from the shipyard in 2024 and the initial charter terms will terminate in 2033. Mitsui has the option to extend the term of the charter by two consecutive periods of two years.</w:t>
      </w:r>
    </w:p>
    <w:p>
      <w:pPr>
        <w:spacing w:after="0" w:line="130" w:lineRule="exact"/>
        <w:rPr>
          <w:sz w:val="20"/>
          <w:szCs w:val="20"/>
          <w:color w:val="auto"/>
        </w:rPr>
      </w:pPr>
    </w:p>
    <w:p>
      <w:pPr>
        <w:jc w:val="both"/>
        <w:ind w:right="300" w:firstLine="320"/>
        <w:spacing w:after="0" w:line="258" w:lineRule="auto"/>
        <w:rPr>
          <w:sz w:val="20"/>
          <w:szCs w:val="20"/>
          <w:color w:val="auto"/>
        </w:rPr>
      </w:pPr>
      <w:r>
        <w:rPr>
          <w:rFonts w:ascii="Arial" w:cs="Arial" w:eastAsia="Arial" w:hAnsi="Arial"/>
          <w:sz w:val="18"/>
          <w:szCs w:val="18"/>
          <w:color w:val="auto"/>
        </w:rPr>
        <w:t>Our time charters for the Hull Nos. 2534 and 2535 will begin upon delivery of the vessels from the shipyard in 2025 and the initial charter terms will terminate in 2035. The charterer has the option to extend the term of the charter by two consecutive periods of three years and two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Spot Market (defined as charter parties with initial duration of less than five years)</w:t>
      </w:r>
    </w:p>
    <w:p>
      <w:pPr>
        <w:spacing w:after="0" w:line="220" w:lineRule="exact"/>
        <w:rPr>
          <w:sz w:val="20"/>
          <w:szCs w:val="20"/>
          <w:color w:val="auto"/>
        </w:rPr>
      </w:pPr>
    </w:p>
    <w:p>
      <w:pPr>
        <w:jc w:val="both"/>
        <w:ind w:right="200" w:firstLine="320"/>
        <w:spacing w:after="0" w:line="258" w:lineRule="auto"/>
        <w:rPr>
          <w:sz w:val="20"/>
          <w:szCs w:val="20"/>
          <w:color w:val="auto"/>
        </w:rPr>
      </w:pPr>
      <w:r>
        <w:rPr>
          <w:rFonts w:ascii="Arial" w:cs="Arial" w:eastAsia="Arial" w:hAnsi="Arial"/>
          <w:sz w:val="18"/>
          <w:szCs w:val="18"/>
          <w:color w:val="auto"/>
        </w:rPr>
        <w:t xml:space="preserve">Our time charter to Trafigura for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began in August 2018 and following Charterer’s extension declaration of the first optional period of one year, the charter will terminate in December 2022. Trafigura has various options to further extend the term of the time charter for between one and six years at specified rates.</w:t>
      </w:r>
    </w:p>
    <w:p>
      <w:pPr>
        <w:spacing w:after="0" w:line="186" w:lineRule="exact"/>
        <w:rPr>
          <w:sz w:val="20"/>
          <w:szCs w:val="20"/>
          <w:color w:val="auto"/>
        </w:rPr>
      </w:pPr>
    </w:p>
    <w:p>
      <w:pPr>
        <w:ind w:right="280" w:firstLine="320"/>
        <w:spacing w:after="0" w:line="306" w:lineRule="auto"/>
        <w:rPr>
          <w:sz w:val="20"/>
          <w:szCs w:val="20"/>
          <w:color w:val="auto"/>
        </w:rPr>
      </w:pPr>
      <w:r>
        <w:rPr>
          <w:rFonts w:ascii="Arial" w:cs="Arial" w:eastAsia="Arial" w:hAnsi="Arial"/>
          <w:sz w:val="16"/>
          <w:szCs w:val="16"/>
          <w:color w:val="auto"/>
        </w:rPr>
        <w:t xml:space="preserve">Our time charters to Gunvor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began in June 2019 and the charters will terminate in November 2022 and March 2023 respectively. They have a variable rate of hire within an agreed range during the charter period. The vessels are now owned by a wholly-owned subsidiary of CDBL and leased back to GasLog and GasLog Partners, respectively.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Our time charter to JOVO for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began in July 2020 and will terminate in August 2022.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Our time charter to CNTIC VPower for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began in October 2020 and the charter will terminate in 2023.</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CNTIC VPower has the option to extend the term of the charter by two consecutive periods of one year.</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initial time charter for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to Cheniere began in December 2020 and the charter will terminate in 2023.</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Cheniere has the option to extend the term of the charter by two consecutive periods of one year.</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commenced a one-year charter with Cheniere in June 2021 and will terminate in June 2022.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Rita Andrea’s</w:t>
      </w:r>
      <w:r>
        <w:rPr>
          <w:rFonts w:ascii="Arial" w:cs="Arial" w:eastAsia="Arial" w:hAnsi="Arial"/>
          <w:sz w:val="18"/>
          <w:szCs w:val="18"/>
          <w:color w:val="auto"/>
        </w:rPr>
        <w:t xml:space="preserve"> current time charter with Gunvor will terminate in September 2022.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commenced a one-year charter with Naturgy in June 2021 and will terminate in June 2022.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commenced a one-year charter with ENI in April 2021 and will terminate in April 2022.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commenced a one-year charter with RWE in July 2021 and will terminate in April 2022.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commenced a one-year charter with Chevron in September 2021 and will terminate in September 2022.</w:t>
      </w:r>
    </w:p>
    <w:p>
      <w:pPr>
        <w:spacing w:after="0" w:line="231" w:lineRule="exact"/>
        <w:rPr>
          <w:sz w:val="20"/>
          <w:szCs w:val="20"/>
          <w:color w:val="auto"/>
        </w:rPr>
      </w:pPr>
    </w:p>
    <w:p>
      <w:pPr>
        <w:ind w:right="200" w:firstLine="320"/>
        <w:spacing w:after="0" w:line="27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are both on charter to Total for a firm period of slightly less than one year. The charters commenced in June 2021 and July 2021 respectively and will be terminated in June 2022.</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commenced a three-year charter with Mitsui in September 2021 and will be terminated in September 2024.</w:t>
      </w:r>
    </w:p>
    <w:p>
      <w:pPr>
        <w:spacing w:after="0" w:line="243" w:lineRule="exact"/>
        <w:rPr>
          <w:sz w:val="20"/>
          <w:szCs w:val="20"/>
          <w:color w:val="auto"/>
        </w:rPr>
      </w:pPr>
    </w:p>
    <w:p>
      <w:pPr>
        <w:ind w:right="120" w:firstLine="320"/>
        <w:spacing w:after="0" w:line="270" w:lineRule="auto"/>
        <w:rPr>
          <w:sz w:val="20"/>
          <w:szCs w:val="20"/>
          <w:color w:val="auto"/>
        </w:rPr>
      </w:pPr>
      <w:r>
        <w:rPr>
          <w:rFonts w:ascii="Arial" w:cs="Arial" w:eastAsia="Arial" w:hAnsi="Arial"/>
          <w:sz w:val="18"/>
          <w:szCs w:val="18"/>
          <w:color w:val="auto"/>
        </w:rPr>
        <w:t xml:space="preserve">The rates and period for the fixtures of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vary from charter to charter, as is the nature of trading in the spot charter market under contracts of up to six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0" w:lineRule="exact"/>
        <w:rPr>
          <w:sz w:val="20"/>
          <w:szCs w:val="20"/>
          <w:color w:val="auto"/>
        </w:rPr>
      </w:pPr>
    </w:p>
    <w:p>
      <w:pPr>
        <w:jc w:val="both"/>
        <w:ind w:right="80" w:firstLine="320"/>
        <w:spacing w:after="0" w:line="258" w:lineRule="auto"/>
        <w:rPr>
          <w:sz w:val="20"/>
          <w:szCs w:val="20"/>
          <w:color w:val="auto"/>
        </w:rPr>
      </w:pPr>
      <w:r>
        <w:rPr>
          <w:rFonts w:ascii="Arial" w:cs="Arial" w:eastAsia="Arial" w:hAnsi="Arial"/>
          <w:sz w:val="18"/>
          <w:szCs w:val="18"/>
          <w:color w:val="auto"/>
        </w:rPr>
        <w:t>“Hire rate” refers to the basic payment from the customer for use of the ship. Under all of our time charters, the hire rate is payable to us monthly in advance in U.S. dollars. Depending on the time charter contract, there are four methods by which the daily hire rate for our owned ships is determined:</w:t>
      </w:r>
    </w:p>
    <w:p>
      <w:pPr>
        <w:spacing w:after="0" w:line="186" w:lineRule="exact"/>
        <w:rPr>
          <w:sz w:val="20"/>
          <w:szCs w:val="20"/>
          <w:color w:val="auto"/>
        </w:rPr>
      </w:pPr>
    </w:p>
    <w:p>
      <w:pPr>
        <w:ind w:left="680" w:hanging="326"/>
        <w:spacing w:after="0" w:line="289"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may increase annually at a fixed or floating (index linked percentage). Although the daily amount of the operating cost component is fixed (and potentially subject to a specified annual increase), it is intended to correspond to the costs of operating the ship and related expenses.</w:t>
      </w:r>
    </w:p>
    <w:p>
      <w:pPr>
        <w:spacing w:after="0" w:line="98" w:lineRule="exact"/>
        <w:rPr>
          <w:rFonts w:ascii="Arial" w:cs="Arial" w:eastAsia="Arial" w:hAnsi="Arial"/>
          <w:sz w:val="16"/>
          <w:szCs w:val="16"/>
          <w:color w:val="auto"/>
        </w:rPr>
      </w:pPr>
    </w:p>
    <w:p>
      <w:pPr>
        <w:ind w:left="680" w:right="20" w:hanging="326"/>
        <w:spacing w:after="0" w:line="300"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71" w:lineRule="exact"/>
        <w:rPr>
          <w:rFonts w:ascii="Arial" w:cs="Arial" w:eastAsia="Arial" w:hAnsi="Arial"/>
          <w:sz w:val="17"/>
          <w:szCs w:val="17"/>
          <w:color w:val="auto"/>
        </w:rPr>
      </w:pPr>
    </w:p>
    <w:p>
      <w:pPr>
        <w:ind w:left="680" w:right="60" w:hanging="326"/>
        <w:spacing w:after="0" w:line="289"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Under the third method, the hire rate is based on a base hire rate adjustment mechanism for each voyage and is calculated by taking the average of the daily spot market headline rates of three broker reports. The three broker reports used for this calculation shall be drawn from the week which contains the date that is twenty (20) days prior to each loading date. The voyage is defined as being from drop last pilot at the discharge port until the drop last pilot at the next discharge port. For each voyage, the broker average daily rate, shall be subject to certain adjustments to determine the “Actual daily hire rate” of that voyage. The hire rate for each voyage is subject to maximum ceiling and minimum floor rates.</w:t>
      </w:r>
    </w:p>
    <w:p>
      <w:pPr>
        <w:spacing w:after="0" w:line="98" w:lineRule="exact"/>
        <w:rPr>
          <w:rFonts w:ascii="Arial" w:cs="Arial" w:eastAsia="Arial" w:hAnsi="Arial"/>
          <w:sz w:val="16"/>
          <w:szCs w:val="16"/>
          <w:color w:val="auto"/>
        </w:rPr>
      </w:pPr>
    </w:p>
    <w:p>
      <w:pPr>
        <w:ind w:left="680" w:right="260" w:hanging="326"/>
        <w:spacing w:after="0" w:line="333"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Under the fourth method, the hire rate is based on a base hire rate adjustment mechanism for each voyage and is calculated by taking the average rates of the BLNG1 (Gladstone to Tokyo), BLNG2 (Sabine Pass to UK Continent RV) and BLNG3</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40"/>
        <w:spacing w:after="0" w:line="258" w:lineRule="auto"/>
        <w:rPr>
          <w:sz w:val="20"/>
          <w:szCs w:val="20"/>
          <w:color w:val="auto"/>
        </w:rPr>
      </w:pPr>
      <w:r>
        <w:rPr>
          <w:rFonts w:ascii="Arial" w:cs="Arial" w:eastAsia="Arial" w:hAnsi="Arial"/>
          <w:sz w:val="18"/>
          <w:szCs w:val="18"/>
          <w:color w:val="auto"/>
        </w:rPr>
        <w:t>(Sabine to Tokyo) routes as published by Baltic Exchange under Baltic Exchange Liquefied Natural Gas Index. If M is the month in which the vessel tenders the Notice of Readiness at a load port, averages of the previous month M-1 shall be used. The hire rate for each voyage is subject to maximum ceiling and minimum floor rates.</w:t>
      </w:r>
    </w:p>
    <w:p>
      <w:pPr>
        <w:spacing w:after="0" w:line="186" w:lineRule="exact"/>
        <w:rPr>
          <w:sz w:val="20"/>
          <w:szCs w:val="20"/>
          <w:color w:val="auto"/>
        </w:rPr>
      </w:pPr>
    </w:p>
    <w:p>
      <w:pPr>
        <w:ind w:right="380" w:firstLine="320"/>
        <w:spacing w:after="0" w:line="258" w:lineRule="auto"/>
        <w:rPr>
          <w:sz w:val="20"/>
          <w:szCs w:val="20"/>
          <w:color w:val="auto"/>
        </w:rPr>
      </w:pPr>
      <w:r>
        <w:rPr>
          <w:rFonts w:ascii="Arial" w:cs="Arial" w:eastAsia="Arial" w:hAnsi="Arial"/>
          <w:sz w:val="18"/>
          <w:szCs w:val="18"/>
          <w:color w:val="auto"/>
        </w:rPr>
        <w:t>The hire rates for each of our ships may be reduced if the ship does not perform to certain of its specifications or if we breach our obligations under the charter. We have had no instances of hire rate reductions since the first two of our owned ships commenced operations in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0"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For the vessels operating in the short-term spot market we take advantage of any idle period to enable us to perform the required maintenance. Our ships are being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88" w:lineRule="exact"/>
        <w:rPr>
          <w:sz w:val="20"/>
          <w:szCs w:val="20"/>
          <w:color w:val="auto"/>
        </w:rPr>
      </w:pPr>
    </w:p>
    <w:p>
      <w:pPr>
        <w:ind w:right="240" w:firstLine="320"/>
        <w:spacing w:after="0" w:line="270"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Our ships are considered to be on a scheduled off-hire under our time charters during such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0" w:lineRule="exact"/>
        <w:rPr>
          <w:sz w:val="20"/>
          <w:szCs w:val="20"/>
          <w:color w:val="auto"/>
        </w:rPr>
      </w:pPr>
    </w:p>
    <w:p>
      <w:pPr>
        <w:ind w:firstLine="320"/>
        <w:spacing w:after="0" w:line="251" w:lineRule="auto"/>
        <w:rPr>
          <w:sz w:val="20"/>
          <w:szCs w:val="20"/>
          <w:color w:val="auto"/>
        </w:rPr>
      </w:pPr>
      <w:r>
        <w:rPr>
          <w:rFonts w:ascii="Arial" w:cs="Arial" w:eastAsia="Arial" w:hAnsi="Arial"/>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specified period of time which can vary from charter to charter. In addition, our charterers have the option to terminate a charter if the relevant ship is off-hire for any reason other than scheduled dry-dockings. The number of off-hire days which trigger this option varies dependent on the terms of the individual charter parties.</w:t>
      </w:r>
    </w:p>
    <w:p>
      <w:pPr>
        <w:spacing w:after="0" w:line="193" w:lineRule="exact"/>
        <w:rPr>
          <w:sz w:val="20"/>
          <w:szCs w:val="20"/>
          <w:color w:val="auto"/>
        </w:rPr>
      </w:pPr>
    </w:p>
    <w:p>
      <w:pPr>
        <w:ind w:right="200" w:firstLine="320"/>
        <w:spacing w:after="0" w:line="258" w:lineRule="auto"/>
        <w:rPr>
          <w:sz w:val="20"/>
          <w:szCs w:val="20"/>
          <w:color w:val="auto"/>
        </w:rPr>
      </w:pPr>
      <w:r>
        <w:rPr>
          <w:rFonts w:ascii="Arial" w:cs="Arial" w:eastAsia="Arial" w:hAnsi="Arial"/>
          <w:sz w:val="18"/>
          <w:szCs w:val="18"/>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186" w:lineRule="exact"/>
        <w:rPr>
          <w:sz w:val="20"/>
          <w:szCs w:val="20"/>
          <w:color w:val="auto"/>
        </w:rPr>
      </w:pPr>
    </w:p>
    <w:p>
      <w:pPr>
        <w:ind w:right="140" w:firstLine="320"/>
        <w:spacing w:after="0" w:line="269" w:lineRule="auto"/>
        <w:rPr>
          <w:sz w:val="20"/>
          <w:szCs w:val="20"/>
          <w:color w:val="auto"/>
        </w:rPr>
      </w:pPr>
      <w:r>
        <w:rPr>
          <w:rFonts w:ascii="Arial" w:cs="Arial" w:eastAsia="Arial" w:hAnsi="Arial"/>
          <w:sz w:val="17"/>
          <w:szCs w:val="17"/>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parallel with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Bareboat Charters</w:t>
      </w:r>
    </w:p>
    <w:p>
      <w:pPr>
        <w:spacing w:after="0" w:line="220" w:lineRule="exact"/>
        <w:rPr>
          <w:sz w:val="20"/>
          <w:szCs w:val="20"/>
          <w:color w:val="auto"/>
        </w:rPr>
      </w:pPr>
    </w:p>
    <w:p>
      <w:pPr>
        <w:ind w:right="60" w:firstLine="320"/>
        <w:spacing w:after="0" w:line="252" w:lineRule="auto"/>
        <w:rPr>
          <w:sz w:val="20"/>
          <w:szCs w:val="20"/>
          <w:color w:val="auto"/>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Lepta Shipping. Lepta Shipping has the right to on-sell and lease back the vessel. The vessel was sold to Lepta Shipping for a total consideration approximately equivalent to its book value at the time of the sale. GAS-twenty six Ltd. has leased back the vessel under a bareboat charter from Lepta Shipping for a period of up to 20 years. GAS-twenty six Ltd. has the option to re-purchase the vessel on pre-agreed terms no earlier than the end of year ten and no later than the end of year 17 of the bareboat charter. The vessel remains on its 11 year charter with MSL.</w:t>
      </w:r>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100" w:firstLine="320"/>
        <w:spacing w:after="0" w:line="350" w:lineRule="auto"/>
        <w:rPr>
          <w:sz w:val="20"/>
          <w:szCs w:val="20"/>
          <w:color w:val="auto"/>
        </w:rPr>
      </w:pPr>
      <w:r>
        <w:rPr>
          <w:rFonts w:ascii="Arial" w:cs="Arial" w:eastAsia="Arial" w:hAnsi="Arial"/>
          <w:sz w:val="14"/>
          <w:szCs w:val="14"/>
          <w:color w:val="auto"/>
        </w:rPr>
        <w:t xml:space="preserve">On October 21, 2020, GasLog’s subsidiary, GAS-twenty five Ltd., completed the sale and leaseback of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with Sea 190 Leasing. The vessel was sold to Sea 190 Leasing. GAS-twenty five Ltd. has leased back the vessel under a bareboat charter from Sea 190 Leasing for a period of up to twelve years. GAS-twenty five Ltd. has the option to re-purchase the vessel on pre-agreed terms no earlier than the end of year one and no later than the end of year 12 of the bareboat charter. The vessel remains on its charter with Total.</w:t>
      </w:r>
    </w:p>
    <w:p>
      <w:pPr>
        <w:spacing w:after="0" w:line="128" w:lineRule="exact"/>
        <w:rPr>
          <w:sz w:val="20"/>
          <w:szCs w:val="20"/>
          <w:color w:val="auto"/>
        </w:rPr>
      </w:pPr>
    </w:p>
    <w:p>
      <w:pPr>
        <w:ind w:right="60" w:firstLine="320"/>
        <w:spacing w:after="0" w:line="292" w:lineRule="auto"/>
        <w:rPr>
          <w:sz w:val="20"/>
          <w:szCs w:val="20"/>
          <w:color w:val="auto"/>
        </w:rPr>
      </w:pPr>
      <w:r>
        <w:rPr>
          <w:rFonts w:ascii="Arial" w:cs="Arial" w:eastAsia="Arial" w:hAnsi="Arial"/>
          <w:sz w:val="16"/>
          <w:szCs w:val="16"/>
          <w:color w:val="auto"/>
        </w:rPr>
        <w:t xml:space="preserve">On January 22, 2021, GasLog’s subsidiary, GAS-twenty four Ltd., completed the sale and leaseback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 Hai Kuo Shipping. The vessel was sold to Hai Kuo Shipping. GAS-twenty four Ltd. has leased back the vessel under a bareboat charter from Hai Kuo Shipping for a period of up to eight years. GAS-twenty four Ltd. has the obligation to re-purchase the vessel at the end of the charter period. GAS-twenty four Ltd. has also the option to re-purchase the vessel on pre-agreed terms no earlier than the first interest period and no later than the end of year eight of the bareboat charter. The vessel remains on its charter with Shell.</w:t>
      </w:r>
    </w:p>
    <w:p>
      <w:pPr>
        <w:spacing w:after="0" w:line="162" w:lineRule="exact"/>
        <w:rPr>
          <w:sz w:val="20"/>
          <w:szCs w:val="20"/>
          <w:color w:val="auto"/>
        </w:rPr>
      </w:pPr>
    </w:p>
    <w:p>
      <w:pPr>
        <w:ind w:firstLine="320"/>
        <w:spacing w:after="0" w:line="367" w:lineRule="auto"/>
        <w:rPr>
          <w:sz w:val="20"/>
          <w:szCs w:val="20"/>
          <w:color w:val="auto"/>
        </w:rPr>
      </w:pPr>
      <w:r>
        <w:rPr>
          <w:rFonts w:ascii="Arial" w:cs="Arial" w:eastAsia="Arial" w:hAnsi="Arial"/>
          <w:sz w:val="14"/>
          <w:szCs w:val="14"/>
          <w:color w:val="auto"/>
        </w:rPr>
        <w:t xml:space="preserve">On October 26, 2021, GasLog Partners’ subsidiary GAS-three Ltd and GasLog’s subsidiary GAS-ten Ltd. completed the sale and lease-back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Salem</w:t>
      </w:r>
      <w:r>
        <w:rPr>
          <w:rFonts w:ascii="Arial" w:cs="Arial" w:eastAsia="Arial" w:hAnsi="Arial"/>
          <w:sz w:val="14"/>
          <w:szCs w:val="14"/>
          <w:color w:val="auto"/>
        </w:rPr>
        <w:t xml:space="preserve"> respectively with CDBL. The vessels were sold and leased back under bareboat charters with CDBL for a period of five years with no repurchase option or obligation. The vessels remain on their charters with Gunvor.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Shipbuilding Contracts</w:t>
      </w:r>
    </w:p>
    <w:p>
      <w:pPr>
        <w:spacing w:after="0" w:line="224" w:lineRule="exact"/>
        <w:rPr>
          <w:sz w:val="20"/>
          <w:szCs w:val="20"/>
          <w:color w:val="auto"/>
        </w:rPr>
      </w:pPr>
    </w:p>
    <w:p>
      <w:pPr>
        <w:ind w:right="200" w:firstLine="320"/>
        <w:spacing w:after="0" w:line="258" w:lineRule="auto"/>
        <w:rPr>
          <w:sz w:val="20"/>
          <w:szCs w:val="20"/>
          <w:color w:val="auto"/>
        </w:rPr>
      </w:pPr>
      <w:r>
        <w:rPr>
          <w:rFonts w:ascii="Arial" w:cs="Arial" w:eastAsia="Arial" w:hAnsi="Arial"/>
          <w:sz w:val="18"/>
          <w:szCs w:val="18"/>
          <w:color w:val="auto"/>
        </w:rPr>
        <w:t>As of December 31, 2021, our active shipbuilding contracts with DSME in respect of four newbuildings have an aggregate contract price of approximately $820.7 million. As of December 31, 2021, the aggregate outstanding balance was $820.7 million. All of our obligations under the shipbuilding contracts are payable in U.S. dollars.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our remaining payment obligations under the shipbuilding contracts were as follows:</w:t>
      </w:r>
    </w:p>
    <w:p>
      <w:pPr>
        <w:sectPr>
          <w:pgSz w:w="11900" w:h="16838" w:orient="portrait"/>
          <w:cols w:equalWidth="0" w:num="1">
            <w:col w:w="9880"/>
          </w:cols>
          <w:pgMar w:left="980" w:top="65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Amounts due in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-121920</wp:posOffset>
            </wp:positionV>
            <wp:extent cx="6295390" cy="135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5390"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Amounts due in one to three years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Amounts due in three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6295390" cy="135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5390"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15671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186" w:lineRule="exact"/>
        <w:rPr>
          <w:sz w:val="20"/>
          <w:szCs w:val="20"/>
          <w:color w:val="auto"/>
        </w:rPr>
      </w:pPr>
    </w:p>
    <w:p>
      <w:pPr>
        <w:ind w:left="320" w:hanging="313"/>
        <w:spacing w:after="0"/>
        <w:tabs>
          <w:tab w:leader="none" w:pos="320" w:val="left"/>
        </w:tabs>
        <w:numPr>
          <w:ilvl w:val="0"/>
          <w:numId w:val="48"/>
        </w:numPr>
        <w:rPr>
          <w:rFonts w:ascii="Arial" w:cs="Arial" w:eastAsia="Arial" w:hAnsi="Arial"/>
          <w:sz w:val="9"/>
          <w:szCs w:val="9"/>
          <w:color w:val="auto"/>
        </w:rPr>
      </w:pPr>
      <w:r>
        <w:rPr>
          <w:rFonts w:ascii="Arial" w:cs="Arial" w:eastAsia="Arial" w:hAnsi="Arial"/>
          <w:sz w:val="12"/>
          <w:szCs w:val="12"/>
          <w:color w:val="auto"/>
        </w:rPr>
        <w:t>Instalments of $41.2 million have already been paid in 2022 to date.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As of</w:t>
      </w:r>
    </w:p>
    <w:p>
      <w:pPr>
        <w:jc w:val="center"/>
        <w:ind w:right="60"/>
        <w:spacing w:after="0" w:line="195" w:lineRule="auto"/>
        <w:rPr>
          <w:sz w:val="20"/>
          <w:szCs w:val="20"/>
          <w:color w:val="auto"/>
        </w:rPr>
      </w:pPr>
      <w:r>
        <w:rPr>
          <w:rFonts w:ascii="Arial" w:cs="Arial" w:eastAsia="Arial" w:hAnsi="Arial"/>
          <w:sz w:val="12"/>
          <w:szCs w:val="12"/>
          <w:b w:val="1"/>
          <w:bCs w:val="1"/>
          <w:color w:val="auto"/>
        </w:rPr>
        <w:t>December 31, 2021</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-3175</wp:posOffset>
            </wp:positionV>
            <wp:extent cx="940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140"/>
        <w:spacing w:after="0" w:line="219" w:lineRule="auto"/>
        <w:rPr>
          <w:sz w:val="20"/>
          <w:szCs w:val="20"/>
          <w:color w:val="auto"/>
        </w:rPr>
      </w:pPr>
      <w:r>
        <w:rPr>
          <w:rFonts w:ascii="Arial" w:cs="Arial" w:eastAsia="Arial" w:hAnsi="Arial"/>
          <w:sz w:val="14"/>
          <w:szCs w:val="14"/>
          <w:b w:val="1"/>
          <w:bCs w:val="1"/>
          <w:color w:val="auto"/>
        </w:rPr>
        <w:t>(in thousands of</w:t>
      </w:r>
    </w:p>
    <w:p>
      <w:pPr>
        <w:ind w:left="260"/>
        <w:spacing w:after="0" w:line="231" w:lineRule="auto"/>
        <w:rPr>
          <w:sz w:val="20"/>
          <w:szCs w:val="20"/>
          <w:color w:val="auto"/>
        </w:rPr>
      </w:pPr>
      <w:r>
        <w:rPr>
          <w:rFonts w:ascii="Arial" w:cs="Arial" w:eastAsia="Arial" w:hAnsi="Arial"/>
          <w:sz w:val="14"/>
          <w:szCs w:val="14"/>
          <w:b w:val="1"/>
          <w:bCs w:val="1"/>
          <w:color w:val="auto"/>
        </w:rPr>
        <w:t>U.S. dollars)</w:t>
      </w:r>
    </w:p>
    <w:p>
      <w:pPr>
        <w:jc w:val="right"/>
        <w:ind w:right="20"/>
        <w:spacing w:after="0"/>
        <w:rPr>
          <w:sz w:val="20"/>
          <w:szCs w:val="20"/>
          <w:color w:val="auto"/>
        </w:rPr>
      </w:pPr>
      <w:r>
        <w:rPr>
          <w:rFonts w:ascii="Arial" w:cs="Arial" w:eastAsia="Arial" w:hAnsi="Arial"/>
          <w:sz w:val="18"/>
          <w:szCs w:val="18"/>
          <w:color w:val="auto"/>
        </w:rPr>
        <w:t>123,098</w:t>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451,360</w:t>
      </w:r>
    </w:p>
    <w:p>
      <w:pPr>
        <w:spacing w:after="0" w:line="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246,196</w:t>
      </w:r>
    </w:p>
    <w:p>
      <w:pPr>
        <w:spacing w:after="0" w:line="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820,654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13335</wp:posOffset>
            </wp:positionV>
            <wp:extent cx="940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043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30480</wp:posOffset>
            </wp:positionV>
            <wp:extent cx="940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043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-130175</wp:posOffset>
            </wp:positionV>
            <wp:extent cx="940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7820" w:space="720"/>
            <w:col w:w="1340"/>
          </w:cols>
          <w:pgMar w:left="980" w:top="659" w:right="1039" w:bottom="1440" w:gutter="0" w:footer="0" w:header="0"/>
          <w:type w:val="continuous"/>
        </w:sectPr>
      </w:pPr>
    </w:p>
    <w:p>
      <w:pPr>
        <w:spacing w:after="0" w:line="27" w:lineRule="exact"/>
        <w:rPr>
          <w:sz w:val="20"/>
          <w:szCs w:val="20"/>
          <w:color w:val="auto"/>
        </w:rPr>
      </w:pPr>
    </w:p>
    <w:p>
      <w:pPr>
        <w:ind w:right="80" w:firstLine="320"/>
        <w:spacing w:after="0" w:line="271" w:lineRule="auto"/>
        <w:rPr>
          <w:sz w:val="20"/>
          <w:szCs w:val="20"/>
          <w:color w:val="auto"/>
        </w:rPr>
      </w:pPr>
      <w:r>
        <w:rPr>
          <w:rFonts w:ascii="Arial" w:cs="Arial" w:eastAsia="Arial" w:hAnsi="Arial"/>
          <w:sz w:val="17"/>
          <w:szCs w:val="17"/>
          <w:color w:val="auto"/>
        </w:rPr>
        <w:t>The shipbuilding contracts provide for the four newbuildings to be delivered and ready for immediate operation on various dates in 2024 and 2025. Each shipbuilding contract requires DSME to pay us liquidated damages in the event of certain delays in the delivery of the relevant ship due to DSME’s default unless such delays are attributable to a force majeure event or caused by any other permissible reason under the shipbuilding contract and, in the event of a prolonged delay, we would have the right to cancel the contract and receive a refund of any installment payments previously made on the ship.</w:t>
      </w:r>
    </w:p>
    <w:p>
      <w:pPr>
        <w:spacing w:after="0" w:line="177" w:lineRule="exact"/>
        <w:rPr>
          <w:sz w:val="20"/>
          <w:szCs w:val="20"/>
          <w:color w:val="auto"/>
        </w:rPr>
      </w:pPr>
    </w:p>
    <w:p>
      <w:pPr>
        <w:ind w:right="200" w:firstLine="320"/>
        <w:spacing w:after="0" w:line="269" w:lineRule="auto"/>
        <w:rPr>
          <w:sz w:val="20"/>
          <w:szCs w:val="20"/>
          <w:color w:val="auto"/>
        </w:rPr>
      </w:pPr>
      <w:r>
        <w:rPr>
          <w:rFonts w:ascii="Arial" w:cs="Arial" w:eastAsia="Arial" w:hAnsi="Arial"/>
          <w:sz w:val="17"/>
          <w:szCs w:val="17"/>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ten business days (save for a default relevant to the winding up of the owner or guarantor for which the delay period should not be more than 21 days), DSME would have the option of cancelling the applicable shipbuilding contract and retaining any installment payments previously funded by us under the contract.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Services and Construction Supervision</w:t>
      </w:r>
    </w:p>
    <w:p>
      <w:pPr>
        <w:spacing w:after="0" w:line="224"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 xml:space="preserve">Except for the </w:t>
      </w:r>
      <w:r>
        <w:rPr>
          <w:rFonts w:ascii="Arial" w:cs="Arial" w:eastAsia="Arial" w:hAnsi="Arial"/>
          <w:sz w:val="16"/>
          <w:szCs w:val="16"/>
          <w:i w:val="1"/>
          <w:iCs w:val="1"/>
          <w:color w:val="auto"/>
        </w:rPr>
        <w:t>Solaris</w:t>
      </w:r>
      <w:r>
        <w:rPr>
          <w:rFonts w:ascii="Arial" w:cs="Arial" w:eastAsia="Arial" w:hAnsi="Arial"/>
          <w:sz w:val="16"/>
          <w:szCs w:val="16"/>
          <w:color w:val="auto"/>
        </w:rPr>
        <w:t>, which is managed by a subsidiary of Shell, management of our owned and bareboat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 xml:space="preserve">management services for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ship in which we have a 25.0% ownership interest. During the year ended December 31, 2021, ship management services provided to external customers accounted for approximately 0.1% of our consolidated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Supervision</w:t>
      </w:r>
    </w:p>
    <w:p>
      <w:pPr>
        <w:spacing w:after="0" w:line="220" w:lineRule="exact"/>
        <w:rPr>
          <w:sz w:val="20"/>
          <w:szCs w:val="20"/>
          <w:color w:val="auto"/>
        </w:rPr>
      </w:pPr>
    </w:p>
    <w:p>
      <w:pPr>
        <w:ind w:right="20" w:firstLine="320"/>
        <w:spacing w:after="0" w:line="269" w:lineRule="auto"/>
        <w:rPr>
          <w:sz w:val="20"/>
          <w:szCs w:val="20"/>
          <w:color w:val="auto"/>
        </w:rPr>
      </w:pPr>
      <w:r>
        <w:rPr>
          <w:rFonts w:ascii="Arial" w:cs="Arial" w:eastAsia="Arial" w:hAnsi="Arial"/>
          <w:sz w:val="17"/>
          <w:szCs w:val="17"/>
          <w:color w:val="auto"/>
        </w:rPr>
        <w:t xml:space="preserve">We supervise and manage the construction of our newbuildings through GasLog LNG Services. During the newbuildings process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Arial" w:cs="Arial" w:eastAsia="Arial" w:hAnsi="Arial"/>
          <w:sz w:val="17"/>
          <w:szCs w:val="17"/>
          <w:i w:val="1"/>
          <w:iCs w:val="1"/>
          <w:color w:val="auto"/>
        </w:rPr>
        <w:t>Methane Nile Eagle</w:t>
      </w:r>
      <w:r>
        <w:rPr>
          <w:rFonts w:ascii="Arial" w:cs="Arial" w:eastAsia="Arial" w:hAnsi="Arial"/>
          <w:sz w:val="17"/>
          <w:szCs w:val="17"/>
          <w:color w:val="auto"/>
        </w:rPr>
        <w:t>, all of which were constructed at Samsung.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and Operational Management</w:t>
      </w:r>
    </w:p>
    <w:p>
      <w:pPr>
        <w:spacing w:after="0" w:line="220" w:lineRule="exact"/>
        <w:rPr>
          <w:sz w:val="20"/>
          <w:szCs w:val="20"/>
          <w:color w:val="auto"/>
        </w:rPr>
      </w:pPr>
    </w:p>
    <w:p>
      <w:pPr>
        <w:ind w:right="240" w:firstLine="320"/>
        <w:spacing w:after="0" w:line="252" w:lineRule="auto"/>
        <w:rPr>
          <w:sz w:val="20"/>
          <w:szCs w:val="20"/>
          <w:color w:val="auto"/>
        </w:rPr>
      </w:pPr>
      <w:r>
        <w:rPr>
          <w:rFonts w:ascii="Arial" w:cs="Arial" w:eastAsia="Arial" w:hAnsi="Arial"/>
          <w:sz w:val="18"/>
          <w:szCs w:val="18"/>
          <w:color w:val="auto"/>
        </w:rPr>
        <w:t xml:space="preserve">Pursuant to ship management agreements, through GasLog LNG Services we manage the day-to-day aspects of ship operations for our owned and bareboat fleet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and for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owned by Egypt LNG. The services provided include crewing, training, employing armed guards for transport in certain high-risk areas, insurance, maintenance and repair, procurement of supplies and equipment, regulatory and classification compliance and HSSE management and reporting, as well as dry-docking under certain charters. We utilize certain third-party sub-contractors and suppliers in carrying out our technical management responsibilities.</w:t>
      </w:r>
    </w:p>
    <w:p>
      <w:pPr>
        <w:spacing w:after="0" w:line="190" w:lineRule="exact"/>
        <w:rPr>
          <w:sz w:val="20"/>
          <w:szCs w:val="20"/>
          <w:color w:val="auto"/>
        </w:rPr>
      </w:pPr>
    </w:p>
    <w:p>
      <w:pPr>
        <w:ind w:right="140" w:firstLine="320"/>
        <w:spacing w:after="0" w:line="266" w:lineRule="auto"/>
        <w:rPr>
          <w:sz w:val="20"/>
          <w:szCs w:val="20"/>
          <w:color w:val="auto"/>
        </w:rPr>
      </w:pPr>
      <w:r>
        <w:rPr>
          <w:rFonts w:ascii="Arial" w:cs="Arial" w:eastAsia="Arial" w:hAnsi="Arial"/>
          <w:sz w:val="17"/>
          <w:szCs w:val="17"/>
          <w:color w:val="auto"/>
        </w:rPr>
        <w:t xml:space="preserve">In the case of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the crewing and other operational costs are fully passed-through to the ship owner, and the customer pays us a management fee per month for our technical management services. In connection with our ship management services provided to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we have entered into a consultant service agreement pursuant to which we provide specialized services relating to the management of the LNG carrier. These services include the development and installation of a ship’s ship management system, which includes installing onboard hardware and software systems and providing related training to the ship’s personnel. The terms of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ship management agreement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ind w:right="60" w:firstLine="320"/>
        <w:spacing w:after="0" w:line="269" w:lineRule="auto"/>
        <w:rPr>
          <w:sz w:val="20"/>
          <w:szCs w:val="20"/>
          <w:color w:val="auto"/>
        </w:rPr>
      </w:pPr>
      <w:r>
        <w:rPr>
          <w:rFonts w:ascii="Arial" w:cs="Arial" w:eastAsia="Arial" w:hAnsi="Arial"/>
          <w:sz w:val="17"/>
          <w:szCs w:val="17"/>
          <w:color w:val="auto"/>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seven of our vessels (six TFDE and one Steam vessel) and through nine of the GasLog Partners vessels (five Steam and four TFDE), we operate in the spot charter market that covers charters of less than five years.</w:t>
      </w:r>
    </w:p>
    <w:p>
      <w:pPr>
        <w:spacing w:after="0" w:line="180" w:lineRule="exact"/>
        <w:rPr>
          <w:sz w:val="20"/>
          <w:szCs w:val="20"/>
          <w:color w:val="auto"/>
        </w:rPr>
      </w:pPr>
    </w:p>
    <w:p>
      <w:pPr>
        <w:ind w:right="40" w:firstLine="320"/>
        <w:spacing w:after="0" w:line="287" w:lineRule="auto"/>
        <w:rPr>
          <w:sz w:val="20"/>
          <w:szCs w:val="20"/>
          <w:color w:val="auto"/>
        </w:rPr>
      </w:pPr>
      <w:r>
        <w:rPr>
          <w:rFonts w:ascii="Arial" w:cs="Arial" w:eastAsia="Arial" w:hAnsi="Arial"/>
          <w:sz w:val="16"/>
          <w:szCs w:val="16"/>
          <w:color w:val="auto"/>
        </w:rPr>
        <w:t>Although we believe that we are one of a small number of large independent owners who focus primarily on modern,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 A number of these newbuildings are uncommitted and may also compete in the spot/short-term charter market on delivery. We believe that our strategy of focusing primarily on charter contracts with initial terms of seven to ten years, as well as the scale of our technical ship management operations, differentiates us to some extent from other independent owners.</w:t>
      </w:r>
    </w:p>
    <w:p>
      <w:pPr>
        <w:spacing w:after="0" w:line="168"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In addition to independent owners, some of the major oil and gas producers own LNG carriers and, in the recent past,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ectPr>
          <w:pgSz w:w="11900" w:h="16838" w:orient="portrait"/>
          <w:cols w:equalWidth="0" w:num="1">
            <w:col w:w="9880"/>
          </w:cols>
          <w:pgMar w:left="980" w:top="659"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24" w:lineRule="exact"/>
        <w:rPr>
          <w:sz w:val="20"/>
          <w:szCs w:val="20"/>
          <w:color w:val="auto"/>
        </w:rPr>
      </w:pPr>
    </w:p>
    <w:p>
      <w:pPr>
        <w:ind w:right="40" w:firstLine="320"/>
        <w:spacing w:after="0" w:line="289" w:lineRule="auto"/>
        <w:rPr>
          <w:sz w:val="20"/>
          <w:szCs w:val="20"/>
          <w:color w:val="auto"/>
        </w:rPr>
      </w:pPr>
      <w:r>
        <w:rPr>
          <w:rFonts w:ascii="Arial" w:cs="Arial" w:eastAsia="Arial" w:hAnsi="Arial"/>
          <w:sz w:val="16"/>
          <w:szCs w:val="16"/>
          <w:color w:val="auto"/>
        </w:rPr>
        <w:t>As of December 31, 2021, we had 150 full-time employees and contractors based in our offices in Piraeus, London, New Jersey and Singapore. In addition to our shore-based employees, we had approximately 2,247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65"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 crews to instill a culture focused on the highest operational and safety standards. As a result, we have historically enjoyed high retention rates. In 2021, our retention rate was 95.6% for senior seagoing officers, 96.8% for other seagoing officers and 95.6% for shore staff.</w:t>
      </w:r>
    </w:p>
    <w:p>
      <w:pPr>
        <w:spacing w:after="0" w:line="190"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and increased competition would be mitigated to some extent by adjustments to the GasLog salary and benefit structure and by certain provisions in some of our time charters, including automatic periodic adjustment and cost review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24" w:lineRule="exact"/>
        <w:rPr>
          <w:sz w:val="20"/>
          <w:szCs w:val="20"/>
          <w:color w:val="auto"/>
        </w:rPr>
      </w:pPr>
    </w:p>
    <w:p>
      <w:pPr>
        <w:ind w:right="60" w:firstLine="320"/>
        <w:spacing w:after="0" w:line="287"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68" w:lineRule="exact"/>
        <w:rPr>
          <w:sz w:val="20"/>
          <w:szCs w:val="20"/>
          <w:color w:val="auto"/>
        </w:rPr>
      </w:pPr>
    </w:p>
    <w:p>
      <w:pPr>
        <w:ind w:right="200" w:firstLine="320"/>
        <w:spacing w:after="0" w:line="292" w:lineRule="auto"/>
        <w:rPr>
          <w:sz w:val="20"/>
          <w:szCs w:val="20"/>
          <w:color w:val="auto"/>
        </w:rPr>
      </w:pPr>
      <w:r>
        <w:rPr>
          <w:rFonts w:ascii="Arial" w:cs="Arial" w:eastAsia="Arial" w:hAnsi="Arial"/>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62"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Basis our maintenance standards and the condition of the vessels we expect we will be able to retain the five year cycle of dry-docking and maintain this assumption for budgeting and operations planning.</w:t>
      </w:r>
    </w:p>
    <w:p>
      <w:pPr>
        <w:spacing w:after="0" w:line="185" w:lineRule="exact"/>
        <w:rPr>
          <w:sz w:val="20"/>
          <w:szCs w:val="20"/>
          <w:color w:val="auto"/>
        </w:rPr>
      </w:pPr>
    </w:p>
    <w:p>
      <w:pPr>
        <w:ind w:right="60" w:firstLine="320"/>
        <w:spacing w:after="0" w:line="253" w:lineRule="auto"/>
        <w:rPr>
          <w:sz w:val="20"/>
          <w:szCs w:val="20"/>
          <w:color w:val="auto"/>
        </w:rPr>
      </w:pPr>
      <w:r>
        <w:rPr>
          <w:rFonts w:ascii="Arial" w:cs="Arial" w:eastAsia="Arial" w:hAnsi="Arial"/>
          <w:sz w:val="18"/>
          <w:szCs w:val="18"/>
          <w:color w:val="auto"/>
        </w:rPr>
        <w:t>Most insurance underwriters make it a condition for insurance coverage that a ship be certified as “in class” by a classification society that is a member of the International Association of Classification Societies. All but two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60" w:firstLine="320"/>
        <w:spacing w:after="0" w:line="270" w:lineRule="auto"/>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owned fleet and the bareboat vessels as of March 7,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292"/>
              <w:spacing w:after="0" w:line="161" w:lineRule="exact"/>
              <w:rPr>
                <w:sz w:val="20"/>
                <w:szCs w:val="20"/>
                <w:color w:val="auto"/>
              </w:rPr>
            </w:pPr>
            <w:r>
              <w:rPr>
                <w:rFonts w:ascii="Arial" w:cs="Arial" w:eastAsia="Arial" w:hAnsi="Arial"/>
                <w:sz w:val="14"/>
                <w:szCs w:val="14"/>
                <w:b w:val="1"/>
                <w:bCs w:val="1"/>
                <w:color w:val="auto"/>
              </w:rPr>
              <w:t>Dry</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docking</w:t>
            </w:r>
          </w:p>
        </w:tc>
        <w:tc>
          <w:tcPr>
            <w:tcW w:w="0" w:type="dxa"/>
            <w:vAlign w:val="bottom"/>
          </w:tcPr>
          <w:p>
            <w:pPr>
              <w:spacing w:after="0"/>
              <w:rPr>
                <w:sz w:val="1"/>
                <w:szCs w:val="1"/>
                <w:color w:val="auto"/>
              </w:rPr>
            </w:pPr>
          </w:p>
        </w:tc>
      </w:tr>
      <w:tr>
        <w:trPr>
          <w:trHeight w:val="147"/>
        </w:trPr>
        <w:tc>
          <w:tcPr>
            <w:tcW w:w="8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Ship Name</w:t>
            </w:r>
          </w:p>
        </w:tc>
        <w:tc>
          <w:tcPr>
            <w:tcW w:w="1500" w:type="dxa"/>
            <w:vAlign w:val="bottom"/>
          </w:tcPr>
          <w:p>
            <w:pPr>
              <w:jc w:val="right"/>
              <w:ind w:right="552"/>
              <w:spacing w:after="0" w:line="147" w:lineRule="exact"/>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9"/>
        </w:trPr>
        <w:tc>
          <w:tcPr>
            <w:tcW w:w="8420" w:type="dxa"/>
            <w:vAlign w:val="bottom"/>
            <w:gridSpan w:val="4"/>
            <w:vMerge w:val="continue"/>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rPr>
              <w:t>Special Survey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GasLog Houston</w:t>
            </w:r>
          </w:p>
        </w:tc>
        <w:tc>
          <w:tcPr>
            <w:tcW w:w="2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Shanghai</w:t>
            </w:r>
          </w:p>
        </w:tc>
        <w:tc>
          <w:tcPr>
            <w:tcW w:w="150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Hong Kong</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Genoa</w:t>
            </w:r>
          </w:p>
        </w:tc>
        <w:tc>
          <w:tcPr>
            <w:tcW w:w="150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Skagen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Seattle</w:t>
            </w:r>
          </w:p>
        </w:tc>
        <w:tc>
          <w:tcPr>
            <w:tcW w:w="150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Sydney</w:t>
            </w:r>
          </w:p>
        </w:tc>
        <w:tc>
          <w:tcPr>
            <w:tcW w:w="150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Gladstone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Warsaw</w:t>
            </w:r>
          </w:p>
        </w:tc>
        <w:tc>
          <w:tcPr>
            <w:tcW w:w="150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Saratoga</w:t>
            </w:r>
          </w:p>
        </w:tc>
        <w:tc>
          <w:tcPr>
            <w:tcW w:w="150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Lydon Volney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Methane Jane Elizabeth</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Windsor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Westminster</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Wales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Georgetown</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Methane Shirley Elisabeth</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Methane Becki Anne</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Julia Louise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Savannah</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Chelsea</w:t>
            </w:r>
            <w:r>
              <w:rPr>
                <w:rFonts w:ascii="Arial" w:cs="Arial" w:eastAsia="Arial" w:hAnsi="Arial"/>
                <w:sz w:val="24"/>
                <w:szCs w:val="24"/>
                <w:i w:val="1"/>
                <w:iCs w:val="1"/>
                <w:color w:val="auto"/>
                <w:vertAlign w:val="superscript"/>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Salem</w:t>
            </w:r>
          </w:p>
        </w:tc>
        <w:tc>
          <w:tcPr>
            <w:tcW w:w="15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Singapore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Galveston</w:t>
            </w:r>
          </w:p>
        </w:tc>
        <w:tc>
          <w:tcPr>
            <w:tcW w:w="150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Wellington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Winchester</w:t>
            </w:r>
          </w:p>
        </w:tc>
        <w:tc>
          <w:tcPr>
            <w:tcW w:w="150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Greece</w:t>
            </w:r>
          </w:p>
        </w:tc>
        <w:tc>
          <w:tcPr>
            <w:tcW w:w="150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GasLog Geneva</w:t>
            </w:r>
          </w:p>
        </w:tc>
        <w:tc>
          <w:tcPr>
            <w:tcW w:w="150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Gibraltar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H2532</w:t>
            </w:r>
          </w:p>
        </w:tc>
        <w:tc>
          <w:tcPr>
            <w:tcW w:w="150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H2533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H2534</w:t>
            </w:r>
          </w:p>
        </w:tc>
        <w:tc>
          <w:tcPr>
            <w:tcW w:w="15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H2535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is scheduled to be converted into an FSRU in 2023, prior to its next dry-docking.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24" w:lineRule="exact"/>
        <w:rPr>
          <w:sz w:val="20"/>
          <w:szCs w:val="20"/>
          <w:color w:val="auto"/>
        </w:rPr>
      </w:pPr>
    </w:p>
    <w:p>
      <w:pPr>
        <w:ind w:right="240" w:firstLine="320"/>
        <w:spacing w:after="0" w:line="253"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a cyber event,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firstLine="320"/>
        <w:spacing w:after="0" w:line="266" w:lineRule="auto"/>
        <w:rPr>
          <w:sz w:val="20"/>
          <w:szCs w:val="20"/>
          <w:color w:val="auto"/>
        </w:rPr>
      </w:pPr>
      <w:r>
        <w:rPr>
          <w:rFonts w:ascii="Arial" w:cs="Arial" w:eastAsia="Arial" w:hAnsi="Arial"/>
          <w:sz w:val="17"/>
          <w:szCs w:val="17"/>
          <w:color w:val="auto"/>
        </w:rPr>
        <w:t>We maintain hull and machinery insurance on all our owned and bareboat ships against marine and war risks at a Total Loss limit amount determined by the most recent brokers’ valuation and our mortgage’s insurance covenants, as deemed to be prudent.. In addition, we maintain loss of hire insurance against loss of income as a result of a ship being off-hire or otherwise suffering a loss of operational time for events falling under our hull and machinery insurance. We maintain protection and indemnity insurance on all our owned and bareboat ships up to the maximum insurable limit available at any given time by the International Group of P&amp;I Clubs. We also maintain ship manager insurance in respect of our managed vessel and cyber insurance coverage for all our owned and bareboat ships.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0" w:lineRule="exact"/>
        <w:rPr>
          <w:sz w:val="20"/>
          <w:szCs w:val="20"/>
          <w:color w:val="auto"/>
        </w:rPr>
      </w:pPr>
    </w:p>
    <w:p>
      <w:pPr>
        <w:ind w:right="40" w:firstLine="320"/>
        <w:spacing w:after="0" w:line="251" w:lineRule="auto"/>
        <w:rPr>
          <w:sz w:val="20"/>
          <w:szCs w:val="20"/>
          <w:color w:val="auto"/>
        </w:rPr>
      </w:pPr>
      <w:r>
        <w:rPr>
          <w:rFonts w:ascii="Arial" w:cs="Arial" w:eastAsia="Arial" w:hAnsi="Arial"/>
          <w:sz w:val="18"/>
          <w:szCs w:val="18"/>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0"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cover has a deductible of seven days with a maximum of seven days (which takes it up to the loss of hire deductible of 14 days) for H&amp;M losses, two days with a maximum of 12 days for ship-related perils and with a maximum of five days for shoreside perils. The hire rate is aligned with the loss of hire insurance daily sum insured. As of July 1 2021, the delay insurers inserted a Communicable Disease Exclusion clause to exclude losses arising out of pandemia (i.e. COVID-19).</w:t>
      </w:r>
    </w:p>
    <w:p>
      <w:pPr>
        <w:spacing w:after="0" w:line="188"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Additionally, we buy war loss of hire and kidnap and ransom insurance when our ships are ordered to sail through the Indian Ocean and Gulf of Aden to insure against potential losses relating to the hijacking of a ship and its crew by pirates.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0" w:lineRule="exact"/>
        <w:rPr>
          <w:sz w:val="20"/>
          <w:szCs w:val="20"/>
          <w:color w:val="auto"/>
        </w:rPr>
      </w:pPr>
    </w:p>
    <w:p>
      <w:pPr>
        <w:ind w:right="120" w:firstLine="320"/>
        <w:spacing w:after="0" w:line="253" w:lineRule="auto"/>
        <w:rPr>
          <w:sz w:val="20"/>
          <w:szCs w:val="20"/>
          <w:color w:val="auto"/>
        </w:rPr>
      </w:pPr>
      <w:r>
        <w:rPr>
          <w:rFonts w:ascii="Arial" w:cs="Arial" w:eastAsia="Arial" w:hAnsi="Arial"/>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90" w:lineRule="exact"/>
        <w:rPr>
          <w:sz w:val="20"/>
          <w:szCs w:val="20"/>
          <w:color w:val="auto"/>
        </w:rPr>
      </w:pPr>
    </w:p>
    <w:p>
      <w:pPr>
        <w:ind w:right="160" w:firstLine="320"/>
        <w:spacing w:after="0" w:line="296" w:lineRule="auto"/>
        <w:rPr>
          <w:sz w:val="20"/>
          <w:szCs w:val="20"/>
          <w:color w:val="auto"/>
        </w:rPr>
      </w:pPr>
      <w:r>
        <w:rPr>
          <w:rFonts w:ascii="Arial" w:cs="Arial" w:eastAsia="Arial" w:hAnsi="Arial"/>
          <w:sz w:val="16"/>
          <w:szCs w:val="16"/>
          <w:color w:val="auto"/>
        </w:rPr>
        <w:t>Our protection and indemnity insurance covering our owned and bareboat ships is provided by P&amp;I associations that are members of the International Group of Protection and Indemnity Clubs, or “International Group”. The 13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60" w:lineRule="exact"/>
        <w:rPr>
          <w:sz w:val="20"/>
          <w:szCs w:val="20"/>
          <w:color w:val="auto"/>
        </w:rPr>
      </w:pPr>
    </w:p>
    <w:p>
      <w:pPr>
        <w:ind w:right="120" w:firstLine="320"/>
        <w:spacing w:after="0" w:line="258" w:lineRule="auto"/>
        <w:rPr>
          <w:sz w:val="20"/>
          <w:szCs w:val="20"/>
          <w:color w:val="auto"/>
        </w:rPr>
      </w:pPr>
      <w:r>
        <w:rPr>
          <w:rFonts w:ascii="Arial" w:cs="Arial" w:eastAsia="Arial" w:hAnsi="Arial"/>
          <w:sz w:val="18"/>
          <w:szCs w:val="18"/>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440" w:firstLine="320"/>
        <w:spacing w:after="0" w:line="300" w:lineRule="auto"/>
        <w:rPr>
          <w:sz w:val="20"/>
          <w:szCs w:val="20"/>
          <w:color w:val="auto"/>
        </w:rPr>
      </w:pPr>
      <w:r>
        <w:rPr>
          <w:rFonts w:ascii="Arial" w:cs="Arial" w:eastAsia="Arial" w:hAnsi="Arial"/>
          <w:sz w:val="17"/>
          <w:szCs w:val="17"/>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52" w:lineRule="exact"/>
        <w:rPr>
          <w:sz w:val="20"/>
          <w:szCs w:val="20"/>
          <w:color w:val="auto"/>
        </w:rPr>
      </w:pPr>
    </w:p>
    <w:p>
      <w:pPr>
        <w:ind w:right="20" w:firstLine="320"/>
        <w:spacing w:after="0" w:line="270"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0" w:lineRule="exact"/>
        <w:rPr>
          <w:sz w:val="20"/>
          <w:szCs w:val="20"/>
          <w:color w:val="auto"/>
        </w:rPr>
      </w:pPr>
    </w:p>
    <w:p>
      <w:pPr>
        <w:ind w:right="520" w:firstLine="320"/>
        <w:spacing w:after="0" w:line="333" w:lineRule="auto"/>
        <w:rPr>
          <w:sz w:val="20"/>
          <w:szCs w:val="20"/>
          <w:color w:val="auto"/>
        </w:rPr>
      </w:pPr>
      <w:r>
        <w:rPr>
          <w:rFonts w:ascii="Arial" w:cs="Arial" w:eastAsia="Arial" w:hAnsi="Arial"/>
          <w:sz w:val="16"/>
          <w:szCs w:val="16"/>
          <w:color w:val="auto"/>
        </w:rPr>
        <w:t>We have insurance coverage for cyber related vessel hull and machinery risks. The policy covers physical damage to any of our vessels up to $50 million per vessel with a fleet aggregate limit of $150 million for each of the GasLog and GasLog Partners fleets.</w:t>
      </w:r>
    </w:p>
    <w:p>
      <w:pPr>
        <w:spacing w:after="0" w:line="130" w:lineRule="exact"/>
        <w:rPr>
          <w:sz w:val="20"/>
          <w:szCs w:val="20"/>
          <w:color w:val="auto"/>
        </w:rPr>
      </w:pPr>
    </w:p>
    <w:p>
      <w:pPr>
        <w:ind w:right="80" w:firstLine="320"/>
        <w:spacing w:after="0" w:line="258" w:lineRule="auto"/>
        <w:rPr>
          <w:sz w:val="20"/>
          <w:szCs w:val="20"/>
          <w:color w:val="auto"/>
        </w:rPr>
      </w:pPr>
      <w:r>
        <w:rPr>
          <w:rFonts w:ascii="Arial" w:cs="Arial" w:eastAsia="Arial" w:hAnsi="Arial"/>
          <w:sz w:val="18"/>
          <w:szCs w:val="18"/>
          <w:color w:val="auto"/>
        </w:rPr>
        <w:t>We have also purchased an additional cyber product which compliments the existing vessel hull and machinery cyber cover for losses in excess of $100,000 and up to $10 million. It provides coverage irrespective of cause (malicious act, terror or negligence) for the core enterprise risks including:</w:t>
      </w:r>
    </w:p>
    <w:p>
      <w:pPr>
        <w:spacing w:after="0" w:line="186" w:lineRule="exact"/>
        <w:rPr>
          <w:sz w:val="20"/>
          <w:szCs w:val="20"/>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Cyber Defense Costs and Remediation costs (including public relation costs as remediation costs)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for repair/replacement of Loss or Damage to IT Assets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Data Restoration costs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Personal Data Loss costs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Revenue (does not need to be caused by a Physical damage event)</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Cyber Crime - Illegal/unlawful demands (ransom)</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Cyber Crime - E-theft financial Loss (instructions for transfer of money, credit, securities etc.)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provide intensive onboard training for our officers and crews to instill a culture of the highest operational and safety standards.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During 2021, GasLog’s fleet experienced one recordable injury and six first aid cases.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24"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24"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firstLine="320"/>
        <w:spacing w:after="0" w:line="286" w:lineRule="auto"/>
        <w:rPr>
          <w:sz w:val="20"/>
          <w:szCs w:val="20"/>
          <w:color w:val="auto"/>
        </w:rPr>
      </w:pPr>
      <w:r>
        <w:rPr>
          <w:rFonts w:ascii="Arial" w:cs="Arial" w:eastAsia="Arial" w:hAnsi="Arial"/>
          <w:sz w:val="16"/>
          <w:szCs w:val="16"/>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0" w:lineRule="exact"/>
        <w:rPr>
          <w:sz w:val="20"/>
          <w:szCs w:val="20"/>
          <w:color w:val="auto"/>
        </w:rPr>
      </w:pPr>
    </w:p>
    <w:p>
      <w:pPr>
        <w:ind w:right="60" w:firstLine="320"/>
        <w:spacing w:after="0" w:line="264" w:lineRule="auto"/>
        <w:rPr>
          <w:sz w:val="20"/>
          <w:szCs w:val="20"/>
          <w:color w:val="auto"/>
        </w:rPr>
      </w:pPr>
      <w:r>
        <w:rPr>
          <w:rFonts w:ascii="Arial" w:cs="Arial" w:eastAsia="Arial" w:hAnsi="Arial"/>
          <w:sz w:val="17"/>
          <w:szCs w:val="17"/>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The GasLog fleet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89"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2022, SOLAS 1974 had 167 contracting states, which flag about 99.9% of merchant ships around the world in terms of gross tonnage. SOLAS in its successive forms is generally regarded as the most important of all international maritime laws concerning the safety of merchant ships.</w:t>
      </w:r>
    </w:p>
    <w:p>
      <w:pPr>
        <w:spacing w:after="0" w:line="162" w:lineRule="exact"/>
        <w:rPr>
          <w:sz w:val="20"/>
          <w:szCs w:val="20"/>
          <w:color w:val="auto"/>
        </w:rPr>
      </w:pPr>
    </w:p>
    <w:p>
      <w:pPr>
        <w:ind w:firstLine="320"/>
        <w:spacing w:after="0" w:line="289" w:lineRule="auto"/>
        <w:rPr>
          <w:sz w:val="20"/>
          <w:szCs w:val="20"/>
          <w:color w:val="auto"/>
        </w:rPr>
      </w:pPr>
      <w:r>
        <w:rPr>
          <w:rFonts w:ascii="Arial" w:cs="Arial" w:eastAsia="Arial" w:hAnsi="Arial"/>
          <w:sz w:val="16"/>
          <w:szCs w:val="16"/>
          <w:color w:val="auto"/>
        </w:rPr>
        <w:t>STCW, 1978 was adopted on July 7, 1978 and entered into force on April 28, 1984. The main purpose of the Convention is to promote safety of life and property at sea and the protection of the marine environment by establishing in common agreement on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65" w:lineRule="exact"/>
        <w:rPr>
          <w:sz w:val="20"/>
          <w:szCs w:val="20"/>
          <w:color w:val="auto"/>
        </w:rPr>
      </w:pPr>
    </w:p>
    <w:p>
      <w:pPr>
        <w:ind w:right="40" w:firstLine="320"/>
        <w:spacing w:after="0" w:line="284" w:lineRule="auto"/>
        <w:rPr>
          <w:sz w:val="20"/>
          <w:szCs w:val="20"/>
          <w:color w:val="auto"/>
        </w:rPr>
      </w:pPr>
      <w:r>
        <w:rPr>
          <w:rFonts w:ascii="Arial" w:cs="Arial" w:eastAsia="Arial" w:hAnsi="Arial"/>
          <w:sz w:val="16"/>
          <w:szCs w:val="16"/>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oil (potentially including undertaking necessary fuel tank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modification) to comply with a global sulfur cap of 0.5 percent m/m or be fitted with exhaust gas scrubbers. Additionally, more stringent emission standards could apply in coastal areas designated as Emission Control Areas, or “ECAs”. For example, IMO “Tier III” emission standards for nitrous oxide apply in North American and U.S. Caribbean Sea ECAs to all marine diesel engines installed on a ship constructed on or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193" w:lineRule="exact"/>
        <w:rPr>
          <w:sz w:val="20"/>
          <w:szCs w:val="20"/>
          <w:color w:val="auto"/>
        </w:rPr>
      </w:pPr>
    </w:p>
    <w:p>
      <w:pPr>
        <w:ind w:right="40" w:firstLine="320"/>
        <w:spacing w:after="0" w:line="266" w:lineRule="auto"/>
        <w:rPr>
          <w:sz w:val="20"/>
          <w:szCs w:val="20"/>
          <w:color w:val="auto"/>
        </w:rPr>
      </w:pPr>
      <w:r>
        <w:rPr>
          <w:rFonts w:ascii="Arial" w:cs="Arial" w:eastAsia="Arial" w:hAnsi="Arial"/>
          <w:sz w:val="17"/>
          <w:szCs w:val="17"/>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85"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80" w:lineRule="exact"/>
        <w:rPr>
          <w:sz w:val="20"/>
          <w:szCs w:val="20"/>
          <w:color w:val="auto"/>
        </w:rPr>
      </w:pPr>
    </w:p>
    <w:p>
      <w:pPr>
        <w:ind w:right="260" w:firstLine="320"/>
        <w:spacing w:after="0" w:line="271" w:lineRule="auto"/>
        <w:rPr>
          <w:sz w:val="20"/>
          <w:szCs w:val="20"/>
          <w:color w:val="auto"/>
        </w:rPr>
      </w:pPr>
      <w:r>
        <w:rPr>
          <w:rFonts w:ascii="Arial" w:cs="Arial" w:eastAsia="Arial" w:hAnsi="Arial"/>
          <w:sz w:val="17"/>
          <w:szCs w:val="17"/>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all up-to-date standards of existing international maritime labour conventions and recommendations, as well as the fundamental principles to be found in other international labour conventions.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Oil Pollution Act and CERCLA</w:t>
      </w:r>
    </w:p>
    <w:p>
      <w:pPr>
        <w:spacing w:after="0" w:line="220" w:lineRule="exact"/>
        <w:rPr>
          <w:sz w:val="20"/>
          <w:szCs w:val="20"/>
          <w:color w:val="auto"/>
        </w:rPr>
      </w:pPr>
    </w:p>
    <w:p>
      <w:pPr>
        <w:ind w:right="20" w:firstLine="320"/>
        <w:spacing w:after="0" w:line="284" w:lineRule="auto"/>
        <w:rPr>
          <w:sz w:val="20"/>
          <w:szCs w:val="20"/>
          <w:color w:val="auto"/>
        </w:rPr>
      </w:pPr>
      <w:r>
        <w:rPr>
          <w:rFonts w:ascii="Arial" w:cs="Arial" w:eastAsia="Arial" w:hAnsi="Arial"/>
          <w:sz w:val="16"/>
          <w:szCs w:val="16"/>
          <w:color w:val="auto"/>
        </w:rPr>
        <w:t>Our operations are subject to the OPA, which establishes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As of February 22, 2021, OPA currently limits the liability of responsible parties with respect to ships over 3,000 gross tons to the greater of $2,300 per gross ton or $19,943,400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67"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 billion per incident for our owned ships. We also believe that we will be in substantial compliance with OPA, CERCLA and all applicable state regulations in the ports where our ships will call.</w:t>
      </w:r>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00" w:firstLine="320"/>
        <w:spacing w:after="0" w:line="268" w:lineRule="auto"/>
        <w:rPr>
          <w:sz w:val="20"/>
          <w:szCs w:val="20"/>
          <w:color w:val="auto"/>
        </w:rPr>
      </w:pPr>
      <w:r>
        <w:rPr>
          <w:rFonts w:ascii="Arial" w:cs="Arial" w:eastAsia="Arial" w:hAnsi="Arial"/>
          <w:sz w:val="17"/>
          <w:szCs w:val="17"/>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Clean Water Act</w:t>
      </w:r>
    </w:p>
    <w:p>
      <w:pPr>
        <w:spacing w:after="0" w:line="220" w:lineRule="exact"/>
        <w:rPr>
          <w:sz w:val="20"/>
          <w:szCs w:val="20"/>
          <w:color w:val="auto"/>
        </w:rPr>
      </w:pPr>
    </w:p>
    <w:p>
      <w:pPr>
        <w:ind w:right="100" w:firstLine="320"/>
        <w:spacing w:after="0" w:line="269" w:lineRule="auto"/>
        <w:rPr>
          <w:sz w:val="20"/>
          <w:szCs w:val="20"/>
          <w:color w:val="auto"/>
        </w:rPr>
      </w:pPr>
      <w:r>
        <w:rPr>
          <w:rFonts w:ascii="Arial" w:cs="Arial" w:eastAsia="Arial" w:hAnsi="Arial"/>
          <w:sz w:val="17"/>
          <w:szCs w:val="17"/>
          <w:color w:val="auto"/>
        </w:rPr>
        <w:t>The U.S. Clean Water Act of 1972, (the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80"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The United States Environmental Protection Agency, (the “EPA”), has enacted rules requiring ballast water discharges and other discharges incidental to the normal operation of certain ships within United States waters to be authorized under the Ship General Permit for Discharges Incidental to the Normal Operation of Ships, (the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Clean Air Act</w:t>
      </w:r>
    </w:p>
    <w:p>
      <w:pPr>
        <w:spacing w:after="0" w:line="220" w:lineRule="exact"/>
        <w:rPr>
          <w:sz w:val="20"/>
          <w:szCs w:val="20"/>
          <w:color w:val="auto"/>
        </w:rPr>
      </w:pPr>
    </w:p>
    <w:p>
      <w:pPr>
        <w:ind w:right="20" w:firstLine="320"/>
        <w:spacing w:after="0" w:line="267" w:lineRule="auto"/>
        <w:rPr>
          <w:sz w:val="20"/>
          <w:szCs w:val="20"/>
          <w:color w:val="auto"/>
        </w:rPr>
      </w:pPr>
      <w:r>
        <w:rPr>
          <w:rFonts w:ascii="Arial" w:cs="Arial" w:eastAsia="Arial" w:hAnsi="Arial"/>
          <w:sz w:val="17"/>
          <w:szCs w:val="17"/>
          <w:color w:val="auto"/>
        </w:rPr>
        <w:t>The U.S. Clean Air Act of 1970, as amended by the Clean Air Act Amendments of 1977 and 1990,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steam-powered ships.</w:t>
      </w:r>
    </w:p>
    <w:p>
      <w:pPr>
        <w:spacing w:after="0" w:line="182" w:lineRule="exact"/>
        <w:rPr>
          <w:sz w:val="20"/>
          <w:szCs w:val="20"/>
          <w:color w:val="auto"/>
        </w:rPr>
      </w:pPr>
    </w:p>
    <w:p>
      <w:pPr>
        <w:ind w:right="180" w:firstLine="320"/>
        <w:spacing w:after="0" w:line="266" w:lineRule="auto"/>
        <w:rPr>
          <w:sz w:val="20"/>
          <w:szCs w:val="20"/>
          <w:color w:val="auto"/>
        </w:rPr>
      </w:pPr>
      <w:r>
        <w:rPr>
          <w:rFonts w:ascii="Arial" w:cs="Arial" w:eastAsia="Arial" w:hAnsi="Arial"/>
          <w:sz w:val="17"/>
          <w:szCs w:val="17"/>
          <w:color w:val="auto"/>
        </w:rPr>
        <w:t>The CAA also requires states to adopt State Implementation Plans,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0" w:lineRule="exact"/>
        <w:rPr>
          <w:sz w:val="20"/>
          <w:szCs w:val="20"/>
          <w:color w:val="auto"/>
        </w:rPr>
      </w:pPr>
    </w:p>
    <w:p>
      <w:pPr>
        <w:ind w:right="180" w:firstLine="320"/>
        <w:spacing w:after="0" w:line="334" w:lineRule="auto"/>
        <w:rPr>
          <w:sz w:val="20"/>
          <w:szCs w:val="20"/>
          <w:color w:val="auto"/>
        </w:rPr>
      </w:pPr>
      <w:r>
        <w:rPr>
          <w:rFonts w:ascii="Arial" w:cs="Arial" w:eastAsia="Arial" w:hAnsi="Arial"/>
          <w:sz w:val="14"/>
          <w:szCs w:val="14"/>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353" w:lineRule="exact"/>
        <w:rPr>
          <w:sz w:val="20"/>
          <w:szCs w:val="20"/>
          <w:color w:val="auto"/>
        </w:rPr>
      </w:pPr>
    </w:p>
    <w:p>
      <w:pPr>
        <w:jc w:val="both"/>
        <w:ind w:right="80" w:firstLine="320"/>
        <w:spacing w:after="0" w:line="268" w:lineRule="auto"/>
        <w:rPr>
          <w:sz w:val="20"/>
          <w:szCs w:val="20"/>
          <w:color w:val="auto"/>
        </w:rPr>
      </w:pPr>
      <w:r>
        <w:rPr>
          <w:rFonts w:ascii="Arial" w:cs="Arial" w:eastAsia="Arial" w:hAnsi="Arial"/>
          <w:sz w:val="17"/>
          <w:szCs w:val="17"/>
          <w:color w:val="auto"/>
        </w:rPr>
        <w:t>At the international level, the IMO adopted an International Convention for the Control and Management of Ships’ Ballast Water and Sediments in February 2004,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80" w:lineRule="exact"/>
        <w:rPr>
          <w:sz w:val="20"/>
          <w:szCs w:val="20"/>
          <w:color w:val="auto"/>
        </w:rPr>
      </w:pPr>
    </w:p>
    <w:p>
      <w:pPr>
        <w:jc w:val="both"/>
        <w:ind w:right="100" w:firstLine="320"/>
        <w:spacing w:after="0" w:line="286" w:lineRule="auto"/>
        <w:rPr>
          <w:sz w:val="20"/>
          <w:szCs w:val="20"/>
          <w:color w:val="auto"/>
        </w:rPr>
      </w:pPr>
      <w:r>
        <w:rPr>
          <w:rFonts w:ascii="Arial" w:cs="Arial" w:eastAsia="Arial" w:hAnsi="Arial"/>
          <w:sz w:val="16"/>
          <w:szCs w:val="16"/>
          <w:color w:val="auto"/>
        </w:rPr>
        <w:t>Our vessels may also become subject to the International Convention on Liability and Compensation for Damage in Connection with the Carriage of Hazardous and Noxious Substances by Sea, 1996 as amended by the Protocol to the HNS Convention, adopted in</w:t>
      </w:r>
    </w:p>
    <w:p>
      <w:pPr>
        <w:spacing w:after="0" w:line="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April 2010, (“HNS Convention”), if it is entered into force. The HNS Convention creates a regime of liability and compensation for damage from hazardous and noxious substances,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Greenhouse Gas Regulations</w:t>
      </w:r>
    </w:p>
    <w:p>
      <w:pPr>
        <w:spacing w:after="0" w:line="220" w:lineRule="exact"/>
        <w:rPr>
          <w:sz w:val="20"/>
          <w:szCs w:val="20"/>
          <w:color w:val="auto"/>
        </w:rPr>
      </w:pPr>
    </w:p>
    <w:p>
      <w:pPr>
        <w:ind w:right="40" w:firstLine="320"/>
        <w:spacing w:after="0" w:line="269" w:lineRule="auto"/>
        <w:rPr>
          <w:sz w:val="20"/>
          <w:szCs w:val="20"/>
          <w:color w:val="auto"/>
        </w:rPr>
      </w:pPr>
      <w:r>
        <w:rPr>
          <w:rFonts w:ascii="Arial" w:cs="Arial" w:eastAsia="Arial" w:hAnsi="Arial"/>
          <w:sz w:val="17"/>
          <w:szCs w:val="17"/>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80" w:lineRule="exact"/>
        <w:rPr>
          <w:sz w:val="20"/>
          <w:szCs w:val="20"/>
          <w:color w:val="auto"/>
        </w:rPr>
      </w:pPr>
    </w:p>
    <w:p>
      <w:pPr>
        <w:ind w:firstLine="320"/>
        <w:spacing w:after="0" w:line="281" w:lineRule="auto"/>
        <w:rPr>
          <w:sz w:val="20"/>
          <w:szCs w:val="20"/>
          <w:color w:val="auto"/>
        </w:rPr>
      </w:pPr>
      <w:r>
        <w:rPr>
          <w:rFonts w:ascii="Arial" w:cs="Arial" w:eastAsia="Arial" w:hAnsi="Arial"/>
          <w:sz w:val="16"/>
          <w:szCs w:val="16"/>
          <w:color w:val="auto"/>
        </w:rPr>
        <w:t>Meeting in a remote session in June 2021 (MEPC 76), MEPC finalized and adopted amendments to the International Convention for the Prevention of Pollution from Ships (“MARPOL”) Annex VI that will require ships to reduce their GHG emissions. These amendments combine technical and operational approaches to improve the energy efficiency of ships and provide important building blocks for future GHG reduction measures. These amendments are expected to enter into force on November 1, 2022 with the requirements for Energy Efficiency Existing Ships Index (“EEXI”) and Carbon Intensity Index (“CII”) certification coming into effect on January 1, 2023. The EEXI, which indicates the energy efficiency of a ship compared to a baseline, will be implemented for existing ships as technical measures to reduce CO2 emissions. The CII will be calculated annually and implemented as an operational carbon intensity measure to benchmark and improve efficiency. The regulations and framework will be reviewed by January 1, 2026.The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IMO has established a framework for reducing global greenhouse gas emissions from shipping by at least 40% by 2030 and pursuing efforts towards 70% by 2050, compared to 2008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w:t>
      </w:r>
    </w:p>
    <w:p>
      <w:pPr>
        <w:sectPr>
          <w:pgSz w:w="11900" w:h="16838" w:orient="portrait"/>
          <w:cols w:equalWidth="0" w:num="1">
            <w:col w:w="9900"/>
          </w:cols>
          <w:pgMar w:left="980" w:top="65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international level that restricts emissions of greenhouse gases, could require us to make significant expenditures that we cannot predict with certainty at this time.</w:t>
      </w:r>
    </w:p>
    <w:p>
      <w:pPr>
        <w:spacing w:after="0" w:line="175" w:lineRule="exact"/>
        <w:rPr>
          <w:sz w:val="20"/>
          <w:szCs w:val="20"/>
          <w:color w:val="auto"/>
        </w:rPr>
      </w:pPr>
    </w:p>
    <w:p>
      <w:pPr>
        <w:ind w:right="20" w:firstLine="320"/>
        <w:spacing w:after="0" w:line="306" w:lineRule="auto"/>
        <w:rPr>
          <w:sz w:val="20"/>
          <w:szCs w:val="20"/>
          <w:color w:val="auto"/>
        </w:rPr>
      </w:pPr>
      <w:r>
        <w:rPr>
          <w:rFonts w:ascii="Arial" w:cs="Arial" w:eastAsia="Arial" w:hAnsi="Arial"/>
          <w:sz w:val="16"/>
          <w:szCs w:val="16"/>
          <w:color w:val="auto"/>
        </w:rPr>
        <w:t>We believe that LNG carriers, which have the inherent ability to burn natural gas to power the ship, and in particular LNG carriers like certain of our vessels that utilize fuel-efficient diesel electric and low pressure two-stroke propulsion, can be considered among the cleanest of large ships in terms of emissions and very adaptable to the usage of newly developed lower and/or zero emission fuels.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0" w:lineRule="exact"/>
        <w:rPr>
          <w:sz w:val="20"/>
          <w:szCs w:val="20"/>
          <w:color w:val="auto"/>
        </w:rPr>
      </w:pPr>
    </w:p>
    <w:p>
      <w:pPr>
        <w:ind w:right="20" w:firstLine="320"/>
        <w:spacing w:after="0" w:line="268" w:lineRule="auto"/>
        <w:rPr>
          <w:sz w:val="20"/>
          <w:szCs w:val="20"/>
          <w:color w:val="auto"/>
        </w:rPr>
      </w:pPr>
      <w:r>
        <w:rPr>
          <w:rFonts w:ascii="Arial" w:cs="Arial" w:eastAsia="Arial" w:hAnsi="Arial"/>
          <w:sz w:val="17"/>
          <w:szCs w:val="17"/>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0" w:lineRule="exact"/>
        <w:rPr>
          <w:sz w:val="20"/>
          <w:szCs w:val="20"/>
          <w:color w:val="auto"/>
        </w:rPr>
      </w:pPr>
    </w:p>
    <w:p>
      <w:pPr>
        <w:ind w:left="680" w:hanging="32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0" w:lineRule="exact"/>
        <w:rPr>
          <w:sz w:val="20"/>
          <w:szCs w:val="20"/>
          <w:color w:val="auto"/>
        </w:rPr>
      </w:pPr>
    </w:p>
    <w:p>
      <w:pPr>
        <w:ind w:right="60" w:firstLine="320"/>
        <w:spacing w:after="0" w:line="253"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24" w:lineRule="exact"/>
        <w:rPr>
          <w:sz w:val="20"/>
          <w:szCs w:val="20"/>
          <w:color w:val="auto"/>
        </w:rPr>
      </w:pPr>
    </w:p>
    <w:p>
      <w:pPr>
        <w:ind w:right="160" w:firstLine="320"/>
        <w:spacing w:after="0" w:line="296" w:lineRule="auto"/>
        <w:rPr>
          <w:sz w:val="20"/>
          <w:szCs w:val="20"/>
          <w:color w:val="auto"/>
        </w:rPr>
      </w:pPr>
      <w:r>
        <w:rPr>
          <w:rFonts w:ascii="Arial" w:cs="Arial" w:eastAsia="Arial" w:hAnsi="Arial"/>
          <w:sz w:val="16"/>
          <w:szCs w:val="16"/>
          <w:color w:val="auto"/>
        </w:rPr>
        <w:t>GasLog is a holding company incorporated in Bermuda. As of March 7, 2022, it has 54 subsidiaries which are incorporated in the British Virgin Islands, Bermuda, the Marshall Islands, the United States, Singapore, Cyprus, Greece, Panama and England and Wales. Of our subsidiaries, 39 either own or leaseback vessels in our fleet or are parties to contracts to obtain newbuild vessels. Of our subsidiaries, 37 are wholly owned by us and 17 are 33.3% owned by us. A list of our subsidiaries is set forth in Exhibit 8.1 to this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Prospects—B. Liquidity and Capital Resources—Credit Facilities”.</w:t>
      </w:r>
    </w:p>
    <w:p>
      <w:pPr>
        <w:spacing w:after="0" w:line="188"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We occupy office space at 69 Akti Miaouli, Piraeus, GR 18537, Greece, which we lease through our subsidiary, GasLog LNG Services, from an entity controlled by Ceres Shipping; the lease agreement is disclosed and filed with the Greek authorities, and has been entered into at market rates. We also occupy office space at (i) 99 Kings Road, London SW3 4PA, United Kingdom, which we lease through our subsidiary, GasLog Services UK Ltd.; (ii) ~24-02B Asia Square Tower 2, Singapore, which we lease through our subsidiary, GasLog Asia PTE. Ltd.; and (iii) 89 Hudson Street, Suite 406, Hoboken, Hudson County, New Jersey 07030, USA which we lease through our subsidiary, GasLog Services U.S. Inc.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firstLine="320"/>
        <w:spacing w:after="0" w:line="270" w:lineRule="auto"/>
        <w:rPr>
          <w:sz w:val="20"/>
          <w:szCs w:val="20"/>
          <w:color w:val="auto"/>
        </w:rPr>
      </w:pPr>
      <w:r>
        <w:rPr>
          <w:rFonts w:ascii="Arial" w:cs="Arial" w:eastAsia="Arial" w:hAnsi="Arial"/>
          <w:sz w:val="18"/>
          <w:szCs w:val="18"/>
          <w:color w:val="auto"/>
        </w:rPr>
        <w:t>For more information about the contractual arrangements for our office space in Piraeus, see “Item 7. Major Shareholders and Related Party Transactions—B. Related Party Transactions”.</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OPERATING AND FINANCIAL REVIEW AND PROSPECTS</w:t>
      </w:r>
    </w:p>
    <w:p>
      <w:pPr>
        <w:spacing w:after="0" w:line="224" w:lineRule="exact"/>
        <w:rPr>
          <w:sz w:val="20"/>
          <w:szCs w:val="20"/>
          <w:color w:val="auto"/>
        </w:rPr>
      </w:pPr>
    </w:p>
    <w:p>
      <w:pPr>
        <w:ind w:right="20" w:firstLine="320"/>
        <w:spacing w:after="0" w:line="271"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77" w:lineRule="exact"/>
        <w:rPr>
          <w:sz w:val="20"/>
          <w:szCs w:val="20"/>
          <w:color w:val="auto"/>
        </w:rPr>
      </w:pPr>
    </w:p>
    <w:p>
      <w:pPr>
        <w:ind w:right="20" w:firstLine="320"/>
        <w:spacing w:after="0" w:line="282" w:lineRule="auto"/>
        <w:rPr>
          <w:sz w:val="20"/>
          <w:szCs w:val="20"/>
          <w:color w:val="auto"/>
        </w:rPr>
      </w:pPr>
      <w:r>
        <w:rPr>
          <w:rFonts w:ascii="Arial" w:cs="Arial" w:eastAsia="Arial" w:hAnsi="Arial"/>
          <w:sz w:val="16"/>
          <w:szCs w:val="16"/>
          <w:color w:val="auto"/>
        </w:rPr>
        <w:t xml:space="preserve">We are an international owner, operator and manager of LNG carriers. As of March 7, 2022, our wholly owned fleet consists of 20 LNG carriers, including 16 ships in operation and four LNG carriers on order at DSME. GasLog is also the general and controlling partner in GasLog Partners, which owns 14 LNG carriers and has leased back, under a bareboat charter, for a period of up to five years one vessel sold to CDBL in October 2021. In addition, GasLog has leased back under a bareboat charter i) for a period of up to 20 years one vessel sold to Lepta Shipping in February 2016; ii) for a period of up to 12 years one vessel sold to Sea 190 Leasing in October 2020; iii) for a period of up to eight years one vessel sold to Hai Kuo Shipping in January 2021 and iv) for a period of up to five years one vessel sold to CDBL in October 2021. We currently manage and operate 35 LNG carriers including 16 of our wholly owned vessels in operation, 13 ships contributed or sold to the Partnership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managed by a subsidiary of Shell), the five bareboat vessels (including GasLog Partners’ bareboat vessel) and one additional LNG carrier in which we have a 25.0% interest. We are also supervising the construction of our newbuildings. As of March 7, 2022, 19 of our owned and bareboat vessels (including six of the 15 vessels of the GasLog Partners owned and bareboat fleet) currently operate or will operate under long-term time charters (defined as those with initial duration of more than five years), and 16 of our vessels (including nine of the GasLog Partners owned and bareboat fleet) currently trade in the short-term spot market (defined as contracts with initial duration of less than five years). As of December 31, 2021, our contracts are expected to provide total contracted revenue of $2.8 billion during their initial terms, which expire between 2022 and 2032.</w:t>
      </w:r>
    </w:p>
    <w:p>
      <w:pPr>
        <w:spacing w:after="0" w:line="176" w:lineRule="exact"/>
        <w:rPr>
          <w:sz w:val="20"/>
          <w:szCs w:val="20"/>
          <w:color w:val="auto"/>
        </w:rPr>
      </w:pPr>
    </w:p>
    <w:p>
      <w:pPr>
        <w:ind w:right="60" w:firstLine="320"/>
        <w:spacing w:after="0" w:line="281" w:lineRule="auto"/>
        <w:rPr>
          <w:sz w:val="20"/>
          <w:szCs w:val="20"/>
          <w:color w:val="auto"/>
        </w:rPr>
      </w:pPr>
      <w:r>
        <w:rPr>
          <w:rFonts w:ascii="Arial" w:cs="Arial" w:eastAsia="Arial" w:hAnsi="Arial"/>
          <w:sz w:val="17"/>
          <w:szCs w:val="17"/>
          <w:color w:val="auto"/>
        </w:rPr>
        <w:t xml:space="preserve">The additional LNG carrier in which we also have a 25.0% interest is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Arial" w:cs="Arial" w:eastAsia="Arial" w:hAnsi="Arial"/>
          <w:sz w:val="17"/>
          <w:szCs w:val="17"/>
          <w:i w:val="1"/>
          <w:iCs w:val="1"/>
          <w:color w:val="auto"/>
        </w:rPr>
        <w:t>Methane Nile Eagle.</w:t>
      </w:r>
    </w:p>
    <w:p>
      <w:pPr>
        <w:spacing w:after="0" w:line="167" w:lineRule="exact"/>
        <w:rPr>
          <w:sz w:val="20"/>
          <w:szCs w:val="20"/>
          <w:color w:val="auto"/>
        </w:rPr>
      </w:pPr>
    </w:p>
    <w:p>
      <w:pPr>
        <w:ind w:right="340" w:firstLine="320"/>
        <w:spacing w:after="0" w:line="296" w:lineRule="auto"/>
        <w:rPr>
          <w:sz w:val="20"/>
          <w:szCs w:val="20"/>
          <w:color w:val="auto"/>
        </w:rPr>
      </w:pPr>
      <w:r>
        <w:rPr>
          <w:rFonts w:ascii="Arial" w:cs="Arial" w:eastAsia="Arial" w:hAnsi="Arial"/>
          <w:sz w:val="16"/>
          <w:szCs w:val="16"/>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being the Chief Executive Officer, reviews the Group’s operating results on a consolidated basis as one operating segment.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0"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color w:val="auto"/>
        </w:rPr>
        <w:t>As referenced in “Item 3. Key Information—Risk Factors”, oil prices, as measured by the spot price of Brent crude oil, increased through much of the year, peaking at approximately $86 per barrel in October 2021. Rising oil prices were supported by a global economic recovery as COVID-19 vaccinations were introduced across the world. In addition, the Organization of Petroleum Exporting Countries (“OPEC”) reduced oil output to balance the market’s supply with demand. This combination of broad based economic recovery and oil production reductions led to oil prices ending 2021 at approximately $79 per barrel, an increase of 70% from the end of 2020. In early 2022, spot oil prices have continued to rise higher and as of March 3, 2022 Brent crude oil was quoted at approximately $110 per barrel compared to $78 per barrel at December 31, 2021 and $64 per barrel at the same time last year.</w:t>
      </w:r>
    </w:p>
    <w:p>
      <w:pPr>
        <w:spacing w:after="0" w:line="168" w:lineRule="exact"/>
        <w:rPr>
          <w:sz w:val="20"/>
          <w:szCs w:val="20"/>
          <w:color w:val="auto"/>
        </w:rPr>
      </w:pPr>
    </w:p>
    <w:p>
      <w:pPr>
        <w:ind w:right="260" w:firstLine="320"/>
        <w:spacing w:after="0" w:line="306" w:lineRule="auto"/>
        <w:rPr>
          <w:sz w:val="20"/>
          <w:szCs w:val="20"/>
          <w:color w:val="auto"/>
        </w:rPr>
      </w:pPr>
      <w:r>
        <w:rPr>
          <w:rFonts w:ascii="Arial" w:cs="Arial" w:eastAsia="Arial" w:hAnsi="Arial"/>
          <w:sz w:val="16"/>
          <w:szCs w:val="16"/>
          <w:color w:val="auto"/>
        </w:rPr>
        <w:t>Global natural gas prices set new record high levels in many parts of the world during 2021. Specifically, natural gas prices in the import regions of Europe, as measured by the Title Transfer Facility (“TTF”), peaked at approximately $60 per million British Thermal Units (“MMBtu”) in December and averaged approximately $16 per MMBtu during the year while in Asia, the Japan Korea</w:t>
      </w:r>
    </w:p>
    <w:p>
      <w:pPr>
        <w:sectPr>
          <w:pgSz w:w="11900" w:h="16838" w:orient="portrait"/>
          <w:cols w:equalWidth="0" w:num="1">
            <w:col w:w="9900"/>
          </w:cols>
          <w:pgMar w:left="980" w:top="659" w:right="101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Marker (“JKM”) set a new record of approximately $49 per MMBtu in December and averaged approximately $18 per MMBtu in 2021. Meanwhile, gas prices in the United States, as measured by the Henry Hub (“HH”) benchmark, remained relatively low by historical levels, averaging $3.70 per MMBtu although that is 74% higher than the multi-year low of $2.13 per MMBtu set in 2020. Gas prices in Europe and Asia were positively impacted by lower production in these regions and growing demand as economies around the world recovered from COVID-19 related shutdowns enacted in 2020. In addition, a colder than average 2020/21 winter in the Northern Hemisphere drew inventories in Europe and parts of Asia below their 5-year averages to start the year.</w:t>
      </w:r>
    </w:p>
    <w:p>
      <w:pPr>
        <w:spacing w:after="0" w:line="180" w:lineRule="exact"/>
        <w:rPr>
          <w:sz w:val="20"/>
          <w:szCs w:val="20"/>
          <w:color w:val="auto"/>
        </w:rPr>
      </w:pPr>
    </w:p>
    <w:p>
      <w:pPr>
        <w:ind w:right="20" w:firstLine="320"/>
        <w:spacing w:after="0" w:line="253" w:lineRule="auto"/>
        <w:rPr>
          <w:sz w:val="20"/>
          <w:szCs w:val="20"/>
          <w:color w:val="auto"/>
        </w:rPr>
      </w:pPr>
      <w:r>
        <w:rPr>
          <w:rFonts w:ascii="Arial" w:cs="Arial" w:eastAsia="Arial" w:hAnsi="Arial"/>
          <w:sz w:val="18"/>
          <w:szCs w:val="18"/>
          <w:color w:val="auto"/>
        </w:rPr>
        <w:t>International gas prices have hit new record highs in 2022 following the Russian invasion of Ukraine on February 24, 2022. As of March 3, 2022, natural gas prices were quoted at approximately $54 per MMBtu for TTF compared to $5.50 per MMBtu at the same time last year and at approximately $44 per MMBtu for JKM compared to $5.90 per MMBtu at the same time last year. By contrast, the price recovery of spot Henry Hub in the U.S., has been less dramatic, quoted at $4.72 per MMBtu as of March 3, 2022 compared to $2.81 at the same time last year.</w:t>
      </w:r>
    </w:p>
    <w:p>
      <w:pPr>
        <w:spacing w:after="0" w:line="190"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The differential is presently wide enough to incentivize inter-basin trade and gas price futures imply that the inter-basin arbitrage opportunity may exist periodically in coming months and years, potentially leading to longer voyages for LNG cargoes and, all else equal, increasing the demand for spot LNG shipping.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0" w:lineRule="exact"/>
        <w:rPr>
          <w:sz w:val="20"/>
          <w:szCs w:val="20"/>
          <w:color w:val="auto"/>
        </w:rPr>
      </w:pPr>
    </w:p>
    <w:p>
      <w:pPr>
        <w:ind w:right="60" w:firstLine="320"/>
        <w:spacing w:after="0" w:line="251" w:lineRule="auto"/>
        <w:rPr>
          <w:sz w:val="20"/>
          <w:szCs w:val="20"/>
          <w:color w:val="auto"/>
        </w:rPr>
      </w:pPr>
      <w:r>
        <w:rPr>
          <w:rFonts w:ascii="Arial" w:cs="Arial" w:eastAsia="Arial" w:hAnsi="Arial"/>
          <w:sz w:val="18"/>
          <w:szCs w:val="18"/>
          <w:color w:val="auto"/>
        </w:rPr>
        <w:t>Supply for 2021 totaled 393 mt, an increase of 22 mt or approximately 6% over 2020, according to Poten &amp; Partners Group, Inc. (“Poten”). The U.S. led supply growth in 2021, up by approximately 25 mt or 51% year-over-year due to the ramp-up in supply from new liquefaction trains which came online in H2 20 and 2021 as well as significantly fewer cargo cancellations in 2021 relative to 2020. Meanwhile Nigeria, Trinidad and Norway each registered a decline of over 3 mt or 18%, 29% and 97%, respectively, due to supply issues and/or unplanned downtime. LNG supply is projected to rise 6% to approximately 400 mt in 2022, according to BloombergNEF (“BNEF”). This expected growth is driven by the ramp-up of new supply commissioned in 2021 and new capacity scheduled to come on stream in 2022.</w:t>
      </w:r>
    </w:p>
    <w:p>
      <w:pPr>
        <w:spacing w:after="0" w:line="193"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During 2021, 2 new LNG liquefaction projects reached FID, Qatar’s North Field Expansion Project which anticipates the construction of 4 new trains with a combined capacity of 33 mtpa as well as Woodside’s Pluto LNG Train 2 in Australia with a capacity of 5 mtpa.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0" w:lineRule="exact"/>
        <w:rPr>
          <w:sz w:val="20"/>
          <w:szCs w:val="20"/>
          <w:color w:val="auto"/>
        </w:rPr>
      </w:pPr>
    </w:p>
    <w:p>
      <w:pPr>
        <w:ind w:right="40" w:firstLine="320"/>
        <w:spacing w:after="0" w:line="251" w:lineRule="auto"/>
        <w:rPr>
          <w:sz w:val="20"/>
          <w:szCs w:val="20"/>
          <w:color w:val="auto"/>
        </w:rPr>
      </w:pPr>
      <w:r>
        <w:rPr>
          <w:rFonts w:ascii="Arial" w:cs="Arial" w:eastAsia="Arial" w:hAnsi="Arial"/>
          <w:sz w:val="18"/>
          <w:szCs w:val="18"/>
          <w:color w:val="auto"/>
        </w:rPr>
        <w:t>For the full year 2021, LNG demand was 386 mt compared to approximately 363 mt for the full year 2020, an increase of 6%, according to Poten. Demand growth in 2021 was led by China where demand grew approximately 12 mt or 17% and South Korea where demand grew approximately 7 mt or 16%. This growth was balanced by declines in Europe, where demand declined by approximately 6 mt or 8% and India where demand declined by approximately 2 mt or approximately 7%. Wood Mackenzie forecasts global LNG demand growth of over 88 mt between 2021 and 2026, a compound annual growth of approximately 4%. This growth is expected to be broad-based, with South East Asia (excluding India) accounting for approximately 65% and China, Latin America and India expected to account for 26%, 5% and 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0" w:lineRule="exact"/>
        <w:rPr>
          <w:sz w:val="20"/>
          <w:szCs w:val="20"/>
          <w:color w:val="auto"/>
        </w:rPr>
      </w:pPr>
    </w:p>
    <w:p>
      <w:pPr>
        <w:ind w:right="60" w:firstLine="320"/>
        <w:spacing w:after="0" w:line="269" w:lineRule="auto"/>
        <w:rPr>
          <w:sz w:val="20"/>
          <w:szCs w:val="20"/>
          <w:color w:val="auto"/>
        </w:rPr>
      </w:pPr>
      <w:r>
        <w:rPr>
          <w:rFonts w:ascii="Arial" w:cs="Arial" w:eastAsia="Arial" w:hAnsi="Arial"/>
          <w:sz w:val="17"/>
          <w:szCs w:val="17"/>
          <w:color w:val="auto"/>
        </w:rPr>
        <w:t>In the LNG shipping spot market, TFDE headline rates, as reported by Clarkson Research Services Limited (“Clarksons”), averaged $89,000 per day in 2021, a 51% increase year-on-year. Wide gas price differentials allowed for arbitrage opportunities for transporting LNG between the Atlantic and Pacific basins for most of the year. Based on forward pricing for LNG in the US and Asia, this trend looks to continue into 2022. According to Poten, 113 term charters between 12 months and seven years were reported in 2021, an increase of 117% over 2020, of which 44 were for TFDE vessels and 18 were for Steam vessels. The term charter market for Steam vessels continues to be significantly less liquid than that for TFDEs.</w:t>
      </w:r>
    </w:p>
    <w:p>
      <w:pPr>
        <w:sectPr>
          <w:pgSz w:w="11900" w:h="16838" w:orient="portrait"/>
          <w:cols w:equalWidth="0" w:num="1">
            <w:col w:w="9880"/>
          </w:cols>
          <w:pgMar w:left="980" w:top="659" w:right="1039" w:bottom="144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Clarksons assesses headline spot rates for TFDE and Steam LNG carriers at $27,500 per day and $10,000 per day, respectively as of February 18, 2022. The COVID related outbreaks around the world continue to create uncertainty regarding near-term demand for LNG. In addition, spot rates may be prone to further periods of seasonality and volatility similar to those seen in recent years. Accordingly, there is no guarantee that LNG shipping spot rates will stay at or near current levels or return to the levels experienced in the fourth quarter of 2021, which could harm our business, financial condition, results of operations and cash flows, including cash available for distributions to unitholders.</w:t>
      </w:r>
    </w:p>
    <w:p>
      <w:pPr>
        <w:spacing w:after="0" w:line="190" w:lineRule="exact"/>
        <w:rPr>
          <w:sz w:val="20"/>
          <w:szCs w:val="20"/>
          <w:color w:val="auto"/>
        </w:rPr>
      </w:pPr>
    </w:p>
    <w:p>
      <w:pPr>
        <w:ind w:right="20" w:firstLine="320"/>
        <w:spacing w:after="0" w:line="250" w:lineRule="auto"/>
        <w:rPr>
          <w:sz w:val="20"/>
          <w:szCs w:val="20"/>
          <w:color w:val="auto"/>
        </w:rPr>
      </w:pPr>
      <w:r>
        <w:rPr>
          <w:rFonts w:ascii="Arial" w:cs="Arial" w:eastAsia="Arial" w:hAnsi="Arial"/>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0"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According to Poten, as of January 13, 2022, the global fleet of dedicated LNG carriers (&gt;100,000 cbm) consisted of 582 vessels with another 151 LNG carriers on order, of which 122 vessels (or 79%) have multi-year charters. Poten estimates that a total of 29 LNG carriers are due to be delivered in 2022. In 2021, a record 82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 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20" w:lineRule="exact"/>
        <w:rPr>
          <w:sz w:val="20"/>
          <w:szCs w:val="20"/>
          <w:color w:val="auto"/>
        </w:rPr>
      </w:pPr>
    </w:p>
    <w:p>
      <w:pPr>
        <w:ind w:left="680" w:right="380" w:hanging="326"/>
        <w:spacing w:after="0" w:line="270"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supply and demand for LNG shipping services and the number of vessels available in the short-term or spot LNG carrier charter market;</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LNG carriers in our owned and managed fleets;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timely delivery of our ships under construction;</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acceptable financing in respect of our capital and refinancing commitments;</w:t>
      </w:r>
    </w:p>
    <w:p>
      <w:pPr>
        <w:spacing w:after="0" w:line="153" w:lineRule="exact"/>
        <w:rPr>
          <w:rFonts w:ascii="Arial" w:cs="Arial" w:eastAsia="Arial" w:hAnsi="Arial"/>
          <w:sz w:val="18"/>
          <w:szCs w:val="18"/>
          <w:color w:val="auto"/>
        </w:rPr>
      </w:pPr>
    </w:p>
    <w:p>
      <w:pPr>
        <w:ind w:left="680" w:right="420" w:hanging="326"/>
        <w:spacing w:after="0" w:line="270"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existing customers and our ability to increase the number of our customers through the development of new working relationships;</w:t>
      </w:r>
    </w:p>
    <w:p>
      <w:pPr>
        <w:spacing w:after="0" w:line="94" w:lineRule="exact"/>
        <w:rPr>
          <w:rFonts w:ascii="Arial" w:cs="Arial" w:eastAsia="Arial" w:hAnsi="Arial"/>
          <w:sz w:val="18"/>
          <w:szCs w:val="18"/>
          <w:color w:val="auto"/>
        </w:rPr>
      </w:pPr>
    </w:p>
    <w:p>
      <w:pPr>
        <w:ind w:left="680" w:hanging="32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153" w:lineRule="exact"/>
        <w:rPr>
          <w:rFonts w:ascii="Arial" w:cs="Arial" w:eastAsia="Arial" w:hAnsi="Arial"/>
          <w:sz w:val="18"/>
          <w:szCs w:val="18"/>
          <w:color w:val="auto"/>
        </w:rPr>
      </w:pPr>
    </w:p>
    <w:p>
      <w:pPr>
        <w:ind w:left="680" w:right="360" w:hanging="326"/>
        <w:spacing w:after="0" w:line="270"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supply-demand relationship for LNG shipping services, including the impact of greater competition in the LNG shipping market;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300" w:hanging="326"/>
        <w:spacing w:after="0" w:line="270"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employ the ships we own and the bareboat vessels, that currently do not have charters at economically attractive rates;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effective and efficient technical and operational management of our ships;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maintain the recruitment and retention of appropriately qualified seafarers and shore staff;</w:t>
      </w:r>
    </w:p>
    <w:p>
      <w:pPr>
        <w:spacing w:after="0" w:line="153" w:lineRule="exact"/>
        <w:rPr>
          <w:rFonts w:ascii="Arial" w:cs="Arial" w:eastAsia="Arial" w:hAnsi="Arial"/>
          <w:sz w:val="18"/>
          <w:szCs w:val="18"/>
          <w:color w:val="auto"/>
        </w:rPr>
      </w:pPr>
    </w:p>
    <w:p>
      <w:pPr>
        <w:ind w:left="680" w:right="60" w:hanging="326"/>
        <w:spacing w:after="0" w:line="270"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08" w:lineRule="exact"/>
        <w:rPr>
          <w:rFonts w:ascii="Arial" w:cs="Arial" w:eastAsia="Arial" w:hAnsi="Arial"/>
          <w:sz w:val="18"/>
          <w:szCs w:val="18"/>
          <w:color w:val="auto"/>
        </w:rPr>
      </w:pPr>
    </w:p>
    <w:p>
      <w:pPr>
        <w:ind w:left="680" w:right="280" w:hanging="326"/>
        <w:spacing w:after="0" w:line="281" w:lineRule="auto"/>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67" w:lineRule="exact"/>
        <w:rPr>
          <w:sz w:val="20"/>
          <w:szCs w:val="20"/>
          <w:color w:val="auto"/>
        </w:rPr>
      </w:pPr>
    </w:p>
    <w:p>
      <w:pPr>
        <w:ind w:right="380" w:firstLine="320"/>
        <w:spacing w:after="0" w:line="270"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75" w:lineRule="exact"/>
        <w:rPr>
          <w:sz w:val="20"/>
          <w:szCs w:val="20"/>
          <w:color w:val="auto"/>
        </w:rPr>
      </w:pPr>
    </w:p>
    <w:p>
      <w:pPr>
        <w:ind w:left="680" w:right="480" w:hanging="326"/>
        <w:spacing w:after="0" w:line="270"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hire rate earned by our owned ships, including any of our ships that may trade in the short-term or spot market if we are unable to secure new term charters;</w:t>
      </w:r>
    </w:p>
    <w:p>
      <w:pPr>
        <w:spacing w:after="0" w:line="94" w:lineRule="exact"/>
        <w:rPr>
          <w:rFonts w:ascii="Arial" w:cs="Arial" w:eastAsia="Arial" w:hAnsi="Arial"/>
          <w:sz w:val="18"/>
          <w:szCs w:val="18"/>
          <w:color w:val="auto"/>
        </w:rPr>
      </w:pPr>
    </w:p>
    <w:p>
      <w:pPr>
        <w:ind w:left="680" w:hanging="32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fees we receive for technical ship management services;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the costs of crewing, insurance and maintenance;</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mark-to-market changes in derivative financial instruments and foreign currency fluctuations; and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0" w:lineRule="exact"/>
        <w:rPr>
          <w:sz w:val="20"/>
          <w:szCs w:val="20"/>
          <w:color w:val="auto"/>
        </w:rPr>
      </w:pPr>
    </w:p>
    <w:p>
      <w:pPr>
        <w:ind w:right="20" w:firstLine="320"/>
        <w:spacing w:after="0" w:line="283" w:lineRule="auto"/>
        <w:rPr>
          <w:sz w:val="20"/>
          <w:szCs w:val="20"/>
          <w:color w:val="auto"/>
        </w:rPr>
      </w:pPr>
      <w:r>
        <w:rPr>
          <w:rFonts w:ascii="Arial" w:cs="Arial" w:eastAsia="Arial" w:hAnsi="Arial"/>
          <w:sz w:val="16"/>
          <w:szCs w:val="16"/>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 See “Item 4. Information on the Company—B. Business Overview—Ship Time Charters—Hire Rate Provisions” for a more detailed discussion of the hire rate provisions of our charter contracts.</w:t>
      </w:r>
    </w:p>
    <w:p>
      <w:pPr>
        <w:spacing w:after="0" w:line="172"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380" w:firstLine="320"/>
        <w:spacing w:after="0" w:line="300" w:lineRule="auto"/>
        <w:rPr>
          <w:sz w:val="20"/>
          <w:szCs w:val="20"/>
          <w:color w:val="auto"/>
        </w:rPr>
      </w:pPr>
      <w:r>
        <w:rPr>
          <w:rFonts w:ascii="Arial" w:cs="Arial" w:eastAsia="Arial" w:hAnsi="Arial"/>
          <w:sz w:val="17"/>
          <w:szCs w:val="17"/>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0" w:lineRule="exact"/>
        <w:rPr>
          <w:sz w:val="20"/>
          <w:szCs w:val="20"/>
          <w:color w:val="auto"/>
        </w:rPr>
      </w:pPr>
    </w:p>
    <w:p>
      <w:pPr>
        <w:ind w:right="120" w:firstLine="320"/>
        <w:spacing w:after="0" w:line="281" w:lineRule="auto"/>
        <w:rPr>
          <w:sz w:val="20"/>
          <w:szCs w:val="20"/>
          <w:color w:val="auto"/>
        </w:rPr>
      </w:pPr>
      <w:r>
        <w:rPr>
          <w:rFonts w:ascii="Arial" w:cs="Arial" w:eastAsia="Arial" w:hAnsi="Arial"/>
          <w:sz w:val="17"/>
          <w:szCs w:val="17"/>
          <w:color w:val="auto"/>
        </w:rPr>
        <w:t>Under our time charter arrangements, charterers bear substantially all voyage expenses, including bunker fuel, port charges and canal tolls, but not commissions, which we have historically paid to unaffiliated ship brokers based on a flat fee per ship. Commissions are recognized as expenses on a pro rata basis over the duration of the period of the time charter.</w:t>
      </w:r>
    </w:p>
    <w:p>
      <w:pPr>
        <w:spacing w:after="0" w:line="167" w:lineRule="exact"/>
        <w:rPr>
          <w:sz w:val="20"/>
          <w:szCs w:val="20"/>
          <w:color w:val="auto"/>
        </w:rPr>
      </w:pPr>
    </w:p>
    <w:p>
      <w:pPr>
        <w:ind w:right="180" w:firstLine="320"/>
        <w:spacing w:after="0" w:line="258" w:lineRule="auto"/>
        <w:rPr>
          <w:sz w:val="20"/>
          <w:szCs w:val="20"/>
          <w:color w:val="auto"/>
        </w:rPr>
      </w:pPr>
      <w:r>
        <w:rPr>
          <w:rFonts w:ascii="Arial" w:cs="Arial" w:eastAsia="Arial" w:hAnsi="Arial"/>
          <w:sz w:val="18"/>
          <w:szCs w:val="18"/>
          <w:color w:val="auto"/>
        </w:rPr>
        <w:t>Voyage expenses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0" w:lineRule="exact"/>
        <w:rPr>
          <w:sz w:val="20"/>
          <w:szCs w:val="20"/>
          <w:color w:val="auto"/>
        </w:rPr>
      </w:pPr>
    </w:p>
    <w:p>
      <w:pPr>
        <w:ind w:right="360" w:firstLine="320"/>
        <w:spacing w:after="0" w:line="269" w:lineRule="auto"/>
        <w:rPr>
          <w:sz w:val="20"/>
          <w:szCs w:val="20"/>
          <w:color w:val="auto"/>
        </w:rPr>
      </w:pPr>
      <w:r>
        <w:rPr>
          <w:rFonts w:ascii="Arial" w:cs="Arial" w:eastAsia="Arial" w:hAnsi="Arial"/>
          <w:sz w:val="17"/>
          <w:szCs w:val="17"/>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Certain of our charters contain provisions that significantly reduce our exposure to increases in operating costs, including review provisions and cost pass-through provisions. Vessel operating and Supervision Costs are recognized as expenses when incurred.</w:t>
      </w:r>
    </w:p>
    <w:p>
      <w:pPr>
        <w:spacing w:after="0" w:line="180" w:lineRule="exact"/>
        <w:rPr>
          <w:sz w:val="20"/>
          <w:szCs w:val="20"/>
          <w:color w:val="auto"/>
        </w:rPr>
      </w:pPr>
    </w:p>
    <w:p>
      <w:pPr>
        <w:ind w:right="60" w:firstLine="320"/>
        <w:spacing w:after="0" w:line="271" w:lineRule="auto"/>
        <w:rPr>
          <w:sz w:val="20"/>
          <w:szCs w:val="20"/>
          <w:color w:val="auto"/>
        </w:rPr>
      </w:pPr>
      <w:r>
        <w:rPr>
          <w:rFonts w:ascii="Arial" w:cs="Arial" w:eastAsia="Arial" w:hAnsi="Arial"/>
          <w:sz w:val="17"/>
          <w:szCs w:val="17"/>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intercompany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177"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0"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at the end of its useful life. We review scrap rates on an annual basis, and may revise the rates in response to changing market conditions.</w:t>
      </w:r>
    </w:p>
    <w:p>
      <w:pPr>
        <w:spacing w:after="0" w:line="168" w:lineRule="exact"/>
        <w:rPr>
          <w:sz w:val="20"/>
          <w:szCs w:val="20"/>
          <w:color w:val="auto"/>
        </w:rPr>
      </w:pPr>
    </w:p>
    <w:p>
      <w:pPr>
        <w:ind w:right="40" w:firstLine="320"/>
        <w:spacing w:after="0" w:line="284"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which is performed within five years from the vessel’s last dry-docking unless we determine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General and administrative expenses consist principally of personnel costs for administrative and support staff, board of directors fees, expense recognized in connection with share-based compensation, rent, utilities, travel expenses, legal expenses, information and computing equipment and services, other professional services and consultants, training for crew familiarization and other advisor costs. In addition, general and administrative expenses include restructuring costs comprising of termination benefits, accelerated amortization for stock plan and restructuring obligations, pursuant to management’s decision to relocate more of its employees including several members of senior management to the Piraeus, Greece office and to close the Stamford, Connecticut office. Finally, general and administrative expenses include Transactions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w:t>
      </w:r>
    </w:p>
    <w:p>
      <w:pPr>
        <w:spacing w:after="0" w:line="220" w:lineRule="exact"/>
        <w:rPr>
          <w:sz w:val="20"/>
          <w:szCs w:val="20"/>
          <w:color w:val="auto"/>
        </w:rPr>
      </w:pPr>
    </w:p>
    <w:p>
      <w:pPr>
        <w:ind w:firstLine="320"/>
        <w:spacing w:after="0" w:line="267" w:lineRule="auto"/>
        <w:rPr>
          <w:sz w:val="20"/>
          <w:szCs w:val="20"/>
          <w:color w:val="auto"/>
        </w:rPr>
      </w:pPr>
      <w:r>
        <w:rPr>
          <w:rFonts w:ascii="Arial" w:cs="Arial" w:eastAsia="Arial" w:hAnsi="Arial"/>
          <w:sz w:val="17"/>
          <w:szCs w:val="17"/>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0" w:lineRule="exact"/>
        <w:rPr>
          <w:sz w:val="20"/>
          <w:szCs w:val="20"/>
          <w:color w:val="auto"/>
        </w:rPr>
      </w:pPr>
    </w:p>
    <w:p>
      <w:pPr>
        <w:ind w:right="140" w:firstLine="320"/>
        <w:spacing w:after="0" w:line="268" w:lineRule="auto"/>
        <w:rPr>
          <w:sz w:val="20"/>
          <w:szCs w:val="20"/>
          <w:color w:val="auto"/>
        </w:rPr>
      </w:pPr>
      <w:r>
        <w:rPr>
          <w:rFonts w:ascii="Arial" w:cs="Arial" w:eastAsia="Arial" w:hAnsi="Arial"/>
          <w:sz w:val="17"/>
          <w:szCs w:val="17"/>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Financial costs also include Transaction Costs. For a description of our credit facilities, including our loan agreements and sale and leaseback agreements, see “Item 5. Operating and Financial Review and Prospects—B. Liquidity and Capital Resources— Borrowing Activities—Credit Facilities”.</w:t>
      </w:r>
    </w:p>
    <w:p>
      <w:pPr>
        <w:spacing w:after="0" w:line="180" w:lineRule="exact"/>
        <w:rPr>
          <w:sz w:val="20"/>
          <w:szCs w:val="20"/>
          <w:color w:val="auto"/>
        </w:rPr>
      </w:pPr>
    </w:p>
    <w:p>
      <w:pPr>
        <w:ind w:right="100" w:firstLine="320"/>
        <w:spacing w:after="0" w:line="258" w:lineRule="auto"/>
        <w:rPr>
          <w:sz w:val="20"/>
          <w:szCs w:val="20"/>
          <w:color w:val="auto"/>
        </w:rPr>
      </w:pPr>
      <w:r>
        <w:rPr>
          <w:rFonts w:ascii="Arial" w:cs="Arial" w:eastAsia="Arial" w:hAnsi="Arial"/>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0" w:lineRule="exact"/>
        <w:rPr>
          <w:sz w:val="20"/>
          <w:szCs w:val="20"/>
          <w:color w:val="auto"/>
        </w:rPr>
      </w:pPr>
    </w:p>
    <w:p>
      <w:pPr>
        <w:ind w:right="100" w:firstLine="320"/>
        <w:spacing w:after="0" w:line="270"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0" w:lineRule="exact"/>
        <w:rPr>
          <w:sz w:val="20"/>
          <w:szCs w:val="20"/>
          <w:color w:val="auto"/>
        </w:rPr>
      </w:pPr>
    </w:p>
    <w:p>
      <w:pPr>
        <w:ind w:right="120" w:firstLine="320"/>
        <w:spacing w:after="0" w:line="255" w:lineRule="auto"/>
        <w:rPr>
          <w:sz w:val="20"/>
          <w:szCs w:val="20"/>
          <w:color w:val="auto"/>
        </w:rPr>
      </w:pPr>
      <w:r>
        <w:rPr>
          <w:rFonts w:ascii="Arial" w:cs="Arial" w:eastAsia="Arial" w:hAnsi="Arial"/>
          <w:sz w:val="18"/>
          <w:szCs w:val="18"/>
          <w:color w:val="auto"/>
        </w:rPr>
        <w:t>(Loss)/gain on derivatives consist of the ineffective portion of changes in the fair value of the derivatives that meet hedge accounting criteria, net interest on derivative financial instruments held for trading, the movement in the fair value of the derivative financial instruments that have not been designated as hedges and the amortization of the cumulative unrealized loss for the derivative contracts in respect of which hedge accounting was discontinued.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Profit of Associates</w:t>
      </w:r>
    </w:p>
    <w:p>
      <w:pPr>
        <w:spacing w:after="0" w:line="220" w:lineRule="exact"/>
        <w:rPr>
          <w:sz w:val="20"/>
          <w:szCs w:val="20"/>
          <w:color w:val="auto"/>
        </w:rPr>
      </w:pPr>
    </w:p>
    <w:p>
      <w:pPr>
        <w:ind w:right="120" w:firstLine="320"/>
        <w:spacing w:after="0" w:line="255" w:lineRule="auto"/>
        <w:rPr>
          <w:sz w:val="20"/>
          <w:szCs w:val="20"/>
          <w:color w:val="auto"/>
        </w:rPr>
      </w:pPr>
      <w:r>
        <w:rPr>
          <w:rFonts w:ascii="Arial" w:cs="Arial" w:eastAsia="Arial" w:hAnsi="Arial"/>
          <w:sz w:val="18"/>
          <w:szCs w:val="18"/>
          <w:color w:val="auto"/>
        </w:rPr>
        <w:t xml:space="preserve">The share of profit of associates consists of our share of profits from (a) our 25.0% ownership interest in Egypt LNG, a Bermuda exempted company whose principal asset is the LNG carrier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and (b) our 20.0% ownership in Gastrade, a Greek private limited company licensed to develop an independent natural gas system offshore Alexandroupolis in Northern Greece utilizing an FSRU along with other infrastructure.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 Compared to Year Ended December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Amounts are in thousands of U.S. Dollars</w:t>
            </w: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674,089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809,577</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135,488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(148,235)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(166,432)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(202,953)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Loss on disposal of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loss</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(153,669)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(125,042)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250,310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222,680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Financial costs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(165,281)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(166,955)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107,338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(247,021)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(142,164)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104,857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80,516</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77,227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controlling interests</w:t>
            </w: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2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8"/>
                <w:szCs w:val="18"/>
                <w:color w:val="auto"/>
              </w:rPr>
              <w:t>48,237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8"/>
                <w:szCs w:val="18"/>
                <w:color w:val="auto"/>
              </w:rPr>
              <w:t>12,853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(Loss)/profit attributable to owners of the Group</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67,663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During the year ended December 31, 2020, we had an average of 30.1 ships operating in our owned and bareboat fleet (including ships owned by the Partnership), having 10,522 available days and an average of 30.1 ships operating under our technical management (including 29.1 of our owned and bareboat ships). During the year ended December 31, 2021, we had an average of 33.9 ships operating in our owned and bareboat fleet (including the Partnership’s owned and bareboat fleet), having 12,133 available days and an average of 33.9 ships operating under our technical management (including 32.9 of our owned and bareboat ships).</w:t>
      </w:r>
    </w:p>
    <w:p>
      <w:pPr>
        <w:spacing w:after="0" w:line="162"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Revenues increased by 20.1%, or $135.5 million, from $674.1 million during the year ended December 31, 2020 to $809.6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million during the year ended December 31, 2021. The increase in revenues is mainly attributable to an increase of $104.0 million deriving from the full year operation of the </w:t>
      </w:r>
      <w:r>
        <w:rPr>
          <w:rFonts w:ascii="Arial" w:cs="Arial" w:eastAsia="Arial" w:hAnsi="Arial"/>
          <w:sz w:val="17"/>
          <w:szCs w:val="17"/>
          <w:i w:val="1"/>
          <w:iCs w:val="1"/>
          <w:color w:val="auto"/>
        </w:rPr>
        <w:t>GasLog Windsor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Wales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Westminster</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Georgetown</w:t>
      </w:r>
      <w:r>
        <w:rPr>
          <w:rFonts w:ascii="Arial" w:cs="Arial" w:eastAsia="Arial" w:hAnsi="Arial"/>
          <w:sz w:val="17"/>
          <w:szCs w:val="17"/>
          <w:color w:val="auto"/>
        </w:rPr>
        <w:t xml:space="preserve"> delivered on April 1, 2020, May 11, 2020, July 15, 2020 and November 16, 2020, respectively and the deliveries of the </w:t>
      </w:r>
      <w:r>
        <w:rPr>
          <w:rFonts w:ascii="Arial" w:cs="Arial" w:eastAsia="Arial" w:hAnsi="Arial"/>
          <w:sz w:val="17"/>
          <w:szCs w:val="17"/>
          <w:i w:val="1"/>
          <w:iCs w:val="1"/>
          <w:color w:val="auto"/>
        </w:rPr>
        <w:t>GasLog Galveston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Wellington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Winchester </w:t>
      </w:r>
      <w:r>
        <w:rPr>
          <w:rFonts w:ascii="Arial" w:cs="Arial" w:eastAsia="Arial" w:hAnsi="Arial"/>
          <w:sz w:val="17"/>
          <w:szCs w:val="17"/>
          <w:color w:val="auto"/>
        </w:rPr>
        <w:t>on January 4, 2021, June 15, 2021 and August 24, 2021, respectively and a net increase of $48.8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the improved performance of our spot fleet, in line with the ongoing improvement of the LNG shipping market observed in 2021 and the short-term charters we entered into. These increases were partially offset by a net decrease of $13.3 million attributable to the expirations of the initial multi-year time charters mainly of the Partnership’s Steam fleet (which were contracted at higher rates compared to their current spot rates). As a result, the average daily hire rate increased from $67,120 for the year ended December 31, 2020 to $68,212 for the year ended December 31, 2021.</w:t>
      </w:r>
    </w:p>
    <w:p>
      <w:pPr>
        <w:spacing w:after="0" w:line="182" w:lineRule="exact"/>
        <w:rPr>
          <w:sz w:val="20"/>
          <w:szCs w:val="20"/>
          <w:color w:val="auto"/>
        </w:rPr>
      </w:pPr>
    </w:p>
    <w:p>
      <w:pPr>
        <w:ind w:right="40" w:firstLine="320"/>
        <w:spacing w:after="0" w:line="285" w:lineRule="auto"/>
        <w:rPr>
          <w:sz w:val="20"/>
          <w:szCs w:val="20"/>
          <w:color w:val="auto"/>
        </w:rPr>
      </w:pPr>
      <w:r>
        <w:rPr>
          <w:rFonts w:ascii="Arial" w:cs="Arial" w:eastAsia="Arial" w:hAnsi="Arial"/>
          <w:sz w:val="16"/>
          <w:szCs w:val="16"/>
          <w:b w:val="1"/>
          <w:bCs w:val="1"/>
          <w:i w:val="1"/>
          <w:iCs w:val="1"/>
          <w:color w:val="auto"/>
        </w:rPr>
        <w:t xml:space="preserve">Vessel Operating and Supervision Costs: </w:t>
      </w:r>
      <w:r>
        <w:rPr>
          <w:rFonts w:ascii="Arial" w:cs="Arial" w:eastAsia="Arial" w:hAnsi="Arial"/>
          <w:sz w:val="16"/>
          <w:szCs w:val="16"/>
          <w:color w:val="auto"/>
        </w:rPr>
        <w:t>Vessel operating and supervision costs increased by 12.3%, or $18.2 million, from $148.2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during the year ended December 31, 2020 to $166.4 million during the year ended December 31, 2021. The increase in vessel operating and supervision costs is primarily attributable to the increase in ownership days due to the aforementioned deliveries of the GasLog wholly owned vessels, partially offset by the decrease in daily operating costs from $13,975 per ownership day (as defined below excluding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managed by Shell) for the year ended December 31, 2020 to $13,864 per ownership day (as defined below excluding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managed by Shell) for the year ended December 31, 2021. Ownership days represent total calendar days for our owned and bareboat fleet. Daily operating costs per vessel decreased mainly due to the decreased scheduled technical and maintenance costs as a result of management’s operating cost initiatives, partially offset by the unfavorable movement of the Euro (“EUR”)/U. S. Dollar (“USD”) exchange rate in the year ended December 31, 2021 as compared to the year ended December 31, 2020.</w:t>
      </w:r>
    </w:p>
    <w:p>
      <w:pPr>
        <w:spacing w:after="0" w:line="168" w:lineRule="exact"/>
        <w:rPr>
          <w:sz w:val="20"/>
          <w:szCs w:val="20"/>
          <w:color w:val="auto"/>
        </w:rPr>
      </w:pPr>
    </w:p>
    <w:p>
      <w:pPr>
        <w:ind w:right="160" w:firstLine="320"/>
        <w:spacing w:after="0" w:line="306"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increased by 14.6%, or $25.8 million, from $177.2 million during the year ended December 31, 2020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$203.0 million during the year ended December 31, 2021. The increase in depreciation resulted mainly from the increase in the average number of vessels in our fleet in the year ended December 31, 2021, compared to the prior year and the increase from the</w:t>
      </w:r>
    </w:p>
    <w:p>
      <w:pPr>
        <w:sectPr>
          <w:pgSz w:w="11900" w:h="16838" w:orient="portrait"/>
          <w:cols w:equalWidth="0" w:num="1">
            <w:col w:w="9920"/>
          </w:cols>
          <w:pgMar w:left="980" w:top="659" w:right="99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depreciation of the right-of-use assets, which were partially offset by the impairment charges recognized in the prior year and during the year ended December 31, 2021.</w:t>
      </w:r>
    </w:p>
    <w:p>
      <w:pPr>
        <w:spacing w:after="0" w:line="175" w:lineRule="exact"/>
        <w:rPr>
          <w:sz w:val="20"/>
          <w:szCs w:val="20"/>
          <w:color w:val="auto"/>
        </w:rPr>
      </w:pPr>
    </w:p>
    <w:p>
      <w:pPr>
        <w:ind w:right="60" w:firstLine="320"/>
        <w:spacing w:after="0" w:line="265"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decreased by 8.3%, or $3.9 million, from $47.2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year ended December 31, 2020 to $43.3 million during the year ended December 31, 2021. The decrease in absolute terms is mainly attributable to the reduced employee costs due to the restructuring announced in 2019, the decrease in foreign exchange losses and the decrease in amortization of share-based compensation, which were partially offset by increased legal costs, other employee costs associated with the Transaction and the increased costs of directors’ and officers’ insurance. General and administrative expenses include the effect of the restructuring costs of $5.3 million and $0.8 million for the year ended December 31, 2020 and 2021, respectively and the effect of the costs related to the Transaction of $1.0 million and $13.7 million for the year ended December 31, 2020 and 2021, respectively. Daily general and administrative expenses decreased from $4,306 per vessel ownership day for the year ended December 31, 2020 to $3,501 per vessel ownership day for the year ended December 31, 2021, which includes restructuring costs of $484 and $66 per vessel ownership day in 2020 and 2021, respectively and costs related to the Transaction of $85 and $1,105 per vessel ownership day in 2020 and 2021, respectively.</w:t>
      </w:r>
    </w:p>
    <w:p>
      <w:pPr>
        <w:spacing w:after="0" w:line="188" w:lineRule="exact"/>
        <w:rPr>
          <w:sz w:val="20"/>
          <w:szCs w:val="20"/>
          <w:color w:val="auto"/>
        </w:rPr>
      </w:pPr>
    </w:p>
    <w:p>
      <w:pPr>
        <w:ind w:right="40" w:firstLine="320"/>
        <w:spacing w:after="0" w:line="280" w:lineRule="auto"/>
        <w:rPr>
          <w:sz w:val="20"/>
          <w:szCs w:val="20"/>
          <w:color w:val="auto"/>
        </w:rPr>
      </w:pPr>
      <w:r>
        <w:rPr>
          <w:rFonts w:ascii="Arial" w:cs="Arial" w:eastAsia="Arial" w:hAnsi="Arial"/>
          <w:sz w:val="16"/>
          <w:szCs w:val="16"/>
          <w:b w:val="1"/>
          <w:bCs w:val="1"/>
          <w:i w:val="1"/>
          <w:iCs w:val="1"/>
          <w:color w:val="auto"/>
        </w:rPr>
        <w:t xml:space="preserve">Impairment Loss: </w:t>
      </w:r>
      <w:r>
        <w:rPr>
          <w:rFonts w:ascii="Arial" w:cs="Arial" w:eastAsia="Arial" w:hAnsi="Arial"/>
          <w:sz w:val="16"/>
          <w:szCs w:val="16"/>
          <w:color w:val="auto"/>
        </w:rPr>
        <w:t>Impairment loss was $28.6 million for the year ended December 31, 2020 and $153.7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2021. The aggregate impairment loss which was recognized as of December 31, 2021, was analyzed as follows: a) $125.8 million with respect to five Steam vessels owned by the Partnership and one Steam vessel owned by GasLog, built in 2006 and 2007, after concluding that events and circumstances triggered the existence of potential impairment of Steam vessels on that date and is the result of the reduced expectations of the rates at which we could expect to secure term employment for the remaining economic lives of those vessels, and significant uncertainties regarding future demand for such vessels in light of the continued addition of modern, larger and more fuel efficient LNG carriers to the global fleet, b) $16.9 million with respect to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for the remeasurement at the lower of its carrying amount and fair value less costs to sell pursuant to the vessel’s sale and leaseback transaction concluded in October 2021 and</w:t>
      </w:r>
    </w:p>
    <w:p>
      <w:pPr>
        <w:spacing w:after="0" w:line="4" w:lineRule="exact"/>
        <w:rPr>
          <w:sz w:val="20"/>
          <w:szCs w:val="20"/>
          <w:color w:val="auto"/>
        </w:rPr>
      </w:pPr>
    </w:p>
    <w:p>
      <w:pPr>
        <w:ind w:right="240" w:firstLine="7"/>
        <w:spacing w:after="0" w:line="288" w:lineRule="auto"/>
        <w:tabs>
          <w:tab w:leader="none" w:pos="1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$11.0 million for the Group’s FSRU conversion costs recognized under “Vessels under construction”, with respect to incurred costs from which no future economic benefits are expected. The impairment loss recorded for the year ended December 31, 2020 was recognized as of June 30, 2020 and December 31, 2020 with respect to five of our six Steam vessels, after concluding that events and circumstances triggered the existence of potential impairment of all its vessels on that date and was the result of anticipated increases in volatility in the spot charter market over the near term from COVID-19 pandemic-related impacts on LNG and LNG shipping demand.</w:t>
      </w:r>
    </w:p>
    <w:p>
      <w:pPr>
        <w:spacing w:after="0" w:line="164" w:lineRule="exact"/>
        <w:rPr>
          <w:sz w:val="20"/>
          <w:szCs w:val="20"/>
          <w:color w:val="auto"/>
        </w:rPr>
      </w:pPr>
    </w:p>
    <w:p>
      <w:pPr>
        <w:ind w:right="20" w:firstLine="320"/>
        <w:spacing w:after="0" w:line="284"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1.0%, or $1.7 million, from $165.3 million during the year ended December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$167.0 million during the year ended December 31, 2021. The increase in financial costs is mainly attributable to an increase of $18.5 million in other financial costs, net related mainly to the $15.7 million financing fees associated with the amendment of the credit facilities as a result of the Transaction. This increase is partially offset by a net decrease of $12.7 million in interest expense on loans, bonds and cash flow hedges primarily due to a decrease in LIBOR rates during the year ended December 31, 2021 compared to the same period in 2020, although there was higher weighted average indebtedness. Specifically, during the year ended December 31, 2021, we had an average of $3,830.0 million of outstanding indebtedness, with a weighted average interest rate of 3.0%, while during the year ended December 31, 2020, we had an average of $3,428.2 million of outstanding indebtedness, with a weighted average interest rate of 3.7%. These weighted average interest rates include interest expense on loans and cash flow hedges and interest expense on bonds and CCSs. In addition, there was a net decrease of $2.6 million deriving mainly from the write-off of fees relating to the 2020 refinancings and the sale and leaseback transactions and a decrease of $1.9 million in loss arising on bond repurchases at premium.</w:t>
      </w:r>
    </w:p>
    <w:p>
      <w:pPr>
        <w:spacing w:after="0" w:line="167" w:lineRule="exact"/>
        <w:rPr>
          <w:sz w:val="20"/>
          <w:szCs w:val="20"/>
          <w:color w:val="auto"/>
        </w:rPr>
      </w:pPr>
    </w:p>
    <w:p>
      <w:pPr>
        <w:ind w:right="120" w:firstLine="320"/>
        <w:spacing w:after="0" w:line="287" w:lineRule="auto"/>
        <w:rPr>
          <w:sz w:val="20"/>
          <w:szCs w:val="20"/>
          <w:color w:val="auto"/>
        </w:rPr>
      </w:pPr>
      <w:r>
        <w:rPr>
          <w:rFonts w:ascii="Arial" w:cs="Arial" w:eastAsia="Arial" w:hAnsi="Arial"/>
          <w:sz w:val="16"/>
          <w:szCs w:val="16"/>
          <w:b w:val="1"/>
          <w:bCs w:val="1"/>
          <w:i w:val="1"/>
          <w:iCs w:val="1"/>
          <w:color w:val="auto"/>
        </w:rPr>
        <w:t xml:space="preserve">(Loss)/gain on Derivatives: </w:t>
      </w:r>
      <w:r>
        <w:rPr>
          <w:rFonts w:ascii="Arial" w:cs="Arial" w:eastAsia="Arial" w:hAnsi="Arial"/>
          <w:sz w:val="16"/>
          <w:szCs w:val="16"/>
          <w:color w:val="auto"/>
        </w:rPr>
        <w:t>Loss on derivatives decreased by $107.4 million, from a loss of $84.7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to a gain of $22.7 million for the year ended December 31, 2021. The decrease is mainly attributable to a decrease of $123.5 million in loss from marked-to-market valuation of our derivative financial instruments carried at fair value through profit or loss, which reflected a loss of $64.0 million for the year ended December 31, 2020, as compared to a gain of $59.4 million for the year ended December 31, 2021, and a decrease of $0.3 million in the ineffective portion of cash flow hedges, partially offset by an increase of $14.7 million in realized loss from interest rate swaps held for trading and a decrease of $1.7 million in realized gain on forward foreign exchange contracts held for trading for the year ended December 31, 2021, compared to the year ended December 31, 2020.</w:t>
      </w:r>
    </w:p>
    <w:p>
      <w:pPr>
        <w:spacing w:after="0" w:line="168" w:lineRule="exact"/>
        <w:rPr>
          <w:sz w:val="20"/>
          <w:szCs w:val="20"/>
          <w:color w:val="auto"/>
        </w:rPr>
      </w:pPr>
    </w:p>
    <w:p>
      <w:pPr>
        <w:ind w:firstLine="320"/>
        <w:spacing w:after="0" w:line="300" w:lineRule="auto"/>
        <w:rPr>
          <w:sz w:val="20"/>
          <w:szCs w:val="20"/>
          <w:color w:val="auto"/>
        </w:rPr>
      </w:pPr>
      <w:r>
        <w:rPr>
          <w:rFonts w:ascii="Arial" w:cs="Arial" w:eastAsia="Arial" w:hAnsi="Arial"/>
          <w:sz w:val="17"/>
          <w:szCs w:val="17"/>
          <w:b w:val="1"/>
          <w:bCs w:val="1"/>
          <w:i w:val="1"/>
          <w:iCs w:val="1"/>
          <w:color w:val="auto"/>
        </w:rPr>
        <w:t xml:space="preserve">Profit for the Year: </w:t>
      </w:r>
      <w:r>
        <w:rPr>
          <w:rFonts w:ascii="Arial" w:cs="Arial" w:eastAsia="Arial" w:hAnsi="Arial"/>
          <w:sz w:val="17"/>
          <w:szCs w:val="17"/>
          <w:color w:val="auto"/>
        </w:rPr>
        <w:t>Profit for the year increased by $77.2 million, from a profit of $3.3 million for the year ended December 31,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profit of $80.5 million for the year ended December 31, 2021 as a result of the aforementioned factors.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20" w:firstLine="320"/>
        <w:spacing w:after="0" w:line="253" w:lineRule="auto"/>
        <w:rPr>
          <w:sz w:val="20"/>
          <w:szCs w:val="20"/>
          <w:color w:val="auto"/>
        </w:rPr>
      </w:pPr>
      <w:r>
        <w:rPr>
          <w:rFonts w:ascii="Arial" w:cs="Arial" w:eastAsia="Arial" w:hAnsi="Arial"/>
          <w:sz w:val="18"/>
          <w:szCs w:val="18"/>
          <w:b w:val="1"/>
          <w:bCs w:val="1"/>
          <w:i w:val="1"/>
          <w:iCs w:val="1"/>
          <w:color w:val="auto"/>
        </w:rPr>
        <w:t xml:space="preserve">(Loss)/profit Attributable to Owners of the Group: </w:t>
      </w:r>
      <w:r>
        <w:rPr>
          <w:rFonts w:ascii="Arial" w:cs="Arial" w:eastAsia="Arial" w:hAnsi="Arial"/>
          <w:sz w:val="18"/>
          <w:szCs w:val="18"/>
          <w:color w:val="auto"/>
        </w:rPr>
        <w:t>Loss Attributable to Owners of the Group decreased by $112.6 million,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$44.9 million for the year ended December 31, 2020 to a profit of $67.7 million for the year ended December 31, 2021. The decrease in loss attributable to the owners of GasLog resulted mainly from the respective movements in profit mentioned above, partially offset by the decrease in profit attributable to the non-controlling interests (non-controlling unitholders of GasLog Partners) following the decrease in the Partnership’s profit.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2019 Compared to Year Ended December 31, 2020</w:t>
      </w:r>
    </w:p>
    <w:p>
      <w:pPr>
        <w:spacing w:after="0" w:line="224" w:lineRule="exact"/>
        <w:rPr>
          <w:sz w:val="20"/>
          <w:szCs w:val="20"/>
          <w:color w:val="auto"/>
        </w:rPr>
      </w:pPr>
    </w:p>
    <w:p>
      <w:pPr>
        <w:ind w:right="320" w:firstLine="320"/>
        <w:spacing w:after="0" w:line="255" w:lineRule="auto"/>
        <w:rPr>
          <w:sz w:val="20"/>
          <w:szCs w:val="20"/>
          <w:color w:val="auto"/>
        </w:rPr>
      </w:pPr>
      <w:r>
        <w:rPr>
          <w:rFonts w:ascii="Arial" w:cs="Arial" w:eastAsia="Arial" w:hAnsi="Arial"/>
          <w:sz w:val="18"/>
          <w:szCs w:val="18"/>
          <w:color w:val="auto"/>
        </w:rPr>
        <w:t>For a discussion of our results for the year ended December 31, 2019 compared to the year ended December 31, 2020, please see “Item 5. Operating and Financial Review and Prospects – A. Operating Results – Year Ended December 31, 2019 Compared to Year Ended December 31, 2020” contained in our annual report on Form 20-F for the year ended December 31, 2020, filed with the SEC on March 5,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4" w:lineRule="exact"/>
        <w:rPr>
          <w:sz w:val="20"/>
          <w:szCs w:val="20"/>
          <w:color w:val="auto"/>
        </w:rPr>
      </w:pPr>
    </w:p>
    <w:p>
      <w:pPr>
        <w:ind w:right="220" w:firstLine="320"/>
        <w:spacing w:after="0" w:line="296" w:lineRule="auto"/>
        <w:rPr>
          <w:sz w:val="20"/>
          <w:szCs w:val="20"/>
          <w:color w:val="auto"/>
        </w:rPr>
      </w:pPr>
      <w:r>
        <w:rPr>
          <w:rFonts w:ascii="Arial" w:cs="Arial" w:eastAsia="Arial" w:hAnsi="Arial"/>
          <w:sz w:val="16"/>
          <w:szCs w:val="16"/>
          <w:color w:val="auto"/>
        </w:rPr>
        <w:t>For the year ended December 31, 2021, we received 38.0% of our revenues from Shell, 36.2% of our revenues from major LNG producers, 25.6% of our revenues from various charterers in the spot/short-term market and 0.1% of our revenues from Egypt LNG. For the year ended December 31, 2020, we received 57.2% of our revenues from Shell, 27.7% of our revenues from major LNG producers, 15.0% of our revenues from various charterers in the spot/short-term market, and 0.1% of our revenues from Egypt LNG.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4" w:lineRule="exact"/>
        <w:rPr>
          <w:sz w:val="20"/>
          <w:szCs w:val="20"/>
          <w:color w:val="auto"/>
        </w:rPr>
      </w:pPr>
    </w:p>
    <w:p>
      <w:pPr>
        <w:ind w:right="60" w:firstLine="320"/>
        <w:spacing w:after="0" w:line="274" w:lineRule="auto"/>
        <w:rPr>
          <w:sz w:val="20"/>
          <w:szCs w:val="20"/>
          <w:color w:val="auto"/>
        </w:rPr>
      </w:pPr>
      <w:r>
        <w:rPr>
          <w:rFonts w:ascii="Arial" w:cs="Arial" w:eastAsia="Arial" w:hAnsi="Arial"/>
          <w:sz w:val="17"/>
          <w:szCs w:val="17"/>
          <w:color w:val="auto"/>
        </w:rPr>
        <w:t>While our owned and bareboat ships are mainly employed under multi-year, fixed-rate charter arrangements, seasonal trends do impact the revenues earned during the year by our vessels trading in the spot and short-term market and under variable rate charters. In recent years, there has been a significant increase in the seasonality of LNG shipping spot rates with relative strength during the months of September through January and relative weakness during the months of March through May.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24" w:lineRule="exact"/>
        <w:rPr>
          <w:sz w:val="20"/>
          <w:szCs w:val="20"/>
          <w:color w:val="auto"/>
        </w:rPr>
      </w:pPr>
    </w:p>
    <w:p>
      <w:pPr>
        <w:ind w:firstLine="320"/>
        <w:spacing w:after="0" w:line="286" w:lineRule="auto"/>
        <w:rPr>
          <w:sz w:val="20"/>
          <w:szCs w:val="20"/>
          <w:color w:val="auto"/>
        </w:rPr>
      </w:pPr>
      <w:r>
        <w:rPr>
          <w:rFonts w:ascii="Arial" w:cs="Arial" w:eastAsia="Arial" w:hAnsi="Arial"/>
          <w:sz w:val="16"/>
          <w:szCs w:val="16"/>
          <w:color w:val="auto"/>
        </w:rPr>
        <w:t>As of December 31, 2021, GasLog has financed its capital requirements with contributions from its pre-IPO shareholders, proceeds from our IPO and the GasLog Partners’ IPO, proceeds from the 2014, 2015, 2016, 2017, 2018 and 2021 follow-on common and preference equity offerings by GasLog and GasLog Partners, the 2017, 2019, 2020 and 2021 follow-on debt offerings and the private placements, operating cash flows and long-term financings including bank loans, and bond offerings. 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vessels’ maintenance and running expenses, as well as debt service obligations, and seek to maintain adequate cash reserves in order to address revenue shortfalls or budget overruns, if any.</w:t>
      </w:r>
    </w:p>
    <w:p>
      <w:pPr>
        <w:spacing w:after="0" w:line="167" w:lineRule="exact"/>
        <w:rPr>
          <w:sz w:val="20"/>
          <w:szCs w:val="20"/>
          <w:color w:val="auto"/>
        </w:rPr>
      </w:pPr>
    </w:p>
    <w:p>
      <w:pPr>
        <w:ind w:right="100" w:firstLine="320"/>
        <w:spacing w:after="0" w:line="306" w:lineRule="auto"/>
        <w:rPr>
          <w:sz w:val="20"/>
          <w:szCs w:val="20"/>
          <w:color w:val="auto"/>
        </w:rPr>
      </w:pPr>
      <w:r>
        <w:rPr>
          <w:rFonts w:ascii="Arial" w:cs="Arial" w:eastAsia="Arial" w:hAnsi="Arial"/>
          <w:sz w:val="16"/>
          <w:szCs w:val="16"/>
          <w:color w:val="auto"/>
        </w:rPr>
        <w:t>We anticipate that our primary sources of funds will be available cash, cash from operations, borrowings under existing and new loan or lease agreements and additional equity. We believe that these sources of funds will be sufficient to meet our liquidity needs, although there can be no assurance that we will be able to obtain future debt and equity financing on terms acceptable to us.</w:t>
      </w:r>
    </w:p>
    <w:p>
      <w:pPr>
        <w:spacing w:after="0" w:line="150" w:lineRule="exact"/>
        <w:rPr>
          <w:sz w:val="20"/>
          <w:szCs w:val="20"/>
          <w:color w:val="auto"/>
        </w:rPr>
      </w:pPr>
    </w:p>
    <w:p>
      <w:pPr>
        <w:ind w:right="100" w:firstLine="320"/>
        <w:spacing w:after="0" w:line="270" w:lineRule="auto"/>
        <w:rPr>
          <w:sz w:val="20"/>
          <w:szCs w:val="20"/>
          <w:color w:val="auto"/>
        </w:rPr>
      </w:pPr>
      <w:r>
        <w:rPr>
          <w:rFonts w:ascii="Arial" w:cs="Arial" w:eastAsia="Arial" w:hAnsi="Arial"/>
          <w:sz w:val="18"/>
          <w:szCs w:val="18"/>
          <w:color w:val="auto"/>
        </w:rPr>
        <w:t>Our funding and treasury activities are intended to meet our operating and financing requirements while balancing investment returns in order to maintain appropriate liquidity. Cash and cash equivalents are held primarily in U.S. dollars.</w:t>
      </w:r>
    </w:p>
    <w:p>
      <w:pPr>
        <w:spacing w:after="0" w:line="175" w:lineRule="exact"/>
        <w:rPr>
          <w:sz w:val="20"/>
          <w:szCs w:val="20"/>
          <w:color w:val="auto"/>
        </w:rPr>
      </w:pPr>
    </w:p>
    <w:p>
      <w:pPr>
        <w:jc w:val="both"/>
        <w:ind w:right="280" w:firstLine="320"/>
        <w:spacing w:after="0" w:line="255" w:lineRule="auto"/>
        <w:rPr>
          <w:sz w:val="20"/>
          <w:szCs w:val="20"/>
          <w:color w:val="auto"/>
        </w:rPr>
      </w:pPr>
      <w:r>
        <w:rPr>
          <w:rFonts w:ascii="Arial" w:cs="Arial" w:eastAsia="Arial" w:hAnsi="Arial"/>
          <w:sz w:val="18"/>
          <w:szCs w:val="18"/>
          <w:color w:val="auto"/>
        </w:rPr>
        <w:t>As of December 31, 2021, we had $282.2 million of cash and cash equivalents. In addition, an amount of $1.0 million was held as cash collateral with respect to our derivative instruments and is included in Other non-current assets and Prepayments and other current assets. The funds in the ship management client accounts were held on behalf of customers of GasLog LNG Services in order to cover obligations of third party vessels under management.</w:t>
      </w:r>
    </w:p>
    <w:p>
      <w:pPr>
        <w:spacing w:after="0" w:line="188" w:lineRule="exact"/>
        <w:rPr>
          <w:sz w:val="20"/>
          <w:szCs w:val="20"/>
          <w:color w:val="auto"/>
        </w:rPr>
      </w:pPr>
    </w:p>
    <w:p>
      <w:pPr>
        <w:ind w:right="120" w:firstLine="320"/>
        <w:spacing w:after="0" w:line="258" w:lineRule="auto"/>
        <w:rPr>
          <w:sz w:val="20"/>
          <w:szCs w:val="20"/>
          <w:color w:val="auto"/>
        </w:rPr>
      </w:pPr>
      <w:r>
        <w:rPr>
          <w:rFonts w:ascii="Arial" w:cs="Arial" w:eastAsia="Arial" w:hAnsi="Arial"/>
          <w:sz w:val="18"/>
          <w:szCs w:val="18"/>
          <w:color w:val="auto"/>
        </w:rPr>
        <w:t>Under our existing multi-year charters as of December 31, 2021, we had contracted revenues of $690.5 million for 2022 and approximately $2,158.3 million thereafter. Although these contracted revenues are based on contracted charter rates, we are dependent on the ability and willingness of our charterers, to meet their obligations under these charters.</w:t>
      </w:r>
    </w:p>
    <w:p>
      <w:pPr>
        <w:sectPr>
          <w:pgSz w:w="11900" w:h="16838" w:orient="portrait"/>
          <w:cols w:equalWidth="0" w:num="1">
            <w:col w:w="9920"/>
          </w:cols>
          <w:pgMar w:left="980" w:top="659"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00" w:firstLine="320"/>
        <w:spacing w:after="0" w:line="306" w:lineRule="auto"/>
        <w:rPr>
          <w:sz w:val="20"/>
          <w:szCs w:val="20"/>
          <w:color w:val="auto"/>
        </w:rPr>
      </w:pPr>
      <w:r>
        <w:rPr>
          <w:rFonts w:ascii="Arial" w:cs="Arial" w:eastAsia="Arial" w:hAnsi="Arial"/>
          <w:sz w:val="16"/>
          <w:szCs w:val="16"/>
          <w:color w:val="auto"/>
        </w:rPr>
        <w:t xml:space="preserve">As of December 31, 2021, we had an aggregate of $3.7 billion of indebtedness outstanding under our credit facilities and bond agreements, of which $553.2 million was repayable within one year, and $302.8 million of lease liabilities mainly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of which $30.9 million was payable within one year.</w:t>
      </w:r>
    </w:p>
    <w:p>
      <w:pPr>
        <w:spacing w:after="0" w:line="150" w:lineRule="exact"/>
        <w:rPr>
          <w:sz w:val="20"/>
          <w:szCs w:val="20"/>
          <w:color w:val="auto"/>
        </w:rPr>
      </w:pPr>
    </w:p>
    <w:p>
      <w:pPr>
        <w:ind w:right="20" w:firstLine="320"/>
        <w:spacing w:after="0" w:line="270" w:lineRule="auto"/>
        <w:rPr>
          <w:sz w:val="20"/>
          <w:szCs w:val="20"/>
          <w:color w:val="auto"/>
        </w:rPr>
      </w:pPr>
      <w:r>
        <w:rPr>
          <w:rFonts w:ascii="Arial" w:cs="Arial" w:eastAsia="Arial" w:hAnsi="Arial"/>
          <w:sz w:val="18"/>
          <w:szCs w:val="18"/>
          <w:color w:val="auto"/>
        </w:rPr>
        <w:t>GasLog has hedged 43.7% of its expected floating interest rate exposure on its outstanding debt (excluding the lease liabilities and the 8.875% Senior Notes) as of December 31, 2021.</w:t>
      </w:r>
    </w:p>
    <w:p>
      <w:pPr>
        <w:spacing w:after="0" w:line="175"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The total contract price for our four newbuildings on order as of December 31, 2021 is approximately $820.7 million. The balance is payable under each shipbuilding contract in installments upon the attainment of certain specified milestones, with the largest portion of the purchase price for each ship coming due upon its delivery. We are scheduled to take delivery of the newbuildings on various dates in 2024 and 2025. As of December 31, 2021, the total remaining balance of the contract prices for the four newbuildings was $820.7 million, of which $123.1 million is due within 12 months, which will be funded with available cash, cash from operations and other financings we may enter into.</w:t>
      </w:r>
    </w:p>
    <w:p>
      <w:pPr>
        <w:spacing w:after="0" w:line="190" w:lineRule="exact"/>
        <w:rPr>
          <w:sz w:val="20"/>
          <w:szCs w:val="20"/>
          <w:color w:val="auto"/>
        </w:rPr>
      </w:pPr>
    </w:p>
    <w:p>
      <w:pPr>
        <w:ind w:firstLine="320"/>
        <w:spacing w:after="0" w:line="267" w:lineRule="auto"/>
        <w:rPr>
          <w:sz w:val="20"/>
          <w:szCs w:val="20"/>
          <w:color w:val="auto"/>
        </w:rPr>
      </w:pPr>
      <w:r>
        <w:rPr>
          <w:rFonts w:ascii="Arial" w:cs="Arial" w:eastAsia="Arial" w:hAnsi="Arial"/>
          <w:sz w:val="17"/>
          <w:szCs w:val="17"/>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agreed to act as sales agents. On November 3, 2017, the Partnership entered into the Amended and Restated Equity Distribution Agreement to increase the size of the ATM Programme to $144.0 million and to include UBS Securities LLC as a sales agent. On February 26, 2019, the Partnership entered into a Third Amended and Restated Equity Distribution Agreement to further increase the size of the ATM Programme from $144.0 million to $250.0 million.</w:t>
      </w:r>
    </w:p>
    <w:p>
      <w:pPr>
        <w:spacing w:after="0" w:line="182" w:lineRule="exact"/>
        <w:rPr>
          <w:sz w:val="20"/>
          <w:szCs w:val="20"/>
          <w:color w:val="auto"/>
        </w:rPr>
      </w:pPr>
    </w:p>
    <w:p>
      <w:pPr>
        <w:ind w:right="60" w:firstLine="320"/>
        <w:spacing w:after="0" w:line="253" w:lineRule="auto"/>
        <w:rPr>
          <w:sz w:val="20"/>
          <w:szCs w:val="20"/>
          <w:color w:val="auto"/>
        </w:rPr>
      </w:pPr>
      <w:r>
        <w:rPr>
          <w:rFonts w:ascii="Arial" w:cs="Arial" w:eastAsia="Arial" w:hAnsi="Arial"/>
          <w:sz w:val="18"/>
          <w:szCs w:val="18"/>
          <w:color w:val="auto"/>
        </w:rPr>
        <w:t>During the year ended December 31, 2021, GasLog Partners issued and received payment for 3,195,401 common units at a weighted average price of $3.19 per common unit for total gross proceeds of $10.2 million and net proceeds of $10.0 million, after broker commissions. From establishment of the ATM Programme through December 31, 2021, GasLog Partners issued and received payment for 8,486,705 common units at a weighted average price of $15.75 per common unit for total gross proceeds of $133.6 million and total net proceeds of $132.4 million.</w:t>
      </w:r>
    </w:p>
    <w:p>
      <w:pPr>
        <w:spacing w:after="0" w:line="190" w:lineRule="exact"/>
        <w:rPr>
          <w:sz w:val="20"/>
          <w:szCs w:val="20"/>
          <w:color w:val="auto"/>
        </w:rPr>
      </w:pPr>
    </w:p>
    <w:p>
      <w:pPr>
        <w:ind w:right="80" w:firstLine="320"/>
        <w:spacing w:after="0" w:line="285"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On February 5, 2020, the board of directors of GasLog Partners authorized a renewal of the unit repurchase programme taking the total authority outstanding under the programme to $25.0 million, to be utilized from February 10, 2020 to December 31, 2021. During the year ended December 31, 2021, GasLog Partners did not repurchase any units. Since the authorization of the unit repurchase programme and through December 31, 2021, GasLog Partners has repurchased and cancelled a total of 1,363,062 of the Partnership’s common units at a weighted average price of $17.50 per common unit for a total amount of $23.9 million, including commissions. The board of directors of GasLog Partners has not renewed the common unit repurchase programme following its expiration on December 31, 2021.</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December 12, 2019, GAS-twenty eight Ltd., GAS-thirty Ltd., GAS-thirty one Ltd., GAS-thirty two Ltd., GAS-thirty three Ltd.,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GAS-thirty four Ltd. and GAS-thirty five Ltd. entered into the 7xNB Facility. The agreement of up to $1,052.8 million partially finances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delivery of seven newbuilds scheduled to be delivered in 2020 and 2021. The loan bears interest plus a margin. On March 26, 2020, 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May 7, 2020, on July 9, 2020, on November 12, 2020, on December 29, 2020, on June 11, 2021 and on August 20, 2021, GasLog drew</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$152.5 million, $149.4 million, $149.3 million, $147.8 million, $147.8 million, $153.0 million and $153.0 million, respectively, under this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Galveston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Wellington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Winchester</w:t>
      </w:r>
      <w:r>
        <w:rPr>
          <w:rFonts w:ascii="Arial" w:cs="Arial" w:eastAsia="Arial" w:hAnsi="Arial"/>
          <w:sz w:val="18"/>
          <w:szCs w:val="18"/>
          <w:color w:val="auto"/>
        </w:rPr>
        <w:t>.</w:t>
      </w:r>
    </w:p>
    <w:p>
      <w:pPr>
        <w:spacing w:after="0" w:line="207" w:lineRule="exact"/>
        <w:rPr>
          <w:sz w:val="20"/>
          <w:szCs w:val="20"/>
          <w:color w:val="auto"/>
        </w:rPr>
      </w:pPr>
    </w:p>
    <w:p>
      <w:pPr>
        <w:ind w:right="80" w:firstLine="320"/>
        <w:spacing w:after="0" w:line="292" w:lineRule="auto"/>
        <w:rPr>
          <w:sz w:val="20"/>
          <w:szCs w:val="20"/>
          <w:color w:val="auto"/>
        </w:rPr>
      </w:pPr>
      <w:r>
        <w:rPr>
          <w:rFonts w:ascii="Arial" w:cs="Arial" w:eastAsia="Arial" w:hAnsi="Arial"/>
          <w:sz w:val="16"/>
          <w:szCs w:val="16"/>
          <w:color w:val="auto"/>
        </w:rPr>
        <w:t xml:space="preserve">On January 22, 2021, GasLog’s subsidiary, GAS-twenty four Ltd., completed the sale and leaseback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 Hai Kuo Shipping. The vessel was sold to Hai Kuo Shipping. GAS-twenty four has leased back the vessel under a bareboat charter from Hai Kuo Shipping for a period of up to eight years. GAS-twenty four Ltd. has the obligation to re-purchase the vessel at the end of the charter period. GAS-twenty four Ltd. has also the option to re-purchase the vessel on pre-agreed terms no earlier than the first interest period and no later than the end of year eight of the bareboat charter. The vessel remains on its charter with Shell.</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In March 2021, the Partnership established a preference unit repurchase programme (the “Repurchase Programme”), which authorized the repurchase of preference units through March 31, 2023. In the year ended December 31, 2021 and since inception of the Repurchase Programme, GasLog Partners repurchased and cancelled an aggregate of 464,429 Series B Preference Units and 269,549 Series C Preference Units at a weighted average price of $25.00 per preference unit for both Series. During the year ended December 31, 2021, the aggregate amount repaid for repurchases of preference units was $18.4 million, including commissions.</w:t>
      </w:r>
    </w:p>
    <w:p>
      <w:pPr>
        <w:spacing w:after="0" w:line="162" w:lineRule="exact"/>
        <w:rPr>
          <w:sz w:val="20"/>
          <w:szCs w:val="20"/>
          <w:color w:val="auto"/>
        </w:rPr>
      </w:pPr>
    </w:p>
    <w:p>
      <w:pPr>
        <w:ind w:right="60" w:firstLine="320"/>
        <w:spacing w:after="0" w:line="300" w:lineRule="auto"/>
        <w:rPr>
          <w:sz w:val="20"/>
          <w:szCs w:val="20"/>
          <w:color w:val="auto"/>
        </w:rPr>
      </w:pPr>
      <w:r>
        <w:rPr>
          <w:rFonts w:ascii="Arial" w:cs="Arial" w:eastAsia="Arial" w:hAnsi="Arial"/>
          <w:sz w:val="17"/>
          <w:szCs w:val="17"/>
          <w:color w:val="auto"/>
        </w:rPr>
        <w:t>In June 2021, GasLog entered into novation agreement with ABN and HSBC. Subsequently, an interest rate swap originally held with HSBC and due to mature in 2025, has now been transferred to ABN. The notional amount of the trade is $33.3 million.</w:t>
      </w:r>
    </w:p>
    <w:p>
      <w:pPr>
        <w:spacing w:after="0" w:line="152" w:lineRule="exact"/>
        <w:rPr>
          <w:sz w:val="20"/>
          <w:szCs w:val="20"/>
          <w:color w:val="auto"/>
        </w:rPr>
      </w:pPr>
    </w:p>
    <w:p>
      <w:pPr>
        <w:ind w:right="40" w:firstLine="320"/>
        <w:spacing w:after="0" w:line="251" w:lineRule="auto"/>
        <w:rPr>
          <w:sz w:val="20"/>
          <w:szCs w:val="20"/>
          <w:color w:val="auto"/>
        </w:rPr>
      </w:pPr>
      <w:r>
        <w:rPr>
          <w:rFonts w:ascii="Arial" w:cs="Arial" w:eastAsia="Arial" w:hAnsi="Arial"/>
          <w:sz w:val="18"/>
          <w:szCs w:val="18"/>
          <w:color w:val="auto"/>
        </w:rPr>
        <w:t>On September 24, 2021, GasLog entered into a Note Purchase Agreement (the “Note Purchase Agreement”) with certain affiliates of The Carlyle Group and EIG (such affiliates, the “Purchasers”) and Wilmington Trust (London) Limited, as administrative agent, for an amount of up to $325.0 million of the 2029 Notes. The Company anticipates drawing down the 2029 Notes by March 2022. The proceeds of the 2029 Notes will be used to refinance the Company’s 8.875% Senior Notes. Any remaining proceeds may be used to pay transaction costs and expenses incurred in connection with the refinancing and/or general corporate purposes. The Note Purchase Agreement allows for the issuance of additional 2029 Notes in an amount up to $100.0 million for the purpose of refinancing existing obligations or pursuing new growth opportunities.</w:t>
      </w:r>
    </w:p>
    <w:p>
      <w:pPr>
        <w:spacing w:after="0" w:line="193" w:lineRule="exact"/>
        <w:rPr>
          <w:sz w:val="20"/>
          <w:szCs w:val="20"/>
          <w:color w:val="auto"/>
        </w:rPr>
      </w:pPr>
    </w:p>
    <w:p>
      <w:pPr>
        <w:ind w:right="140" w:firstLine="320"/>
        <w:spacing w:after="0" w:line="269" w:lineRule="auto"/>
        <w:rPr>
          <w:sz w:val="20"/>
          <w:szCs w:val="20"/>
          <w:color w:val="auto"/>
        </w:rPr>
      </w:pPr>
      <w:r>
        <w:rPr>
          <w:rFonts w:ascii="Arial" w:cs="Arial" w:eastAsia="Arial" w:hAnsi="Arial"/>
          <w:sz w:val="17"/>
          <w:szCs w:val="17"/>
          <w:color w:val="auto"/>
        </w:rPr>
        <w:t xml:space="preserve">On October 26, 2021, GasLog Partners’ and GasLog’s subsidiaries, GAS-three Ltd. and GAS-ten Ltd. completed the sale and lease-back of the GasLog Shanghai and the GasLog Salem, respectively, with a wholly-owned subsidiary of CDBL. CDBL has the right to sell the vessel to third parties. The vessels were sold to CDBL for a cash consideration of $248.0 million and leased back under bareboat charters from CDBL for a period of five years with no repurchase option or obligation. These sale and leasebacks meet the definition of a lease under IFRS 16 </w:t>
      </w:r>
      <w:r>
        <w:rPr>
          <w:rFonts w:ascii="Arial" w:cs="Arial" w:eastAsia="Arial" w:hAnsi="Arial"/>
          <w:sz w:val="17"/>
          <w:szCs w:val="17"/>
          <w:i w:val="1"/>
          <w:iCs w:val="1"/>
          <w:color w:val="auto"/>
        </w:rPr>
        <w:t>Leases</w:t>
      </w:r>
      <w:r>
        <w:rPr>
          <w:rFonts w:ascii="Arial" w:cs="Arial" w:eastAsia="Arial" w:hAnsi="Arial"/>
          <w:sz w:val="17"/>
          <w:szCs w:val="17"/>
          <w:color w:val="auto"/>
        </w:rPr>
        <w:t>. The existing loan facilities advances of the specified vessels were terminated releasing $42.8 million of incremental net liquidity (net sale proceeds less debt prepayment) to the Group.</w:t>
      </w:r>
    </w:p>
    <w:p>
      <w:pPr>
        <w:spacing w:after="0" w:line="18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As our fleet expands, we will evaluate changes to the quarterly dividend consistent with our cash flow and liquidity position. Our policy is to pay dividends in amounts that will allow us to retain sufficient liquidity to fund our obligations as well as to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Information—Preference Shares Dividend Policy” for a discussion of risks related to our ability to pay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4" w:lineRule="exact"/>
        <w:rPr>
          <w:sz w:val="20"/>
          <w:szCs w:val="20"/>
          <w:color w:val="auto"/>
        </w:rPr>
      </w:pPr>
    </w:p>
    <w:p>
      <w:pPr>
        <w:ind w:right="60" w:firstLine="320"/>
        <w:spacing w:after="0" w:line="252" w:lineRule="auto"/>
        <w:rPr>
          <w:sz w:val="20"/>
          <w:szCs w:val="20"/>
          <w:color w:val="auto"/>
        </w:rPr>
      </w:pPr>
      <w:r>
        <w:rPr>
          <w:rFonts w:ascii="Arial" w:cs="Arial" w:eastAsia="Arial" w:hAnsi="Arial"/>
          <w:sz w:val="18"/>
          <w:szCs w:val="18"/>
          <w:color w:val="auto"/>
        </w:rPr>
        <w:t>As of December 31, 2021, our current assets totaled $325.6 million, while current liabilities totaled $779.1 million, resulting in a negative working capital position of $453.5 million. Current liabilities include $315.0 million relating to the 8.875% Senior Notes, that mature on March 22, 2022 and which we have successfully refinanced with the Note Purchase Agreement defined in Note 13 to our audited consolidated financial statements included elsewhere in this annual report, and $69.8 million of unearned revenue in relation to hires received in advance of December 31, 2021 (which represents a non-cash liability that will be recognized as revenue in January as the services are rendered).</w:t>
      </w:r>
    </w:p>
    <w:p>
      <w:pPr>
        <w:spacing w:after="0" w:line="190" w:lineRule="exact"/>
        <w:rPr>
          <w:sz w:val="20"/>
          <w:szCs w:val="20"/>
          <w:color w:val="auto"/>
        </w:rPr>
      </w:pPr>
    </w:p>
    <w:p>
      <w:pPr>
        <w:ind w:right="20" w:firstLine="320"/>
        <w:spacing w:after="0" w:line="268" w:lineRule="auto"/>
        <w:rPr>
          <w:sz w:val="20"/>
          <w:szCs w:val="20"/>
          <w:color w:val="auto"/>
        </w:rPr>
      </w:pPr>
      <w:r>
        <w:rPr>
          <w:rFonts w:ascii="Arial" w:cs="Arial" w:eastAsia="Arial" w:hAnsi="Arial"/>
          <w:sz w:val="17"/>
          <w:szCs w:val="17"/>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over the next twelve months will be available cash, cash from operations, existing and new borrowings, the refinancing of the 8.875% Senior Notes we concluded in September 2021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2021</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net cash flows from operating, investing and financing activities for the years indicated:</w:t>
      </w:r>
    </w:p>
    <w:p>
      <w:pPr>
        <w:spacing w:after="0" w:line="237" w:lineRule="exact"/>
        <w:rPr>
          <w:sz w:val="20"/>
          <w:szCs w:val="20"/>
          <w:color w:val="auto"/>
        </w:rPr>
      </w:pPr>
    </w:p>
    <w:tbl>
      <w:tblPr>
        <w:tblLayout w:type="fixed"/>
        <w:tblInd w:w="900" w:type="dxa"/>
        <w:tblCellMar>
          <w:top w:w="0" w:type="dxa"/>
          <w:left w:w="0" w:type="dxa"/>
          <w:bottom w:w="0" w:type="dxa"/>
          <w:right w:w="0" w:type="dxa"/>
        </w:tblCellMar>
      </w:tblPr>
      <w:tr>
        <w:trPr>
          <w:trHeight w:val="169"/>
        </w:trPr>
        <w:tc>
          <w:tcPr>
            <w:tcW w:w="4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4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right"/>
              <w:ind w:right="209"/>
              <w:spacing w:after="0" w:line="140" w:lineRule="exact"/>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20" w:type="dxa"/>
            <w:vAlign w:val="bottom"/>
          </w:tcPr>
          <w:p>
            <w:pPr>
              <w:jc w:val="right"/>
              <w:ind w:right="56"/>
              <w:spacing w:after="0" w:line="140" w:lineRule="exact"/>
              <w:rPr>
                <w:sz w:val="20"/>
                <w:szCs w:val="20"/>
                <w:color w:val="auto"/>
              </w:rPr>
            </w:pPr>
            <w:r>
              <w:rPr>
                <w:rFonts w:ascii="Arial" w:cs="Arial" w:eastAsia="Arial" w:hAnsi="Arial"/>
                <w:sz w:val="14"/>
                <w:szCs w:val="14"/>
                <w:b w:val="1"/>
                <w:bCs w:val="1"/>
                <w:color w:val="auto"/>
              </w:rPr>
              <w:t>Change</w:t>
            </w:r>
          </w:p>
        </w:tc>
      </w:tr>
      <w:tr>
        <w:trPr>
          <w:trHeight w:val="140"/>
        </w:trPr>
        <w:tc>
          <w:tcPr>
            <w:tcW w:w="4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i w:val="1"/>
                <w:iCs w:val="1"/>
                <w:color w:val="auto"/>
              </w:rPr>
              <w:t>(restated)*</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47"/>
        </w:trPr>
        <w:tc>
          <w:tcPr>
            <w:tcW w:w="41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Amounts in thousands of U.S. dollars</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$ 459,482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$ 592,107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132,625</w:t>
            </w:r>
          </w:p>
        </w:tc>
      </w:tr>
      <w:tr>
        <w:trPr>
          <w:trHeight w:val="42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(729,569)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(262,050)</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467,519</w:t>
            </w: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Net cash provided by/(used in) financing activities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375,423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(414,744)</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(790,167)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51435</wp:posOffset>
            </wp:positionV>
            <wp:extent cx="15671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136" w:lineRule="exact"/>
        <w:rPr>
          <w:sz w:val="20"/>
          <w:szCs w:val="20"/>
          <w:color w:val="auto"/>
        </w:rPr>
      </w:pPr>
    </w:p>
    <w:p>
      <w:pPr>
        <w:ind w:left="1220" w:right="20" w:hanging="319"/>
        <w:spacing w:after="0" w:line="285" w:lineRule="auto"/>
        <w:tabs>
          <w:tab w:leader="none" w:pos="12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Restated so as to reflect a change in accounting policy introduced on January 1, 2021, with respect to the reclassification of interest paid and movements of cash collaterals for interest rate swaps from Net cash provided by operating activities to Net cash used in financing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0"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Net cash provided by operating activities increased by $132.6 million, from $459.5 million during the year ended December 31, 2020 to $592.1 million during the year ended December 31, 2021. The increase is mainly attributable to an increase in revenues of $135.5 million and an increase of $13.1 million from movements of the working capital accounts (primarily affected by the increase of $19.1 million from movements in trade and other receivables partially offset by a decrease of $6.9 million from movements in trade payables), partially offset by a net increase of $14.2 million in vessel operating and supervision costs, voyage expenses and commissions and general and administrative expenses (after excluding the non-cash decrease in amortization of share-based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cash used in investing activities decreased by $467.5 million, from $729.6 million during the year ended December 31, 2020 to</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$262.1 million during the year ended December 31, 2021. The decrease is mainly attributable to the $243.0 million of proceeds of from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sale and leaseback transactions, net of commissions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a decrease of $223.4 million in net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cash used in payments for the construction costs of newbuildings and other fixed assets, a decrease of $5.8 million in net cash used in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payments for right-of-use assets, partially offset by a net decrease of $4.5 million in cash from short-term investments in the year ended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compared to the same period of 2020, and a decrease of $0.7 million in cash from interest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Financing Activities</w:t>
      </w:r>
    </w:p>
    <w:p>
      <w:pPr>
        <w:spacing w:after="0" w:line="220" w:lineRule="exact"/>
        <w:rPr>
          <w:sz w:val="20"/>
          <w:szCs w:val="20"/>
          <w:color w:val="auto"/>
        </w:rPr>
      </w:pPr>
    </w:p>
    <w:p>
      <w:pPr>
        <w:ind w:right="100" w:firstLine="320"/>
        <w:spacing w:after="0" w:line="284" w:lineRule="auto"/>
        <w:rPr>
          <w:sz w:val="20"/>
          <w:szCs w:val="20"/>
          <w:color w:val="auto"/>
        </w:rPr>
      </w:pPr>
      <w:r>
        <w:rPr>
          <w:rFonts w:ascii="Arial" w:cs="Arial" w:eastAsia="Arial" w:hAnsi="Arial"/>
          <w:sz w:val="16"/>
          <w:szCs w:val="16"/>
          <w:color w:val="auto"/>
        </w:rPr>
        <w:t>Net cash provided by financing activities decreased by $790.1 million, from net cash provided by financing activities of $375.4 million during the year ended December 31, 2020 to net cash used in financing activities of $414.7 million during the year ended December 31, 2021. The decrease is mainly attributable to a decrease of $1,666.2 million in proceeds from loans and bonds, a decrease of $36.0 million in proceeds from the private placement which took place in the previous year, a decrease of $31.6 million in proceeds from entering into interest rate swaps, a net increase of $15.4 million in cash used for repurchases of common or preference units or purchases of treasury shares, an increase of $15.7 million in loan/bond modification costs related to the Transaction, an increase of $3.7 million in payments for finance lease liability, an increase of $3.5 million in cash paid for interest and an increase of $1.5 million in dividend payments, partially offset by a decrease of $889.3 million in bank loan and bond repayments, a decrease of $35.7 million relating to the payment for the termination of interest rate and cross currency swaps, a net movement of $23.7 million in cash collaterals for swaps, a decrease of $22.0 million in net payments of loan issuance costs, an increase of $10.0 million in proceeds from GasLog Partner’s equity raisings and a decrease of $1.9 million in payments for bond repurchase at a premium in 2020.</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summarizes certain terms of the ten outstanding facilities as of December 31, 2021:</w:t>
      </w:r>
    </w:p>
    <w:p>
      <w:pPr>
        <w:sectPr>
          <w:pgSz w:w="11900" w:h="16838" w:orient="portrait"/>
          <w:cols w:equalWidth="0" w:num="1">
            <w:col w:w="9920"/>
          </w:cols>
          <w:pgMar w:left="980" w:top="659" w:right="999" w:bottom="1440" w:gutter="0" w:footer="0" w:header="0"/>
        </w:sectPr>
      </w:pPr>
    </w:p>
    <w:p>
      <w:pPr>
        <w:spacing w:after="0" w:line="257" w:lineRule="exact"/>
        <w:rPr>
          <w:sz w:val="20"/>
          <w:szCs w:val="20"/>
          <w:color w:val="auto"/>
        </w:rPr>
      </w:pPr>
    </w:p>
    <w:p>
      <w:pPr>
        <w:spacing w:after="0"/>
        <w:tabs>
          <w:tab w:leader="none" w:pos="1320" w:val="left"/>
        </w:tabs>
        <w:rPr>
          <w:sz w:val="20"/>
          <w:szCs w:val="20"/>
          <w:color w:val="auto"/>
        </w:rPr>
      </w:pPr>
      <w:r>
        <w:rPr>
          <w:rFonts w:ascii="Arial" w:cs="Arial" w:eastAsia="Arial" w:hAnsi="Arial"/>
          <w:sz w:val="11"/>
          <w:szCs w:val="11"/>
          <w:b w:val="1"/>
          <w:bCs w:val="1"/>
          <w:color w:val="auto"/>
        </w:rPr>
        <w:t>Facility Name</w:t>
      </w:r>
      <w:r>
        <w:rPr>
          <w:sz w:val="20"/>
          <w:szCs w:val="20"/>
          <w:color w:val="auto"/>
        </w:rPr>
        <w:tab/>
      </w:r>
      <w:r>
        <w:rPr>
          <w:rFonts w:ascii="Arial" w:cs="Arial" w:eastAsia="Arial" w:hAnsi="Arial"/>
          <w:sz w:val="9"/>
          <w:szCs w:val="9"/>
          <w:b w:val="1"/>
          <w:bCs w:val="1"/>
          <w:color w:val="auto"/>
        </w:rPr>
        <w:t>Lender(s)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October 2015</w:t>
      </w:r>
      <w:r>
        <w:rPr>
          <w:sz w:val="20"/>
          <w:szCs w:val="20"/>
          <w:color w:val="auto"/>
        </w:rPr>
        <w:tab/>
      </w:r>
      <w:r>
        <w:rPr>
          <w:rFonts w:ascii="Arial" w:cs="Arial" w:eastAsia="Arial" w:hAnsi="Arial"/>
          <w:sz w:val="9"/>
          <w:szCs w:val="9"/>
          <w:color w:val="auto"/>
        </w:rPr>
        <w:t>Citibank, N.A., London</w:t>
      </w:r>
    </w:p>
    <w:p>
      <w:pPr>
        <w:spacing w:after="0" w:line="2" w:lineRule="exact"/>
        <w:rPr>
          <w:sz w:val="20"/>
          <w:szCs w:val="20"/>
          <w:color w:val="auto"/>
        </w:rPr>
      </w:pPr>
    </w:p>
    <w:p>
      <w:pPr>
        <w:spacing w:after="0"/>
        <w:tabs>
          <w:tab w:leader="none" w:pos="900" w:val="left"/>
        </w:tabs>
        <w:rPr>
          <w:sz w:val="20"/>
          <w:szCs w:val="20"/>
          <w:color w:val="auto"/>
        </w:rPr>
      </w:pPr>
      <w:r>
        <w:rPr>
          <w:rFonts w:ascii="Arial" w:cs="Arial" w:eastAsia="Arial" w:hAnsi="Arial"/>
          <w:sz w:val="10"/>
          <w:szCs w:val="10"/>
          <w:color w:val="auto"/>
        </w:rPr>
        <w:t>Facility</w:t>
      </w:r>
      <w:r>
        <w:rPr>
          <w:sz w:val="20"/>
          <w:szCs w:val="20"/>
          <w:color w:val="auto"/>
        </w:rPr>
        <w:tab/>
      </w:r>
      <w:r>
        <w:rPr>
          <w:rFonts w:ascii="Arial" w:cs="Arial" w:eastAsia="Arial" w:hAnsi="Arial"/>
          <w:sz w:val="10"/>
          <w:szCs w:val="10"/>
          <w:color w:val="auto"/>
        </w:rPr>
        <w:t>Branch, Nordea Bank AB,</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0"/>
          <w:szCs w:val="10"/>
          <w:color w:val="auto"/>
        </w:rPr>
        <w:t>London Branch, The Export-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0"/>
          <w:szCs w:val="10"/>
          <w:color w:val="auto"/>
        </w:rPr>
        <w:t>Import Bank of Korea, Bank</w:t>
      </w:r>
    </w:p>
    <w:p>
      <w:pPr>
        <w:ind w:left="920"/>
        <w:spacing w:after="0" w:line="237" w:lineRule="auto"/>
        <w:rPr>
          <w:sz w:val="20"/>
          <w:szCs w:val="20"/>
          <w:color w:val="auto"/>
        </w:rPr>
      </w:pPr>
      <w:r>
        <w:rPr>
          <w:rFonts w:ascii="Arial" w:cs="Arial" w:eastAsia="Arial" w:hAnsi="Arial"/>
          <w:sz w:val="11"/>
          <w:szCs w:val="11"/>
          <w:color w:val="auto"/>
        </w:rPr>
        <w:t>of America, National</w:t>
      </w:r>
    </w:p>
    <w:p>
      <w:pPr>
        <w:ind w:left="920"/>
        <w:spacing w:after="0"/>
        <w:rPr>
          <w:sz w:val="20"/>
          <w:szCs w:val="20"/>
          <w:color w:val="auto"/>
        </w:rPr>
      </w:pPr>
      <w:r>
        <w:rPr>
          <w:rFonts w:ascii="Arial" w:cs="Arial" w:eastAsia="Arial" w:hAnsi="Arial"/>
          <w:sz w:val="10"/>
          <w:szCs w:val="10"/>
          <w:color w:val="auto"/>
        </w:rPr>
        <w:t>Association, BNP Paribas,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0"/>
          <w:szCs w:val="10"/>
          <w:color w:val="auto"/>
        </w:rPr>
        <w:t>Sea Bridge Finance Limited,</w:t>
      </w:r>
    </w:p>
    <w:p>
      <w:pPr>
        <w:ind w:left="920"/>
        <w:spacing w:after="0" w:line="237" w:lineRule="auto"/>
        <w:rPr>
          <w:sz w:val="20"/>
          <w:szCs w:val="20"/>
          <w:color w:val="auto"/>
        </w:rPr>
      </w:pPr>
      <w:r>
        <w:rPr>
          <w:rFonts w:ascii="Arial" w:cs="Arial" w:eastAsia="Arial" w:hAnsi="Arial"/>
          <w:sz w:val="11"/>
          <w:szCs w:val="11"/>
          <w:color w:val="auto"/>
        </w:rPr>
        <w:t>Credit Suisse AG, HSBC</w:t>
      </w:r>
    </w:p>
    <w:p>
      <w:pPr>
        <w:ind w:left="920"/>
        <w:spacing w:after="0" w:line="228" w:lineRule="auto"/>
        <w:rPr>
          <w:sz w:val="20"/>
          <w:szCs w:val="20"/>
          <w:color w:val="auto"/>
        </w:rPr>
      </w:pPr>
      <w:r>
        <w:rPr>
          <w:rFonts w:ascii="Arial" w:cs="Arial" w:eastAsia="Arial" w:hAnsi="Arial"/>
          <w:sz w:val="11"/>
          <w:szCs w:val="11"/>
          <w:color w:val="auto"/>
        </w:rPr>
        <w:t>Bank plc, ING Bank N.V.,</w:t>
      </w:r>
    </w:p>
    <w:p>
      <w:pPr>
        <w:ind w:left="920"/>
        <w:spacing w:after="0"/>
        <w:rPr>
          <w:sz w:val="20"/>
          <w:szCs w:val="20"/>
          <w:color w:val="auto"/>
        </w:rPr>
      </w:pPr>
      <w:r>
        <w:rPr>
          <w:rFonts w:ascii="Arial" w:cs="Arial" w:eastAsia="Arial" w:hAnsi="Arial"/>
          <w:sz w:val="10"/>
          <w:szCs w:val="10"/>
          <w:color w:val="auto"/>
        </w:rPr>
        <w:t>London Branch, KEB HANA</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0"/>
          <w:szCs w:val="10"/>
          <w:color w:val="auto"/>
        </w:rPr>
        <w:t>Bank, London Branch, KfW</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0"/>
          <w:szCs w:val="10"/>
          <w:color w:val="auto"/>
        </w:rPr>
        <w:t>IPEX-Bank GmbH, National</w:t>
      </w:r>
    </w:p>
    <w:p>
      <w:pPr>
        <w:ind w:left="920"/>
        <w:spacing w:after="0" w:line="237" w:lineRule="auto"/>
        <w:rPr>
          <w:sz w:val="20"/>
          <w:szCs w:val="20"/>
          <w:color w:val="auto"/>
        </w:rPr>
      </w:pPr>
      <w:r>
        <w:rPr>
          <w:rFonts w:ascii="Arial" w:cs="Arial" w:eastAsia="Arial" w:hAnsi="Arial"/>
          <w:sz w:val="11"/>
          <w:szCs w:val="11"/>
          <w:color w:val="auto"/>
        </w:rPr>
        <w:t>Australia Bank Limited,</w:t>
      </w:r>
    </w:p>
    <w:p>
      <w:pPr>
        <w:ind w:left="920"/>
        <w:spacing w:after="0"/>
        <w:rPr>
          <w:sz w:val="20"/>
          <w:szCs w:val="20"/>
          <w:color w:val="auto"/>
        </w:rPr>
      </w:pPr>
      <w:r>
        <w:rPr>
          <w:rFonts w:ascii="Arial" w:cs="Arial" w:eastAsia="Arial" w:hAnsi="Arial"/>
          <w:sz w:val="10"/>
          <w:szCs w:val="10"/>
          <w:color w:val="auto"/>
        </w:rPr>
        <w:t>Oversea-Chinese Banking</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9"/>
          <w:szCs w:val="9"/>
          <w:color w:val="auto"/>
        </w:rPr>
        <w:t>Corporation Limited, Société</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1"/>
          <w:szCs w:val="11"/>
          <w:color w:val="auto"/>
        </w:rPr>
        <w:t>Générale and The Korea</w:t>
      </w:r>
    </w:p>
    <w:p>
      <w:pPr>
        <w:ind w:left="920"/>
        <w:spacing w:after="0"/>
        <w:rPr>
          <w:sz w:val="20"/>
          <w:szCs w:val="20"/>
          <w:color w:val="auto"/>
        </w:rPr>
      </w:pPr>
      <w:r>
        <w:rPr>
          <w:rFonts w:ascii="Arial" w:cs="Arial" w:eastAsia="Arial" w:hAnsi="Arial"/>
          <w:sz w:val="11"/>
          <w:szCs w:val="11"/>
          <w:color w:val="auto"/>
        </w:rPr>
        <w:t>Development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2019 GasLog</w:t>
      </w:r>
      <w:r>
        <w:rPr>
          <w:sz w:val="20"/>
          <w:szCs w:val="20"/>
          <w:color w:val="auto"/>
        </w:rPr>
        <w:tab/>
      </w:r>
      <w:r>
        <w:rPr>
          <w:rFonts w:ascii="Arial" w:cs="Arial" w:eastAsia="Arial" w:hAnsi="Arial"/>
          <w:sz w:val="9"/>
          <w:szCs w:val="9"/>
          <w:color w:val="auto"/>
        </w:rPr>
        <w:t>Credit Suisse AG, Nordea</w:t>
      </w:r>
    </w:p>
    <w:p>
      <w:pPr>
        <w:spacing w:after="0"/>
        <w:tabs>
          <w:tab w:leader="none" w:pos="900" w:val="left"/>
        </w:tabs>
        <w:rPr>
          <w:sz w:val="20"/>
          <w:szCs w:val="20"/>
          <w:color w:val="auto"/>
        </w:rPr>
      </w:pPr>
      <w:r>
        <w:rPr>
          <w:rFonts w:ascii="Arial" w:cs="Arial" w:eastAsia="Arial" w:hAnsi="Arial"/>
          <w:sz w:val="11"/>
          <w:szCs w:val="11"/>
          <w:color w:val="auto"/>
        </w:rPr>
        <w:t>Partners Facility</w:t>
      </w:r>
      <w:r>
        <w:rPr>
          <w:sz w:val="20"/>
          <w:szCs w:val="20"/>
          <w:color w:val="auto"/>
        </w:rPr>
        <w:tab/>
      </w:r>
      <w:r>
        <w:rPr>
          <w:rFonts w:ascii="Arial" w:cs="Arial" w:eastAsia="Arial" w:hAnsi="Arial"/>
          <w:sz w:val="10"/>
          <w:szCs w:val="10"/>
          <w:color w:val="auto"/>
        </w:rPr>
        <w:t>Bank Abp, filial I Norge</w:t>
      </w:r>
    </w:p>
    <w:p>
      <w:pPr>
        <w:ind w:left="920" w:right="20"/>
        <w:spacing w:after="0" w:line="231" w:lineRule="auto"/>
        <w:rPr>
          <w:sz w:val="20"/>
          <w:szCs w:val="20"/>
          <w:color w:val="auto"/>
        </w:rPr>
      </w:pPr>
      <w:r>
        <w:rPr>
          <w:rFonts w:ascii="Arial" w:cs="Arial" w:eastAsia="Arial" w:hAnsi="Arial"/>
          <w:sz w:val="11"/>
          <w:szCs w:val="11"/>
          <w:color w:val="auto"/>
        </w:rPr>
        <w:t>(“Nordea”), Iyo Bank Ltd., Singapore Branch and Development Bank of Japan, Inc.</w:t>
      </w:r>
    </w:p>
    <w:p>
      <w:pPr>
        <w:spacing w:after="0" w:line="105"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GasLog Warsaw</w:t>
      </w:r>
      <w:r>
        <w:rPr>
          <w:sz w:val="20"/>
          <w:szCs w:val="20"/>
          <w:color w:val="auto"/>
        </w:rPr>
        <w:tab/>
      </w:r>
      <w:r>
        <w:rPr>
          <w:rFonts w:ascii="Arial" w:cs="Arial" w:eastAsia="Arial" w:hAnsi="Arial"/>
          <w:sz w:val="10"/>
          <w:szCs w:val="10"/>
          <w:color w:val="auto"/>
        </w:rPr>
        <w:t>ABN AMRO BANK N.V.</w:t>
      </w:r>
    </w:p>
    <w:p>
      <w:pPr>
        <w:spacing w:after="0" w:line="230" w:lineRule="auto"/>
        <w:tabs>
          <w:tab w:leader="none" w:pos="900" w:val="left"/>
        </w:tabs>
        <w:rPr>
          <w:sz w:val="20"/>
          <w:szCs w:val="20"/>
          <w:color w:val="auto"/>
        </w:rPr>
      </w:pPr>
      <w:r>
        <w:rPr>
          <w:rFonts w:ascii="Arial" w:cs="Arial" w:eastAsia="Arial" w:hAnsi="Arial"/>
          <w:sz w:val="11"/>
          <w:szCs w:val="11"/>
          <w:color w:val="auto"/>
        </w:rPr>
        <w:t>Facility</w:t>
      </w:r>
      <w:r>
        <w:rPr>
          <w:sz w:val="20"/>
          <w:szCs w:val="20"/>
          <w:color w:val="auto"/>
        </w:rPr>
        <w:tab/>
      </w:r>
      <w:r>
        <w:rPr>
          <w:rFonts w:ascii="Arial" w:cs="Arial" w:eastAsia="Arial" w:hAnsi="Arial"/>
          <w:sz w:val="11"/>
          <w:szCs w:val="11"/>
          <w:color w:val="auto"/>
        </w:rPr>
        <w:t>and Oversea-Chinese</w:t>
      </w:r>
    </w:p>
    <w:p>
      <w:pPr>
        <w:jc w:val="right"/>
        <w:spacing w:after="0"/>
        <w:rPr>
          <w:sz w:val="20"/>
          <w:szCs w:val="20"/>
          <w:color w:val="auto"/>
        </w:rPr>
      </w:pPr>
      <w:r>
        <w:rPr>
          <w:rFonts w:ascii="Arial" w:cs="Arial" w:eastAsia="Arial" w:hAnsi="Arial"/>
          <w:sz w:val="11"/>
          <w:szCs w:val="11"/>
          <w:color w:val="auto"/>
        </w:rPr>
        <w:t>Banking Corporation Limited</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7xNB Facility</w:t>
      </w:r>
      <w:r>
        <w:rPr>
          <w:sz w:val="20"/>
          <w:szCs w:val="20"/>
          <w:color w:val="auto"/>
        </w:rPr>
        <w:tab/>
      </w:r>
      <w:r>
        <w:rPr>
          <w:rFonts w:ascii="Arial" w:cs="Arial" w:eastAsia="Arial" w:hAnsi="Arial"/>
          <w:sz w:val="9"/>
          <w:szCs w:val="9"/>
          <w:color w:val="auto"/>
        </w:rPr>
        <w:t>Citibank, N.A., London</w:t>
      </w:r>
    </w:p>
    <w:p>
      <w:pPr>
        <w:ind w:left="920"/>
        <w:spacing w:after="0" w:line="230" w:lineRule="auto"/>
        <w:rPr>
          <w:sz w:val="20"/>
          <w:szCs w:val="20"/>
          <w:color w:val="auto"/>
        </w:rPr>
      </w:pPr>
      <w:r>
        <w:rPr>
          <w:rFonts w:ascii="Arial" w:cs="Arial" w:eastAsia="Arial" w:hAnsi="Arial"/>
          <w:sz w:val="11"/>
          <w:szCs w:val="11"/>
          <w:color w:val="auto"/>
        </w:rPr>
        <w:t>Branch, DNB (UK) Ltd.,</w:t>
      </w:r>
    </w:p>
    <w:p>
      <w:pPr>
        <w:ind w:left="920"/>
        <w:spacing w:after="0" w:line="228" w:lineRule="auto"/>
        <w:rPr>
          <w:sz w:val="20"/>
          <w:szCs w:val="20"/>
          <w:color w:val="auto"/>
        </w:rPr>
      </w:pPr>
      <w:r>
        <w:rPr>
          <w:rFonts w:ascii="Arial" w:cs="Arial" w:eastAsia="Arial" w:hAnsi="Arial"/>
          <w:sz w:val="11"/>
          <w:szCs w:val="11"/>
          <w:color w:val="auto"/>
        </w:rPr>
        <w:t>Skandinaviska Enskilda</w:t>
      </w:r>
    </w:p>
    <w:p>
      <w:pPr>
        <w:ind w:left="920"/>
        <w:spacing w:after="0" w:line="228" w:lineRule="auto"/>
        <w:rPr>
          <w:sz w:val="20"/>
          <w:szCs w:val="20"/>
          <w:color w:val="auto"/>
        </w:rPr>
      </w:pPr>
      <w:r>
        <w:rPr>
          <w:rFonts w:ascii="Arial" w:cs="Arial" w:eastAsia="Arial" w:hAnsi="Arial"/>
          <w:sz w:val="11"/>
          <w:szCs w:val="11"/>
          <w:color w:val="auto"/>
        </w:rPr>
        <w:t>Banken AB (publ), The</w:t>
      </w:r>
    </w:p>
    <w:p>
      <w:pPr>
        <w:ind w:left="920"/>
        <w:spacing w:after="0" w:line="228" w:lineRule="auto"/>
        <w:rPr>
          <w:sz w:val="20"/>
          <w:szCs w:val="20"/>
          <w:color w:val="auto"/>
        </w:rPr>
      </w:pPr>
      <w:r>
        <w:rPr>
          <w:rFonts w:ascii="Arial" w:cs="Arial" w:eastAsia="Arial" w:hAnsi="Arial"/>
          <w:sz w:val="11"/>
          <w:szCs w:val="11"/>
          <w:color w:val="auto"/>
        </w:rPr>
        <w:t>Export-Import Bank of</w:t>
      </w:r>
    </w:p>
    <w:p>
      <w:pPr>
        <w:ind w:left="920"/>
        <w:spacing w:after="0" w:line="228" w:lineRule="auto"/>
        <w:rPr>
          <w:sz w:val="20"/>
          <w:szCs w:val="20"/>
          <w:color w:val="auto"/>
        </w:rPr>
      </w:pPr>
      <w:r>
        <w:rPr>
          <w:rFonts w:ascii="Arial" w:cs="Arial" w:eastAsia="Arial" w:hAnsi="Arial"/>
          <w:sz w:val="11"/>
          <w:szCs w:val="11"/>
          <w:color w:val="auto"/>
        </w:rPr>
        <w:t>Korea, Bank of America,</w:t>
      </w:r>
    </w:p>
    <w:p>
      <w:pPr>
        <w:ind w:left="920"/>
        <w:spacing w:after="0"/>
        <w:rPr>
          <w:sz w:val="20"/>
          <w:szCs w:val="20"/>
          <w:color w:val="auto"/>
        </w:rPr>
      </w:pPr>
      <w:r>
        <w:rPr>
          <w:rFonts w:ascii="Arial" w:cs="Arial" w:eastAsia="Arial" w:hAnsi="Arial"/>
          <w:sz w:val="10"/>
          <w:szCs w:val="10"/>
          <w:color w:val="auto"/>
        </w:rPr>
        <w:t>National Association, BNP</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1"/>
          <w:szCs w:val="11"/>
          <w:color w:val="auto"/>
        </w:rPr>
        <w:t>Paribas, Seoul Branch,</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300" w:type="dxa"/>
            <w:vAlign w:val="bottom"/>
            <w:gridSpan w:val="2"/>
          </w:tcPr>
          <w:p>
            <w:pPr>
              <w:spacing w:after="0"/>
              <w:rPr>
                <w:sz w:val="20"/>
                <w:szCs w:val="20"/>
                <w:color w:val="auto"/>
              </w:rPr>
            </w:pPr>
            <w:r>
              <w:rPr>
                <w:rFonts w:ascii="Arial" w:cs="Arial" w:eastAsia="Arial" w:hAnsi="Arial"/>
                <w:sz w:val="11"/>
                <w:szCs w:val="11"/>
                <w:b w:val="1"/>
                <w:bCs w:val="1"/>
                <w:color w:val="auto"/>
                <w:w w:val="89"/>
              </w:rPr>
              <w:t>Subsidiary Party (Collateral</w:t>
            </w:r>
          </w:p>
        </w:tc>
        <w:tc>
          <w:tcPr>
            <w:tcW w:w="2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w:t>
            </w:r>
          </w:p>
        </w:tc>
        <w:tc>
          <w:tcPr>
            <w:tcW w:w="2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9"/>
              </w:rPr>
              <w:t>Available Undrawn</w:t>
            </w:r>
          </w:p>
        </w:tc>
        <w:tc>
          <w:tcPr>
            <w:tcW w:w="180" w:type="dxa"/>
            <w:vAlign w:val="bottom"/>
          </w:tcPr>
          <w:p>
            <w:pPr>
              <w:spacing w:after="0"/>
              <w:rPr>
                <w:sz w:val="10"/>
                <w:szCs w:val="10"/>
                <w:color w:val="auto"/>
              </w:rPr>
            </w:pP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Interest Rate</w:t>
            </w:r>
          </w:p>
        </w:tc>
        <w:tc>
          <w:tcPr>
            <w:tcW w:w="20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10"/>
                <w:szCs w:val="10"/>
                <w:color w:val="auto"/>
              </w:rPr>
            </w:pPr>
          </w:p>
        </w:tc>
        <w:tc>
          <w:tcPr>
            <w:tcW w:w="1280" w:type="dxa"/>
            <w:vAlign w:val="bottom"/>
          </w:tcPr>
          <w:p>
            <w:pPr>
              <w:ind w:left="140"/>
              <w:spacing w:after="0"/>
              <w:rPr>
                <w:sz w:val="20"/>
                <w:szCs w:val="20"/>
                <w:color w:val="auto"/>
              </w:rPr>
            </w:pPr>
            <w:r>
              <w:rPr>
                <w:rFonts w:ascii="Arial" w:cs="Arial" w:eastAsia="Arial" w:hAnsi="Arial"/>
                <w:sz w:val="11"/>
                <w:szCs w:val="11"/>
                <w:b w:val="1"/>
                <w:bCs w:val="1"/>
                <w:color w:val="auto"/>
                <w:w w:val="97"/>
              </w:rPr>
              <w:t>Payment of 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Ship)</w:t>
            </w:r>
          </w:p>
        </w:tc>
        <w:tc>
          <w:tcPr>
            <w:tcW w:w="200" w:type="dxa"/>
            <w:vAlign w:val="bottom"/>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Principal Amount</w:t>
            </w:r>
          </w:p>
        </w:tc>
        <w:tc>
          <w:tcPr>
            <w:tcW w:w="20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w w:val="96"/>
              </w:rPr>
              <w:t>Installments Schedule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80" w:type="dxa"/>
            <w:vAlign w:val="bottom"/>
          </w:tcPr>
          <w:p>
            <w:pPr>
              <w:spacing w:after="0" w:line="103" w:lineRule="exact"/>
              <w:rPr>
                <w:sz w:val="20"/>
                <w:szCs w:val="20"/>
                <w:color w:val="auto"/>
              </w:rPr>
            </w:pPr>
            <w:r>
              <w:rPr>
                <w:rFonts w:ascii="Arial" w:cs="Arial" w:eastAsia="Arial" w:hAnsi="Arial"/>
                <w:sz w:val="11"/>
                <w:szCs w:val="11"/>
                <w:color w:val="auto"/>
                <w:w w:val="99"/>
              </w:rPr>
              <w:t>GAS-eleven Ltd. (</w:t>
            </w:r>
            <w:r>
              <w:rPr>
                <w:rFonts w:ascii="Arial" w:cs="Arial" w:eastAsia="Arial" w:hAnsi="Arial"/>
                <w:sz w:val="11"/>
                <w:szCs w:val="11"/>
                <w:i w:val="1"/>
                <w:iCs w:val="1"/>
                <w:color w:val="auto"/>
                <w:w w:val="99"/>
              </w:rPr>
              <w:t>GasLog</w:t>
            </w:r>
          </w:p>
        </w:tc>
        <w:tc>
          <w:tcPr>
            <w:tcW w:w="200" w:type="dxa"/>
            <w:vAlign w:val="bottom"/>
          </w:tcPr>
          <w:p>
            <w:pPr>
              <w:spacing w:after="0"/>
              <w:rPr>
                <w:sz w:val="8"/>
                <w:szCs w:val="8"/>
                <w:color w:val="auto"/>
              </w:rPr>
            </w:pPr>
          </w:p>
        </w:tc>
        <w:tc>
          <w:tcPr>
            <w:tcW w:w="1020" w:type="dxa"/>
            <w:vAlign w:val="bottom"/>
          </w:tcPr>
          <w:p>
            <w:pPr>
              <w:spacing w:after="0" w:line="103" w:lineRule="exact"/>
              <w:rPr>
                <w:sz w:val="20"/>
                <w:szCs w:val="20"/>
                <w:color w:val="auto"/>
              </w:rPr>
            </w:pPr>
            <w:r>
              <w:rPr>
                <w:rFonts w:ascii="Arial" w:cs="Arial" w:eastAsia="Arial" w:hAnsi="Arial"/>
                <w:sz w:val="11"/>
                <w:szCs w:val="11"/>
                <w:color w:val="auto"/>
              </w:rPr>
              <w:t>$667.7 million</w:t>
            </w:r>
          </w:p>
        </w:tc>
        <w:tc>
          <w:tcPr>
            <w:tcW w:w="200" w:type="dxa"/>
            <w:vAlign w:val="bottom"/>
          </w:tcPr>
          <w:p>
            <w:pPr>
              <w:spacing w:after="0"/>
              <w:rPr>
                <w:sz w:val="8"/>
                <w:szCs w:val="8"/>
                <w:color w:val="auto"/>
              </w:rPr>
            </w:pPr>
          </w:p>
        </w:tc>
        <w:tc>
          <w:tcPr>
            <w:tcW w:w="1000" w:type="dxa"/>
            <w:vAlign w:val="bottom"/>
          </w:tcPr>
          <w:p>
            <w:pPr>
              <w:spacing w:after="0" w:line="103" w:lineRule="exact"/>
              <w:rPr>
                <w:sz w:val="20"/>
                <w:szCs w:val="20"/>
                <w:color w:val="auto"/>
              </w:rPr>
            </w:pPr>
            <w:r>
              <w:rPr>
                <w:rFonts w:ascii="Arial" w:cs="Arial" w:eastAsia="Arial" w:hAnsi="Arial"/>
                <w:sz w:val="11"/>
                <w:szCs w:val="11"/>
                <w:color w:val="auto"/>
              </w:rPr>
              <w:t>Nil</w:t>
            </w:r>
          </w:p>
        </w:tc>
        <w:tc>
          <w:tcPr>
            <w:tcW w:w="180" w:type="dxa"/>
            <w:vAlign w:val="bottom"/>
          </w:tcPr>
          <w:p>
            <w:pPr>
              <w:spacing w:after="0"/>
              <w:rPr>
                <w:sz w:val="8"/>
                <w:szCs w:val="8"/>
                <w:color w:val="auto"/>
              </w:rPr>
            </w:pPr>
          </w:p>
        </w:tc>
        <w:tc>
          <w:tcPr>
            <w:tcW w:w="980" w:type="dxa"/>
            <w:vAlign w:val="bottom"/>
          </w:tcPr>
          <w:p>
            <w:pPr>
              <w:spacing w:after="0" w:line="103" w:lineRule="exact"/>
              <w:rPr>
                <w:sz w:val="20"/>
                <w:szCs w:val="20"/>
                <w:color w:val="auto"/>
              </w:rPr>
            </w:pPr>
            <w:r>
              <w:rPr>
                <w:rFonts w:ascii="Arial" w:cs="Arial" w:eastAsia="Arial" w:hAnsi="Arial"/>
                <w:sz w:val="11"/>
                <w:szCs w:val="11"/>
                <w:color w:val="auto"/>
              </w:rPr>
              <w:t>LIBOR + applicable</w:t>
            </w:r>
          </w:p>
        </w:tc>
        <w:tc>
          <w:tcPr>
            <w:tcW w:w="200" w:type="dxa"/>
            <w:vAlign w:val="bottom"/>
          </w:tcPr>
          <w:p>
            <w:pPr>
              <w:spacing w:after="0"/>
              <w:rPr>
                <w:sz w:val="8"/>
                <w:szCs w:val="8"/>
                <w:color w:val="auto"/>
              </w:rPr>
            </w:pPr>
          </w:p>
        </w:tc>
        <w:tc>
          <w:tcPr>
            <w:tcW w:w="980" w:type="dxa"/>
            <w:vAlign w:val="bottom"/>
          </w:tcPr>
          <w:p>
            <w:pPr>
              <w:spacing w:after="0" w:line="103" w:lineRule="exact"/>
              <w:rPr>
                <w:sz w:val="20"/>
                <w:szCs w:val="20"/>
                <w:color w:val="auto"/>
              </w:rPr>
            </w:pPr>
            <w:r>
              <w:rPr>
                <w:rFonts w:ascii="Arial" w:cs="Arial" w:eastAsia="Arial" w:hAnsi="Arial"/>
                <w:sz w:val="11"/>
                <w:szCs w:val="11"/>
                <w:color w:val="auto"/>
              </w:rPr>
              <w:t>2028, 2030 and</w:t>
            </w:r>
          </w:p>
        </w:tc>
        <w:tc>
          <w:tcPr>
            <w:tcW w:w="180" w:type="dxa"/>
            <w:vAlign w:val="bottom"/>
          </w:tcPr>
          <w:p>
            <w:pPr>
              <w:spacing w:after="0"/>
              <w:rPr>
                <w:sz w:val="8"/>
                <w:szCs w:val="8"/>
                <w:color w:val="auto"/>
              </w:rPr>
            </w:pPr>
          </w:p>
        </w:tc>
        <w:tc>
          <w:tcPr>
            <w:tcW w:w="1280" w:type="dxa"/>
            <w:vAlign w:val="bottom"/>
          </w:tcPr>
          <w:p>
            <w:pPr>
              <w:spacing w:after="0" w:line="103" w:lineRule="exact"/>
              <w:rPr>
                <w:sz w:val="20"/>
                <w:szCs w:val="20"/>
                <w:color w:val="auto"/>
              </w:rPr>
            </w:pPr>
            <w:r>
              <w:rPr>
                <w:rFonts w:ascii="Arial" w:cs="Arial" w:eastAsia="Arial" w:hAnsi="Arial"/>
                <w:sz w:val="11"/>
                <w:szCs w:val="11"/>
                <w:color w:val="auto"/>
              </w:rPr>
              <w:t>GAS-eleven Ltd.: 8</w:t>
            </w:r>
          </w:p>
        </w:tc>
        <w:tc>
          <w:tcPr>
            <w:tcW w:w="0" w:type="dxa"/>
            <w:vAlign w:val="bottom"/>
          </w:tcPr>
          <w:p>
            <w:pPr>
              <w:spacing w:after="0"/>
              <w:rPr>
                <w:sz w:val="1"/>
                <w:szCs w:val="1"/>
                <w:color w:val="auto"/>
              </w:rPr>
            </w:pPr>
          </w:p>
        </w:tc>
      </w:tr>
      <w:tr>
        <w:trPr>
          <w:trHeight w:val="121"/>
        </w:trPr>
        <w:tc>
          <w:tcPr>
            <w:tcW w:w="1300" w:type="dxa"/>
            <w:vAlign w:val="bottom"/>
            <w:gridSpan w:val="2"/>
          </w:tcPr>
          <w:p>
            <w:pPr>
              <w:spacing w:after="0" w:line="121" w:lineRule="exact"/>
              <w:rPr>
                <w:sz w:val="20"/>
                <w:szCs w:val="20"/>
                <w:color w:val="auto"/>
              </w:rPr>
            </w:pPr>
            <w:r>
              <w:rPr>
                <w:rFonts w:ascii="Arial" w:cs="Arial" w:eastAsia="Arial" w:hAnsi="Arial"/>
                <w:sz w:val="11"/>
                <w:szCs w:val="11"/>
                <w:i w:val="1"/>
                <w:iCs w:val="1"/>
                <w:color w:val="auto"/>
              </w:rPr>
              <w:t>Greece</w:t>
            </w:r>
            <w:r>
              <w:rPr>
                <w:rFonts w:ascii="Arial" w:cs="Arial" w:eastAsia="Arial" w:hAnsi="Arial"/>
                <w:sz w:val="11"/>
                <w:szCs w:val="11"/>
                <w:color w:val="auto"/>
              </w:rPr>
              <w:t>), GAS-twelve Ltd.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80"/>
              <w:spacing w:after="0" w:line="121" w:lineRule="exact"/>
              <w:rPr>
                <w:sz w:val="20"/>
                <w:szCs w:val="20"/>
                <w:color w:val="auto"/>
              </w:rPr>
            </w:pPr>
            <w:r>
              <w:rPr>
                <w:rFonts w:ascii="Arial" w:cs="Arial" w:eastAsia="Arial" w:hAnsi="Arial"/>
                <w:sz w:val="11"/>
                <w:szCs w:val="11"/>
                <w:color w:val="auto"/>
              </w:rPr>
              <w:t>margin</w:t>
            </w:r>
          </w:p>
        </w:tc>
        <w:tc>
          <w:tcPr>
            <w:tcW w:w="1180" w:type="dxa"/>
            <w:vAlign w:val="bottom"/>
            <w:gridSpan w:val="2"/>
          </w:tcPr>
          <w:p>
            <w:pPr>
              <w:ind w:left="180"/>
              <w:spacing w:after="0" w:line="121" w:lineRule="exact"/>
              <w:rPr>
                <w:sz w:val="20"/>
                <w:szCs w:val="20"/>
                <w:color w:val="auto"/>
              </w:rPr>
            </w:pPr>
            <w:r>
              <w:rPr>
                <w:rFonts w:ascii="Arial" w:cs="Arial" w:eastAsia="Arial" w:hAnsi="Arial"/>
                <w:sz w:val="9"/>
                <w:szCs w:val="9"/>
                <w:color w:val="auto"/>
              </w:rPr>
              <w:t>2031</w:t>
            </w:r>
            <w:r>
              <w:rPr>
                <w:rFonts w:ascii="Arial" w:cs="Arial" w:eastAsia="Arial" w:hAnsi="Arial"/>
                <w:sz w:val="14"/>
                <w:szCs w:val="14"/>
                <w:color w:val="auto"/>
                <w:vertAlign w:val="superscript"/>
              </w:rPr>
              <w:t>(1)</w:t>
            </w:r>
          </w:p>
        </w:tc>
        <w:tc>
          <w:tcPr>
            <w:tcW w:w="1460" w:type="dxa"/>
            <w:vAlign w:val="bottom"/>
            <w:gridSpan w:val="2"/>
          </w:tcPr>
          <w:p>
            <w:pPr>
              <w:ind w:left="180"/>
              <w:spacing w:after="0" w:line="121"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Glasgow</w:t>
            </w:r>
            <w:r>
              <w:rPr>
                <w:rFonts w:ascii="Arial" w:cs="Arial" w:eastAsia="Arial" w:hAnsi="Arial"/>
                <w:sz w:val="11"/>
                <w:szCs w:val="11"/>
                <w:color w:val="auto"/>
              </w:rPr>
              <w:t>), GAS-</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$5.8 million, a</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thirteen Ltd. (</w:t>
            </w:r>
            <w:r>
              <w:rPr>
                <w:rFonts w:ascii="Arial" w:cs="Arial" w:eastAsia="Arial" w:hAnsi="Arial"/>
                <w:sz w:val="11"/>
                <w:szCs w:val="11"/>
                <w:i w:val="1"/>
                <w:iCs w:val="1"/>
                <w:color w:val="auto"/>
              </w:rPr>
              <w:t>GasLog</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2026</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w w:val="93"/>
              </w:rPr>
              <w:t>Geneva</w:t>
            </w:r>
            <w:r>
              <w:rPr>
                <w:rFonts w:ascii="Arial" w:cs="Arial" w:eastAsia="Arial" w:hAnsi="Arial"/>
                <w:sz w:val="11"/>
                <w:szCs w:val="11"/>
                <w:color w:val="auto"/>
                <w:w w:val="93"/>
              </w:rPr>
              <w:t>), GAS-fourteen Ltd.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$36.3 million and</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Gibraltar</w:t>
            </w:r>
            <w:r>
              <w:rPr>
                <w:rFonts w:ascii="Arial" w:cs="Arial" w:eastAsia="Arial" w:hAnsi="Arial"/>
                <w:sz w:val="11"/>
                <w:szCs w:val="11"/>
                <w:color w:val="auto"/>
              </w:rPr>
              <w:t>), GAS-</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4 consecutive</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twenty two Ltd. (</w:t>
            </w:r>
            <w:r>
              <w:rPr>
                <w:rFonts w:ascii="Arial" w:cs="Arial" w:eastAsia="Arial" w:hAnsi="Arial"/>
                <w:sz w:val="11"/>
                <w:szCs w:val="11"/>
                <w:i w:val="1"/>
                <w:iCs w:val="1"/>
                <w:color w:val="auto"/>
              </w:rPr>
              <w:t>GasLog</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rPr>
              <w:t>Genoa</w:t>
            </w:r>
            <w:r>
              <w:rPr>
                <w:rFonts w:ascii="Arial" w:cs="Arial" w:eastAsia="Arial" w:hAnsi="Arial"/>
                <w:sz w:val="11"/>
                <w:szCs w:val="11"/>
                <w:color w:val="auto"/>
              </w:rPr>
              <w:t>) and GAS-twenty</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$4.2 million until March</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three Ltd. (</w:t>
            </w:r>
            <w:r>
              <w:rPr>
                <w:rFonts w:ascii="Arial" w:cs="Arial" w:eastAsia="Arial" w:hAnsi="Arial"/>
                <w:sz w:val="11"/>
                <w:szCs w:val="11"/>
                <w:i w:val="1"/>
                <w:iCs w:val="1"/>
                <w:color w:val="auto"/>
              </w:rPr>
              <w:t>GasLog</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135"/>
        </w:trPr>
        <w:tc>
          <w:tcPr>
            <w:tcW w:w="1300" w:type="dxa"/>
            <w:vAlign w:val="bottom"/>
            <w:gridSpan w:val="2"/>
          </w:tcPr>
          <w:p>
            <w:pPr>
              <w:spacing w:after="0"/>
              <w:rPr>
                <w:sz w:val="20"/>
                <w:szCs w:val="20"/>
                <w:color w:val="auto"/>
              </w:rPr>
            </w:pPr>
            <w:r>
              <w:rPr>
                <w:rFonts w:ascii="Arial" w:cs="Arial" w:eastAsia="Arial" w:hAnsi="Arial"/>
                <w:sz w:val="11"/>
                <w:szCs w:val="11"/>
                <w:i w:val="1"/>
                <w:iCs w:val="1"/>
                <w:color w:val="auto"/>
              </w:rPr>
              <w:t>Gladstone</w:t>
            </w: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GAS-twelve Ltd.: 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$5.8 million, 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$36.3 million 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4 consecutive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w w:val="92"/>
              </w:rPr>
              <w:t>$4.2 million until June 2028.</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GAS-thirteen Ltd.: 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$5.7 million, 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$35.8 million 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4 consecutive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2"/>
              </w:rPr>
              <w:t>$4.2 million until September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GAS-fourteen Ltd.: 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$5.7 million, 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$35.8 million 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4 consecutive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$4.2 million until October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GAS-twenty two Ltd.: 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$5.9 million, 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$37.0 million 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4 consecutive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$4.3 million until March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rPr>
              <w:t>2030.</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color w:val="auto"/>
                <w:w w:val="99"/>
              </w:rPr>
              <w:t>GAS-twenty three Ltd.: 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$5.9 million, 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$37.0 million 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4 consecutive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$4.3 million until March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GAS-four Ltd. (</w:t>
            </w:r>
            <w:r>
              <w:rPr>
                <w:rFonts w:ascii="Arial" w:cs="Arial" w:eastAsia="Arial" w:hAnsi="Arial"/>
                <w:sz w:val="11"/>
                <w:szCs w:val="11"/>
                <w:i w:val="1"/>
                <w:iCs w:val="1"/>
                <w:color w:val="auto"/>
              </w:rPr>
              <w:t>GasLog</w:t>
            </w:r>
          </w:p>
        </w:tc>
        <w:tc>
          <w:tcPr>
            <w:tcW w:w="1220" w:type="dxa"/>
            <w:vAlign w:val="bottom"/>
            <w:gridSpan w:val="2"/>
          </w:tcPr>
          <w:p>
            <w:pPr>
              <w:ind w:left="200"/>
              <w:spacing w:after="0" w:line="120" w:lineRule="exact"/>
              <w:rPr>
                <w:sz w:val="20"/>
                <w:szCs w:val="20"/>
                <w:color w:val="auto"/>
              </w:rPr>
            </w:pPr>
            <w:r>
              <w:rPr>
                <w:rFonts w:ascii="Arial" w:cs="Arial" w:eastAsia="Arial" w:hAnsi="Arial"/>
                <w:sz w:val="11"/>
                <w:szCs w:val="11"/>
                <w:color w:val="auto"/>
              </w:rPr>
              <w:t>$273.5 million</w:t>
            </w:r>
          </w:p>
        </w:tc>
        <w:tc>
          <w:tcPr>
            <w:tcW w:w="120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Nil</w:t>
            </w:r>
          </w:p>
        </w:tc>
        <w:tc>
          <w:tcPr>
            <w:tcW w:w="11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LIBOR + applicable</w:t>
            </w:r>
          </w:p>
        </w:tc>
        <w:tc>
          <w:tcPr>
            <w:tcW w:w="118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2024</w:t>
            </w: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9 consecutive quarterly</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rPr>
              <w:t>Santiago</w:t>
            </w:r>
            <w:r>
              <w:rPr>
                <w:rFonts w:ascii="Arial" w:cs="Arial" w:eastAsia="Arial" w:hAnsi="Arial"/>
                <w:sz w:val="11"/>
                <w:szCs w:val="11"/>
                <w:color w:val="auto"/>
              </w:rPr>
              <w:t>), GAS-five Ltd.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margin</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reductions of $5.8 million</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Sydney</w:t>
            </w:r>
            <w:r>
              <w:rPr>
                <w:rFonts w:ascii="Arial" w:cs="Arial" w:eastAsia="Arial" w:hAnsi="Arial"/>
                <w:sz w:val="11"/>
                <w:szCs w:val="11"/>
                <w:color w:val="auto"/>
              </w:rPr>
              <w:t>), GAS-</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and a balloon amount of</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w w:val="99"/>
              </w:rPr>
              <w:t>sixteen Ltd. (</w:t>
            </w:r>
            <w:r>
              <w:rPr>
                <w:rFonts w:ascii="Arial" w:cs="Arial" w:eastAsia="Arial" w:hAnsi="Arial"/>
                <w:sz w:val="11"/>
                <w:szCs w:val="11"/>
                <w:i w:val="1"/>
                <w:iCs w:val="1"/>
                <w:color w:val="auto"/>
                <w:w w:val="99"/>
              </w:rPr>
              <w:t>Methane Rita</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1"/>
              </w:rPr>
              <w:t>$221.3 million, together with</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w w:val="90"/>
              </w:rPr>
              <w:t>Andrea</w:t>
            </w:r>
            <w:r>
              <w:rPr>
                <w:rFonts w:ascii="Arial" w:cs="Arial" w:eastAsia="Arial" w:hAnsi="Arial"/>
                <w:sz w:val="11"/>
                <w:szCs w:val="11"/>
                <w:color w:val="auto"/>
                <w:w w:val="90"/>
              </w:rPr>
              <w:t>) and GAS-seventeen</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2"/>
              </w:rPr>
              <w:t>the final quarterly reduction.</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Ltd. (</w:t>
            </w:r>
            <w:r>
              <w:rPr>
                <w:rFonts w:ascii="Arial" w:cs="Arial" w:eastAsia="Arial" w:hAnsi="Arial"/>
                <w:sz w:val="11"/>
                <w:szCs w:val="11"/>
                <w:i w:val="1"/>
                <w:iCs w:val="1"/>
                <w:color w:val="auto"/>
              </w:rPr>
              <w:t>Methane Jane</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rPr>
              <w:t>Elizabeth</w:t>
            </w: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GasLog Hellas-1 Special</w:t>
            </w:r>
          </w:p>
        </w:tc>
        <w:tc>
          <w:tcPr>
            <w:tcW w:w="1220" w:type="dxa"/>
            <w:vAlign w:val="bottom"/>
            <w:gridSpan w:val="2"/>
          </w:tcPr>
          <w:p>
            <w:pPr>
              <w:ind w:left="200"/>
              <w:spacing w:after="0" w:line="120" w:lineRule="exact"/>
              <w:rPr>
                <w:sz w:val="20"/>
                <w:szCs w:val="20"/>
                <w:color w:val="auto"/>
              </w:rPr>
            </w:pPr>
            <w:r>
              <w:rPr>
                <w:rFonts w:ascii="Arial" w:cs="Arial" w:eastAsia="Arial" w:hAnsi="Arial"/>
                <w:sz w:val="11"/>
                <w:szCs w:val="11"/>
                <w:color w:val="auto"/>
              </w:rPr>
              <w:t>$114.9 million</w:t>
            </w:r>
          </w:p>
        </w:tc>
        <w:tc>
          <w:tcPr>
            <w:tcW w:w="120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N/A</w:t>
            </w:r>
          </w:p>
        </w:tc>
        <w:tc>
          <w:tcPr>
            <w:tcW w:w="11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LIBOR + applicable</w:t>
            </w:r>
          </w:p>
        </w:tc>
        <w:tc>
          <w:tcPr>
            <w:tcW w:w="118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2026</w:t>
            </w: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19 consecutive quarterly</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w w:val="91"/>
              </w:rPr>
              <w:t>Maritime Enterprise (</w:t>
            </w:r>
            <w:r>
              <w:rPr>
                <w:rFonts w:ascii="Arial" w:cs="Arial" w:eastAsia="Arial" w:hAnsi="Arial"/>
                <w:sz w:val="11"/>
                <w:szCs w:val="11"/>
                <w:i w:val="1"/>
                <w:iCs w:val="1"/>
                <w:color w:val="auto"/>
                <w:w w:val="91"/>
              </w:rPr>
              <w:t>GasLog</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margin</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8"/>
              </w:rPr>
              <w:t>repayments of $1.6 million</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rPr>
              <w:t>Warsaw</w:t>
            </w: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and a balloon amount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8"/>
              </w:rPr>
              <w:t>$84.2 million together with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1"/>
                <w:szCs w:val="11"/>
                <w:color w:val="auto"/>
              </w:rPr>
              <w:t>2032 and 2033</w:t>
            </w:r>
            <w:r>
              <w:rPr>
                <w:rFonts w:ascii="Arial" w:cs="Arial" w:eastAsia="Arial" w:hAnsi="Arial"/>
                <w:sz w:val="16"/>
                <w:szCs w:val="16"/>
                <w:color w:val="auto"/>
                <w:vertAlign w:val="superscript"/>
              </w:rPr>
              <w:t>(1)</w:t>
            </w: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2"/>
              </w:rPr>
              <w:t>the final quarterly reduction.</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GAS-twenty eight Ltd.</w:t>
            </w:r>
          </w:p>
        </w:tc>
        <w:tc>
          <w:tcPr>
            <w:tcW w:w="1220" w:type="dxa"/>
            <w:vAlign w:val="bottom"/>
            <w:gridSpan w:val="2"/>
          </w:tcPr>
          <w:p>
            <w:pPr>
              <w:ind w:left="200"/>
              <w:spacing w:after="0" w:line="120" w:lineRule="exact"/>
              <w:rPr>
                <w:sz w:val="20"/>
                <w:szCs w:val="20"/>
                <w:color w:val="auto"/>
              </w:rPr>
            </w:pPr>
            <w:r>
              <w:rPr>
                <w:rFonts w:ascii="Arial" w:cs="Arial" w:eastAsia="Arial" w:hAnsi="Arial"/>
                <w:sz w:val="11"/>
                <w:szCs w:val="11"/>
                <w:color w:val="auto"/>
              </w:rPr>
              <w:t>$998.2 million</w:t>
            </w:r>
          </w:p>
        </w:tc>
        <w:tc>
          <w:tcPr>
            <w:tcW w:w="120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N/A</w:t>
            </w:r>
          </w:p>
        </w:tc>
        <w:tc>
          <w:tcPr>
            <w:tcW w:w="11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LIBOR + applicable</w:t>
            </w:r>
          </w:p>
        </w:tc>
        <w:tc>
          <w:tcPr>
            <w:tcW w:w="1180" w:type="dxa"/>
            <w:vAlign w:val="bottom"/>
            <w:gridSpan w:val="2"/>
            <w:vMerge w:val="continue"/>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GAS-twenty eight Ltd.: 10</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w w:val="98"/>
              </w:rPr>
              <w:t>(“</w:t>
            </w:r>
            <w:r>
              <w:rPr>
                <w:rFonts w:ascii="Arial" w:cs="Arial" w:eastAsia="Arial" w:hAnsi="Arial"/>
                <w:sz w:val="11"/>
                <w:szCs w:val="11"/>
                <w:i w:val="1"/>
                <w:iCs w:val="1"/>
                <w:color w:val="auto"/>
                <w:w w:val="98"/>
              </w:rPr>
              <w:t>GasLog Windsor</w:t>
            </w:r>
            <w:r>
              <w:rPr>
                <w:rFonts w:ascii="Arial" w:cs="Arial" w:eastAsia="Arial" w:hAnsi="Arial"/>
                <w:sz w:val="11"/>
                <w:szCs w:val="11"/>
                <w:color w:val="auto"/>
                <w:w w:val="98"/>
              </w:rPr>
              <w:t>”), GAS-</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margin</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thirty Ltd. (“</w:t>
            </w:r>
            <w:r>
              <w:rPr>
                <w:rFonts w:ascii="Arial" w:cs="Arial" w:eastAsia="Arial" w:hAnsi="Arial"/>
                <w:sz w:val="11"/>
                <w:szCs w:val="11"/>
                <w:i w:val="1"/>
                <w:iCs w:val="1"/>
                <w:color w:val="auto"/>
              </w:rPr>
              <w:t>GasLog</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installments of $4.3 million, a</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i w:val="1"/>
                <w:iCs w:val="1"/>
                <w:color w:val="auto"/>
              </w:rPr>
              <w:t>Westminster</w:t>
            </w:r>
            <w:r>
              <w:rPr>
                <w:rFonts w:ascii="Arial" w:cs="Arial" w:eastAsia="Arial" w:hAnsi="Arial"/>
                <w:sz w:val="11"/>
                <w:szCs w:val="11"/>
                <w:color w:val="auto"/>
              </w:rPr>
              <w:t>”), GAS-thirty</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89"/>
              </w:rPr>
              <w:t>balloon payment due in 2027</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w w:val="96"/>
              </w:rPr>
              <w:t>one Ltd. (“</w:t>
            </w:r>
            <w:r>
              <w:rPr>
                <w:rFonts w:ascii="Arial" w:cs="Arial" w:eastAsia="Arial" w:hAnsi="Arial"/>
                <w:sz w:val="11"/>
                <w:szCs w:val="11"/>
                <w:i w:val="1"/>
                <w:iCs w:val="1"/>
                <w:color w:val="auto"/>
                <w:w w:val="96"/>
              </w:rPr>
              <w:t>GasLog Wales</w:t>
            </w:r>
            <w:r>
              <w:rPr>
                <w:rFonts w:ascii="Arial" w:cs="Arial" w:eastAsia="Arial" w:hAnsi="Arial"/>
                <w:sz w:val="11"/>
                <w:szCs w:val="11"/>
                <w:color w:val="auto"/>
                <w:w w:val="96"/>
              </w:rPr>
              <w:t>”),</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of $54.2 million and</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GAS-thirty two Ltd.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300" w:type="dxa"/>
            <w:vAlign w:val="bottom"/>
            <w:gridSpan w:val="2"/>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Georgetown</w:t>
            </w: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gridSpan w:val="2"/>
          </w:tcPr>
          <w:p>
            <w:pPr>
              <w:ind w:left="1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35"/>
        </w:trPr>
        <w:tc>
          <w:tcPr>
            <w:tcW w:w="1300" w:type="dxa"/>
            <w:vAlign w:val="bottom"/>
            <w:gridSpan w:val="2"/>
          </w:tcPr>
          <w:p>
            <w:pPr>
              <w:spacing w:after="0"/>
              <w:rPr>
                <w:sz w:val="20"/>
                <w:szCs w:val="20"/>
                <w:color w:val="auto"/>
              </w:rPr>
            </w:pPr>
            <w:r>
              <w:rPr>
                <w:rFonts w:ascii="Arial" w:cs="Arial" w:eastAsia="Arial" w:hAnsi="Arial"/>
                <w:sz w:val="11"/>
                <w:szCs w:val="11"/>
                <w:color w:val="auto"/>
              </w:rPr>
              <w:t>GAS-thirty three Ltd.</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-993775</wp:posOffset>
            </wp:positionV>
            <wp:extent cx="6295390" cy="381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5390" cy="38100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-6145530</wp:posOffset>
            </wp:positionV>
            <wp:extent cx="6295390" cy="4617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5390" cy="4617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220"/>
            <w:col w:w="7520"/>
          </w:cols>
          <w:pgMar w:left="980" w:top="659" w:right="999" w:bottom="1440" w:gutter="0" w:footer="0" w:header="0"/>
          <w:type w:val="continuous"/>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920" w:right="20"/>
        <w:spacing w:after="0" w:line="287" w:lineRule="auto"/>
        <w:rPr>
          <w:sz w:val="20"/>
          <w:szCs w:val="20"/>
          <w:color w:val="auto"/>
        </w:rPr>
      </w:pPr>
      <w:r>
        <w:rPr>
          <w:rFonts w:ascii="Arial" w:cs="Arial" w:eastAsia="Arial" w:hAnsi="Arial"/>
          <w:sz w:val="9"/>
          <w:szCs w:val="9"/>
          <w:color w:val="auto"/>
        </w:rPr>
        <w:t>Commonwealth Bank of Australia, KfW IPEX-Bank GmbH, National Australia Bank Limited, Oversea-Chinese Banking Corporation Limited, Société Générale, Standard Chartered Bank, The Korea Development Bank and KB Kookmin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0"/>
          <w:szCs w:val="10"/>
          <w:color w:val="auto"/>
        </w:rPr>
        <w:t>GasLog</w:t>
      </w:r>
      <w:r>
        <w:rPr>
          <w:sz w:val="20"/>
          <w:szCs w:val="20"/>
          <w:color w:val="auto"/>
        </w:rPr>
        <w:tab/>
      </w:r>
      <w:r>
        <w:rPr>
          <w:rFonts w:ascii="Arial" w:cs="Arial" w:eastAsia="Arial" w:hAnsi="Arial"/>
          <w:sz w:val="10"/>
          <w:szCs w:val="10"/>
          <w:color w:val="auto"/>
        </w:rPr>
        <w:t>BNP Paribas, Credit Suisse</w:t>
      </w:r>
    </w:p>
    <w:p>
      <w:pPr>
        <w:spacing w:after="0" w:line="7"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Partners</w:t>
      </w:r>
      <w:r>
        <w:rPr>
          <w:sz w:val="20"/>
          <w:szCs w:val="20"/>
          <w:color w:val="auto"/>
        </w:rPr>
        <w:tab/>
      </w:r>
      <w:r>
        <w:rPr>
          <w:rFonts w:ascii="Arial" w:cs="Arial" w:eastAsia="Arial" w:hAnsi="Arial"/>
          <w:sz w:val="11"/>
          <w:szCs w:val="11"/>
          <w:color w:val="auto"/>
        </w:rPr>
        <w:t>AG, Alpha Bank S.A. and</w:t>
      </w:r>
    </w:p>
    <w:p>
      <w:pPr>
        <w:spacing w:after="0"/>
        <w:tabs>
          <w:tab w:leader="none" w:pos="900" w:val="left"/>
        </w:tabs>
        <w:rPr>
          <w:sz w:val="20"/>
          <w:szCs w:val="20"/>
          <w:color w:val="auto"/>
        </w:rPr>
      </w:pPr>
      <w:r>
        <w:rPr>
          <w:rFonts w:ascii="Arial" w:cs="Arial" w:eastAsia="Arial" w:hAnsi="Arial"/>
          <w:sz w:val="11"/>
          <w:szCs w:val="11"/>
          <w:color w:val="auto"/>
        </w:rPr>
        <w:t>$260.3M</w:t>
      </w:r>
      <w:r>
        <w:rPr>
          <w:sz w:val="20"/>
          <w:szCs w:val="20"/>
          <w:color w:val="auto"/>
        </w:rPr>
        <w:tab/>
      </w:r>
      <w:r>
        <w:rPr>
          <w:rFonts w:ascii="Arial" w:cs="Arial" w:eastAsia="Arial" w:hAnsi="Arial"/>
          <w:sz w:val="9"/>
          <w:szCs w:val="9"/>
          <w:color w:val="auto"/>
        </w:rPr>
        <w:t>Development Bank of Japan,</w:t>
      </w:r>
    </w:p>
    <w:p>
      <w:pPr>
        <w:spacing w:after="0"/>
        <w:tabs>
          <w:tab w:leader="none" w:pos="900" w:val="left"/>
        </w:tabs>
        <w:rPr>
          <w:sz w:val="20"/>
          <w:szCs w:val="20"/>
          <w:color w:val="auto"/>
        </w:rPr>
      </w:pPr>
      <w:r>
        <w:rPr>
          <w:rFonts w:ascii="Arial" w:cs="Arial" w:eastAsia="Arial" w:hAnsi="Arial"/>
          <w:sz w:val="11"/>
          <w:szCs w:val="11"/>
          <w:color w:val="auto"/>
        </w:rPr>
        <w:t>Facility</w:t>
      </w:r>
      <w:r>
        <w:rPr>
          <w:sz w:val="20"/>
          <w:szCs w:val="20"/>
          <w:color w:val="auto"/>
        </w:rPr>
        <w:tab/>
      </w:r>
      <w:r>
        <w:rPr>
          <w:rFonts w:ascii="Arial" w:cs="Arial" w:eastAsia="Arial" w:hAnsi="Arial"/>
          <w:sz w:val="11"/>
          <w:szCs w:val="11"/>
          <w:color w:val="auto"/>
        </w:rPr>
        <w:t>Inc</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GasLog</w:t>
      </w:r>
      <w:r>
        <w:rPr>
          <w:sz w:val="20"/>
          <w:szCs w:val="20"/>
          <w:color w:val="auto"/>
        </w:rPr>
        <w:tab/>
      </w:r>
      <w:r>
        <w:rPr>
          <w:rFonts w:ascii="Arial" w:cs="Arial" w:eastAsia="Arial" w:hAnsi="Arial"/>
          <w:sz w:val="11"/>
          <w:szCs w:val="11"/>
          <w:color w:val="auto"/>
        </w:rPr>
        <w:t>DNB Bank ASA and ING</w:t>
      </w:r>
    </w:p>
    <w:p>
      <w:pPr>
        <w:spacing w:after="0" w:line="230" w:lineRule="auto"/>
        <w:tabs>
          <w:tab w:leader="none" w:pos="900" w:val="left"/>
        </w:tabs>
        <w:rPr>
          <w:sz w:val="20"/>
          <w:szCs w:val="20"/>
          <w:color w:val="auto"/>
        </w:rPr>
      </w:pPr>
      <w:r>
        <w:rPr>
          <w:rFonts w:ascii="Arial" w:cs="Arial" w:eastAsia="Arial" w:hAnsi="Arial"/>
          <w:sz w:val="11"/>
          <w:szCs w:val="11"/>
          <w:color w:val="auto"/>
        </w:rPr>
        <w:t>Partners</w:t>
      </w:r>
      <w:r>
        <w:rPr>
          <w:sz w:val="20"/>
          <w:szCs w:val="20"/>
          <w:color w:val="auto"/>
        </w:rPr>
        <w:tab/>
      </w:r>
      <w:r>
        <w:rPr>
          <w:rFonts w:ascii="Arial" w:cs="Arial" w:eastAsia="Arial" w:hAnsi="Arial"/>
          <w:sz w:val="11"/>
          <w:szCs w:val="11"/>
          <w:color w:val="auto"/>
        </w:rPr>
        <w:t>Bank N.V.</w:t>
      </w:r>
    </w:p>
    <w:p>
      <w:pPr>
        <w:spacing w:after="0" w:line="228" w:lineRule="auto"/>
        <w:rPr>
          <w:sz w:val="20"/>
          <w:szCs w:val="20"/>
          <w:color w:val="auto"/>
        </w:rPr>
      </w:pPr>
      <w:r>
        <w:rPr>
          <w:rFonts w:ascii="Arial" w:cs="Arial" w:eastAsia="Arial" w:hAnsi="Arial"/>
          <w:sz w:val="11"/>
          <w:szCs w:val="11"/>
          <w:color w:val="auto"/>
        </w:rPr>
        <w:t>$193.7M</w:t>
      </w:r>
    </w:p>
    <w:p>
      <w:pPr>
        <w:spacing w:after="0"/>
        <w:rPr>
          <w:sz w:val="20"/>
          <w:szCs w:val="20"/>
          <w:color w:val="auto"/>
        </w:rPr>
      </w:pPr>
      <w:r>
        <w:rPr>
          <w:rFonts w:ascii="Arial" w:cs="Arial" w:eastAsia="Arial" w:hAnsi="Arial"/>
          <w:sz w:val="11"/>
          <w:szCs w:val="11"/>
          <w:color w:val="auto"/>
        </w:rPr>
        <w:t>Facility</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GasLog</w:t>
      </w:r>
      <w:r>
        <w:rPr>
          <w:sz w:val="20"/>
          <w:szCs w:val="20"/>
          <w:color w:val="auto"/>
        </w:rPr>
        <w:tab/>
      </w:r>
      <w:r>
        <w:rPr>
          <w:rFonts w:ascii="Arial" w:cs="Arial" w:eastAsia="Arial" w:hAnsi="Arial"/>
          <w:sz w:val="11"/>
          <w:szCs w:val="11"/>
          <w:color w:val="auto"/>
        </w:rPr>
        <w:t>ABN AMRO Bank N.V.,</w:t>
      </w:r>
    </w:p>
    <w:p>
      <w:pPr>
        <w:spacing w:after="0"/>
        <w:tabs>
          <w:tab w:leader="none" w:pos="900" w:val="left"/>
        </w:tabs>
        <w:rPr>
          <w:sz w:val="20"/>
          <w:szCs w:val="20"/>
          <w:color w:val="auto"/>
        </w:rPr>
      </w:pPr>
      <w:r>
        <w:rPr>
          <w:rFonts w:ascii="Arial" w:cs="Arial" w:eastAsia="Arial" w:hAnsi="Arial"/>
          <w:sz w:val="11"/>
          <w:szCs w:val="11"/>
          <w:color w:val="auto"/>
        </w:rPr>
        <w:t>$576.9M</w:t>
      </w:r>
      <w:r>
        <w:rPr>
          <w:sz w:val="20"/>
          <w:szCs w:val="20"/>
          <w:color w:val="auto"/>
        </w:rPr>
        <w:tab/>
      </w:r>
      <w:r>
        <w:rPr>
          <w:rFonts w:ascii="Arial" w:cs="Arial" w:eastAsia="Arial" w:hAnsi="Arial"/>
          <w:sz w:val="9"/>
          <w:szCs w:val="9"/>
          <w:color w:val="auto"/>
        </w:rPr>
        <w:t>Citigroup Global Markets</w:t>
      </w:r>
    </w:p>
    <w:p>
      <w:pPr>
        <w:spacing w:after="0"/>
        <w:tabs>
          <w:tab w:leader="none" w:pos="900" w:val="left"/>
        </w:tabs>
        <w:rPr>
          <w:sz w:val="20"/>
          <w:szCs w:val="20"/>
          <w:color w:val="auto"/>
        </w:rPr>
      </w:pPr>
      <w:r>
        <w:rPr>
          <w:rFonts w:ascii="Arial" w:cs="Arial" w:eastAsia="Arial" w:hAnsi="Arial"/>
          <w:sz w:val="9"/>
          <w:szCs w:val="9"/>
          <w:color w:val="auto"/>
        </w:rPr>
        <w:t>Facility</w:t>
      </w:r>
      <w:r>
        <w:rPr>
          <w:sz w:val="20"/>
          <w:szCs w:val="20"/>
          <w:color w:val="auto"/>
        </w:rPr>
        <w:tab/>
      </w:r>
      <w:r>
        <w:rPr>
          <w:rFonts w:ascii="Arial" w:cs="Arial" w:eastAsia="Arial" w:hAnsi="Arial"/>
          <w:sz w:val="9"/>
          <w:szCs w:val="9"/>
          <w:color w:val="auto"/>
        </w:rPr>
        <w:t>Limited, Nordea, HSBC Bank</w:t>
      </w:r>
    </w:p>
    <w:p>
      <w:pPr>
        <w:spacing w:after="0" w:line="17" w:lineRule="exact"/>
        <w:rPr>
          <w:sz w:val="20"/>
          <w:szCs w:val="20"/>
          <w:color w:val="auto"/>
        </w:rPr>
      </w:pPr>
    </w:p>
    <w:p>
      <w:pPr>
        <w:ind w:left="920" w:right="20"/>
        <w:spacing w:after="0" w:line="305" w:lineRule="auto"/>
        <w:rPr>
          <w:sz w:val="20"/>
          <w:szCs w:val="20"/>
          <w:color w:val="auto"/>
        </w:rPr>
      </w:pPr>
      <w:r>
        <w:rPr>
          <w:rFonts w:ascii="Arial" w:cs="Arial" w:eastAsia="Arial" w:hAnsi="Arial"/>
          <w:sz w:val="9"/>
          <w:szCs w:val="9"/>
          <w:color w:val="auto"/>
        </w:rPr>
        <w:t>plc, Credit Agricole Corporate and Investment Bank and Unicredit Bank AG</w:t>
      </w:r>
    </w:p>
    <w:p>
      <w:pPr>
        <w:spacing w:after="0" w:line="200" w:lineRule="exact"/>
        <w:rPr>
          <w:sz w:val="20"/>
          <w:szCs w:val="20"/>
          <w:color w:val="auto"/>
        </w:rPr>
      </w:pP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color w:val="auto"/>
        </w:rPr>
        <w:t>GasLog Chelsea</w:t>
      </w:r>
      <w:r>
        <w:rPr>
          <w:sz w:val="20"/>
          <w:szCs w:val="20"/>
          <w:color w:val="auto"/>
        </w:rPr>
        <w:tab/>
      </w:r>
      <w:r>
        <w:rPr>
          <w:rFonts w:ascii="Arial" w:cs="Arial" w:eastAsia="Arial" w:hAnsi="Arial"/>
          <w:sz w:val="9"/>
          <w:szCs w:val="9"/>
          <w:color w:val="auto"/>
        </w:rPr>
        <w:t>National Bank of Greece S.A.</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$96.8M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spacing w:after="0"/>
              <w:rPr>
                <w:sz w:val="20"/>
                <w:szCs w:val="20"/>
                <w:color w:val="auto"/>
              </w:rPr>
            </w:pPr>
            <w:r>
              <w:rPr>
                <w:rFonts w:ascii="Arial" w:cs="Arial" w:eastAsia="Arial" w:hAnsi="Arial"/>
                <w:sz w:val="11"/>
                <w:szCs w:val="11"/>
                <w:color w:val="auto"/>
                <w:w w:val="99"/>
              </w:rPr>
              <w:t>(“</w:t>
            </w:r>
            <w:r>
              <w:rPr>
                <w:rFonts w:ascii="Arial" w:cs="Arial" w:eastAsia="Arial" w:hAnsi="Arial"/>
                <w:sz w:val="11"/>
                <w:szCs w:val="11"/>
                <w:i w:val="1"/>
                <w:iCs w:val="1"/>
                <w:color w:val="auto"/>
                <w:w w:val="99"/>
              </w:rPr>
              <w:t>GasLog Galveston</w:t>
            </w:r>
            <w:r>
              <w:rPr>
                <w:rFonts w:ascii="Arial" w:cs="Arial" w:eastAsia="Arial" w:hAnsi="Arial"/>
                <w:sz w:val="11"/>
                <w:szCs w:val="11"/>
                <w:color w:val="auto"/>
                <w:w w:val="99"/>
              </w:rPr>
              <w:t>”), GAS-</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$4.3 million until March</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thirty four Ltd. (“</w:t>
            </w:r>
            <w:r>
              <w:rPr>
                <w:rFonts w:ascii="Arial" w:cs="Arial" w:eastAsia="Arial" w:hAnsi="Arial"/>
                <w:sz w:val="11"/>
                <w:szCs w:val="11"/>
                <w:i w:val="1"/>
                <w:iCs w:val="1"/>
                <w:color w:val="auto"/>
              </w:rPr>
              <w:t>GasLog</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rPr>
              <w:t>Wellington</w:t>
            </w:r>
            <w:r>
              <w:rPr>
                <w:rFonts w:ascii="Arial" w:cs="Arial" w:eastAsia="Arial" w:hAnsi="Arial"/>
                <w:sz w:val="11"/>
                <w:szCs w:val="11"/>
                <w:color w:val="auto"/>
              </w:rPr>
              <w:t>”) and GAS-thirty</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five Ltd. (“</w:t>
            </w:r>
            <w:r>
              <w:rPr>
                <w:rFonts w:ascii="Arial" w:cs="Arial" w:eastAsia="Arial" w:hAnsi="Arial"/>
                <w:sz w:val="11"/>
                <w:szCs w:val="11"/>
                <w:i w:val="1"/>
                <w:iCs w:val="1"/>
                <w:color w:val="auto"/>
              </w:rPr>
              <w:t>GasLog</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vMerge w:val="restart"/>
          </w:tcPr>
          <w:p>
            <w:pPr>
              <w:ind w:left="480"/>
              <w:spacing w:after="0"/>
              <w:rPr>
                <w:sz w:val="20"/>
                <w:szCs w:val="20"/>
                <w:color w:val="auto"/>
              </w:rPr>
            </w:pPr>
            <w:r>
              <w:rPr>
                <w:rFonts w:ascii="Arial" w:cs="Arial" w:eastAsia="Arial" w:hAnsi="Arial"/>
                <w:sz w:val="11"/>
                <w:szCs w:val="11"/>
                <w:color w:val="auto"/>
              </w:rPr>
              <w:t>GAS-thirty Ltd.: 11</w:t>
            </w:r>
          </w:p>
        </w:tc>
        <w:tc>
          <w:tcPr>
            <w:tcW w:w="0" w:type="dxa"/>
            <w:vAlign w:val="bottom"/>
          </w:tcPr>
          <w:p>
            <w:pPr>
              <w:spacing w:after="0"/>
              <w:rPr>
                <w:sz w:val="1"/>
                <w:szCs w:val="1"/>
                <w:color w:val="auto"/>
              </w:rPr>
            </w:pPr>
          </w:p>
        </w:tc>
      </w:tr>
      <w:tr>
        <w:trPr>
          <w:trHeight w:val="53"/>
        </w:trPr>
        <w:tc>
          <w:tcPr>
            <w:tcW w:w="1400" w:type="dxa"/>
            <w:vAlign w:val="bottom"/>
            <w:vMerge w:val="restart"/>
          </w:tcPr>
          <w:p>
            <w:pPr>
              <w:spacing w:after="0"/>
              <w:rPr>
                <w:sz w:val="20"/>
                <w:szCs w:val="20"/>
                <w:color w:val="auto"/>
              </w:rPr>
            </w:pPr>
            <w:r>
              <w:rPr>
                <w:rFonts w:ascii="Arial" w:cs="Arial" w:eastAsia="Arial" w:hAnsi="Arial"/>
                <w:sz w:val="11"/>
                <w:szCs w:val="11"/>
                <w:i w:val="1"/>
                <w:iCs w:val="1"/>
                <w:color w:val="auto"/>
              </w:rPr>
              <w:t>Winchester</w:t>
            </w:r>
            <w:r>
              <w:rPr>
                <w:rFonts w:ascii="Arial" w:cs="Arial" w:eastAsia="Arial" w:hAnsi="Arial"/>
                <w:sz w:val="11"/>
                <w:szCs w:val="11"/>
                <w:color w:val="auto"/>
              </w:rPr>
              <w:t>”)</w:t>
            </w: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60" w:type="dxa"/>
            <w:vAlign w:val="bottom"/>
            <w:vMerge w:val="restart"/>
          </w:tcPr>
          <w:p>
            <w:pPr>
              <w:ind w:left="4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38"/>
        </w:trPr>
        <w:tc>
          <w:tcPr>
            <w:tcW w:w="1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installments of $4.2 million, a</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balloon payment due in 2027</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$53.1 million and</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w w:val="95"/>
              </w:rPr>
              <w:t>$4.2 million until July 2032.</w:t>
            </w: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GAS-thirty one Ltd.: 10</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installments of $4.2 million, a</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balloon payment due in 2027</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$53.1 million and</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w w:val="94"/>
              </w:rPr>
              <w:t>$4.2 million until May 2032.</w:t>
            </w:r>
          </w:p>
        </w:tc>
        <w:tc>
          <w:tcPr>
            <w:tcW w:w="0" w:type="dxa"/>
            <w:vAlign w:val="bottom"/>
          </w:tcPr>
          <w:p>
            <w:pPr>
              <w:spacing w:after="0"/>
              <w:rPr>
                <w:sz w:val="1"/>
                <w:szCs w:val="1"/>
                <w:color w:val="auto"/>
              </w:rPr>
            </w:pPr>
          </w:p>
        </w:tc>
      </w:tr>
      <w:tr>
        <w:trPr>
          <w:trHeight w:val="279"/>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GAS-thirty two Ltd.: 11</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installments of $4.1 million, a</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balloon payment due in 2027</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$52.6 million and</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$4.1 million until November</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279"/>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GAS-thirty three Ltd.: 11</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installments of $4.1 million, a</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balloon payment due in 2027</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$52.6 million and</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$4.1 million until December</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GAS-thirty four Ltd.: 12</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installments of $4.3 million, a</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9"/>
              </w:rPr>
              <w:t>balloon payment due in 2028</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$54.4 million and</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w w:val="92"/>
              </w:rPr>
              <w:t>$4.3 million until June 2033.</w:t>
            </w:r>
          </w:p>
        </w:tc>
        <w:tc>
          <w:tcPr>
            <w:tcW w:w="0" w:type="dxa"/>
            <w:vAlign w:val="bottom"/>
          </w:tcPr>
          <w:p>
            <w:pPr>
              <w:spacing w:after="0"/>
              <w:rPr>
                <w:sz w:val="1"/>
                <w:szCs w:val="1"/>
                <w:color w:val="auto"/>
              </w:rPr>
            </w:pPr>
          </w:p>
        </w:tc>
      </w:tr>
      <w:tr>
        <w:trPr>
          <w:trHeight w:val="279"/>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GAS-thirty five Ltd.: 13</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consecutive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7"/>
              </w:rPr>
              <w:t>installments of $4.3 million</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1"/>
              </w:rPr>
              <w:t>beginning in February 2022,</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a balloon payment due in</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2028 of $54.4 million and</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thereafter 10 consecutive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4"/>
              </w:rPr>
              <w:t>semi-annual installments of</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$4.3 million until August</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GAS-seven Ltd. (</w:t>
            </w:r>
            <w:r>
              <w:rPr>
                <w:rFonts w:ascii="Arial" w:cs="Arial" w:eastAsia="Arial" w:hAnsi="Arial"/>
                <w:sz w:val="11"/>
                <w:szCs w:val="11"/>
                <w:i w:val="1"/>
                <w:iCs w:val="1"/>
                <w:color w:val="auto"/>
              </w:rPr>
              <w:t>GasLog</w:t>
            </w:r>
          </w:p>
        </w:tc>
        <w:tc>
          <w:tcPr>
            <w:tcW w:w="1020" w:type="dxa"/>
            <w:vAlign w:val="bottom"/>
          </w:tcPr>
          <w:p>
            <w:pPr>
              <w:ind w:left="100"/>
              <w:spacing w:after="0" w:line="120" w:lineRule="exact"/>
              <w:rPr>
                <w:sz w:val="20"/>
                <w:szCs w:val="20"/>
                <w:color w:val="auto"/>
              </w:rPr>
            </w:pPr>
            <w:r>
              <w:rPr>
                <w:rFonts w:ascii="Arial" w:cs="Arial" w:eastAsia="Arial" w:hAnsi="Arial"/>
                <w:sz w:val="11"/>
                <w:szCs w:val="11"/>
                <w:color w:val="auto"/>
              </w:rPr>
              <w:t>$243.1 million</w:t>
            </w:r>
          </w:p>
        </w:tc>
        <w:tc>
          <w:tcPr>
            <w:tcW w:w="960" w:type="dxa"/>
            <w:vAlign w:val="bottom"/>
          </w:tcPr>
          <w:p>
            <w:pPr>
              <w:ind w:left="280"/>
              <w:spacing w:after="0" w:line="120" w:lineRule="exact"/>
              <w:rPr>
                <w:sz w:val="20"/>
                <w:szCs w:val="20"/>
                <w:color w:val="auto"/>
              </w:rPr>
            </w:pPr>
            <w:r>
              <w:rPr>
                <w:rFonts w:ascii="Arial" w:cs="Arial" w:eastAsia="Arial" w:hAnsi="Arial"/>
                <w:sz w:val="11"/>
                <w:szCs w:val="11"/>
                <w:color w:val="auto"/>
              </w:rPr>
              <w:t>N/A</w:t>
            </w: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LIBOR + applicable</w:t>
            </w:r>
          </w:p>
        </w:tc>
        <w:tc>
          <w:tcPr>
            <w:tcW w:w="840" w:type="dxa"/>
            <w:vAlign w:val="bottom"/>
          </w:tcPr>
          <w:p>
            <w:pPr>
              <w:jc w:val="right"/>
              <w:ind w:right="427"/>
              <w:spacing w:after="0" w:line="120" w:lineRule="exact"/>
              <w:rPr>
                <w:sz w:val="20"/>
                <w:szCs w:val="20"/>
                <w:color w:val="auto"/>
              </w:rPr>
            </w:pPr>
            <w:r>
              <w:rPr>
                <w:rFonts w:ascii="Arial" w:cs="Arial" w:eastAsia="Arial" w:hAnsi="Arial"/>
                <w:sz w:val="11"/>
                <w:szCs w:val="11"/>
                <w:color w:val="auto"/>
              </w:rPr>
              <w:t>2025</w:t>
            </w: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8 equal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rPr>
              <w:t>Seattle</w:t>
            </w:r>
            <w:r>
              <w:rPr>
                <w:rFonts w:ascii="Arial" w:cs="Arial" w:eastAsia="Arial" w:hAnsi="Arial"/>
                <w:sz w:val="11"/>
                <w:szCs w:val="11"/>
                <w:color w:val="auto"/>
              </w:rPr>
              <w:t>), GAS-eight Ltd,</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margin</w:t>
            </w: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7"/>
              </w:rPr>
              <w:t>instalments of $8.6 million,</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Solaris</w:t>
            </w:r>
            <w:r>
              <w:rPr>
                <w:rFonts w:ascii="Arial" w:cs="Arial" w:eastAsia="Arial" w:hAnsi="Arial"/>
                <w:sz w:val="11"/>
                <w:szCs w:val="11"/>
                <w:color w:val="auto"/>
              </w:rPr>
              <w:t>), GAS-twenty Ltd.</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6"/>
              </w:rPr>
              <w:t>with a final balloon amount</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Methane Shirley Elisabeth</w:t>
            </w:r>
            <w:r>
              <w:rPr>
                <w:rFonts w:ascii="Arial" w:cs="Arial" w:eastAsia="Arial" w:hAnsi="Arial"/>
                <w:sz w:val="11"/>
                <w:szCs w:val="11"/>
                <w:color w:val="auto"/>
              </w:rPr>
              <w:t>)</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$174.4 million payable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concurrently with the last</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installment in July 2025.</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w w:val="98"/>
              </w:rPr>
              <w:t>GAS-nineteen Ltd. (</w:t>
            </w:r>
            <w:r>
              <w:rPr>
                <w:rFonts w:ascii="Arial" w:cs="Arial" w:eastAsia="Arial" w:hAnsi="Arial"/>
                <w:sz w:val="11"/>
                <w:szCs w:val="11"/>
                <w:i w:val="1"/>
                <w:iCs w:val="1"/>
                <w:color w:val="auto"/>
                <w:w w:val="98"/>
              </w:rPr>
              <w:t>Methane</w:t>
            </w:r>
          </w:p>
        </w:tc>
        <w:tc>
          <w:tcPr>
            <w:tcW w:w="1020" w:type="dxa"/>
            <w:vAlign w:val="bottom"/>
          </w:tcPr>
          <w:p>
            <w:pPr>
              <w:ind w:left="100"/>
              <w:spacing w:after="0" w:line="120" w:lineRule="exact"/>
              <w:rPr>
                <w:sz w:val="20"/>
                <w:szCs w:val="20"/>
                <w:color w:val="auto"/>
              </w:rPr>
            </w:pPr>
            <w:r>
              <w:rPr>
                <w:rFonts w:ascii="Arial" w:cs="Arial" w:eastAsia="Arial" w:hAnsi="Arial"/>
                <w:sz w:val="11"/>
                <w:szCs w:val="11"/>
                <w:color w:val="auto"/>
              </w:rPr>
              <w:t>$176.5 million</w:t>
            </w:r>
          </w:p>
        </w:tc>
        <w:tc>
          <w:tcPr>
            <w:tcW w:w="960" w:type="dxa"/>
            <w:vAlign w:val="bottom"/>
          </w:tcPr>
          <w:p>
            <w:pPr>
              <w:ind w:left="280"/>
              <w:spacing w:after="0" w:line="120" w:lineRule="exact"/>
              <w:rPr>
                <w:sz w:val="20"/>
                <w:szCs w:val="20"/>
                <w:color w:val="auto"/>
              </w:rPr>
            </w:pPr>
            <w:r>
              <w:rPr>
                <w:rFonts w:ascii="Arial" w:cs="Arial" w:eastAsia="Arial" w:hAnsi="Arial"/>
                <w:sz w:val="11"/>
                <w:szCs w:val="11"/>
                <w:color w:val="auto"/>
              </w:rPr>
              <w:t>N/A</w:t>
            </w: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LIBOR + applicable</w:t>
            </w:r>
          </w:p>
        </w:tc>
        <w:tc>
          <w:tcPr>
            <w:tcW w:w="840" w:type="dxa"/>
            <w:vAlign w:val="bottom"/>
          </w:tcPr>
          <w:p>
            <w:pPr>
              <w:jc w:val="right"/>
              <w:ind w:right="427"/>
              <w:spacing w:after="0" w:line="120" w:lineRule="exact"/>
              <w:rPr>
                <w:sz w:val="20"/>
                <w:szCs w:val="20"/>
                <w:color w:val="auto"/>
              </w:rPr>
            </w:pPr>
            <w:r>
              <w:rPr>
                <w:rFonts w:ascii="Arial" w:cs="Arial" w:eastAsia="Arial" w:hAnsi="Arial"/>
                <w:sz w:val="11"/>
                <w:szCs w:val="11"/>
                <w:color w:val="auto"/>
              </w:rPr>
              <w:t>2025</w:t>
            </w: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8 equal semi-annual</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w w:val="99"/>
              </w:rPr>
              <w:t>Alison Victoria</w:t>
            </w:r>
            <w:r>
              <w:rPr>
                <w:rFonts w:ascii="Arial" w:cs="Arial" w:eastAsia="Arial" w:hAnsi="Arial"/>
                <w:sz w:val="11"/>
                <w:szCs w:val="11"/>
                <w:color w:val="auto"/>
                <w:w w:val="99"/>
              </w:rPr>
              <w:t>), GAS-twenty</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margin</w:t>
            </w: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7"/>
              </w:rPr>
              <w:t>instalments of $8.6 million,</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one Ltd. (</w:t>
            </w:r>
            <w:r>
              <w:rPr>
                <w:rFonts w:ascii="Arial" w:cs="Arial" w:eastAsia="Arial" w:hAnsi="Arial"/>
                <w:sz w:val="11"/>
                <w:szCs w:val="11"/>
                <w:i w:val="1"/>
                <w:iCs w:val="1"/>
                <w:color w:val="auto"/>
              </w:rPr>
              <w:t>Methane Heather</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6"/>
              </w:rPr>
              <w:t>with a final balloon amount</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rPr>
              <w:t>Sally</w:t>
            </w:r>
            <w:r>
              <w:rPr>
                <w:rFonts w:ascii="Arial" w:cs="Arial" w:eastAsia="Arial" w:hAnsi="Arial"/>
                <w:sz w:val="11"/>
                <w:szCs w:val="11"/>
                <w:color w:val="auto"/>
              </w:rPr>
              <w:t>), GAS-twenty seven</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$107.7 million payable</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Ltd. (</w:t>
            </w:r>
            <w:r>
              <w:rPr>
                <w:rFonts w:ascii="Arial" w:cs="Arial" w:eastAsia="Arial" w:hAnsi="Arial"/>
                <w:sz w:val="11"/>
                <w:szCs w:val="11"/>
                <w:i w:val="1"/>
                <w:iCs w:val="1"/>
                <w:color w:val="auto"/>
              </w:rPr>
              <w:t>Methane Becki Anne</w:t>
            </w:r>
            <w:r>
              <w:rPr>
                <w:rFonts w:ascii="Arial" w:cs="Arial" w:eastAsia="Arial" w:hAnsi="Arial"/>
                <w:sz w:val="11"/>
                <w:szCs w:val="11"/>
                <w:color w:val="auto"/>
              </w:rPr>
              <w:t>)</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concurrently with the last</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installment in July 2025.</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GAS-one Ltd (</w:t>
            </w:r>
            <w:r>
              <w:rPr>
                <w:rFonts w:ascii="Arial" w:cs="Arial" w:eastAsia="Arial" w:hAnsi="Arial"/>
                <w:sz w:val="11"/>
                <w:szCs w:val="11"/>
                <w:i w:val="1"/>
                <w:iCs w:val="1"/>
                <w:color w:val="auto"/>
              </w:rPr>
              <w:t>GasLog</w:t>
            </w:r>
          </w:p>
        </w:tc>
        <w:tc>
          <w:tcPr>
            <w:tcW w:w="1020" w:type="dxa"/>
            <w:vAlign w:val="bottom"/>
          </w:tcPr>
          <w:p>
            <w:pPr>
              <w:ind w:left="100"/>
              <w:spacing w:after="0" w:line="120" w:lineRule="exact"/>
              <w:rPr>
                <w:sz w:val="20"/>
                <w:szCs w:val="20"/>
                <w:color w:val="auto"/>
              </w:rPr>
            </w:pPr>
            <w:r>
              <w:rPr>
                <w:rFonts w:ascii="Arial" w:cs="Arial" w:eastAsia="Arial" w:hAnsi="Arial"/>
                <w:sz w:val="11"/>
                <w:szCs w:val="11"/>
                <w:color w:val="auto"/>
              </w:rPr>
              <w:t>$427.0 million</w:t>
            </w:r>
          </w:p>
        </w:tc>
        <w:tc>
          <w:tcPr>
            <w:tcW w:w="960" w:type="dxa"/>
            <w:vAlign w:val="bottom"/>
          </w:tcPr>
          <w:p>
            <w:pPr>
              <w:ind w:left="280"/>
              <w:spacing w:after="0" w:line="120" w:lineRule="exact"/>
              <w:rPr>
                <w:sz w:val="20"/>
                <w:szCs w:val="20"/>
                <w:color w:val="auto"/>
              </w:rPr>
            </w:pPr>
            <w:r>
              <w:rPr>
                <w:rFonts w:ascii="Arial" w:cs="Arial" w:eastAsia="Arial" w:hAnsi="Arial"/>
                <w:sz w:val="11"/>
                <w:szCs w:val="11"/>
                <w:color w:val="auto"/>
              </w:rPr>
              <w:t>N/A</w:t>
            </w: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LIBOR + applicable</w:t>
            </w:r>
          </w:p>
        </w:tc>
        <w:tc>
          <w:tcPr>
            <w:tcW w:w="840" w:type="dxa"/>
            <w:vAlign w:val="bottom"/>
          </w:tcPr>
          <w:p>
            <w:pPr>
              <w:jc w:val="right"/>
              <w:ind w:right="427"/>
              <w:spacing w:after="0" w:line="120" w:lineRule="exact"/>
              <w:rPr>
                <w:sz w:val="20"/>
                <w:szCs w:val="20"/>
                <w:color w:val="auto"/>
              </w:rPr>
            </w:pPr>
            <w:r>
              <w:rPr>
                <w:rFonts w:ascii="Arial" w:cs="Arial" w:eastAsia="Arial" w:hAnsi="Arial"/>
                <w:sz w:val="11"/>
                <w:szCs w:val="11"/>
                <w:color w:val="auto"/>
              </w:rPr>
              <w:t>2025</w:t>
            </w: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0"/>
              </w:rPr>
              <w:t>Term Loan Facility of $399.7</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rPr>
              <w:t>Savannah</w:t>
            </w:r>
            <w:r>
              <w:rPr>
                <w:rFonts w:ascii="Arial" w:cs="Arial" w:eastAsia="Arial" w:hAnsi="Arial"/>
                <w:sz w:val="11"/>
                <w:szCs w:val="11"/>
                <w:color w:val="auto"/>
              </w:rPr>
              <w:t>), GAS-two Ltd.</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margin</w:t>
            </w: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3"/>
              </w:rPr>
              <w:t>million will amortize over 14</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Singapore</w:t>
            </w:r>
            <w:r>
              <w:rPr>
                <w:rFonts w:ascii="Arial" w:cs="Arial" w:eastAsia="Arial" w:hAnsi="Arial"/>
                <w:sz w:val="11"/>
                <w:szCs w:val="11"/>
                <w:color w:val="auto"/>
              </w:rPr>
              <w:t>), GAS-</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87"/>
              </w:rPr>
              <w:t>equal quarterly instalments of</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six Ltd. (</w:t>
            </w:r>
            <w:r>
              <w:rPr>
                <w:rFonts w:ascii="Arial" w:cs="Arial" w:eastAsia="Arial" w:hAnsi="Arial"/>
                <w:sz w:val="11"/>
                <w:szCs w:val="11"/>
                <w:i w:val="1"/>
                <w:iCs w:val="1"/>
                <w:color w:val="auto"/>
              </w:rPr>
              <w:t>GasLog Skagen</w:t>
            </w:r>
            <w:r>
              <w:rPr>
                <w:rFonts w:ascii="Arial" w:cs="Arial" w:eastAsia="Arial" w:hAnsi="Arial"/>
                <w:sz w:val="11"/>
                <w:szCs w:val="11"/>
                <w:color w:val="auto"/>
              </w:rPr>
              <w:t>),</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$7.9 million, with a final</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GAS-nine Ltd. (</w:t>
            </w:r>
            <w:r>
              <w:rPr>
                <w:rFonts w:ascii="Arial" w:cs="Arial" w:eastAsia="Arial" w:hAnsi="Arial"/>
                <w:sz w:val="11"/>
                <w:szCs w:val="11"/>
                <w:i w:val="1"/>
                <w:iCs w:val="1"/>
                <w:color w:val="auto"/>
              </w:rPr>
              <w:t>GasLog</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balloon amount of $250.0</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w w:val="97"/>
              </w:rPr>
              <w:t>Saratoga</w:t>
            </w:r>
            <w:r>
              <w:rPr>
                <w:rFonts w:ascii="Arial" w:cs="Arial" w:eastAsia="Arial" w:hAnsi="Arial"/>
                <w:sz w:val="11"/>
                <w:szCs w:val="11"/>
                <w:color w:val="auto"/>
                <w:w w:val="97"/>
              </w:rPr>
              <w:t>) and GAS-eighteen</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2"/>
              </w:rPr>
              <w:t>million payable concurrently</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w w:val="97"/>
              </w:rPr>
              <w:t>Ltd. (</w:t>
            </w:r>
            <w:r>
              <w:rPr>
                <w:rFonts w:ascii="Arial" w:cs="Arial" w:eastAsia="Arial" w:hAnsi="Arial"/>
                <w:sz w:val="11"/>
                <w:szCs w:val="11"/>
                <w:i w:val="1"/>
                <w:iCs w:val="1"/>
                <w:color w:val="auto"/>
                <w:w w:val="97"/>
              </w:rPr>
              <w:t>Methane Lydon Volney</w:t>
            </w:r>
            <w:r>
              <w:rPr>
                <w:rFonts w:ascii="Arial" w:cs="Arial" w:eastAsia="Arial" w:hAnsi="Arial"/>
                <w:sz w:val="11"/>
                <w:szCs w:val="11"/>
                <w:color w:val="auto"/>
                <w:w w:val="97"/>
              </w:rPr>
              <w:t>)</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with the last installment in</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7"/>
              </w:rPr>
              <w:t>June 2025. Revolving loan</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6"/>
              </w:rPr>
              <w:t>facility of $66.7 million also</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matures in June 2025.</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color w:val="auto"/>
              </w:rPr>
              <w:t>GAS-fifteen Ltd. (</w:t>
            </w:r>
            <w:r>
              <w:rPr>
                <w:rFonts w:ascii="Arial" w:cs="Arial" w:eastAsia="Arial" w:hAnsi="Arial"/>
                <w:sz w:val="11"/>
                <w:szCs w:val="11"/>
                <w:i w:val="1"/>
                <w:iCs w:val="1"/>
                <w:color w:val="auto"/>
              </w:rPr>
              <w:t>GasLog</w:t>
            </w:r>
          </w:p>
        </w:tc>
        <w:tc>
          <w:tcPr>
            <w:tcW w:w="1020" w:type="dxa"/>
            <w:vAlign w:val="bottom"/>
          </w:tcPr>
          <w:p>
            <w:pPr>
              <w:ind w:left="100"/>
              <w:spacing w:after="0" w:line="120" w:lineRule="exact"/>
              <w:rPr>
                <w:sz w:val="20"/>
                <w:szCs w:val="20"/>
                <w:color w:val="auto"/>
              </w:rPr>
            </w:pPr>
            <w:r>
              <w:rPr>
                <w:rFonts w:ascii="Arial" w:cs="Arial" w:eastAsia="Arial" w:hAnsi="Arial"/>
                <w:sz w:val="11"/>
                <w:szCs w:val="11"/>
                <w:color w:val="auto"/>
              </w:rPr>
              <w:t>$87.4 million</w:t>
            </w:r>
          </w:p>
        </w:tc>
        <w:tc>
          <w:tcPr>
            <w:tcW w:w="960" w:type="dxa"/>
            <w:vAlign w:val="bottom"/>
          </w:tcPr>
          <w:p>
            <w:pPr>
              <w:ind w:left="280"/>
              <w:spacing w:after="0" w:line="120" w:lineRule="exact"/>
              <w:rPr>
                <w:sz w:val="20"/>
                <w:szCs w:val="20"/>
                <w:color w:val="auto"/>
              </w:rPr>
            </w:pPr>
            <w:r>
              <w:rPr>
                <w:rFonts w:ascii="Arial" w:cs="Arial" w:eastAsia="Arial" w:hAnsi="Arial"/>
                <w:sz w:val="11"/>
                <w:szCs w:val="11"/>
                <w:color w:val="auto"/>
              </w:rPr>
              <w:t>N/A</w:t>
            </w: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LIBOR + applicable</w:t>
            </w:r>
          </w:p>
        </w:tc>
        <w:tc>
          <w:tcPr>
            <w:tcW w:w="840" w:type="dxa"/>
            <w:vAlign w:val="bottom"/>
          </w:tcPr>
          <w:p>
            <w:pPr>
              <w:jc w:val="right"/>
              <w:ind w:right="427"/>
              <w:spacing w:after="0" w:line="120" w:lineRule="exact"/>
              <w:rPr>
                <w:sz w:val="20"/>
                <w:szCs w:val="20"/>
                <w:color w:val="auto"/>
              </w:rPr>
            </w:pPr>
            <w:r>
              <w:rPr>
                <w:rFonts w:ascii="Arial" w:cs="Arial" w:eastAsia="Arial" w:hAnsi="Arial"/>
                <w:sz w:val="11"/>
                <w:szCs w:val="11"/>
                <w:color w:val="auto"/>
              </w:rPr>
              <w:t>2025</w:t>
            </w: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15 equal quarterly</w:t>
            </w:r>
          </w:p>
        </w:tc>
        <w:tc>
          <w:tcPr>
            <w:tcW w:w="0" w:type="dxa"/>
            <w:vAlign w:val="bottom"/>
          </w:tcPr>
          <w:p>
            <w:pPr>
              <w:spacing w:after="0"/>
              <w:rPr>
                <w:sz w:val="1"/>
                <w:szCs w:val="1"/>
                <w:color w:val="auto"/>
              </w:rPr>
            </w:pPr>
          </w:p>
        </w:tc>
      </w:tr>
      <w:tr>
        <w:trPr>
          <w:trHeight w:val="120"/>
        </w:trPr>
        <w:tc>
          <w:tcPr>
            <w:tcW w:w="1400" w:type="dxa"/>
            <w:vAlign w:val="bottom"/>
          </w:tcPr>
          <w:p>
            <w:pPr>
              <w:spacing w:after="0" w:line="120" w:lineRule="exact"/>
              <w:rPr>
                <w:sz w:val="20"/>
                <w:szCs w:val="20"/>
                <w:color w:val="auto"/>
              </w:rPr>
            </w:pPr>
            <w:r>
              <w:rPr>
                <w:rFonts w:ascii="Arial" w:cs="Arial" w:eastAsia="Arial" w:hAnsi="Arial"/>
                <w:sz w:val="11"/>
                <w:szCs w:val="11"/>
                <w:i w:val="1"/>
                <w:iCs w:val="1"/>
                <w:color w:val="auto"/>
              </w:rPr>
              <w:t>Chelsea</w:t>
            </w:r>
            <w:r>
              <w:rPr>
                <w:rFonts w:ascii="Arial" w:cs="Arial" w:eastAsia="Arial" w:hAnsi="Arial"/>
                <w:sz w:val="11"/>
                <w:szCs w:val="11"/>
                <w:color w:val="auto"/>
              </w:rPr>
              <w:t>)</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margin</w:t>
            </w: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7"/>
              </w:rPr>
              <w:t>instalments of $1.9 million,</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6"/>
              </w:rPr>
              <w:t>with a final balloon amount</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of $59.0 million payable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rPr>
              <w:t>concurrently with the last</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rPr>
              <w:t>instalment in July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-2138045</wp:posOffset>
            </wp:positionV>
            <wp:extent cx="6295390" cy="457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5390" cy="45783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-1223010</wp:posOffset>
            </wp:positionV>
            <wp:extent cx="6295390" cy="762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5390" cy="762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200"/>
            <w:col w:w="7520"/>
          </w:cols>
          <w:pgMar w:left="980" w:top="659" w:right="99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GasLog Hong</w:t>
            </w:r>
          </w:p>
        </w:tc>
        <w:tc>
          <w:tcPr>
            <w:tcW w:w="1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Sea 190 Leasing</w:t>
            </w:r>
          </w:p>
        </w:tc>
        <w:tc>
          <w:tcPr>
            <w:tcW w:w="1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GAS-twenty five Ltd.</w:t>
            </w:r>
          </w:p>
        </w:tc>
        <w:tc>
          <w:tcPr>
            <w:tcW w:w="1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$152.7 million</w:t>
            </w:r>
          </w:p>
        </w:tc>
        <w:tc>
          <w:tcPr>
            <w:tcW w:w="9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N/A</w:t>
            </w:r>
          </w:p>
        </w:tc>
        <w:tc>
          <w:tcPr>
            <w:tcW w:w="1540" w:type="dxa"/>
            <w:vAlign w:val="bottom"/>
            <w:shd w:val="clear" w:color="auto" w:fill="CCEEFF"/>
          </w:tcPr>
          <w:p>
            <w:pPr>
              <w:ind w:left="520"/>
              <w:spacing w:after="0"/>
              <w:rPr>
                <w:sz w:val="20"/>
                <w:szCs w:val="20"/>
                <w:color w:val="auto"/>
              </w:rPr>
            </w:pPr>
            <w:r>
              <w:rPr>
                <w:rFonts w:ascii="Arial" w:cs="Arial" w:eastAsia="Arial" w:hAnsi="Arial"/>
                <w:sz w:val="11"/>
                <w:szCs w:val="11"/>
                <w:color w:val="auto"/>
              </w:rPr>
              <w:t>LIBOR + applicable</w:t>
            </w:r>
          </w:p>
        </w:tc>
        <w:tc>
          <w:tcPr>
            <w:tcW w:w="840" w:type="dxa"/>
            <w:vAlign w:val="bottom"/>
            <w:shd w:val="clear" w:color="auto" w:fill="CCEEFF"/>
          </w:tcPr>
          <w:p>
            <w:pPr>
              <w:jc w:val="right"/>
              <w:ind w:right="427"/>
              <w:spacing w:after="0"/>
              <w:rPr>
                <w:sz w:val="20"/>
                <w:szCs w:val="20"/>
                <w:color w:val="auto"/>
              </w:rPr>
            </w:pPr>
            <w:r>
              <w:rPr>
                <w:rFonts w:ascii="Arial" w:cs="Arial" w:eastAsia="Arial" w:hAnsi="Arial"/>
                <w:sz w:val="11"/>
                <w:szCs w:val="11"/>
                <w:color w:val="auto"/>
              </w:rPr>
              <w:t>2032</w:t>
            </w:r>
          </w:p>
        </w:tc>
        <w:tc>
          <w:tcPr>
            <w:tcW w:w="17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16 equal quarterly</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Kong SLB</w:t>
            </w: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ind w:left="34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Hong Kong</w:t>
            </w:r>
            <w:r>
              <w:rPr>
                <w:rFonts w:ascii="Arial" w:cs="Arial" w:eastAsia="Arial" w:hAnsi="Arial"/>
                <w:sz w:val="11"/>
                <w:szCs w:val="11"/>
                <w:color w:val="auto"/>
              </w:rPr>
              <w:t>)</w:t>
            </w: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ind w:left="520"/>
              <w:spacing w:after="0" w:line="120" w:lineRule="exact"/>
              <w:rPr>
                <w:sz w:val="20"/>
                <w:szCs w:val="20"/>
                <w:color w:val="auto"/>
              </w:rPr>
            </w:pPr>
            <w:r>
              <w:rPr>
                <w:rFonts w:ascii="Arial" w:cs="Arial" w:eastAsia="Arial" w:hAnsi="Arial"/>
                <w:sz w:val="11"/>
                <w:szCs w:val="11"/>
                <w:color w:val="auto"/>
              </w:rPr>
              <w:t>margin</w:t>
            </w: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w w:val="97"/>
              </w:rPr>
              <w:t>instalments of $2.7 million,</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rPr>
              <w:t>27 equal quarterly</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w w:val="99"/>
              </w:rPr>
              <w:t>instalments of $1.4 million</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w w:val="95"/>
              </w:rPr>
              <w:t>beginning in January 2026,</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w w:val="96"/>
              </w:rPr>
              <w:t>with a final balloon amount</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rPr>
              <w:t>$71.4 million concurrently</w:t>
            </w: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60" w:type="dxa"/>
            <w:vAlign w:val="bottom"/>
            <w:shd w:val="clear" w:color="auto" w:fill="CCEEFF"/>
          </w:tcPr>
          <w:p>
            <w:pPr>
              <w:ind w:left="480"/>
              <w:spacing w:after="0" w:line="120" w:lineRule="exact"/>
              <w:rPr>
                <w:sz w:val="20"/>
                <w:szCs w:val="20"/>
                <w:color w:val="auto"/>
              </w:rPr>
            </w:pPr>
            <w:r>
              <w:rPr>
                <w:rFonts w:ascii="Arial" w:cs="Arial" w:eastAsia="Arial" w:hAnsi="Arial"/>
                <w:sz w:val="11"/>
                <w:szCs w:val="11"/>
                <w:color w:val="auto"/>
              </w:rPr>
              <w:t>with the last instalment in</w:t>
            </w: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7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October 2032.</w:t>
            </w:r>
          </w:p>
        </w:tc>
      </w:tr>
      <w:tr>
        <w:trPr>
          <w:trHeight w:val="110"/>
        </w:trPr>
        <w:tc>
          <w:tcPr>
            <w:tcW w:w="20" w:type="dxa"/>
            <w:vAlign w:val="bottom"/>
          </w:tcPr>
          <w:p>
            <w:pPr>
              <w:spacing w:after="0"/>
              <w:rPr>
                <w:sz w:val="9"/>
                <w:szCs w:val="9"/>
                <w:color w:val="auto"/>
              </w:rPr>
            </w:pPr>
          </w:p>
        </w:tc>
        <w:tc>
          <w:tcPr>
            <w:tcW w:w="740" w:type="dxa"/>
            <w:vAlign w:val="bottom"/>
          </w:tcPr>
          <w:p>
            <w:pPr>
              <w:spacing w:after="0" w:line="111" w:lineRule="exact"/>
              <w:rPr>
                <w:sz w:val="20"/>
                <w:szCs w:val="20"/>
                <w:color w:val="auto"/>
              </w:rPr>
            </w:pPr>
            <w:r>
              <w:rPr>
                <w:rFonts w:ascii="Arial" w:cs="Arial" w:eastAsia="Arial" w:hAnsi="Arial"/>
                <w:sz w:val="11"/>
                <w:szCs w:val="11"/>
                <w:color w:val="auto"/>
              </w:rPr>
              <w:t>GasLog</w:t>
            </w:r>
          </w:p>
        </w:tc>
        <w:tc>
          <w:tcPr>
            <w:tcW w:w="1300" w:type="dxa"/>
            <w:vAlign w:val="bottom"/>
          </w:tcPr>
          <w:p>
            <w:pPr>
              <w:ind w:left="160"/>
              <w:spacing w:after="0" w:line="111" w:lineRule="exact"/>
              <w:rPr>
                <w:sz w:val="20"/>
                <w:szCs w:val="20"/>
                <w:color w:val="auto"/>
              </w:rPr>
            </w:pPr>
            <w:r>
              <w:rPr>
                <w:rFonts w:ascii="Arial" w:cs="Arial" w:eastAsia="Arial" w:hAnsi="Arial"/>
                <w:sz w:val="11"/>
                <w:szCs w:val="11"/>
                <w:color w:val="auto"/>
              </w:rPr>
              <w:t>Hai Kuo Shipping</w:t>
            </w:r>
          </w:p>
        </w:tc>
        <w:tc>
          <w:tcPr>
            <w:tcW w:w="1560" w:type="dxa"/>
            <w:vAlign w:val="bottom"/>
          </w:tcPr>
          <w:p>
            <w:pPr>
              <w:ind w:left="340"/>
              <w:spacing w:after="0" w:line="111" w:lineRule="exact"/>
              <w:rPr>
                <w:sz w:val="20"/>
                <w:szCs w:val="20"/>
                <w:color w:val="auto"/>
              </w:rPr>
            </w:pPr>
            <w:r>
              <w:rPr>
                <w:rFonts w:ascii="Arial" w:cs="Arial" w:eastAsia="Arial" w:hAnsi="Arial"/>
                <w:sz w:val="11"/>
                <w:szCs w:val="11"/>
                <w:color w:val="auto"/>
              </w:rPr>
              <w:t>GAS-twenty four Ltd.</w:t>
            </w:r>
          </w:p>
        </w:tc>
        <w:tc>
          <w:tcPr>
            <w:tcW w:w="1200" w:type="dxa"/>
            <w:vAlign w:val="bottom"/>
          </w:tcPr>
          <w:p>
            <w:pPr>
              <w:ind w:left="280"/>
              <w:spacing w:after="0" w:line="111" w:lineRule="exact"/>
              <w:rPr>
                <w:sz w:val="20"/>
                <w:szCs w:val="20"/>
                <w:color w:val="auto"/>
              </w:rPr>
            </w:pPr>
            <w:r>
              <w:rPr>
                <w:rFonts w:ascii="Arial" w:cs="Arial" w:eastAsia="Arial" w:hAnsi="Arial"/>
                <w:sz w:val="11"/>
                <w:szCs w:val="11"/>
                <w:color w:val="auto"/>
              </w:rPr>
              <w:t>$159.7 million</w:t>
            </w:r>
          </w:p>
        </w:tc>
        <w:tc>
          <w:tcPr>
            <w:tcW w:w="960" w:type="dxa"/>
            <w:vAlign w:val="bottom"/>
          </w:tcPr>
          <w:p>
            <w:pPr>
              <w:ind w:left="280"/>
              <w:spacing w:after="0" w:line="111" w:lineRule="exact"/>
              <w:rPr>
                <w:sz w:val="20"/>
                <w:szCs w:val="20"/>
                <w:color w:val="auto"/>
              </w:rPr>
            </w:pPr>
            <w:r>
              <w:rPr>
                <w:rFonts w:ascii="Arial" w:cs="Arial" w:eastAsia="Arial" w:hAnsi="Arial"/>
                <w:sz w:val="11"/>
                <w:szCs w:val="11"/>
                <w:color w:val="auto"/>
              </w:rPr>
              <w:t>N/A</w:t>
            </w:r>
          </w:p>
        </w:tc>
        <w:tc>
          <w:tcPr>
            <w:tcW w:w="1540" w:type="dxa"/>
            <w:vAlign w:val="bottom"/>
          </w:tcPr>
          <w:p>
            <w:pPr>
              <w:ind w:left="520"/>
              <w:spacing w:after="0" w:line="111" w:lineRule="exact"/>
              <w:rPr>
                <w:sz w:val="20"/>
                <w:szCs w:val="20"/>
                <w:color w:val="auto"/>
              </w:rPr>
            </w:pPr>
            <w:r>
              <w:rPr>
                <w:rFonts w:ascii="Arial" w:cs="Arial" w:eastAsia="Arial" w:hAnsi="Arial"/>
                <w:sz w:val="11"/>
                <w:szCs w:val="11"/>
                <w:color w:val="auto"/>
              </w:rPr>
              <w:t>LIBOR + applicable</w:t>
            </w:r>
          </w:p>
        </w:tc>
        <w:tc>
          <w:tcPr>
            <w:tcW w:w="840" w:type="dxa"/>
            <w:vAlign w:val="bottom"/>
          </w:tcPr>
          <w:p>
            <w:pPr>
              <w:jc w:val="right"/>
              <w:ind w:right="427"/>
              <w:spacing w:after="0" w:line="111" w:lineRule="exact"/>
              <w:rPr>
                <w:sz w:val="20"/>
                <w:szCs w:val="20"/>
                <w:color w:val="auto"/>
              </w:rPr>
            </w:pPr>
            <w:r>
              <w:rPr>
                <w:rFonts w:ascii="Arial" w:cs="Arial" w:eastAsia="Arial" w:hAnsi="Arial"/>
                <w:sz w:val="11"/>
                <w:szCs w:val="11"/>
                <w:color w:val="auto"/>
              </w:rPr>
              <w:t>2032</w:t>
            </w:r>
          </w:p>
        </w:tc>
        <w:tc>
          <w:tcPr>
            <w:tcW w:w="1760" w:type="dxa"/>
            <w:vAlign w:val="bottom"/>
          </w:tcPr>
          <w:p>
            <w:pPr>
              <w:ind w:left="480"/>
              <w:spacing w:after="0" w:line="111" w:lineRule="exact"/>
              <w:rPr>
                <w:sz w:val="20"/>
                <w:szCs w:val="20"/>
                <w:color w:val="auto"/>
              </w:rPr>
            </w:pPr>
            <w:r>
              <w:rPr>
                <w:rFonts w:ascii="Arial" w:cs="Arial" w:eastAsia="Arial" w:hAnsi="Arial"/>
                <w:sz w:val="11"/>
                <w:szCs w:val="11"/>
                <w:color w:val="auto"/>
                <w:w w:val="95"/>
              </w:rPr>
              <w:t>28 quarterly installments of</w:t>
            </w:r>
          </w:p>
        </w:tc>
      </w:tr>
      <w:tr>
        <w:trPr>
          <w:trHeight w:val="120"/>
        </w:trPr>
        <w:tc>
          <w:tcPr>
            <w:tcW w:w="760" w:type="dxa"/>
            <w:vAlign w:val="bottom"/>
            <w:gridSpan w:val="2"/>
          </w:tcPr>
          <w:p>
            <w:pPr>
              <w:spacing w:after="0" w:line="120" w:lineRule="exact"/>
              <w:rPr>
                <w:sz w:val="20"/>
                <w:szCs w:val="20"/>
                <w:color w:val="auto"/>
              </w:rPr>
            </w:pPr>
            <w:r>
              <w:rPr>
                <w:rFonts w:ascii="Arial" w:cs="Arial" w:eastAsia="Arial" w:hAnsi="Arial"/>
                <w:sz w:val="11"/>
                <w:szCs w:val="11"/>
                <w:color w:val="auto"/>
              </w:rPr>
              <w:t>Houston SLB</w:t>
            </w:r>
          </w:p>
        </w:tc>
        <w:tc>
          <w:tcPr>
            <w:tcW w:w="1300" w:type="dxa"/>
            <w:vAlign w:val="bottom"/>
          </w:tcPr>
          <w:p>
            <w:pPr>
              <w:spacing w:after="0"/>
              <w:rPr>
                <w:sz w:val="10"/>
                <w:szCs w:val="10"/>
                <w:color w:val="auto"/>
              </w:rPr>
            </w:pPr>
          </w:p>
        </w:tc>
        <w:tc>
          <w:tcPr>
            <w:tcW w:w="1560" w:type="dxa"/>
            <w:vAlign w:val="bottom"/>
          </w:tcPr>
          <w:p>
            <w:pPr>
              <w:ind w:left="34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GasLog Houston</w:t>
            </w:r>
            <w:r>
              <w:rPr>
                <w:rFonts w:ascii="Arial" w:cs="Arial" w:eastAsia="Arial" w:hAnsi="Arial"/>
                <w:sz w:val="11"/>
                <w:szCs w:val="11"/>
                <w:color w:val="auto"/>
              </w:rPr>
              <w:t>)</w:t>
            </w:r>
          </w:p>
        </w:tc>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tcPr>
          <w:p>
            <w:pPr>
              <w:ind w:left="520"/>
              <w:spacing w:after="0" w:line="120" w:lineRule="exact"/>
              <w:rPr>
                <w:sz w:val="20"/>
                <w:szCs w:val="20"/>
                <w:color w:val="auto"/>
              </w:rPr>
            </w:pPr>
            <w:r>
              <w:rPr>
                <w:rFonts w:ascii="Arial" w:cs="Arial" w:eastAsia="Arial" w:hAnsi="Arial"/>
                <w:sz w:val="11"/>
                <w:szCs w:val="11"/>
                <w:color w:val="auto"/>
              </w:rPr>
              <w:t>margin</w:t>
            </w:r>
          </w:p>
        </w:tc>
        <w:tc>
          <w:tcPr>
            <w:tcW w:w="840" w:type="dxa"/>
            <w:vAlign w:val="bottom"/>
          </w:tcPr>
          <w:p>
            <w:pPr>
              <w:spacing w:after="0"/>
              <w:rPr>
                <w:sz w:val="10"/>
                <w:szCs w:val="10"/>
                <w:color w:val="auto"/>
              </w:rPr>
            </w:pPr>
          </w:p>
        </w:tc>
        <w:tc>
          <w:tcPr>
            <w:tcW w:w="1760" w:type="dxa"/>
            <w:vAlign w:val="bottom"/>
          </w:tcPr>
          <w:p>
            <w:pPr>
              <w:ind w:left="480"/>
              <w:spacing w:after="0" w:line="120" w:lineRule="exact"/>
              <w:rPr>
                <w:sz w:val="20"/>
                <w:szCs w:val="20"/>
                <w:color w:val="auto"/>
              </w:rPr>
            </w:pPr>
            <w:r>
              <w:rPr>
                <w:rFonts w:ascii="Arial" w:cs="Arial" w:eastAsia="Arial" w:hAnsi="Arial"/>
                <w:sz w:val="11"/>
                <w:szCs w:val="11"/>
                <w:color w:val="auto"/>
                <w:w w:val="92"/>
              </w:rPr>
              <w:t>$2.1 million each and a final</w:t>
            </w: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ind w:left="480"/>
              <w:spacing w:after="0"/>
              <w:rPr>
                <w:sz w:val="20"/>
                <w:szCs w:val="20"/>
                <w:color w:val="auto"/>
              </w:rPr>
            </w:pPr>
            <w:r>
              <w:rPr>
                <w:rFonts w:ascii="Arial" w:cs="Arial" w:eastAsia="Arial" w:hAnsi="Arial"/>
                <w:sz w:val="11"/>
                <w:szCs w:val="11"/>
                <w:color w:val="auto"/>
                <w:w w:val="97"/>
              </w:rPr>
              <w:t>balloon payment of $101.6</w:t>
            </w:r>
          </w:p>
        </w:tc>
      </w:tr>
    </w:tbl>
    <w:p>
      <w:pPr>
        <w:ind w:left="8640"/>
        <w:spacing w:after="0"/>
        <w:rPr>
          <w:sz w:val="20"/>
          <w:szCs w:val="20"/>
          <w:color w:val="auto"/>
        </w:rPr>
      </w:pPr>
      <w:r>
        <w:rPr>
          <w:rFonts w:ascii="Arial" w:cs="Arial" w:eastAsia="Arial" w:hAnsi="Arial"/>
          <w:sz w:val="10"/>
          <w:szCs w:val="10"/>
          <w:color w:val="auto"/>
        </w:rPr>
        <w:t>million payable concurrently</w:t>
      </w:r>
    </w:p>
    <w:p>
      <w:pPr>
        <w:ind w:left="8640"/>
        <w:spacing w:after="0" w:line="237" w:lineRule="auto"/>
        <w:rPr>
          <w:sz w:val="20"/>
          <w:szCs w:val="20"/>
          <w:color w:val="auto"/>
        </w:rPr>
      </w:pPr>
      <w:r>
        <w:rPr>
          <w:rFonts w:ascii="Arial" w:cs="Arial" w:eastAsia="Arial" w:hAnsi="Arial"/>
          <w:sz w:val="11"/>
          <w:szCs w:val="11"/>
          <w:color w:val="auto"/>
        </w:rPr>
        <w:t>with the last quarterly</w:t>
      </w:r>
    </w:p>
    <w:p>
      <w:pPr>
        <w:ind w:left="8640"/>
        <w:spacing w:after="0"/>
        <w:rPr>
          <w:sz w:val="20"/>
          <w:szCs w:val="20"/>
          <w:color w:val="auto"/>
        </w:rPr>
      </w:pPr>
      <w:r>
        <w:rPr>
          <w:rFonts w:ascii="Arial" w:cs="Arial" w:eastAsia="Arial" w:hAnsi="Arial"/>
          <w:sz w:val="10"/>
          <w:szCs w:val="10"/>
          <w:color w:val="auto"/>
        </w:rPr>
        <w:t>installment in January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55245</wp:posOffset>
            </wp:positionV>
            <wp:extent cx="15671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146" w:lineRule="exact"/>
        <w:rPr>
          <w:sz w:val="20"/>
          <w:szCs w:val="20"/>
          <w:color w:val="auto"/>
        </w:rPr>
      </w:pPr>
    </w:p>
    <w:p>
      <w:pPr>
        <w:ind w:left="320" w:hanging="313"/>
        <w:spacing w:after="0" w:line="204" w:lineRule="auto"/>
        <w:tabs>
          <w:tab w:leader="none" w:pos="3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Maturity dates are scheduled 12 years from the drawdown date of each individual vessel loan based on the vessel’s actual or scheduled delivery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credit facilities are secured as follows:</w:t>
      </w:r>
    </w:p>
    <w:p>
      <w:pPr>
        <w:spacing w:after="0" w:line="220" w:lineRule="exact"/>
        <w:rPr>
          <w:sz w:val="20"/>
          <w:szCs w:val="20"/>
          <w:color w:val="auto"/>
        </w:rPr>
      </w:pPr>
    </w:p>
    <w:p>
      <w:pPr>
        <w:ind w:left="680" w:right="920" w:hanging="326"/>
        <w:spacing w:after="0" w:line="270" w:lineRule="auto"/>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 except in the case of the sale and leaseback transactions;</w:t>
      </w:r>
    </w:p>
    <w:p>
      <w:pPr>
        <w:spacing w:after="0" w:line="94" w:lineRule="exact"/>
        <w:rPr>
          <w:rFonts w:ascii="Arial" w:cs="Arial" w:eastAsia="Arial" w:hAnsi="Arial"/>
          <w:sz w:val="18"/>
          <w:szCs w:val="18"/>
          <w:color w:val="auto"/>
        </w:rPr>
      </w:pPr>
    </w:p>
    <w:p>
      <w:pPr>
        <w:ind w:left="680" w:right="20" w:hanging="326"/>
        <w:spacing w:after="0" w:line="287" w:lineRule="auto"/>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guarantees from us and our subsidiary GasLog Carriers in the case of the GasLog Warsaw Facility, the 7xNB Facility, the GasLog $576.9M Facility and the GasLog Chelsea $96.8M Facility; charter guarantees from us in relation to the GasLog Hong Kong SLB and the GasLog Houston SLB; in the case of the 2019 GasLog Partners Facility, the GasLog Partners $260.3M Facility and the GasLog Partners $193.7M Facility guarantees from GasLog Partners and GasLog Partners Holdings LLC; in the case of the October 2015 Facility, guarantees from us and GasLog Carriers for an amount up to the value of the commitments of the vessels owned by GasLog Carriers and guarantees from the Partnership and GasLog Partners Holdings LLC for an amount up to the value of the commitments of the vessels owned by GasLog Partners Holdings LLC;</w:t>
      </w:r>
    </w:p>
    <w:p>
      <w:pPr>
        <w:spacing w:after="0" w:line="101" w:lineRule="exact"/>
        <w:rPr>
          <w:rFonts w:ascii="Arial" w:cs="Arial" w:eastAsia="Arial" w:hAnsi="Arial"/>
          <w:sz w:val="16"/>
          <w:szCs w:val="16"/>
          <w:color w:val="auto"/>
        </w:rPr>
      </w:pPr>
    </w:p>
    <w:p>
      <w:pPr>
        <w:ind w:left="680" w:hanging="326"/>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certain of our facilities, a pledge or a negative pledge of the share capital of the respective borrower; and</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certain of our facilities, a first assignment of all earnings and insurances related to the ship owned by the respective borrower.</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business is not subject to seasonal borrowing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Events of Default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0" w:lineRule="exact"/>
        <w:rPr>
          <w:sz w:val="20"/>
          <w:szCs w:val="20"/>
          <w:color w:val="auto"/>
        </w:rPr>
      </w:pPr>
    </w:p>
    <w:p>
      <w:pPr>
        <w:ind w:right="20" w:firstLine="320"/>
        <w:spacing w:after="0" w:line="270" w:lineRule="auto"/>
        <w:rPr>
          <w:sz w:val="20"/>
          <w:szCs w:val="20"/>
          <w:color w:val="auto"/>
        </w:rPr>
      </w:pPr>
      <w:r>
        <w:rPr>
          <w:rFonts w:ascii="Arial" w:cs="Arial" w:eastAsia="Arial" w:hAnsi="Arial"/>
          <w:sz w:val="18"/>
          <w:szCs w:val="18"/>
          <w:color w:val="auto"/>
        </w:rPr>
        <w:t>Our credit facilities impose certain operating and financial restrictions on us. These restrictions generally limit our subsidiaries’ ability to, among other things:</w:t>
      </w:r>
    </w:p>
    <w:p>
      <w:pPr>
        <w:spacing w:after="0" w:line="175" w:lineRule="exact"/>
        <w:rPr>
          <w:sz w:val="20"/>
          <w:szCs w:val="20"/>
          <w:color w:val="auto"/>
        </w:rPr>
      </w:pPr>
    </w:p>
    <w:p>
      <w:pPr>
        <w:ind w:left="680" w:hanging="32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139" w:lineRule="exact"/>
        <w:rPr>
          <w:rFonts w:ascii="Arial" w:cs="Arial" w:eastAsia="Arial" w:hAnsi="Arial"/>
          <w:sz w:val="18"/>
          <w:szCs w:val="18"/>
          <w:color w:val="auto"/>
        </w:rPr>
      </w:pPr>
    </w:p>
    <w:p>
      <w:pPr>
        <w:ind w:left="680" w:right="580" w:hanging="326"/>
        <w:spacing w:after="0" w:line="270"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acquire assets, make investments or enter into any joint venture arrangements outside of the ordinary course of business.</w:t>
      </w:r>
    </w:p>
    <w:p>
      <w:pPr>
        <w:spacing w:after="0" w:line="231" w:lineRule="exact"/>
        <w:rPr>
          <w:sz w:val="20"/>
          <w:szCs w:val="20"/>
          <w:color w:val="auto"/>
        </w:rPr>
      </w:pPr>
    </w:p>
    <w:p>
      <w:pPr>
        <w:ind w:firstLine="320"/>
        <w:spacing w:after="0" w:line="306" w:lineRule="auto"/>
        <w:rPr>
          <w:sz w:val="20"/>
          <w:szCs w:val="20"/>
          <w:color w:val="auto"/>
        </w:rPr>
      </w:pPr>
      <w:r>
        <w:rPr>
          <w:rFonts w:ascii="Arial" w:cs="Arial" w:eastAsia="Arial" w:hAnsi="Arial"/>
          <w:sz w:val="16"/>
          <w:szCs w:val="16"/>
          <w:color w:val="auto"/>
        </w:rPr>
        <w:t>Our credit facilities (with the exception of the 2019 GasLog Partners Facility; GasLog Partners $260.3M Facility; the GasLog Partners $193.7M Facility and for the debt of the vessels owned by GasLog Partners under the October 2015 Facility) also impose specified financial covenants that apply to us and our subsidiaries on a consolidated basis. These financial covenants include the following:</w:t>
      </w:r>
    </w:p>
    <w:p>
      <w:pPr>
        <w:spacing w:after="0" w:line="150" w:lineRule="exact"/>
        <w:rPr>
          <w:sz w:val="20"/>
          <w:szCs w:val="20"/>
          <w:color w:val="auto"/>
        </w:rPr>
      </w:pPr>
    </w:p>
    <w:p>
      <w:pPr>
        <w:ind w:left="680" w:hanging="32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net working capital (excluding the current portion of long-term debt) must be not less than $0;</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total indebtedness divided by our total assets must not exceed 75.0%;</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19" w:lineRule="exact"/>
        <w:rPr>
          <w:rFonts w:ascii="Arial" w:cs="Arial" w:eastAsia="Arial" w:hAnsi="Arial"/>
          <w:sz w:val="18"/>
          <w:szCs w:val="18"/>
          <w:color w:val="auto"/>
        </w:rPr>
      </w:pPr>
    </w:p>
    <w:p>
      <w:pPr>
        <w:jc w:val="both"/>
        <w:ind w:left="680" w:right="20" w:hanging="326"/>
        <w:spacing w:after="0" w:line="28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 and short-term investments are at least $110.0 million; and</w:t>
      </w:r>
    </w:p>
    <w:p>
      <w:pPr>
        <w:spacing w:after="0" w:line="87" w:lineRule="exact"/>
        <w:rPr>
          <w:rFonts w:ascii="Arial" w:cs="Arial" w:eastAsia="Arial" w:hAnsi="Arial"/>
          <w:sz w:val="17"/>
          <w:szCs w:val="17"/>
          <w:color w:val="auto"/>
        </w:rPr>
      </w:pPr>
    </w:p>
    <w:p>
      <w:pPr>
        <w:ind w:left="680" w:hanging="32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market value adjusted net worth must at all times be not less than $350.0 million.</w:t>
      </w:r>
    </w:p>
    <w:p>
      <w:pPr>
        <w:spacing w:after="0" w:line="220" w:lineRule="exact"/>
        <w:rPr>
          <w:sz w:val="20"/>
          <w:szCs w:val="20"/>
          <w:color w:val="auto"/>
        </w:rPr>
      </w:pPr>
    </w:p>
    <w:p>
      <w:pPr>
        <w:ind w:right="200" w:firstLine="320"/>
        <w:spacing w:after="0" w:line="333" w:lineRule="auto"/>
        <w:rPr>
          <w:sz w:val="20"/>
          <w:szCs w:val="20"/>
          <w:color w:val="auto"/>
        </w:rPr>
      </w:pPr>
      <w:r>
        <w:rPr>
          <w:rFonts w:ascii="Arial" w:cs="Arial" w:eastAsia="Arial" w:hAnsi="Arial"/>
          <w:sz w:val="16"/>
          <w:szCs w:val="16"/>
          <w:color w:val="auto"/>
        </w:rPr>
        <w:t>In the case where the Partnership is a guarantor to our Credit Facilities, such facilities also impose specified financial covenants that apply to the Partnership and its subsidiaries on a consolidated basis. These financial covenants include the following:</w:t>
      </w:r>
    </w:p>
    <w:p>
      <w:pPr>
        <w:spacing w:after="0" w:line="130" w:lineRule="exact"/>
        <w:rPr>
          <w:sz w:val="20"/>
          <w:szCs w:val="20"/>
          <w:color w:val="auto"/>
        </w:rPr>
      </w:pPr>
    </w:p>
    <w:p>
      <w:pPr>
        <w:ind w:left="680" w:right="480" w:hanging="326"/>
        <w:spacing w:after="0" w:line="270"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153" w:lineRule="exact"/>
        <w:rPr>
          <w:rFonts w:ascii="Arial" w:cs="Arial" w:eastAsia="Arial" w:hAnsi="Arial"/>
          <w:sz w:val="18"/>
          <w:szCs w:val="18"/>
          <w:color w:val="auto"/>
        </w:rPr>
      </w:pPr>
    </w:p>
    <w:p>
      <w:pPr>
        <w:ind w:left="680" w:right="220" w:hanging="326"/>
        <w:spacing w:after="0" w:line="270"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distributions, subject to no event of default having occurred or occurring as a consequence of the payment of such distributions.</w:t>
      </w:r>
    </w:p>
    <w:p>
      <w:pPr>
        <w:spacing w:after="0" w:line="175"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88" w:lineRule="exact"/>
        <w:rPr>
          <w:sz w:val="20"/>
          <w:szCs w:val="20"/>
          <w:color w:val="auto"/>
        </w:rPr>
      </w:pPr>
    </w:p>
    <w:p>
      <w:pPr>
        <w:ind w:right="80" w:firstLine="320"/>
        <w:spacing w:after="0" w:line="306" w:lineRule="auto"/>
        <w:rPr>
          <w:sz w:val="20"/>
          <w:szCs w:val="20"/>
          <w:color w:val="auto"/>
        </w:rPr>
      </w:pPr>
      <w:r>
        <w:rPr>
          <w:rFonts w:ascii="Arial" w:cs="Arial" w:eastAsia="Arial" w:hAnsi="Arial"/>
          <w:sz w:val="16"/>
          <w:szCs w:val="16"/>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50" w:lineRule="exact"/>
        <w:rPr>
          <w:sz w:val="20"/>
          <w:szCs w:val="20"/>
          <w:color w:val="auto"/>
        </w:rPr>
      </w:pPr>
    </w:p>
    <w:p>
      <w:pPr>
        <w:ind w:right="100" w:firstLine="320"/>
        <w:spacing w:after="0" w:line="282" w:lineRule="auto"/>
        <w:rPr>
          <w:sz w:val="20"/>
          <w:szCs w:val="20"/>
          <w:color w:val="auto"/>
        </w:rPr>
      </w:pPr>
      <w:r>
        <w:rPr>
          <w:rFonts w:ascii="Arial" w:cs="Arial" w:eastAsia="Arial" w:hAnsi="Arial"/>
          <w:sz w:val="16"/>
          <w:szCs w:val="16"/>
          <w:color w:val="auto"/>
        </w:rPr>
        <w:t>Our credit facilities contain customary events of default, including non 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w:t>
      </w:r>
    </w:p>
    <w:p>
      <w:pPr>
        <w:spacing w:after="0" w:line="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120.0% of the then outstanding amount under the applicable facility (in the case of each individual vessel in the October 2015 Facility and 7xNB Facility, 115.0% for the first two years after each drawdown and 120.0% at any time thereafter, 100% in the case of the GasLog Hong Kong SLB, 100% until December 31st 2022 inclusive and 110% at any time thereafter in the case of the GasLog Houston SLB and in the case of the GasLog Partners $193.7M Facility, 130.0%).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60" w:firstLine="320"/>
        <w:spacing w:after="0" w:line="270" w:lineRule="auto"/>
        <w:rPr>
          <w:sz w:val="20"/>
          <w:szCs w:val="20"/>
          <w:color w:val="auto"/>
        </w:rPr>
      </w:pPr>
      <w:r>
        <w:rPr>
          <w:rFonts w:ascii="Arial" w:cs="Arial" w:eastAsia="Arial" w:hAnsi="Arial"/>
          <w:sz w:val="18"/>
          <w:szCs w:val="18"/>
          <w:color w:val="auto"/>
        </w:rPr>
        <w:t>Compliance with the financial covenants is required on a semi-annual basis and we were in compliance with the respective financial covenants as of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2015 Facility</w:t>
      </w:r>
    </w:p>
    <w:p>
      <w:pPr>
        <w:spacing w:after="0" w:line="220" w:lineRule="exact"/>
        <w:rPr>
          <w:sz w:val="20"/>
          <w:szCs w:val="20"/>
          <w:color w:val="auto"/>
        </w:rPr>
      </w:pPr>
    </w:p>
    <w:p>
      <w:pPr>
        <w:ind w:firstLine="320"/>
        <w:spacing w:after="0" w:line="274" w:lineRule="auto"/>
        <w:rPr>
          <w:sz w:val="20"/>
          <w:szCs w:val="20"/>
          <w:color w:val="auto"/>
        </w:rPr>
      </w:pPr>
      <w:r>
        <w:rPr>
          <w:rFonts w:ascii="Arial" w:cs="Arial" w:eastAsia="Arial" w:hAnsi="Arial"/>
          <w:sz w:val="17"/>
          <w:szCs w:val="17"/>
          <w:color w:val="auto"/>
        </w:rPr>
        <w:t>On October 16, 2015, GAS-eleven Ltd., GAS-twelve Ltd., GAS-thirteen Ltd., GAS-fourteen Ltd., GAS-twenty two Ltd., GAS-twenty three Ltd., GAS-twenty four Ltd. and GAS-twenty five Ltd. entered into a debt financing agreement with 14 international banks for $1.3 billion to partially finance the delivery of the eight newbuildings expected to be delivered in 2016, 2018 and 2019. The financing is backed by KEXIM and K-Sure, who are either directly lending or providing cover for over 60% of the facility.</w:t>
      </w:r>
    </w:p>
    <w:p>
      <w:pPr>
        <w:spacing w:after="0" w:line="175" w:lineRule="exact"/>
        <w:rPr>
          <w:sz w:val="20"/>
          <w:szCs w:val="20"/>
          <w:color w:val="auto"/>
        </w:rPr>
      </w:pPr>
    </w:p>
    <w:p>
      <w:pPr>
        <w:ind w:right="20" w:firstLine="320"/>
        <w:spacing w:after="0" w:line="284" w:lineRule="auto"/>
        <w:rPr>
          <w:sz w:val="20"/>
          <w:szCs w:val="20"/>
          <w:color w:val="auto"/>
        </w:rPr>
      </w:pPr>
      <w:r>
        <w:rPr>
          <w:rFonts w:ascii="Arial" w:cs="Arial" w:eastAsia="Arial" w:hAnsi="Arial"/>
          <w:sz w:val="16"/>
          <w:szCs w:val="16"/>
          <w:color w:val="auto"/>
        </w:rPr>
        <w:t xml:space="preserve">The loan agreement provides for four tranches of $412.5 million, $201.1 million, $206.1 million and $491.7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instalments commencing six months after the actual delivery of the relevant vessel according to a 12-year profile. Each drawing under the fourth tranche shall be repaid in 20 consecutive semi-annual equal instalments commencing six months after the actual delivery of the relevant vessel according to a 20-year profile, with a balloon payment together with the final installment. On March 22, 2016 and June 24, 2016, $163.0 million was 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and October 25, 2016, $160.7 million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on January 2, 2018 and March 14, 2018, $166.2 million was drawn on each date with respect to the deliveries of the</w:t>
      </w:r>
      <w:r>
        <w:rPr>
          <w:rFonts w:ascii="Arial" w:cs="Arial" w:eastAsia="Arial" w:hAnsi="Arial"/>
          <w:sz w:val="16"/>
          <w:szCs w:val="16"/>
          <w:i w:val="1"/>
          <w:iCs w:val="1"/>
          <w:color w:val="auto"/>
        </w:rPr>
        <w:t xml:space="preserve"> GasLog Houston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while on March 23, 2018 and March 11, 2019, $165.8 million was drawn down on each date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the deliveries of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Amounts drawn bear interest at LIBOR plus a margin.</w:t>
      </w:r>
    </w:p>
    <w:p>
      <w:pPr>
        <w:spacing w:after="0" w:line="167" w:lineRule="exact"/>
        <w:rPr>
          <w:sz w:val="20"/>
          <w:szCs w:val="20"/>
          <w:color w:val="auto"/>
        </w:rPr>
      </w:pPr>
    </w:p>
    <w:p>
      <w:pPr>
        <w:ind w:right="40" w:firstLine="320"/>
        <w:spacing w:after="0" w:line="270" w:lineRule="auto"/>
        <w:rPr>
          <w:sz w:val="20"/>
          <w:szCs w:val="20"/>
          <w:color w:val="auto"/>
        </w:rPr>
      </w:pPr>
      <w:r>
        <w:rPr>
          <w:rFonts w:ascii="Arial" w:cs="Arial" w:eastAsia="Arial" w:hAnsi="Arial"/>
          <w:sz w:val="18"/>
          <w:szCs w:val="18"/>
          <w:color w:val="auto"/>
        </w:rPr>
        <w:t>On October 21, 2020, the outstanding indebtedness of GAS-twenty five Ltd., in the amount of $136.8 million was prepaid pursuant to the GasLog Hong Kong SLB.</w:t>
      </w:r>
    </w:p>
    <w:p>
      <w:pPr>
        <w:spacing w:after="0" w:line="175" w:lineRule="exact"/>
        <w:rPr>
          <w:sz w:val="20"/>
          <w:szCs w:val="20"/>
          <w:color w:val="auto"/>
        </w:rPr>
      </w:pPr>
    </w:p>
    <w:p>
      <w:pPr>
        <w:ind w:right="40" w:firstLine="320"/>
        <w:spacing w:after="0" w:line="270" w:lineRule="auto"/>
        <w:rPr>
          <w:sz w:val="20"/>
          <w:szCs w:val="20"/>
          <w:color w:val="auto"/>
        </w:rPr>
      </w:pPr>
      <w:r>
        <w:rPr>
          <w:rFonts w:ascii="Arial" w:cs="Arial" w:eastAsia="Arial" w:hAnsi="Arial"/>
          <w:sz w:val="18"/>
          <w:szCs w:val="18"/>
          <w:color w:val="auto"/>
        </w:rPr>
        <w:t>On January 22, 2021, the outstanding indebtedness of GAS-twenty four Ltd., in the amount of $130.9 million was prepaid pursuant to the GasLog Houston SLB.</w:t>
      </w:r>
    </w:p>
    <w:p>
      <w:pPr>
        <w:spacing w:after="0" w:line="175" w:lineRule="exact"/>
        <w:rPr>
          <w:sz w:val="20"/>
          <w:szCs w:val="20"/>
          <w:color w:val="auto"/>
        </w:rPr>
      </w:pPr>
    </w:p>
    <w:p>
      <w:pPr>
        <w:ind w:right="180" w:firstLine="320"/>
        <w:spacing w:after="0" w:line="270" w:lineRule="auto"/>
        <w:rPr>
          <w:sz w:val="20"/>
          <w:szCs w:val="20"/>
          <w:color w:val="auto"/>
        </w:rPr>
      </w:pPr>
      <w:r>
        <w:rPr>
          <w:rFonts w:ascii="Arial" w:cs="Arial" w:eastAsia="Arial" w:hAnsi="Arial"/>
          <w:sz w:val="18"/>
          <w:szCs w:val="18"/>
          <w:color w:val="auto"/>
        </w:rPr>
        <w:t>The October 2015 Facility is subject to our and the Partnership’s financial covenants and to our customary restrictions and 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GasLog Partners Facility</w:t>
      </w:r>
    </w:p>
    <w:p>
      <w:pPr>
        <w:spacing w:after="0" w:line="220" w:lineRule="exact"/>
        <w:rPr>
          <w:sz w:val="20"/>
          <w:szCs w:val="20"/>
          <w:color w:val="auto"/>
        </w:rPr>
      </w:pPr>
    </w:p>
    <w:p>
      <w:pPr>
        <w:ind w:right="60" w:firstLine="320"/>
        <w:spacing w:after="0" w:line="268" w:lineRule="auto"/>
        <w:rPr>
          <w:sz w:val="20"/>
          <w:szCs w:val="20"/>
          <w:color w:val="auto"/>
        </w:rPr>
      </w:pPr>
      <w:r>
        <w:rPr>
          <w:rFonts w:ascii="Arial" w:cs="Arial" w:eastAsia="Arial" w:hAnsi="Arial"/>
          <w:sz w:val="17"/>
          <w:szCs w:val="17"/>
          <w:color w:val="auto"/>
        </w:rPr>
        <w:t xml:space="preserve">On February 20, 2019, GAS-three Ltd., GAS-four Ltd., GAS-five Ltd., GAS-sixteen Ltd., GAS-seventeen Ltd., GasLog Partners and GasLog Partners Holdings LLC entered into a loan agreement with Credit Suisse AG, Nordea and Iyo Bank, Ltd. Singapore Branch, each an original lender and Nordea acting as security agent and trustee for and on behalf of the other finance parties mentioned above, for a credit facility for up to $450.0 million (the “2019 GasLog Partners Facility”) for the purpose of refinancing in full the existing Partnership Facility. Subsequently, on the same date, the Development Bank of Japan, Inc. entered the facility as lender via transfer certificate. The vessels originally covered by the 2019 GasLog Partners Facility are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the </w:t>
      </w:r>
      <w:r>
        <w:rPr>
          <w:rFonts w:ascii="Arial" w:cs="Arial" w:eastAsia="Arial" w:hAnsi="Arial"/>
          <w:sz w:val="17"/>
          <w:szCs w:val="17"/>
          <w:i w:val="1"/>
          <w:iCs w:val="1"/>
          <w:color w:val="auto"/>
        </w:rPr>
        <w:t xml:space="preserve">Methane Rita Andrea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Jane Elizabeth</w:t>
      </w:r>
      <w:r>
        <w:rPr>
          <w:rFonts w:ascii="Arial" w:cs="Arial" w:eastAsia="Arial" w:hAnsi="Arial"/>
          <w:sz w:val="17"/>
          <w:szCs w:val="17"/>
          <w:color w:val="auto"/>
        </w:rPr>
        <w:t>.</w:t>
      </w:r>
    </w:p>
    <w:p>
      <w:pPr>
        <w:spacing w:after="0" w:line="180" w:lineRule="exact"/>
        <w:rPr>
          <w:sz w:val="20"/>
          <w:szCs w:val="20"/>
          <w:color w:val="auto"/>
        </w:rPr>
      </w:pPr>
    </w:p>
    <w:p>
      <w:pPr>
        <w:ind w:right="120" w:firstLine="320"/>
        <w:spacing w:after="0" w:line="252" w:lineRule="auto"/>
        <w:rPr>
          <w:sz w:val="20"/>
          <w:szCs w:val="20"/>
          <w:color w:val="auto"/>
        </w:rPr>
      </w:pPr>
      <w:r>
        <w:rPr>
          <w:rFonts w:ascii="Arial" w:cs="Arial" w:eastAsia="Arial" w:hAnsi="Arial"/>
          <w:sz w:val="18"/>
          <w:szCs w:val="18"/>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90" w:lineRule="exact"/>
        <w:rPr>
          <w:sz w:val="20"/>
          <w:szCs w:val="20"/>
          <w:color w:val="auto"/>
        </w:rPr>
      </w:pPr>
    </w:p>
    <w:p>
      <w:pPr>
        <w:ind w:right="60" w:firstLine="320"/>
        <w:spacing w:after="0" w:line="270" w:lineRule="auto"/>
        <w:rPr>
          <w:sz w:val="20"/>
          <w:szCs w:val="20"/>
          <w:color w:val="auto"/>
        </w:rPr>
      </w:pPr>
      <w:r>
        <w:rPr>
          <w:rFonts w:ascii="Arial" w:cs="Arial" w:eastAsia="Arial" w:hAnsi="Arial"/>
          <w:sz w:val="18"/>
          <w:szCs w:val="18"/>
          <w:color w:val="auto"/>
        </w:rPr>
        <w:t xml:space="preserve">On October 14, 2021 GAS-three Ltd., was released from its liabilities under the 2019 GasLog Partners Facility following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to CDBL and the prepayment of $97.1 million.</w:t>
      </w:r>
    </w:p>
    <w:p>
      <w:pPr>
        <w:spacing w:after="0" w:line="175" w:lineRule="exact"/>
        <w:rPr>
          <w:sz w:val="20"/>
          <w:szCs w:val="20"/>
          <w:color w:val="auto"/>
        </w:rPr>
      </w:pPr>
    </w:p>
    <w:p>
      <w:pPr>
        <w:ind w:right="140" w:firstLine="320"/>
        <w:spacing w:after="0" w:line="270" w:lineRule="auto"/>
        <w:rPr>
          <w:sz w:val="20"/>
          <w:szCs w:val="20"/>
          <w:color w:val="auto"/>
        </w:rPr>
      </w:pPr>
      <w:r>
        <w:rPr>
          <w:rFonts w:ascii="Arial" w:cs="Arial" w:eastAsia="Arial" w:hAnsi="Arial"/>
          <w:sz w:val="18"/>
          <w:szCs w:val="18"/>
          <w:color w:val="auto"/>
        </w:rPr>
        <w:t>The 2019 GasLog Partners Facility is subject to the Partnership’s financial covenants and to our customary restrictions and events of default.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Warsaw Facility</w:t>
      </w:r>
    </w:p>
    <w:p>
      <w:pPr>
        <w:spacing w:after="0" w:line="220" w:lineRule="exact"/>
        <w:rPr>
          <w:sz w:val="20"/>
          <w:szCs w:val="20"/>
          <w:color w:val="auto"/>
        </w:rPr>
      </w:pPr>
    </w:p>
    <w:p>
      <w:pPr>
        <w:ind w:right="200" w:firstLine="320"/>
        <w:spacing w:after="0" w:line="271" w:lineRule="auto"/>
        <w:rPr>
          <w:sz w:val="20"/>
          <w:szCs w:val="20"/>
          <w:color w:val="auto"/>
        </w:rPr>
      </w:pPr>
      <w:r>
        <w:rPr>
          <w:rFonts w:ascii="Arial" w:cs="Arial" w:eastAsia="Arial" w:hAnsi="Arial"/>
          <w:sz w:val="17"/>
          <w:szCs w:val="17"/>
          <w:color w:val="auto"/>
        </w:rPr>
        <w:t xml:space="preserve">On June 25, 2019, GasLog Hellas-1 Special Maritime Enterprise entered into a loan agreement with ABN AMRO BANK N.V. and Oversea-Chinese Banking Corporation Limited, for the financing of the </w:t>
      </w:r>
      <w:r>
        <w:rPr>
          <w:rFonts w:ascii="Arial" w:cs="Arial" w:eastAsia="Arial" w:hAnsi="Arial"/>
          <w:sz w:val="17"/>
          <w:szCs w:val="17"/>
          <w:i w:val="1"/>
          <w:iCs w:val="1"/>
          <w:color w:val="auto"/>
        </w:rPr>
        <w:t>GasLog Warsaw</w:t>
      </w:r>
      <w:r>
        <w:rPr>
          <w:rFonts w:ascii="Arial" w:cs="Arial" w:eastAsia="Arial" w:hAnsi="Arial"/>
          <w:sz w:val="17"/>
          <w:szCs w:val="17"/>
          <w:color w:val="auto"/>
        </w:rPr>
        <w:t>, which was delivered on July 31, 2019 (the “GasLog Warsaw Facility”). The 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LIBOR plus a margin.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Warsaw</w:t>
      </w:r>
      <w:r>
        <w:rPr>
          <w:rFonts w:ascii="Arial" w:cs="Arial" w:eastAsia="Arial" w:hAnsi="Arial"/>
          <w:sz w:val="17"/>
          <w:szCs w:val="17"/>
          <w:color w:val="auto"/>
        </w:rPr>
        <w:t xml:space="preserve"> Facility is subject to our financial covenants and to our customary restrictions and events of default.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7xNB Facility</w:t>
      </w:r>
    </w:p>
    <w:p>
      <w:pPr>
        <w:spacing w:after="0" w:line="220" w:lineRule="exact"/>
        <w:rPr>
          <w:sz w:val="20"/>
          <w:szCs w:val="20"/>
          <w:color w:val="auto"/>
        </w:rPr>
      </w:pPr>
    </w:p>
    <w:p>
      <w:pPr>
        <w:ind w:right="20" w:firstLine="320"/>
        <w:spacing w:after="0" w:line="282" w:lineRule="auto"/>
        <w:rPr>
          <w:sz w:val="20"/>
          <w:szCs w:val="20"/>
          <w:color w:val="auto"/>
        </w:rPr>
      </w:pPr>
      <w:r>
        <w:rPr>
          <w:rFonts w:ascii="Arial" w:cs="Arial" w:eastAsia="Arial" w:hAnsi="Arial"/>
          <w:sz w:val="16"/>
          <w:szCs w:val="16"/>
          <w:color w:val="auto"/>
        </w:rPr>
        <w:t xml:space="preserve">On December 12, 2019, GAS-twenty eight Ltd., GAS-thirty Ltd., GAS-thirty one Ltd., GAS-thirty two Ltd., GAS-thirty three Ltd., GAS-thirty four Ltd. and GAS-thirty five Ltd. entered into a loan agreement with 13 international banks, with Citibank N.A. London Branch and DNB Bank ASA, London Branch acting as agents on behalf of the other finance parties. The financing is backed by KEXIM and K-Sure, who are either directly lending or providing cover for over 60% of the facility. The agreement of up to $1,052.8 million partially finances the delivery of seven newbuilds scheduled to be delivered in 2020 and 2021. The loan agreement provides for four tranches of $176.5 million $174.8 million, $356.7 million, and $344.8 million. The facility is also sub-divided into seven loans, one loan per newbuilding vessel, to be provided for each of the vessels on a pro rata basis under each of the four tranches. Each drawing under the first and the third tranche is repaid in 24 consecutive semi-annual equal installments commencing six months after the actual delivery of the relevant vessel according to a 12-year profile. Each drawing under the second tranche is repaid in 14 consecutive semi-annual equal instalments commencing six months after the actual delivery of the relevant vessel according to an average 7-year profile. Each drawing under the fourth tranche is repaid in a single bullet seven years after the actual delivery of the relevant vessel. The facility bears interest at LIBOR plus a margin. On March 26, 2020, on May 7, 2020, on July 9, 2020, on November 12, 2020 and on December 29, 2020, $152.5 million, $149.4 million, $149.2 million, $147.8 million and $147.8 million was drawn down with respect with the deliveries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Windsor</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Wales</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Westminster, </w:t>
      </w:r>
      <w:r>
        <w:rPr>
          <w:rFonts w:ascii="Arial" w:cs="Arial" w:eastAsia="Arial" w:hAnsi="Arial"/>
          <w:sz w:val="16"/>
          <w:szCs w:val="16"/>
          <w:color w:val="auto"/>
        </w:rPr>
        <w:t>the GasLog</w:t>
      </w:r>
      <w:r>
        <w:rPr>
          <w:rFonts w:ascii="Arial" w:cs="Arial" w:eastAsia="Arial" w:hAnsi="Arial"/>
          <w:sz w:val="16"/>
          <w:szCs w:val="16"/>
          <w:i w:val="1"/>
          <w:iCs w:val="1"/>
          <w:color w:val="auto"/>
        </w:rPr>
        <w:t xml:space="preserve"> Georgetown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Galveston</w:t>
      </w:r>
      <w:r>
        <w:rPr>
          <w:rFonts w:ascii="Arial" w:cs="Arial" w:eastAsia="Arial" w:hAnsi="Arial"/>
          <w:sz w:val="16"/>
          <w:szCs w:val="16"/>
          <w:color w:val="auto"/>
        </w:rPr>
        <w:t>, respectively and on June 11,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2021 and on August 20, 2021, $152.9 million and $152.9 million, was drawn down with respect to the deliveries of the </w:t>
      </w:r>
      <w:r>
        <w:rPr>
          <w:rFonts w:ascii="Arial" w:cs="Arial" w:eastAsia="Arial" w:hAnsi="Arial"/>
          <w:sz w:val="16"/>
          <w:szCs w:val="16"/>
          <w:i w:val="1"/>
          <w:iCs w:val="1"/>
          <w:color w:val="auto"/>
        </w:rPr>
        <w:t>GasLog Wellington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Winchester</w:t>
      </w:r>
      <w:r>
        <w:rPr>
          <w:rFonts w:ascii="Arial" w:cs="Arial" w:eastAsia="Arial" w:hAnsi="Arial"/>
          <w:sz w:val="16"/>
          <w:szCs w:val="16"/>
          <w:color w:val="auto"/>
        </w:rPr>
        <w:t>, respectively.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7xNB Facility is subject to our financial covenants and to our customary restrictions and events of default.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Partners $260.3M Facility</w:t>
      </w:r>
    </w:p>
    <w:p>
      <w:pPr>
        <w:spacing w:after="0" w:line="220" w:lineRule="exact"/>
        <w:rPr>
          <w:sz w:val="20"/>
          <w:szCs w:val="20"/>
          <w:color w:val="auto"/>
        </w:rPr>
      </w:pPr>
    </w:p>
    <w:p>
      <w:pPr>
        <w:ind w:right="120" w:firstLine="320"/>
        <w:spacing w:after="0" w:line="271" w:lineRule="auto"/>
        <w:rPr>
          <w:sz w:val="20"/>
          <w:szCs w:val="20"/>
          <w:color w:val="auto"/>
        </w:rPr>
      </w:pPr>
      <w:r>
        <w:rPr>
          <w:rFonts w:ascii="Arial" w:cs="Arial" w:eastAsia="Arial" w:hAnsi="Arial"/>
          <w:sz w:val="17"/>
          <w:szCs w:val="17"/>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The purpose of the facility was the refinancing of the outstanding indebtedness of GAS-twenty Ltd., GAS-seven Ltd. and GAS-eight Ltd. including the payment of loan fees under this facility. The vessels covered by the 2020 GasLog Partners $260.3M Facility are 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w:t>
      </w:r>
    </w:p>
    <w:p>
      <w:pPr>
        <w:spacing w:after="0" w:line="177"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The relevant amount of $260.3 million was drawn on July 21, 2020, out of which $258.5 million was used to refinance the outstanding indebtedness of GAS-twenty Ltd., GAS-seven Ltd. and GAS-eight Ltd. The facility amortizes over ten equal semi-annual installments of $8.6 million beginning in January 2021, with a final balloon amount of $174.4 million payable concurrently with the last installment in July 2025. The credit facility bears interest at LIBOR plus a margin.</w:t>
      </w:r>
    </w:p>
    <w:p>
      <w:pPr>
        <w:spacing w:after="0" w:line="188" w:lineRule="exact"/>
        <w:rPr>
          <w:sz w:val="20"/>
          <w:szCs w:val="20"/>
          <w:color w:val="auto"/>
        </w:rPr>
      </w:pPr>
    </w:p>
    <w:p>
      <w:pPr>
        <w:ind w:right="120" w:firstLine="320"/>
        <w:spacing w:after="0" w:line="258" w:lineRule="auto"/>
        <w:rPr>
          <w:sz w:val="20"/>
          <w:szCs w:val="20"/>
          <w:color w:val="auto"/>
        </w:rPr>
      </w:pPr>
      <w:r>
        <w:rPr>
          <w:rFonts w:ascii="Arial" w:cs="Arial" w:eastAsia="Arial" w:hAnsi="Arial"/>
          <w:sz w:val="18"/>
          <w:szCs w:val="18"/>
          <w:color w:val="auto"/>
        </w:rPr>
        <w:t>On October 15, 2020, the Development Bank of Japan Inc. (“DBJ”) acceded as a new lender in the facility via transfer certificate. BNP Paribas and Credit Suisse each transferred $25.0 million of their commitment to DBJ following the consent of the Borrowers. Alpha Bank S.A. retained the participation amount it was allocated as an original lender.</w:t>
      </w:r>
    </w:p>
    <w:p>
      <w:pPr>
        <w:spacing w:after="0" w:line="186" w:lineRule="exact"/>
        <w:rPr>
          <w:sz w:val="20"/>
          <w:szCs w:val="20"/>
          <w:color w:val="auto"/>
        </w:rPr>
      </w:pPr>
    </w:p>
    <w:p>
      <w:pPr>
        <w:ind w:right="280" w:firstLine="320"/>
        <w:spacing w:after="0" w:line="270" w:lineRule="auto"/>
        <w:rPr>
          <w:sz w:val="20"/>
          <w:szCs w:val="20"/>
          <w:color w:val="auto"/>
        </w:rPr>
      </w:pPr>
      <w:r>
        <w:rPr>
          <w:rFonts w:ascii="Arial" w:cs="Arial" w:eastAsia="Arial" w:hAnsi="Arial"/>
          <w:sz w:val="18"/>
          <w:szCs w:val="18"/>
          <w:color w:val="auto"/>
        </w:rPr>
        <w:t>The GasLog Partners $260.3M Facility is subject to GasLog Partners’ financial covenants and customary restrictions and 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Partners $193.7M Facility</w:t>
      </w:r>
    </w:p>
    <w:p>
      <w:pPr>
        <w:spacing w:after="0" w:line="220" w:lineRule="exact"/>
        <w:rPr>
          <w:sz w:val="20"/>
          <w:szCs w:val="20"/>
          <w:color w:val="auto"/>
        </w:rPr>
      </w:pPr>
    </w:p>
    <w:p>
      <w:pPr>
        <w:ind w:right="60" w:firstLine="320"/>
        <w:spacing w:after="0" w:line="333" w:lineRule="auto"/>
        <w:rPr>
          <w:sz w:val="20"/>
          <w:szCs w:val="20"/>
          <w:color w:val="auto"/>
        </w:rPr>
      </w:pPr>
      <w:r>
        <w:rPr>
          <w:rFonts w:ascii="Arial" w:cs="Arial" w:eastAsia="Arial" w:hAnsi="Arial"/>
          <w:sz w:val="16"/>
          <w:szCs w:val="16"/>
          <w:color w:val="auto"/>
        </w:rPr>
        <w:t>On July 16, 2020, GasLog Partners entered into a credit agreement of $193.7 million with DNB Bank ASA, London Branch, and ING Bank N.V., London Branch, each an original lender, with DNB Bank ASA, London Branch acting as security agent and trustee</w:t>
      </w:r>
    </w:p>
    <w:p>
      <w:pPr>
        <w:sectPr>
          <w:pgSz w:w="11900" w:h="16838" w:orient="portrait"/>
          <w:cols w:equalWidth="0" w:num="1">
            <w:col w:w="9920"/>
          </w:cols>
          <w:pgMar w:left="980" w:top="659" w:right="99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for and on behalf of the other finance party mentioned above. The purpose of the facility was the refinancing of the outstanding indebtedness of GAS-nineteen Ltd., GAS-twenty one Ltd. and GAS-twenty seven Ltd. and for general corporate purposes. The vessels covered by the 2020 GasLog Partners $193.7M Facility are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w:t>
      </w:r>
      <w:r>
        <w:rPr>
          <w:rFonts w:ascii="Arial" w:cs="Arial" w:eastAsia="Arial" w:hAnsi="Arial"/>
          <w:sz w:val="18"/>
          <w:szCs w:val="18"/>
          <w:color w:val="auto"/>
        </w:rPr>
        <w:t xml:space="preserve"> </w:t>
      </w:r>
      <w:r>
        <w:rPr>
          <w:rFonts w:ascii="Arial" w:cs="Arial" w:eastAsia="Arial" w:hAnsi="Arial"/>
          <w:sz w:val="18"/>
          <w:szCs w:val="18"/>
          <w:i w:val="1"/>
          <w:iCs w:val="1"/>
          <w:color w:val="auto"/>
        </w:rPr>
        <w:t>Anne</w:t>
      </w:r>
      <w:r>
        <w:rPr>
          <w:rFonts w:ascii="Arial" w:cs="Arial" w:eastAsia="Arial" w:hAnsi="Arial"/>
          <w:sz w:val="18"/>
          <w:szCs w:val="18"/>
          <w:color w:val="auto"/>
        </w:rPr>
        <w:t>.</w:t>
      </w:r>
    </w:p>
    <w:p>
      <w:pPr>
        <w:spacing w:after="0" w:line="188" w:lineRule="exact"/>
        <w:rPr>
          <w:sz w:val="20"/>
          <w:szCs w:val="20"/>
          <w:color w:val="auto"/>
        </w:rPr>
      </w:pPr>
    </w:p>
    <w:p>
      <w:pPr>
        <w:ind w:right="200" w:firstLine="320"/>
        <w:spacing w:after="0" w:line="296" w:lineRule="auto"/>
        <w:rPr>
          <w:sz w:val="20"/>
          <w:szCs w:val="20"/>
          <w:color w:val="auto"/>
        </w:rPr>
      </w:pPr>
      <w:r>
        <w:rPr>
          <w:rFonts w:ascii="Arial" w:cs="Arial" w:eastAsia="Arial" w:hAnsi="Arial"/>
          <w:sz w:val="16"/>
          <w:szCs w:val="16"/>
          <w:color w:val="auto"/>
        </w:rPr>
        <w:t>The relevant amount of $193.7 million was drawn down on July 21, 2020, out of which $174.9 million was used to refinance the outstanding indebtedness of GAS-nineteen Ltd., GAS-twenty one Ltd. and GAS-twenty seven Ltd. The facility amortizes over ten equal semi-annual installments of $8.6 million beginning in January 2021, with a final balloon amount of $107.7 million payable concurrently with the last installment in July 2025. Interest on the facility will be payable at a rate of LIBOR plus a margin.</w:t>
      </w:r>
    </w:p>
    <w:p>
      <w:pPr>
        <w:spacing w:after="0" w:line="160" w:lineRule="exact"/>
        <w:rPr>
          <w:sz w:val="20"/>
          <w:szCs w:val="20"/>
          <w:color w:val="auto"/>
        </w:rPr>
      </w:pPr>
    </w:p>
    <w:p>
      <w:pPr>
        <w:ind w:right="260" w:firstLine="320"/>
        <w:spacing w:after="0" w:line="270" w:lineRule="auto"/>
        <w:rPr>
          <w:sz w:val="20"/>
          <w:szCs w:val="20"/>
          <w:color w:val="auto"/>
        </w:rPr>
      </w:pPr>
      <w:r>
        <w:rPr>
          <w:rFonts w:ascii="Arial" w:cs="Arial" w:eastAsia="Arial" w:hAnsi="Arial"/>
          <w:sz w:val="18"/>
          <w:szCs w:val="18"/>
          <w:color w:val="auto"/>
        </w:rPr>
        <w:t>The GasLog Partners $193.7M Facility is subject to GasLog Partners’ financial covenants and customary restrictions and 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$576.9M Facility</w:t>
      </w:r>
    </w:p>
    <w:p>
      <w:pPr>
        <w:spacing w:after="0" w:line="220" w:lineRule="exact"/>
        <w:rPr>
          <w:sz w:val="20"/>
          <w:szCs w:val="20"/>
          <w:color w:val="auto"/>
        </w:rPr>
      </w:pPr>
    </w:p>
    <w:p>
      <w:pPr>
        <w:ind w:right="100" w:firstLine="320"/>
        <w:spacing w:after="0" w:line="334" w:lineRule="auto"/>
        <w:rPr>
          <w:sz w:val="20"/>
          <w:szCs w:val="20"/>
          <w:color w:val="auto"/>
        </w:rPr>
      </w:pPr>
      <w:r>
        <w:rPr>
          <w:rFonts w:ascii="Arial" w:cs="Arial" w:eastAsia="Arial" w:hAnsi="Arial"/>
          <w:sz w:val="14"/>
          <w:szCs w:val="14"/>
          <w:color w:val="auto"/>
        </w:rPr>
        <w:t xml:space="preserve">On July 16, 2020, GasLog entered into a credit agreement of $576.9 million with ABN AMRO Bank N.V., Citigroup Global Markets Limited and Nordea acted as global coordinators and bookrunners, while HSBC Bank plc acted as mandated lead arrangers; Credit Agricole Corporate and Investment Bank acted as lead arranger and Unicredit Bank AG and National Bank of Australia Limited acted as arrangers, each of those being an original lender (the “GasLog $576.9M Facility”). ABN AMRO Bank N.V. was appointed by the other finance parties in this syndicate as security agent and trustee. The purpose of the facility was to refinance the outstanding indebtedness of GAS-one Ltd., GAS-two Ltd., GAS-six Ltd., GAS-nine Ltd., GAS-ten Ltd., and GAS-eighteen Ltd., the respective entities owning the </w:t>
      </w:r>
      <w:r>
        <w:rPr>
          <w:rFonts w:ascii="Arial" w:cs="Arial" w:eastAsia="Arial" w:hAnsi="Arial"/>
          <w:sz w:val="14"/>
          <w:szCs w:val="14"/>
          <w:i w:val="1"/>
          <w:iCs w:val="1"/>
          <w:color w:val="auto"/>
        </w:rPr>
        <w:t>GasLog Savannah</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Singapore</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Skagen</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Saratoga</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Salem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Lydon Volney</w:t>
      </w:r>
      <w:r>
        <w:rPr>
          <w:rFonts w:ascii="Arial" w:cs="Arial" w:eastAsia="Arial" w:hAnsi="Arial"/>
          <w:sz w:val="14"/>
          <w:szCs w:val="14"/>
          <w:color w:val="auto"/>
        </w:rPr>
        <w:t>.</w:t>
      </w:r>
    </w:p>
    <w:p>
      <w:pPr>
        <w:spacing w:after="0" w:line="140" w:lineRule="exact"/>
        <w:rPr>
          <w:sz w:val="20"/>
          <w:szCs w:val="20"/>
          <w:color w:val="auto"/>
        </w:rPr>
      </w:pPr>
    </w:p>
    <w:p>
      <w:pPr>
        <w:ind w:right="140" w:firstLine="320"/>
        <w:spacing w:after="0" w:line="252" w:lineRule="auto"/>
        <w:rPr>
          <w:sz w:val="20"/>
          <w:szCs w:val="20"/>
          <w:color w:val="auto"/>
        </w:rPr>
      </w:pPr>
      <w:r>
        <w:rPr>
          <w:rFonts w:ascii="Arial" w:cs="Arial" w:eastAsia="Arial" w:hAnsi="Arial"/>
          <w:sz w:val="18"/>
          <w:szCs w:val="18"/>
          <w:color w:val="auto"/>
        </w:rPr>
        <w:t>An amount of $576.9 million was drawn on July 21, 2020, out of which $557.0 million was used to refinance the outstanding indebtedness of GAS-one Ltd., GAS-two Ltd., GAS-six Ltd., GAS-nine Ltd., GAS-ten Ltd., and GAS-eighteen Ltd. The agreement provided for a Term Loan Facility of $494.5 million which would be amortized over 18 equal quarterly instalments of $9.3 million beginning in April 2021, (following an initial repayment in January 2021 of $18.7 million) with a final balloon amount of $307.5 million payable concurrently with the last installment in June 2025, and a Revolving Loan Facility of $82.4 million which matures in June 2025. The credit facility bears interest at LIBOR plus a margin.</w:t>
      </w:r>
    </w:p>
    <w:p>
      <w:pPr>
        <w:spacing w:after="0" w:line="19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 xml:space="preserve">On October 14, 2021, GAS-ten Ltd., was released from its liabilities following the sale and leaseback of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to CDBL and the prepayment of $103.2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GasLog $576.9M Facility is subject to our financial covenants and to our customary restrictions and events of default.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Chelsea $96.8M Facility</w:t>
      </w:r>
    </w:p>
    <w:p>
      <w:pPr>
        <w:spacing w:after="0" w:line="220" w:lineRule="exact"/>
        <w:rPr>
          <w:sz w:val="20"/>
          <w:szCs w:val="20"/>
          <w:color w:val="auto"/>
        </w:rPr>
      </w:pPr>
    </w:p>
    <w:p>
      <w:pPr>
        <w:ind w:firstLine="320"/>
        <w:spacing w:after="0" w:line="292" w:lineRule="auto"/>
        <w:rPr>
          <w:sz w:val="20"/>
          <w:szCs w:val="20"/>
          <w:color w:val="auto"/>
        </w:rPr>
      </w:pPr>
      <w:r>
        <w:rPr>
          <w:rFonts w:ascii="Arial" w:cs="Arial" w:eastAsia="Arial" w:hAnsi="Arial"/>
          <w:sz w:val="16"/>
          <w:szCs w:val="16"/>
          <w:color w:val="auto"/>
        </w:rPr>
        <w:t xml:space="preserve">On July 30, 2020, GasLog entered into a credit agreement with NBG (acting as the sole original lender) for the refinancing of GAS-fifteen Ltd., the entity owning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“GasLog Chelsea $96.8M Facility”). The facility comprises of $96.8 million which was drawn on July 31, 2020, out of which $92.2 million was used to refinance the outstanding indebtedness of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facility amortizes over nineteen equal quarterly installments of $1.9 million beginning in October 2020, with a final balloon amount of $59.0 million payable concurrently with the last installment in July 2025. The credit facility bears interest at LIBOR plus a margin.</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GasLog Chelsea $96.8M Facility is subject to our financial covenants and to our customary restrictions and events of default.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Hong Kong SLB</w:t>
      </w:r>
    </w:p>
    <w:p>
      <w:pPr>
        <w:spacing w:after="0" w:line="220" w:lineRule="exact"/>
        <w:rPr>
          <w:sz w:val="20"/>
          <w:szCs w:val="20"/>
          <w:color w:val="auto"/>
        </w:rPr>
      </w:pPr>
    </w:p>
    <w:p>
      <w:pPr>
        <w:ind w:right="100" w:firstLine="320"/>
        <w:spacing w:after="0" w:line="289" w:lineRule="auto"/>
        <w:rPr>
          <w:sz w:val="20"/>
          <w:szCs w:val="20"/>
          <w:color w:val="auto"/>
        </w:rPr>
      </w:pPr>
      <w:r>
        <w:rPr>
          <w:rFonts w:ascii="Arial" w:cs="Arial" w:eastAsia="Arial" w:hAnsi="Arial"/>
          <w:sz w:val="16"/>
          <w:szCs w:val="16"/>
          <w:color w:val="auto"/>
        </w:rPr>
        <w:t xml:space="preserve">On October 21, 2020, GasLog’s subsidiary GAS-twenty five Ltd., entered into a sale and leaseback transaction with Sea 190 Leasing in order to refinance the outstanding indebtedness of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The transaction comprises of $163.4 million which was raised on October 21, 2020, out of which $136.8 million was used to refinance the outstanding indebtedness of the </w:t>
      </w:r>
      <w:r>
        <w:rPr>
          <w:rFonts w:ascii="Arial" w:cs="Arial" w:eastAsia="Arial" w:hAnsi="Arial"/>
          <w:sz w:val="16"/>
          <w:szCs w:val="16"/>
          <w:i w:val="1"/>
          <w:iCs w:val="1"/>
          <w:color w:val="auto"/>
        </w:rPr>
        <w:t>GasLog Hong Kong</w:t>
      </w:r>
      <w:r>
        <w:rPr>
          <w:rFonts w:ascii="Arial" w:cs="Arial" w:eastAsia="Arial" w:hAnsi="Arial"/>
          <w:sz w:val="16"/>
          <w:szCs w:val="16"/>
          <w:color w:val="auto"/>
        </w:rPr>
        <w:t>. GAS-twenty five Ltd., has chartered back the vessel on a bareboat basis for up to twelve years and has re-purchase options on pre-agreed terms no earlier than the end of year one and no later than the end of year twelve of the bareboat charter. The facility amortizes over 20 equal quarterly installments of $2.7 million beginning in January 2021, 27 equal quarterly instalments of</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$1.4 million beginning in January 2026, with a final balloon amount of $71.4 million payable concurrently with the last installment in October 2032.</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bareboat charter is subject to our financial covenants and to our customary restrictions and events of default.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Houston SLB</w:t>
      </w:r>
    </w:p>
    <w:p>
      <w:pPr>
        <w:spacing w:after="0" w:line="220" w:lineRule="exact"/>
        <w:rPr>
          <w:sz w:val="20"/>
          <w:szCs w:val="20"/>
          <w:color w:val="auto"/>
        </w:rPr>
      </w:pPr>
    </w:p>
    <w:p>
      <w:pPr>
        <w:ind w:right="120" w:firstLine="320"/>
        <w:spacing w:after="0" w:line="250" w:lineRule="auto"/>
        <w:rPr>
          <w:sz w:val="20"/>
          <w:szCs w:val="20"/>
          <w:color w:val="auto"/>
        </w:rPr>
      </w:pPr>
      <w:r>
        <w:rPr>
          <w:rFonts w:ascii="Arial" w:cs="Arial" w:eastAsia="Arial" w:hAnsi="Arial"/>
          <w:sz w:val="18"/>
          <w:szCs w:val="18"/>
          <w:color w:val="auto"/>
        </w:rPr>
        <w:t xml:space="preserve">On January 22, 2021, GasLog’s subsidiary, GAS-twenty four Ltd., entered into a sale and leaseback transaction with Hai Kuo Shipping in order to refinance the outstanding indebtedness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The transaction comprises of $166.0 million which was raised on January 22, 2021, out of which $130.9 million was used to refinance the outstanding indebtedness of the </w:t>
      </w:r>
      <w:r>
        <w:rPr>
          <w:rFonts w:ascii="Arial" w:cs="Arial" w:eastAsia="Arial" w:hAnsi="Arial"/>
          <w:sz w:val="18"/>
          <w:szCs w:val="18"/>
          <w:i w:val="1"/>
          <w:iCs w:val="1"/>
          <w:color w:val="auto"/>
        </w:rPr>
        <w:t>GasLog Houston</w:t>
      </w:r>
      <w:r>
        <w:rPr>
          <w:rFonts w:ascii="Arial" w:cs="Arial" w:eastAsia="Arial" w:hAnsi="Arial"/>
          <w:sz w:val="18"/>
          <w:szCs w:val="18"/>
          <w:color w:val="auto"/>
        </w:rPr>
        <w:t>. GAS-twenty four Ltd. has chartered back the vessel on a bareboat basis for up to eight years and has obligation to re-purchase the vessels at the end of the bareboat charter. GAS-twenty four Ltd. has also re-purchase options on pre-agreed terms no earlier than the first interest period and no later than the end of year eight of the bareboat charter. The facility amortizes over 31 equal quarterly installments of $2.1 million beginning in April 2021, with a final balloon amount of $101.6 million payable concurrently with the last installment in January 2029.</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bareboat charter is subject to our financial covenants and to our customary restrictions and events of default.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224" w:lineRule="exact"/>
        <w:rPr>
          <w:sz w:val="20"/>
          <w:szCs w:val="20"/>
          <w:color w:val="auto"/>
        </w:rPr>
      </w:pPr>
    </w:p>
    <w:p>
      <w:pPr>
        <w:ind w:firstLine="320"/>
        <w:spacing w:after="0" w:line="274" w:lineRule="auto"/>
        <w:rPr>
          <w:sz w:val="20"/>
          <w:szCs w:val="20"/>
          <w:color w:val="auto"/>
        </w:rPr>
      </w:pPr>
      <w:r>
        <w:rPr>
          <w:rFonts w:ascii="Arial" w:cs="Arial" w:eastAsia="Arial" w:hAnsi="Arial"/>
          <w:sz w:val="17"/>
          <w:szCs w:val="17"/>
          <w:color w:val="auto"/>
        </w:rPr>
        <w:t>On November 27, 2019, GasLog completed the issuance of NOK 900 million (equivalent to $98.6 million) of NOK 2024 Bonds in the Norwegian bond market. The NOK 2024 Bonds will mature in November 2024 and bear interest at Norwegian Interbank Offered Rate (“NIBOR”) plus margin. Interest payments shall be made in arrears on a quarterly basis. We may redeem the aforementioned bond in whole or in part as from May 2024 at 101% of par plus accrued interests on the redeemed amount.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terms of the NOK 2024 Bonds we are required to comply with the financial covenants listed below:</w:t>
      </w:r>
    </w:p>
    <w:p>
      <w:pPr>
        <w:spacing w:after="0" w:line="220" w:lineRule="exact"/>
        <w:rPr>
          <w:sz w:val="20"/>
          <w:szCs w:val="20"/>
          <w:color w:val="auto"/>
        </w:rPr>
      </w:pPr>
    </w:p>
    <w:p>
      <w:pPr>
        <w:ind w:left="680" w:hanging="32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not be less than $0;</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139" w:lineRule="exact"/>
        <w:rPr>
          <w:rFonts w:ascii="Arial" w:cs="Arial" w:eastAsia="Arial" w:hAnsi="Arial"/>
          <w:sz w:val="18"/>
          <w:szCs w:val="18"/>
          <w:color w:val="auto"/>
        </w:rPr>
      </w:pPr>
    </w:p>
    <w:p>
      <w:pPr>
        <w:jc w:val="both"/>
        <w:ind w:left="680" w:hanging="326"/>
        <w:spacing w:after="0" w:line="281" w:lineRule="auto"/>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equivalents and short-term investments are at least $110.0 million; and</w:t>
      </w:r>
    </w:p>
    <w:p>
      <w:pPr>
        <w:spacing w:after="0" w:line="100" w:lineRule="exact"/>
        <w:rPr>
          <w:rFonts w:ascii="Arial" w:cs="Arial" w:eastAsia="Arial" w:hAnsi="Arial"/>
          <w:sz w:val="17"/>
          <w:szCs w:val="17"/>
          <w:color w:val="auto"/>
        </w:rPr>
      </w:pPr>
    </w:p>
    <w:p>
      <w:pPr>
        <w:ind w:left="680" w:hanging="32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 million.</w:t>
      </w:r>
    </w:p>
    <w:p>
      <w:pPr>
        <w:spacing w:after="0" w:line="220" w:lineRule="exact"/>
        <w:rPr>
          <w:sz w:val="20"/>
          <w:szCs w:val="20"/>
          <w:color w:val="auto"/>
        </w:rPr>
      </w:pPr>
    </w:p>
    <w:p>
      <w:pPr>
        <w:ind w:right="20" w:firstLine="320"/>
        <w:spacing w:after="0" w:line="253" w:lineRule="auto"/>
        <w:rPr>
          <w:sz w:val="20"/>
          <w:szCs w:val="20"/>
          <w:color w:val="auto"/>
        </w:rPr>
      </w:pPr>
      <w:r>
        <w:rPr>
          <w:rFonts w:ascii="Arial" w:cs="Arial" w:eastAsia="Arial" w:hAnsi="Arial"/>
          <w:sz w:val="18"/>
          <w:szCs w:val="18"/>
          <w:color w:val="auto"/>
        </w:rPr>
        <w:t>In addition, the terms of the NOK 2024 Bonds include a dividend restriction according to which we may not make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w:t>
      </w:r>
    </w:p>
    <w:p>
      <w:pPr>
        <w:spacing w:after="0" w:line="190" w:lineRule="exact"/>
        <w:rPr>
          <w:sz w:val="20"/>
          <w:szCs w:val="20"/>
          <w:color w:val="auto"/>
        </w:rPr>
      </w:pPr>
    </w:p>
    <w:p>
      <w:pPr>
        <w:jc w:val="both"/>
        <w:ind w:right="220" w:firstLine="320"/>
        <w:spacing w:after="0" w:line="258" w:lineRule="auto"/>
        <w:rPr>
          <w:sz w:val="20"/>
          <w:szCs w:val="20"/>
          <w:color w:val="auto"/>
        </w:rPr>
      </w:pPr>
      <w:r>
        <w:rPr>
          <w:rFonts w:ascii="Arial" w:cs="Arial" w:eastAsia="Arial" w:hAnsi="Arial"/>
          <w:sz w:val="18"/>
          <w:szCs w:val="18"/>
          <w:color w:val="auto"/>
        </w:rPr>
        <w:t>On March 22, 2017, GasLog closed a public offering of $250.0 million aggregate principal amount of the 8.875% Senior Notes at a public offering price of 100% of the principal amount. The net proceeds from the offering after deducting the underwriting discount and offering expenses were $245.3 million.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May 16, 2019, GasLog closed a follow-on issue of $75.0 million aggregate principal amount of the 8.875% Senior Notes priced at</w:t>
      </w:r>
    </w:p>
    <w:p>
      <w:pPr>
        <w:spacing w:after="0" w:line="42"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102.5% of par with a yield to maturity of 7.89%. The gross proceeds from this offering were $76.9 million, including a $1.9 million premium, while the net proceeds, after deducting the underwriting discount and offering expenses, were $75.4 million.</w:t>
      </w:r>
    </w:p>
    <w:p>
      <w:pPr>
        <w:spacing w:after="0" w:line="165" w:lineRule="exact"/>
        <w:rPr>
          <w:sz w:val="20"/>
          <w:szCs w:val="20"/>
          <w:color w:val="auto"/>
        </w:rPr>
      </w:pPr>
    </w:p>
    <w:p>
      <w:pPr>
        <w:ind w:right="200" w:firstLine="320"/>
        <w:spacing w:after="0" w:line="333" w:lineRule="auto"/>
        <w:rPr>
          <w:sz w:val="20"/>
          <w:szCs w:val="20"/>
          <w:color w:val="auto"/>
        </w:rPr>
      </w:pPr>
      <w:r>
        <w:rPr>
          <w:rFonts w:ascii="Arial" w:cs="Arial" w:eastAsia="Arial" w:hAnsi="Arial"/>
          <w:sz w:val="16"/>
          <w:szCs w:val="16"/>
          <w:color w:val="auto"/>
        </w:rPr>
        <w:t>Interest payment shall be made in arrears on a quarterly basis. GasLog may redeem the 8.875% Senior Notes, in whole or in part, at any time and from time to time at a redemption price equal to the greater of (a) 100% of the principal amount of such notes plus</w:t>
      </w:r>
    </w:p>
    <w:p>
      <w:pPr>
        <w:sectPr>
          <w:pgSz w:w="11900" w:h="16838" w:orient="portrait"/>
          <w:cols w:equalWidth="0" w:num="1">
            <w:col w:w="9900"/>
          </w:cols>
          <w:pgMar w:left="980" w:top="659" w:right="1019" w:bottom="1440" w:gutter="0" w:footer="0" w:header="0"/>
        </w:sect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accrued and unpaid interest to the date of redemption and (b) 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at the adjusted treasury rate, plus 50 basis points, plus accrued and unpaid interest thereon to the date of redemption.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20" w:lineRule="exact"/>
        <w:rPr>
          <w:sz w:val="20"/>
          <w:szCs w:val="20"/>
          <w:color w:val="auto"/>
        </w:rPr>
      </w:pPr>
    </w:p>
    <w:p>
      <w:pPr>
        <w:ind w:left="680" w:hanging="326"/>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153" w:lineRule="exact"/>
        <w:rPr>
          <w:rFonts w:ascii="Arial" w:cs="Arial" w:eastAsia="Arial" w:hAnsi="Arial"/>
          <w:sz w:val="18"/>
          <w:szCs w:val="18"/>
          <w:color w:val="auto"/>
        </w:rPr>
      </w:pPr>
    </w:p>
    <w:p>
      <w:pPr>
        <w:ind w:left="680" w:right="760" w:hanging="326"/>
        <w:spacing w:after="0" w:line="270"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0" w:lineRule="exact"/>
        <w:rPr>
          <w:sz w:val="20"/>
          <w:szCs w:val="20"/>
          <w:color w:val="auto"/>
        </w:rPr>
      </w:pPr>
    </w:p>
    <w:p>
      <w:pPr>
        <w:ind w:right="680" w:firstLine="320"/>
        <w:spacing w:after="0" w:line="270" w:lineRule="auto"/>
        <w:rPr>
          <w:sz w:val="20"/>
          <w:szCs w:val="20"/>
          <w:color w:val="auto"/>
        </w:rPr>
      </w:pPr>
      <w:r>
        <w:rPr>
          <w:rFonts w:ascii="Arial" w:cs="Arial" w:eastAsia="Arial" w:hAnsi="Arial"/>
          <w:sz w:val="18"/>
          <w:szCs w:val="18"/>
          <w:color w:val="auto"/>
        </w:rPr>
        <w:t>Compliance with covenants under the NOK 2024 Bonds and the 8.875% Senior Notes is required at all times and we were in compliance with the respective financial covenants as of December 31, 2021.</w:t>
      </w:r>
    </w:p>
    <w:p>
      <w:pPr>
        <w:spacing w:after="0" w:line="175" w:lineRule="exact"/>
        <w:rPr>
          <w:sz w:val="20"/>
          <w:szCs w:val="20"/>
          <w:color w:val="auto"/>
        </w:rPr>
      </w:pPr>
    </w:p>
    <w:p>
      <w:pPr>
        <w:ind w:right="240" w:firstLine="320"/>
        <w:spacing w:after="0" w:line="269" w:lineRule="auto"/>
        <w:rPr>
          <w:sz w:val="20"/>
          <w:szCs w:val="20"/>
          <w:color w:val="auto"/>
        </w:rPr>
      </w:pPr>
      <w:r>
        <w:rPr>
          <w:rFonts w:ascii="Arial" w:cs="Arial" w:eastAsia="Arial" w:hAnsi="Arial"/>
          <w:sz w:val="17"/>
          <w:szCs w:val="17"/>
          <w:color w:val="auto"/>
        </w:rPr>
        <w:t>On September 24, 2021, GasLog entered into the Note Purchase Agreement with the Purchasers and Wilmington Trust (London) Limited, as administrative agent, for an amount of up to $325.0 million of the 2029 Notes. The Company anticipates drawing down the 2029 Notes by March 2022. The proceeds of the 2029 Notes will be used to refinance the Company’s 8.875% Senior Notes. Any remaining proceeds may be used to pay transaction costs and expenses incurred in connection with the refinancing and/or general corporate purposes. The Note Purchase Agreement allows for the issuance of additional notes in an amount up to $100.0 million for the purpose of refinancing existing obligations or pursuing new growth opportunities.</w:t>
      </w:r>
    </w:p>
    <w:p>
      <w:pPr>
        <w:spacing w:after="0" w:line="180" w:lineRule="exact"/>
        <w:rPr>
          <w:sz w:val="20"/>
          <w:szCs w:val="20"/>
          <w:color w:val="auto"/>
        </w:rPr>
      </w:pPr>
    </w:p>
    <w:p>
      <w:pPr>
        <w:jc w:val="both"/>
        <w:ind w:right="60" w:firstLine="320"/>
        <w:spacing w:after="0" w:line="281" w:lineRule="auto"/>
        <w:rPr>
          <w:sz w:val="20"/>
          <w:szCs w:val="20"/>
          <w:color w:val="auto"/>
        </w:rPr>
      </w:pPr>
      <w:r>
        <w:rPr>
          <w:rFonts w:ascii="Arial" w:cs="Arial" w:eastAsia="Arial" w:hAnsi="Arial"/>
          <w:sz w:val="17"/>
          <w:szCs w:val="17"/>
          <w:color w:val="auto"/>
        </w:rPr>
        <w:t>The 2029 Notes will be issued at 99.25% of face value and bear a fixed interest rate of 7.75%. The Purchasers received an upfront fee of 0.75% on signing and shall receive a ticking fee of 1.5% from signing until drawing. Under certain conditions, the Company may elect to pay interest in kind up to three times, with the interest rate increasing to 9.75% for the applicable quarter.</w:t>
      </w:r>
    </w:p>
    <w:p>
      <w:pPr>
        <w:spacing w:after="0" w:line="167" w:lineRule="exact"/>
        <w:rPr>
          <w:sz w:val="20"/>
          <w:szCs w:val="20"/>
          <w:color w:val="auto"/>
        </w:rPr>
      </w:pPr>
    </w:p>
    <w:p>
      <w:pPr>
        <w:ind w:right="140" w:firstLine="320"/>
        <w:spacing w:after="0" w:line="289" w:lineRule="auto"/>
        <w:rPr>
          <w:sz w:val="20"/>
          <w:szCs w:val="20"/>
          <w:color w:val="auto"/>
        </w:rPr>
      </w:pPr>
      <w:r>
        <w:rPr>
          <w:rFonts w:ascii="Arial" w:cs="Arial" w:eastAsia="Arial" w:hAnsi="Arial"/>
          <w:sz w:val="16"/>
          <w:szCs w:val="16"/>
          <w:color w:val="auto"/>
        </w:rPr>
        <w:t>The 2029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2029 Notes. The Note Purchase Agreement requires that the Company comply with financial covenants that are identical to GasLog’s financial covenants as described in Note 13 of our audited consolidated financial statements included elsewhere in this annual report. Upon funding, the Purchasers will obtain a charge on the shares of GasLog Carriers Ltd (“GLC”) held by the Company and a pledge on a designated bank account of GLC.</w:t>
      </w:r>
    </w:p>
    <w:p>
      <w:pPr>
        <w:spacing w:after="0" w:line="165" w:lineRule="exact"/>
        <w:rPr>
          <w:sz w:val="20"/>
          <w:szCs w:val="20"/>
          <w:color w:val="auto"/>
        </w:rPr>
      </w:pPr>
    </w:p>
    <w:p>
      <w:pPr>
        <w:ind w:right="40" w:firstLine="320"/>
        <w:spacing w:after="0" w:line="268" w:lineRule="auto"/>
        <w:rPr>
          <w:sz w:val="20"/>
          <w:szCs w:val="20"/>
          <w:color w:val="auto"/>
        </w:rPr>
      </w:pPr>
      <w:r>
        <w:rPr>
          <w:rFonts w:ascii="Arial" w:cs="Arial" w:eastAsia="Arial" w:hAnsi="Arial"/>
          <w:sz w:val="17"/>
          <w:szCs w:val="17"/>
          <w:color w:val="auto"/>
        </w:rPr>
        <w:t>In addition, the Note Purchase Agreement includes restrictions on distributions consistent with the Company’s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 million.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0" w:lineRule="exact"/>
        <w:rPr>
          <w:sz w:val="20"/>
          <w:szCs w:val="20"/>
          <w:color w:val="auto"/>
        </w:rPr>
      </w:pPr>
    </w:p>
    <w:p>
      <w:pPr>
        <w:ind w:right="160" w:firstLine="320"/>
        <w:spacing w:after="0" w:line="270" w:lineRule="auto"/>
        <w:rPr>
          <w:sz w:val="20"/>
          <w:szCs w:val="20"/>
          <w:color w:val="auto"/>
        </w:rPr>
      </w:pPr>
      <w:r>
        <w:rPr>
          <w:rFonts w:ascii="Arial" w:cs="Arial" w:eastAsia="Arial" w:hAnsi="Arial"/>
          <w:sz w:val="18"/>
          <w:szCs w:val="18"/>
          <w:color w:val="auto"/>
        </w:rPr>
        <w:t>The Group is in discussions with its lenders in relation to the LIBOR cessation and is following the developments closely. There has been no amendment or action taken in relation to any of the facilities described above as of this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information about our exposure to market risks, see “Item 11. 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4" w:lineRule="exact"/>
        <w:rPr>
          <w:sz w:val="20"/>
          <w:szCs w:val="20"/>
          <w:color w:val="auto"/>
        </w:rPr>
      </w:pPr>
    </w:p>
    <w:p>
      <w:pPr>
        <w:ind w:right="40" w:firstLine="320"/>
        <w:spacing w:after="0" w:line="285" w:lineRule="auto"/>
        <w:rPr>
          <w:sz w:val="20"/>
          <w:szCs w:val="20"/>
          <w:color w:val="auto"/>
        </w:rPr>
      </w:pPr>
      <w:r>
        <w:rPr>
          <w:rFonts w:ascii="Arial" w:cs="Arial" w:eastAsia="Arial" w:hAnsi="Arial"/>
          <w:sz w:val="16"/>
          <w:szCs w:val="16"/>
          <w:color w:val="auto"/>
        </w:rPr>
        <w:t>We make capital expenditures from time to time in connection with the expansion, operation and maintenance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in 2016 we took delivery of four LNG carriers, in 2018 we took delivery of three LNG carriers, in 2019 we took delivery of two LNG carriers, in 2020 we took delivery of four LNG carriers and in 2021 we took delivery of three LNG carriers. During the years ended December 31, 2021, 2020, 2019, 2018 and 2017, we funded $0.3 billion, $0.7 billion, $0.5 billion, $0.7 billion and $0.1 billion, respectively, of acquisition, construction and delivery costs, including installment payments on newbuildings, with funds borrowed under credit facilities and the bonds, capital contributions from our pre-IPO shareholders, proceeds from our IPO and the GasLog Partners’ IPO, proceeds from follow-on equity offerings and private placements and proceeds from the sale of vessels to GasLog Partners.</w:t>
      </w:r>
    </w:p>
    <w:p>
      <w:pPr>
        <w:spacing w:after="0" w:line="168" w:lineRule="exact"/>
        <w:rPr>
          <w:sz w:val="20"/>
          <w:szCs w:val="20"/>
          <w:color w:val="auto"/>
        </w:rPr>
      </w:pPr>
    </w:p>
    <w:p>
      <w:pPr>
        <w:ind w:right="140" w:firstLine="320"/>
        <w:spacing w:after="0" w:line="306" w:lineRule="auto"/>
        <w:rPr>
          <w:sz w:val="20"/>
          <w:szCs w:val="20"/>
          <w:color w:val="auto"/>
        </w:rPr>
      </w:pPr>
      <w:r>
        <w:rPr>
          <w:rFonts w:ascii="Arial" w:cs="Arial" w:eastAsia="Arial" w:hAnsi="Arial"/>
          <w:sz w:val="16"/>
          <w:szCs w:val="16"/>
          <w:color w:val="auto"/>
        </w:rPr>
        <w:t>As of December 31, 2021, our commitments for capital expenditures related primarily to four contracted LNG carriers on order were approximately $820.7 million. Amounts are payable under each shipbuilding contract in installments upon the attainment of certain specified milestones in each ship’s construction, with the largest portion of the purchase price for each ship coming due upon its delivery.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fund these commitments with new credit facilities, available cash and cash from operations.</w:t>
      </w:r>
    </w:p>
    <w:p>
      <w:pPr>
        <w:spacing w:after="0" w:line="220"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To the extent that we are unable to fund the amounts committed from our cash available,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From time to time we incur expenditures relating to inspections for acquiring new vessels. Such expenditures are insignificant and are expensed as they are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Critical Accounting Estimates</w:t>
      </w:r>
    </w:p>
    <w:p>
      <w:pPr>
        <w:spacing w:after="0" w:line="224" w:lineRule="exact"/>
        <w:rPr>
          <w:sz w:val="20"/>
          <w:szCs w:val="20"/>
          <w:color w:val="auto"/>
        </w:rPr>
      </w:pPr>
    </w:p>
    <w:p>
      <w:pPr>
        <w:ind w:right="80" w:firstLine="320"/>
        <w:spacing w:after="0" w:line="250" w:lineRule="auto"/>
        <w:rPr>
          <w:sz w:val="20"/>
          <w:szCs w:val="20"/>
          <w:color w:val="auto"/>
        </w:rPr>
      </w:pPr>
      <w:r>
        <w:rPr>
          <w:rFonts w:ascii="Arial" w:cs="Arial" w:eastAsia="Arial" w:hAnsi="Arial"/>
          <w:sz w:val="18"/>
          <w:szCs w:val="18"/>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our critical accounting judgments and key sources of estimation uncertainty in applying our accounting policies, see Note 2 to our consolidated financial statements included elsewhere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 and Vessels under Construction</w:t>
      </w:r>
    </w:p>
    <w:p>
      <w:pPr>
        <w:spacing w:after="0" w:line="220" w:lineRule="exact"/>
        <w:rPr>
          <w:sz w:val="20"/>
          <w:szCs w:val="20"/>
          <w:color w:val="auto"/>
        </w:rPr>
      </w:pPr>
    </w:p>
    <w:p>
      <w:pPr>
        <w:ind w:right="100" w:firstLine="320"/>
        <w:spacing w:after="0" w:line="281" w:lineRule="auto"/>
        <w:rPr>
          <w:sz w:val="20"/>
          <w:szCs w:val="20"/>
          <w:color w:val="auto"/>
        </w:rPr>
      </w:pPr>
      <w:r>
        <w:rPr>
          <w:rFonts w:ascii="Arial" w:cs="Arial" w:eastAsia="Arial" w:hAnsi="Arial"/>
          <w:sz w:val="17"/>
          <w:szCs w:val="17"/>
          <w:color w:val="auto"/>
        </w:rPr>
        <w:t>We evaluate the carrying amounts of our vessels and vessels under construction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and Bareboat Fleet</w:t>
      </w:r>
    </w:p>
    <w:p>
      <w:pPr>
        <w:spacing w:after="0" w:line="220" w:lineRule="exact"/>
        <w:rPr>
          <w:sz w:val="20"/>
          <w:szCs w:val="20"/>
          <w:color w:val="auto"/>
        </w:rPr>
      </w:pPr>
    </w:p>
    <w:p>
      <w:pPr>
        <w:ind w:right="200" w:firstLine="320"/>
        <w:spacing w:after="0" w:line="300" w:lineRule="auto"/>
        <w:rPr>
          <w:sz w:val="20"/>
          <w:szCs w:val="20"/>
          <w:color w:val="auto"/>
        </w:rPr>
      </w:pPr>
      <w:r>
        <w:rPr>
          <w:rFonts w:ascii="Arial" w:cs="Arial" w:eastAsia="Arial" w:hAnsi="Arial"/>
          <w:sz w:val="17"/>
          <w:szCs w:val="17"/>
          <w:color w:val="auto"/>
        </w:rPr>
        <w:t>Recoverable amount is the higher of fair value less costs to sell and value in use. Our estimates of recoverable value assume that the vessels are all in seaworthy condition without need for repair and certified in class without notations of any kind.</w:t>
      </w:r>
    </w:p>
    <w:p>
      <w:pPr>
        <w:spacing w:after="0" w:line="152"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In assessing the fair value less cost to sell of the vessel, the Group obtains charter-free market values for its vessels from independent and internationally recognized ship brokers on a semi-annual basis, which are also commonly used and accepted by the Group’s lenders for determining compliance with the relevant covenants in the Group’s credit facilities. Vessel values can be highly volatile, so the charter-free market values may not be indicative of the future market value of the Group’s vessels, or prices that could be achieved if it were to sell them.</w:t>
      </w:r>
    </w:p>
    <w:p>
      <w:pPr>
        <w:spacing w:after="0" w:line="190" w:lineRule="exact"/>
        <w:rPr>
          <w:sz w:val="20"/>
          <w:szCs w:val="20"/>
          <w:color w:val="auto"/>
        </w:rPr>
      </w:pPr>
    </w:p>
    <w:p>
      <w:pPr>
        <w:ind w:firstLine="320"/>
        <w:spacing w:after="0" w:line="251" w:lineRule="auto"/>
        <w:rPr>
          <w:sz w:val="20"/>
          <w:szCs w:val="20"/>
          <w:color w:val="auto"/>
        </w:rPr>
      </w:pPr>
      <w:r>
        <w:rPr>
          <w:rFonts w:ascii="Arial" w:cs="Arial" w:eastAsia="Arial" w:hAnsi="Arial"/>
          <w:sz w:val="18"/>
          <w:szCs w:val="18"/>
          <w:color w:val="auto"/>
        </w:rPr>
        <w:t>As of December 31, 2021, a number of negative indicators such as differences between the charter-free market values of the Group’s Steam vessels, as estimated by ship brokers, and their respective carrying amounts, combined with reduced expectations of the rates at which the Group could expect to secure term employment for the remaining economic lives of the Steam vessels and significant uncertainties regarding future demand for such vessels in light of the continued addition of modern, larger and more fuel efficient LNG carriers to the global fleet, influenced management’s strategic decisions and prompted the Group to conclude that events and circumstances triggered the existence of potential impairment of Steam vessels, with no impairment indicators identified with respect to the owned and bareboat TFDE and X-DF fleet.</w:t>
      </w:r>
    </w:p>
    <w:p>
      <w:pPr>
        <w:spacing w:after="0" w:line="193" w:lineRule="exact"/>
        <w:rPr>
          <w:sz w:val="20"/>
          <w:szCs w:val="20"/>
          <w:color w:val="auto"/>
        </w:rPr>
      </w:pPr>
    </w:p>
    <w:p>
      <w:pPr>
        <w:ind w:firstLine="320"/>
        <w:spacing w:after="0" w:line="282" w:lineRule="auto"/>
        <w:rPr>
          <w:sz w:val="20"/>
          <w:szCs w:val="20"/>
          <w:color w:val="auto"/>
        </w:rPr>
      </w:pPr>
      <w:r>
        <w:rPr>
          <w:rFonts w:ascii="Arial" w:cs="Arial" w:eastAsia="Arial" w:hAnsi="Arial"/>
          <w:sz w:val="16"/>
          <w:szCs w:val="16"/>
          <w:color w:val="auto"/>
        </w:rPr>
        <w:t>The Group performed an impairment assessment for the Steam vessels by comparing each vessel’s value in use applying the “expected cash flow” approach, i.e. using all expectations about possible cash flows instead of the single most likely cash flow (“traditional approach”). The expected cash flow approach was considered more appropriate in light of the increasing uncertainty pertaining to the business outlook for our Steam vessels. As of December 31, 2021, the Group’s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Group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73" w:lineRule="exact"/>
        <w:rPr>
          <w:sz w:val="20"/>
          <w:szCs w:val="20"/>
          <w:color w:val="auto"/>
        </w:rPr>
      </w:pPr>
    </w:p>
    <w:p>
      <w:pPr>
        <w:ind w:firstLine="320"/>
        <w:spacing w:after="0" w:line="267" w:lineRule="auto"/>
        <w:rPr>
          <w:sz w:val="20"/>
          <w:szCs w:val="20"/>
          <w:color w:val="auto"/>
        </w:rPr>
      </w:pPr>
      <w:r>
        <w:rPr>
          <w:rFonts w:ascii="Arial" w:cs="Arial" w:eastAsia="Arial" w:hAnsi="Arial"/>
          <w:sz w:val="17"/>
          <w:szCs w:val="17"/>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2021,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82" w:lineRule="exact"/>
        <w:rPr>
          <w:sz w:val="20"/>
          <w:szCs w:val="20"/>
          <w:color w:val="auto"/>
        </w:rPr>
      </w:pPr>
    </w:p>
    <w:p>
      <w:pPr>
        <w:ind w:right="120" w:firstLine="320"/>
        <w:spacing w:after="0" w:line="296" w:lineRule="auto"/>
        <w:rPr>
          <w:sz w:val="20"/>
          <w:szCs w:val="20"/>
          <w:color w:val="auto"/>
        </w:rPr>
      </w:pPr>
      <w:r>
        <w:rPr>
          <w:rFonts w:ascii="Arial" w:cs="Arial" w:eastAsia="Arial" w:hAnsi="Arial"/>
          <w:sz w:val="16"/>
          <w:szCs w:val="16"/>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60" w:lineRule="exact"/>
        <w:rPr>
          <w:sz w:val="20"/>
          <w:szCs w:val="20"/>
          <w:color w:val="auto"/>
        </w:rPr>
      </w:pPr>
    </w:p>
    <w:p>
      <w:pPr>
        <w:ind w:right="580" w:firstLine="320"/>
        <w:spacing w:after="0" w:line="274" w:lineRule="auto"/>
        <w:rPr>
          <w:sz w:val="20"/>
          <w:szCs w:val="20"/>
          <w:color w:val="auto"/>
        </w:rPr>
      </w:pPr>
      <w:r>
        <w:rPr>
          <w:rFonts w:ascii="Arial" w:cs="Arial" w:eastAsia="Arial" w:hAnsi="Arial"/>
          <w:sz w:val="17"/>
          <w:szCs w:val="17"/>
          <w:color w:val="auto"/>
        </w:rPr>
        <w:t>We used an annual operating expenses escalation factor equal to 1% based on its historical data and experience, as well as expectations of future inflation on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20" w:firstLine="320"/>
        <w:spacing w:after="0" w:line="255" w:lineRule="auto"/>
        <w:rPr>
          <w:sz w:val="20"/>
          <w:szCs w:val="20"/>
          <w:color w:val="auto"/>
        </w:rPr>
      </w:pPr>
      <w:r>
        <w:rPr>
          <w:rFonts w:ascii="Arial" w:cs="Arial" w:eastAsia="Arial" w:hAnsi="Arial"/>
          <w:sz w:val="18"/>
          <w:szCs w:val="18"/>
          <w:color w:val="auto"/>
        </w:rPr>
        <w:t>In our impairment assessment as of December 31, 2021, the rate used to discount future estimated cash flows to their present values was 7.5% (6.4% as of December 31, 2020). This was used were based on an estimated weighted average cost of capital calculated using cost of equity and cost of debt components, adjusted also for vessel-specific risks and uncertainties, as applicable to each probable outcome.</w:t>
      </w:r>
    </w:p>
    <w:p>
      <w:pPr>
        <w:spacing w:after="0" w:line="188" w:lineRule="exact"/>
        <w:rPr>
          <w:sz w:val="20"/>
          <w:szCs w:val="20"/>
          <w:color w:val="auto"/>
        </w:rPr>
      </w:pPr>
    </w:p>
    <w:p>
      <w:pPr>
        <w:ind w:right="100" w:firstLine="320"/>
        <w:spacing w:after="0" w:line="274" w:lineRule="auto"/>
        <w:rPr>
          <w:sz w:val="20"/>
          <w:szCs w:val="20"/>
          <w:color w:val="auto"/>
        </w:rPr>
      </w:pPr>
      <w:r>
        <w:rPr>
          <w:rFonts w:ascii="Arial" w:cs="Arial" w:eastAsia="Arial" w:hAnsi="Arial"/>
          <w:sz w:val="17"/>
          <w:szCs w:val="17"/>
          <w:color w:val="auto"/>
        </w:rPr>
        <w:t xml:space="preserve">The table below sets forth in U.S. dollars (i) the historical acquisition cost of our vessels and (ii) the carrying value of each of our vessels as of December 31, 2020 and December 31, 2021, after giving effect to an aggregate impairment charge of $28.6 million recorded against our five Steam vessels for the year ended December 31, 2020 and an impairment charge of $142.7 million recorded against the </w:t>
      </w:r>
      <w:r>
        <w:rPr>
          <w:rFonts w:ascii="Arial" w:cs="Arial" w:eastAsia="Arial" w:hAnsi="Arial"/>
          <w:sz w:val="17"/>
          <w:szCs w:val="17"/>
          <w:i w:val="1"/>
          <w:iCs w:val="1"/>
          <w:color w:val="auto"/>
        </w:rPr>
        <w:t xml:space="preserve">GasLog Salem </w:t>
      </w:r>
      <w:r>
        <w:rPr>
          <w:rFonts w:ascii="Arial" w:cs="Arial" w:eastAsia="Arial" w:hAnsi="Arial"/>
          <w:sz w:val="17"/>
          <w:szCs w:val="17"/>
          <w:color w:val="auto"/>
        </w:rPr>
        <w:t>and our six Steam vessels for the year ended December 31, 2021.</w:t>
      </w:r>
    </w:p>
    <w:p>
      <w:pPr>
        <w:spacing w:after="0" w:line="10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Carrying values</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Cargo capacity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9"/>
              </w:rPr>
              <w:t>Acquisition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52"/>
              <w:spacing w:after="0" w:line="153" w:lineRule="exact"/>
              <w:rPr>
                <w:sz w:val="20"/>
                <w:szCs w:val="20"/>
                <w:color w:val="auto"/>
              </w:rPr>
            </w:pPr>
            <w:r>
              <w:rPr>
                <w:rFonts w:ascii="Arial" w:cs="Arial" w:eastAsia="Arial" w:hAnsi="Arial"/>
                <w:sz w:val="14"/>
                <w:szCs w:val="14"/>
                <w:b w:val="1"/>
                <w:bCs w:val="1"/>
                <w:color w:val="auto"/>
                <w:w w:val="90"/>
              </w:rPr>
              <w:t>(in thousands of U.S. dollars)</w:t>
            </w:r>
          </w:p>
        </w:tc>
        <w:tc>
          <w:tcPr>
            <w:tcW w:w="0" w:type="dxa"/>
            <w:vAlign w:val="bottom"/>
          </w:tcPr>
          <w:p>
            <w:pPr>
              <w:spacing w:after="0"/>
              <w:rPr>
                <w:sz w:val="1"/>
                <w:szCs w:val="1"/>
                <w:color w:val="auto"/>
              </w:rPr>
            </w:pPr>
          </w:p>
        </w:tc>
      </w:tr>
      <w:tr>
        <w:trPr>
          <w:trHeight w:val="117"/>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w:t>
            </w:r>
          </w:p>
        </w:tc>
        <w:tc>
          <w:tcPr>
            <w:tcW w:w="160" w:type="dxa"/>
            <w:vAlign w:val="bottom"/>
          </w:tcPr>
          <w:p>
            <w:pPr>
              <w:spacing w:after="0"/>
              <w:rPr>
                <w:sz w:val="10"/>
                <w:szCs w:val="10"/>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Built Date</w:t>
            </w: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69"/>
        </w:trPr>
        <w:tc>
          <w:tcPr>
            <w:tcW w:w="4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(cbm)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tcBorders>
              <w:top w:val="single" w:sz="8" w:color="auto"/>
            </w:tcBorders>
            <w:gridSpan w:val="2"/>
            <w:shd w:val="clear" w:color="auto" w:fill="CCEEFF"/>
          </w:tcPr>
          <w:p>
            <w:pPr>
              <w:spacing w:after="0" w:line="207" w:lineRule="exact"/>
              <w:rPr>
                <w:sz w:val="20"/>
                <w:szCs w:val="20"/>
                <w:color w:val="auto"/>
              </w:rPr>
            </w:pPr>
            <w:r>
              <w:rPr>
                <w:rFonts w:ascii="Arial" w:cs="Arial" w:eastAsia="Arial" w:hAnsi="Arial"/>
                <w:sz w:val="16"/>
                <w:szCs w:val="16"/>
                <w:i w:val="1"/>
                <w:iCs w:val="1"/>
                <w:color w:val="auto"/>
              </w:rPr>
              <w:t>GasLog Savannah</w:t>
            </w:r>
            <w:r>
              <w:rPr>
                <w:rFonts w:ascii="Arial" w:cs="Arial" w:eastAsia="Arial" w:hAnsi="Arial"/>
                <w:sz w:val="23"/>
                <w:szCs w:val="23"/>
                <w:color w:val="auto"/>
                <w:vertAlign w:val="superscript"/>
              </w:rPr>
              <w:t>(3)</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2010</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229,795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169,017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Singapore</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July 2010</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164,906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175,102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Shanghai</w:t>
            </w:r>
            <w:r>
              <w:rPr>
                <w:rFonts w:ascii="Arial" w:cs="Arial" w:eastAsia="Arial" w:hAnsi="Arial"/>
                <w:sz w:val="24"/>
                <w:szCs w:val="24"/>
                <w:color w:val="auto"/>
                <w:vertAlign w:val="superscript"/>
              </w:rPr>
              <w:t>(2)</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January 2013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Santiago</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March 2013</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153,489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Sydney</w:t>
            </w:r>
            <w:r>
              <w:rPr>
                <w:rFonts w:ascii="Arial" w:cs="Arial" w:eastAsia="Arial" w:hAnsi="Arial"/>
                <w:sz w:val="24"/>
                <w:szCs w:val="24"/>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May 2013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Skagen</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July 2013</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167,358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161,490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Chelsea</w:t>
            </w:r>
            <w:r>
              <w:rPr>
                <w:rFonts w:ascii="Arial" w:cs="Arial" w:eastAsia="Arial" w:hAnsi="Arial"/>
                <w:sz w:val="24"/>
                <w:szCs w:val="24"/>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June 2010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Seattle</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December 2013</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164,085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Methane Rita Andrea</w:t>
            </w:r>
            <w:r>
              <w:rPr>
                <w:rFonts w:ascii="Arial" w:cs="Arial" w:eastAsia="Arial" w:hAnsi="Arial"/>
                <w:sz w:val="24"/>
                <w:szCs w:val="24"/>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April 2006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Methane Jane Elizabeth</w:t>
            </w:r>
            <w:r>
              <w:rPr>
                <w:rFonts w:ascii="Arial" w:cs="Arial" w:eastAsia="Arial" w:hAnsi="Arial"/>
                <w:sz w:val="24"/>
                <w:szCs w:val="24"/>
                <w:color w:val="auto"/>
                <w:vertAlign w:val="superscript"/>
              </w:rPr>
              <w:t>(4)</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June 2006</w:t>
            </w: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97,362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Methane Lydon Volney</w:t>
            </w:r>
            <w:r>
              <w:rPr>
                <w:rFonts w:ascii="Arial" w:cs="Arial" w:eastAsia="Arial" w:hAnsi="Arial"/>
                <w:sz w:val="24"/>
                <w:szCs w:val="24"/>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August 2006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Methane Alison Victoria</w:t>
            </w:r>
            <w:r>
              <w:rPr>
                <w:rFonts w:ascii="Arial" w:cs="Arial" w:eastAsia="Arial" w:hAnsi="Arial"/>
                <w:sz w:val="24"/>
                <w:szCs w:val="24"/>
                <w:color w:val="auto"/>
                <w:vertAlign w:val="superscript"/>
              </w:rPr>
              <w:t>(4)</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May 2007</w:t>
            </w: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96,385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Methane Shirley Elisabeth</w:t>
            </w:r>
            <w:r>
              <w:rPr>
                <w:rFonts w:ascii="Arial" w:cs="Arial" w:eastAsia="Arial" w:hAnsi="Arial"/>
                <w:sz w:val="24"/>
                <w:szCs w:val="24"/>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March 2007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Methane Heather Sally</w:t>
            </w:r>
            <w:r>
              <w:rPr>
                <w:rFonts w:ascii="Arial" w:cs="Arial" w:eastAsia="Arial" w:hAnsi="Arial"/>
                <w:sz w:val="24"/>
                <w:szCs w:val="24"/>
                <w:color w:val="auto"/>
                <w:vertAlign w:val="superscript"/>
              </w:rPr>
              <w:t>(4)</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June 2007</w:t>
            </w: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103,274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Solaris</w:t>
            </w:r>
            <w:r>
              <w:rPr>
                <w:rFonts w:ascii="Arial" w:cs="Arial" w:eastAsia="Arial" w:hAnsi="Arial"/>
                <w:sz w:val="24"/>
                <w:szCs w:val="24"/>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June 2014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Saratoga</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December 2014</w:t>
            </w:r>
          </w:p>
        </w:tc>
        <w:tc>
          <w:tcPr>
            <w:tcW w:w="100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167,836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Methane Julia Louise</w:t>
            </w:r>
            <w:r>
              <w:rPr>
                <w:rFonts w:ascii="Arial" w:cs="Arial" w:eastAsia="Arial" w:hAnsi="Arial"/>
                <w:sz w:val="24"/>
                <w:szCs w:val="24"/>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April 2010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Methane Becki Anne</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99"/>
              </w:rPr>
              <w:t>September 2010</w:t>
            </w:r>
          </w:p>
        </w:tc>
        <w:tc>
          <w:tcPr>
            <w:tcW w:w="1000" w:type="dxa"/>
            <w:vAlign w:val="bottom"/>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197,834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Salem</w:t>
            </w:r>
            <w:r>
              <w:rPr>
                <w:rFonts w:ascii="Arial" w:cs="Arial" w:eastAsia="Arial" w:hAnsi="Arial"/>
                <w:sz w:val="24"/>
                <w:szCs w:val="24"/>
                <w:color w:val="auto"/>
                <w:vertAlign w:val="superscript"/>
              </w:rPr>
              <w:t>(2)</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April 2015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Greece</w:t>
            </w:r>
            <w:r>
              <w:rPr>
                <w:rFonts w:ascii="Arial" w:cs="Arial" w:eastAsia="Arial" w:hAnsi="Arial"/>
                <w:sz w:val="24"/>
                <w:szCs w:val="24"/>
                <w:color w:val="auto"/>
                <w:vertAlign w:val="superscript"/>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March 2016</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180,688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176,793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Glasgow</w:t>
            </w:r>
            <w:r>
              <w:rPr>
                <w:rFonts w:ascii="Arial" w:cs="Arial" w:eastAsia="Arial" w:hAnsi="Arial"/>
                <w:sz w:val="24"/>
                <w:szCs w:val="24"/>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June 2016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Geneva</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99"/>
              </w:rPr>
              <w:t>September 2016</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178,615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Gibraltar</w:t>
            </w:r>
            <w:r>
              <w:rPr>
                <w:rFonts w:ascii="Arial" w:cs="Arial" w:eastAsia="Arial" w:hAnsi="Arial"/>
                <w:sz w:val="24"/>
                <w:szCs w:val="24"/>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October 2016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Houston</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January 2018</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190,253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184,306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Genoa</w:t>
            </w:r>
            <w:r>
              <w:rPr>
                <w:rFonts w:ascii="Arial" w:cs="Arial" w:eastAsia="Arial" w:hAnsi="Arial"/>
                <w:sz w:val="24"/>
                <w:szCs w:val="24"/>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March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Hong Kong</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March 2018</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214,946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197,948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191,798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Gladstone</w:t>
            </w:r>
            <w:r>
              <w:rPr>
                <w:rFonts w:ascii="Arial" w:cs="Arial" w:eastAsia="Arial" w:hAnsi="Arial"/>
                <w:sz w:val="24"/>
                <w:szCs w:val="24"/>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March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Warsaw</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July 2019</w:t>
            </w:r>
          </w:p>
        </w:tc>
        <w:tc>
          <w:tcPr>
            <w:tcW w:w="1000" w:type="dxa"/>
            <w:vAlign w:val="bottom"/>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181,536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Windsor</w:t>
            </w:r>
            <w:r>
              <w:rPr>
                <w:rFonts w:ascii="Arial" w:cs="Arial" w:eastAsia="Arial" w:hAnsi="Arial"/>
                <w:sz w:val="24"/>
                <w:szCs w:val="24"/>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April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Wales</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May 2020</w:t>
            </w:r>
          </w:p>
        </w:tc>
        <w:tc>
          <w:tcPr>
            <w:tcW w:w="1000" w:type="dxa"/>
            <w:vAlign w:val="bottom"/>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182,359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Westminster</w:t>
            </w:r>
            <w:r>
              <w:rPr>
                <w:rFonts w:ascii="Arial" w:cs="Arial" w:eastAsia="Arial" w:hAnsi="Arial"/>
                <w:sz w:val="24"/>
                <w:szCs w:val="24"/>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July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Georgetown</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November 2020</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184,165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178,866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Galveston</w:t>
            </w:r>
            <w:r>
              <w:rPr>
                <w:rFonts w:ascii="Arial" w:cs="Arial" w:eastAsia="Arial" w:hAnsi="Arial"/>
                <w:sz w:val="24"/>
                <w:szCs w:val="24"/>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January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spacing w:after="0" w:line="213" w:lineRule="exact"/>
              <w:rPr>
                <w:sz w:val="20"/>
                <w:szCs w:val="20"/>
                <w:color w:val="auto"/>
              </w:rPr>
            </w:pPr>
            <w:r>
              <w:rPr>
                <w:rFonts w:ascii="Arial" w:cs="Arial" w:eastAsia="Arial" w:hAnsi="Arial"/>
                <w:sz w:val="17"/>
                <w:szCs w:val="17"/>
                <w:i w:val="1"/>
                <w:iCs w:val="1"/>
                <w:color w:val="auto"/>
              </w:rPr>
              <w:t>GasLog Wellington</w:t>
            </w:r>
            <w:r>
              <w:rPr>
                <w:rFonts w:ascii="Arial" w:cs="Arial" w:eastAsia="Arial" w:hAnsi="Arial"/>
                <w:sz w:val="24"/>
                <w:szCs w:val="24"/>
                <w:color w:val="auto"/>
                <w:vertAlign w:val="superscript"/>
              </w:rPr>
              <w:t>(5)</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rPr>
              <w:t>June 2021</w:t>
            </w:r>
          </w:p>
        </w:tc>
        <w:tc>
          <w:tcPr>
            <w:tcW w:w="1000" w:type="dxa"/>
            <w:vAlign w:val="bottom"/>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191,558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188,485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i w:val="1"/>
                <w:iCs w:val="1"/>
                <w:color w:val="auto"/>
              </w:rPr>
              <w:t>GasLog Winchester</w:t>
            </w:r>
            <w:r>
              <w:rPr>
                <w:rFonts w:ascii="Arial" w:cs="Arial" w:eastAsia="Arial" w:hAnsi="Arial"/>
                <w:sz w:val="24"/>
                <w:szCs w:val="24"/>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August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189,789</w:t>
            </w:r>
          </w:p>
        </w:tc>
        <w:tc>
          <w:tcPr>
            <w:tcW w:w="0" w:type="dxa"/>
            <w:vAlign w:val="bottom"/>
          </w:tcPr>
          <w:p>
            <w:pPr>
              <w:spacing w:after="0"/>
              <w:rPr>
                <w:sz w:val="1"/>
                <w:szCs w:val="1"/>
                <w:color w:val="auto"/>
              </w:rPr>
            </w:pPr>
          </w:p>
        </w:tc>
      </w:tr>
      <w:tr>
        <w:trPr>
          <w:trHeight w:val="207"/>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6,808,552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5,198,842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5,328,838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jc w:val="both"/>
        <w:ind w:left="320" w:right="100" w:hanging="313"/>
        <w:spacing w:after="0" w:line="235" w:lineRule="auto"/>
        <w:tabs>
          <w:tab w:leader="none" w:pos="320" w:val="left"/>
        </w:tabs>
        <w:numPr>
          <w:ilvl w:val="0"/>
          <w:numId w:val="65"/>
        </w:numPr>
        <w:rPr>
          <w:rFonts w:ascii="Arial" w:cs="Arial" w:eastAsia="Arial" w:hAnsi="Arial"/>
          <w:sz w:val="11"/>
          <w:szCs w:val="11"/>
          <w:color w:val="auto"/>
        </w:rPr>
      </w:pPr>
      <w:r>
        <w:rPr>
          <w:rFonts w:ascii="Arial" w:cs="Arial" w:eastAsia="Arial" w:hAnsi="Arial"/>
          <w:sz w:val="14"/>
          <w:szCs w:val="14"/>
          <w:color w:val="auto"/>
        </w:rPr>
        <w:t>Our owned and bareboat vessels are stated at carrying values (see Note 6 and Note 7 to our consolidated financial statements included elsewhere in this annual report). An aggregate impairment loss of $28.6 million was recorded for the year ended December 31, 2020. An aggregate impairment loss of $142.7 million was recorded for the year ended December 31,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320" w:right="40" w:hanging="313"/>
        <w:spacing w:after="0" w:line="231" w:lineRule="auto"/>
        <w:tabs>
          <w:tab w:leader="none" w:pos="320" w:val="left"/>
        </w:tabs>
        <w:numPr>
          <w:ilvl w:val="0"/>
          <w:numId w:val="66"/>
        </w:numPr>
        <w:rPr>
          <w:rFonts w:ascii="Arial" w:cs="Arial" w:eastAsia="Arial" w:hAnsi="Arial"/>
          <w:sz w:val="11"/>
          <w:szCs w:val="11"/>
          <w:color w:val="auto"/>
        </w:rPr>
      </w:pPr>
      <w:r>
        <w:rPr>
          <w:rFonts w:ascii="Arial" w:cs="Arial" w:eastAsia="Arial" w:hAnsi="Arial"/>
          <w:sz w:val="14"/>
          <w:szCs w:val="14"/>
          <w:color w:val="auto"/>
        </w:rPr>
        <w:t xml:space="preserve">Indicates vessels which were remeasured at the lower of their carrying amounts and fair values less costs to sell as of September 30, 2021, following the sale and lease back agreements with a wholly-owned subsidiary of CDBL, resulting in the recognition of an impairment loss of $16.9 million with respect to the </w:t>
      </w:r>
      <w:r>
        <w:rPr>
          <w:rFonts w:ascii="Arial" w:cs="Arial" w:eastAsia="Arial" w:hAnsi="Arial"/>
          <w:sz w:val="14"/>
          <w:szCs w:val="14"/>
          <w:i w:val="1"/>
          <w:iCs w:val="1"/>
          <w:color w:val="auto"/>
        </w:rPr>
        <w:t>GasLog Salem</w:t>
      </w:r>
      <w:r>
        <w:rPr>
          <w:rFonts w:ascii="Arial" w:cs="Arial" w:eastAsia="Arial" w:hAnsi="Arial"/>
          <w:sz w:val="14"/>
          <w:szCs w:val="14"/>
          <w:color w:val="auto"/>
        </w:rPr>
        <w:t>. On October 26, 2021, these two vessels were recognized as right-of use assets at an amount equal to the proportion of their previous carrying amount that reflects the right-of-use retained. No impairment indicators were identified with respect to such assets as of December 31, 2021.</w:t>
      </w:r>
    </w:p>
    <w:p>
      <w:pPr>
        <w:spacing w:after="0" w:line="180" w:lineRule="exact"/>
        <w:rPr>
          <w:rFonts w:ascii="Arial" w:cs="Arial" w:eastAsia="Arial" w:hAnsi="Arial"/>
          <w:sz w:val="11"/>
          <w:szCs w:val="11"/>
          <w:color w:val="auto"/>
        </w:rPr>
      </w:pPr>
    </w:p>
    <w:p>
      <w:pPr>
        <w:ind w:left="320" w:right="320" w:hanging="313"/>
        <w:spacing w:after="0" w:line="235" w:lineRule="auto"/>
        <w:tabs>
          <w:tab w:leader="none" w:pos="320" w:val="left"/>
        </w:tabs>
        <w:numPr>
          <w:ilvl w:val="0"/>
          <w:numId w:val="66"/>
        </w:numPr>
        <w:rPr>
          <w:rFonts w:ascii="Arial" w:cs="Arial" w:eastAsia="Arial" w:hAnsi="Arial"/>
          <w:sz w:val="11"/>
          <w:szCs w:val="11"/>
          <w:color w:val="auto"/>
        </w:rPr>
      </w:pPr>
      <w:r>
        <w:rPr>
          <w:rFonts w:ascii="Arial" w:cs="Arial" w:eastAsia="Arial" w:hAnsi="Arial"/>
          <w:sz w:val="14"/>
          <w:szCs w:val="14"/>
          <w:color w:val="auto"/>
        </w:rPr>
        <w:t>Indicates our TFDE and X-DF vessels for which, as of December 31, 2021, the basic charter-free market value is lower than the vessel’s carrying value but no impairment indicators were identified for these vessels as described above. The aggregate carrying value of these vessels exceeds their aggregate basic charter-free market value by $192.0 million as of December 31, 2021.</w:t>
      </w:r>
    </w:p>
    <w:p>
      <w:pPr>
        <w:spacing w:after="0" w:line="180" w:lineRule="exact"/>
        <w:rPr>
          <w:rFonts w:ascii="Arial" w:cs="Arial" w:eastAsia="Arial" w:hAnsi="Arial"/>
          <w:sz w:val="11"/>
          <w:szCs w:val="11"/>
          <w:color w:val="auto"/>
        </w:rPr>
      </w:pPr>
    </w:p>
    <w:p>
      <w:pPr>
        <w:ind w:left="320" w:hanging="313"/>
        <w:spacing w:after="0" w:line="235" w:lineRule="auto"/>
        <w:tabs>
          <w:tab w:leader="none" w:pos="320" w:val="left"/>
        </w:tabs>
        <w:numPr>
          <w:ilvl w:val="0"/>
          <w:numId w:val="66"/>
        </w:numPr>
        <w:rPr>
          <w:rFonts w:ascii="Arial" w:cs="Arial" w:eastAsia="Arial" w:hAnsi="Arial"/>
          <w:sz w:val="11"/>
          <w:szCs w:val="11"/>
          <w:color w:val="auto"/>
        </w:rPr>
      </w:pPr>
      <w:r>
        <w:rPr>
          <w:rFonts w:ascii="Arial" w:cs="Arial" w:eastAsia="Arial" w:hAnsi="Arial"/>
          <w:sz w:val="14"/>
          <w:szCs w:val="14"/>
          <w:color w:val="auto"/>
        </w:rPr>
        <w:t>Indicates our Steam vessels for which, as of December 31, 2021, the basic charter-free market value is lower than the vessel’s carrying value and impairment indicators were identified for these vessels as described above. After the recognition of an impairment loss of $125.8 million, the aggregate carrying value of these vessels exceeds their aggregate basic charter-free market value by $50.2 million as of December 31, 2021.</w:t>
      </w:r>
    </w:p>
    <w:p>
      <w:pPr>
        <w:spacing w:after="0" w:line="180" w:lineRule="exact"/>
        <w:rPr>
          <w:rFonts w:ascii="Arial" w:cs="Arial" w:eastAsia="Arial" w:hAnsi="Arial"/>
          <w:sz w:val="11"/>
          <w:szCs w:val="11"/>
          <w:color w:val="auto"/>
        </w:rPr>
      </w:pPr>
    </w:p>
    <w:p>
      <w:pPr>
        <w:ind w:left="320" w:hanging="313"/>
        <w:spacing w:after="0"/>
        <w:tabs>
          <w:tab w:leader="none" w:pos="320" w:val="left"/>
        </w:tabs>
        <w:numPr>
          <w:ilvl w:val="0"/>
          <w:numId w:val="66"/>
        </w:numPr>
        <w:rPr>
          <w:rFonts w:ascii="Arial" w:cs="Arial" w:eastAsia="Arial" w:hAnsi="Arial"/>
          <w:sz w:val="11"/>
          <w:szCs w:val="11"/>
          <w:color w:val="auto"/>
        </w:rPr>
      </w:pPr>
      <w:r>
        <w:rPr>
          <w:rFonts w:ascii="Arial" w:cs="Arial" w:eastAsia="Arial" w:hAnsi="Arial"/>
          <w:sz w:val="14"/>
          <w:szCs w:val="14"/>
          <w:color w:val="auto"/>
        </w:rPr>
        <w:t>Indicates vessels for which, as of December 31, 2021, the basic charter-free market value is higher than the vessel’s carrying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 under Construction</w:t>
      </w:r>
    </w:p>
    <w:p>
      <w:pPr>
        <w:spacing w:after="0" w:line="220" w:lineRule="exact"/>
        <w:rPr>
          <w:sz w:val="20"/>
          <w:szCs w:val="20"/>
          <w:color w:val="auto"/>
        </w:rPr>
      </w:pPr>
    </w:p>
    <w:p>
      <w:pPr>
        <w:ind w:right="60" w:firstLine="320"/>
        <w:spacing w:after="0" w:line="287" w:lineRule="auto"/>
        <w:rPr>
          <w:sz w:val="20"/>
          <w:szCs w:val="20"/>
          <w:color w:val="auto"/>
        </w:rPr>
      </w:pPr>
      <w:r>
        <w:rPr>
          <w:rFonts w:ascii="Arial" w:cs="Arial" w:eastAsia="Arial" w:hAnsi="Arial"/>
          <w:sz w:val="16"/>
          <w:szCs w:val="16"/>
          <w:color w:val="auto"/>
        </w:rPr>
        <w:t>Pursuant to the last newbuilding delivery in August 2021, the amounts recognized under “Vessels under construction” mainly comprised construction costs for the purpose of converting one of its owned vessels into an FSRU, including costs of engineering studies and acquired long lead items that enabled the Group to participate in tenders for various FSRU projects. Towards the end of 2021, GasLog was selected to provide a vessel to be acquired by Gastrade after its conversion to an FSRU. As of December 31, 2021, the Group performed an impairment assessment of the historical costs by estimating their recoverable amount. As a result, an impairment loss of $11.0 million was recognized for the Group’s FSRU conversion costs recognized under “Vessels under construction”, with respect to historical costs as of December 31, 2021 from which future economic benefits are no longer expected to flow to the Group.</w:t>
      </w:r>
    </w:p>
    <w:p>
      <w:pPr>
        <w:spacing w:after="0" w:line="168" w:lineRule="exact"/>
        <w:rPr>
          <w:sz w:val="20"/>
          <w:szCs w:val="20"/>
          <w:color w:val="auto"/>
        </w:rPr>
      </w:pPr>
    </w:p>
    <w:p>
      <w:pPr>
        <w:ind w:firstLine="320"/>
        <w:spacing w:after="0" w:line="306" w:lineRule="auto"/>
        <w:rPr>
          <w:sz w:val="20"/>
          <w:szCs w:val="20"/>
          <w:color w:val="auto"/>
        </w:rPr>
      </w:pPr>
      <w:r>
        <w:rPr>
          <w:rFonts w:ascii="Arial" w:cs="Arial" w:eastAsia="Arial" w:hAnsi="Arial"/>
          <w:sz w:val="16"/>
          <w:szCs w:val="16"/>
          <w:color w:val="auto"/>
        </w:rPr>
        <w:t xml:space="preserve">As a result of its impairment assessments for the year ended December 31, 2021, the Group recognized an aggregate non-cash impairment loss of $153.7 million for the </w:t>
      </w:r>
      <w:r>
        <w:rPr>
          <w:rFonts w:ascii="Arial" w:cs="Arial" w:eastAsia="Arial" w:hAnsi="Arial"/>
          <w:sz w:val="16"/>
          <w:szCs w:val="16"/>
          <w:i w:val="1"/>
          <w:iCs w:val="1"/>
          <w:color w:val="auto"/>
        </w:rPr>
        <w:t>GasLog Salem</w:t>
      </w:r>
      <w:r>
        <w:rPr>
          <w:rFonts w:ascii="Arial" w:cs="Arial" w:eastAsia="Arial" w:hAnsi="Arial"/>
          <w:sz w:val="16"/>
          <w:szCs w:val="16"/>
          <w:color w:val="auto"/>
        </w:rPr>
        <w:t>, its six Steam vessels built in 2006 and 2007 and its FSRU under construction and determined there was no impairment for its remaining owned and bareboat on-the-water fleet, comprising 16 TFDE and 12 X-DF vessels.</w:t>
      </w:r>
    </w:p>
    <w:p>
      <w:pPr>
        <w:spacing w:after="0" w:line="1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DIRECTORS, SENIOR MANAGEMENT AND EMPLOYEES</w:t>
      </w: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4" w:lineRule="exact"/>
        <w:rPr>
          <w:sz w:val="20"/>
          <w:szCs w:val="20"/>
          <w:color w:val="auto"/>
        </w:rPr>
      </w:pPr>
    </w:p>
    <w:p>
      <w:pPr>
        <w:ind w:right="60" w:firstLine="320"/>
        <w:spacing w:after="0" w:line="271" w:lineRule="auto"/>
        <w:rPr>
          <w:sz w:val="20"/>
          <w:szCs w:val="20"/>
          <w:color w:val="auto"/>
        </w:rPr>
      </w:pPr>
      <w:r>
        <w:rPr>
          <w:rFonts w:ascii="Arial" w:cs="Arial" w:eastAsia="Arial" w:hAnsi="Arial"/>
          <w:sz w:val="17"/>
          <w:szCs w:val="17"/>
          <w:color w:val="auto"/>
        </w:rPr>
        <w:t>The following table sets forth information regarding our directors and executive officers. The business address of each of our executive officers and directors listed below is 69 Akti Miaouli, 18537 Piraeus, Greece. Our telephone number at that address is +30 210 459 1000. The following directors have been determined by our board of directors to be independent under the standards of the NYSE and the rules and regulations of the SEC: James C. Berner, Anthony S. Papadimitriou, Julian R. Metherell and Eduard Ruijs. Officers are elected from time to time by vote of our board of directors and hold office until a successor is elected.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right"/>
              <w:ind w:right="333"/>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4"/>
                <w:szCs w:val="14"/>
                <w:color w:val="auto"/>
              </w:rPr>
            </w:pPr>
          </w:p>
        </w:tc>
        <w:tc>
          <w:tcPr>
            <w:tcW w:w="4220" w:type="dxa"/>
            <w:vAlign w:val="bottom"/>
          </w:tcPr>
          <w:p>
            <w:pPr>
              <w:ind w:left="1860"/>
              <w:spacing w:after="0"/>
              <w:rPr>
                <w:sz w:val="20"/>
                <w:szCs w:val="20"/>
                <w:color w:val="auto"/>
              </w:rPr>
            </w:pPr>
            <w:r>
              <w:rPr>
                <w:rFonts w:ascii="Arial" w:cs="Arial" w:eastAsia="Arial" w:hAnsi="Arial"/>
                <w:sz w:val="14"/>
                <w:szCs w:val="14"/>
                <w:b w:val="1"/>
                <w:bCs w:val="1"/>
                <w:color w:val="auto"/>
              </w:rPr>
              <w:t>Position</w:t>
            </w:r>
          </w:p>
        </w:tc>
      </w:tr>
      <w:tr>
        <w:trPr>
          <w:trHeight w:val="183"/>
        </w:trPr>
        <w:tc>
          <w:tcPr>
            <w:tcW w:w="20" w:type="dxa"/>
            <w:vAlign w:val="bottom"/>
          </w:tcPr>
          <w:p>
            <w:pPr>
              <w:spacing w:after="0"/>
              <w:rPr>
                <w:sz w:val="15"/>
                <w:szCs w:val="15"/>
                <w:color w:val="auto"/>
              </w:rPr>
            </w:pPr>
          </w:p>
        </w:tc>
        <w:tc>
          <w:tcPr>
            <w:tcW w:w="42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Peter G. Livanos</w:t>
            </w:r>
          </w:p>
        </w:tc>
        <w:tc>
          <w:tcPr>
            <w:tcW w:w="200" w:type="dxa"/>
            <w:vAlign w:val="bottom"/>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5"/>
                <w:szCs w:val="15"/>
                <w:color w:val="auto"/>
              </w:rPr>
            </w:pPr>
          </w:p>
        </w:tc>
        <w:tc>
          <w:tcPr>
            <w:tcW w:w="42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Chairman and Director</w:t>
            </w:r>
          </w:p>
        </w:tc>
      </w:tr>
      <w:tr>
        <w:trPr>
          <w:trHeight w:val="223"/>
        </w:trPr>
        <w:tc>
          <w:tcPr>
            <w:tcW w:w="4440" w:type="dxa"/>
            <w:vAlign w:val="bottom"/>
            <w:gridSpan w:val="3"/>
          </w:tcPr>
          <w:p>
            <w:pPr>
              <w:spacing w:after="0" w:line="223" w:lineRule="exact"/>
              <w:rPr>
                <w:sz w:val="20"/>
                <w:szCs w:val="20"/>
                <w:color w:val="auto"/>
              </w:rPr>
            </w:pPr>
            <w:r>
              <w:rPr>
                <w:rFonts w:ascii="Arial" w:cs="Arial" w:eastAsia="Arial" w:hAnsi="Arial"/>
                <w:sz w:val="17"/>
                <w:szCs w:val="17"/>
                <w:color w:val="auto"/>
              </w:rPr>
              <w:t>James C. Berner</w:t>
            </w:r>
            <w:r>
              <w:rPr>
                <w:rFonts w:ascii="Arial" w:cs="Arial" w:eastAsia="Arial" w:hAnsi="Arial"/>
                <w:sz w:val="25"/>
                <w:szCs w:val="25"/>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3"/>
        </w:trPr>
        <w:tc>
          <w:tcPr>
            <w:tcW w:w="4440" w:type="dxa"/>
            <w:vAlign w:val="bottom"/>
            <w:gridSpan w:val="3"/>
          </w:tcPr>
          <w:p>
            <w:pPr>
              <w:spacing w:after="0"/>
              <w:rPr>
                <w:sz w:val="20"/>
                <w:szCs w:val="20"/>
                <w:color w:val="auto"/>
              </w:rPr>
            </w:pPr>
            <w:r>
              <w:rPr>
                <w:rFonts w:ascii="Arial" w:cs="Arial" w:eastAsia="Arial" w:hAnsi="Arial"/>
                <w:sz w:val="18"/>
                <w:szCs w:val="18"/>
                <w:color w:val="auto"/>
              </w:rPr>
              <w:t>Julian R. Metherell</w:t>
            </w: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04"/>
        </w:trPr>
        <w:tc>
          <w:tcPr>
            <w:tcW w:w="4440" w:type="dxa"/>
            <w:vAlign w:val="bottom"/>
            <w:gridSpan w:val="3"/>
          </w:tcPr>
          <w:p>
            <w:pPr>
              <w:spacing w:after="0" w:line="204" w:lineRule="exact"/>
              <w:rPr>
                <w:sz w:val="20"/>
                <w:szCs w:val="20"/>
                <w:color w:val="auto"/>
              </w:rPr>
            </w:pPr>
            <w:r>
              <w:rPr>
                <w:rFonts w:ascii="Arial" w:cs="Arial" w:eastAsia="Arial" w:hAnsi="Arial"/>
                <w:sz w:val="18"/>
                <w:szCs w:val="18"/>
                <w:color w:val="auto"/>
              </w:rPr>
              <w:t>Anthony S. Papadimitriou</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66</w:t>
            </w:r>
          </w:p>
        </w:tc>
        <w:tc>
          <w:tcPr>
            <w:tcW w:w="442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Director</w:t>
            </w:r>
          </w:p>
        </w:tc>
      </w:tr>
      <w:tr>
        <w:trPr>
          <w:trHeight w:val="213"/>
        </w:trPr>
        <w:tc>
          <w:tcPr>
            <w:tcW w:w="4440" w:type="dxa"/>
            <w:vAlign w:val="bottom"/>
            <w:gridSpan w:val="3"/>
          </w:tcPr>
          <w:p>
            <w:pPr>
              <w:spacing w:after="0" w:line="213" w:lineRule="exact"/>
              <w:rPr>
                <w:sz w:val="20"/>
                <w:szCs w:val="20"/>
                <w:color w:val="auto"/>
              </w:rPr>
            </w:pPr>
            <w:r>
              <w:rPr>
                <w:rFonts w:ascii="Arial" w:cs="Arial" w:eastAsia="Arial" w:hAnsi="Arial"/>
                <w:sz w:val="17"/>
                <w:szCs w:val="17"/>
                <w:color w:val="auto"/>
              </w:rPr>
              <w:t>Eduard Ruijs</w:t>
            </w:r>
            <w:r>
              <w:rPr>
                <w:rFonts w:ascii="Arial" w:cs="Arial" w:eastAsia="Arial" w:hAnsi="Arial"/>
                <w:sz w:val="24"/>
                <w:szCs w:val="24"/>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3"/>
        </w:trPr>
        <w:tc>
          <w:tcPr>
            <w:tcW w:w="4440" w:type="dxa"/>
            <w:vAlign w:val="bottom"/>
            <w:gridSpan w:val="3"/>
          </w:tcPr>
          <w:p>
            <w:pPr>
              <w:spacing w:after="0" w:line="213" w:lineRule="exact"/>
              <w:rPr>
                <w:sz w:val="20"/>
                <w:szCs w:val="20"/>
                <w:color w:val="auto"/>
              </w:rPr>
            </w:pPr>
            <w:r>
              <w:rPr>
                <w:rFonts w:ascii="Arial" w:cs="Arial" w:eastAsia="Arial" w:hAnsi="Arial"/>
                <w:sz w:val="17"/>
                <w:szCs w:val="17"/>
                <w:color w:val="auto"/>
              </w:rPr>
              <w:t>Paul A. Wogan</w:t>
            </w:r>
            <w:r>
              <w:rPr>
                <w:rFonts w:ascii="Arial" w:cs="Arial" w:eastAsia="Arial" w:hAnsi="Arial"/>
                <w:sz w:val="24"/>
                <w:szCs w:val="24"/>
                <w:color w:val="auto"/>
                <w:vertAlign w:val="superscript"/>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r>
      <w:tr>
        <w:trPr>
          <w:trHeight w:val="223"/>
        </w:trPr>
        <w:tc>
          <w:tcPr>
            <w:tcW w:w="4440" w:type="dxa"/>
            <w:vAlign w:val="bottom"/>
            <w:gridSpan w:val="3"/>
          </w:tcPr>
          <w:p>
            <w:pPr>
              <w:spacing w:after="0" w:line="223" w:lineRule="exact"/>
              <w:rPr>
                <w:sz w:val="20"/>
                <w:szCs w:val="20"/>
                <w:color w:val="auto"/>
              </w:rPr>
            </w:pPr>
            <w:r>
              <w:rPr>
                <w:rFonts w:ascii="Arial" w:cs="Arial" w:eastAsia="Arial" w:hAnsi="Arial"/>
                <w:sz w:val="17"/>
                <w:szCs w:val="17"/>
                <w:color w:val="auto"/>
              </w:rPr>
              <w:t>Paolo Enoizi</w:t>
            </w:r>
            <w:r>
              <w:rPr>
                <w:rFonts w:ascii="Arial" w:cs="Arial" w:eastAsia="Arial" w:hAnsi="Arial"/>
                <w:sz w:val="25"/>
                <w:szCs w:val="25"/>
                <w:color w:val="auto"/>
                <w:vertAlign w:val="superscript"/>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r>
      <w:tr>
        <w:trPr>
          <w:trHeight w:val="204"/>
        </w:trPr>
        <w:tc>
          <w:tcPr>
            <w:tcW w:w="4440" w:type="dxa"/>
            <w:vAlign w:val="bottom"/>
            <w:gridSpan w:val="3"/>
          </w:tcPr>
          <w:p>
            <w:pPr>
              <w:spacing w:after="0" w:line="204" w:lineRule="exact"/>
              <w:rPr>
                <w:sz w:val="20"/>
                <w:szCs w:val="20"/>
                <w:color w:val="auto"/>
              </w:rPr>
            </w:pPr>
            <w:r>
              <w:rPr>
                <w:rFonts w:ascii="Arial" w:cs="Arial" w:eastAsia="Arial" w:hAnsi="Arial"/>
                <w:sz w:val="18"/>
                <w:szCs w:val="18"/>
                <w:color w:val="auto"/>
              </w:rPr>
              <w:t>Achilleas Tasioulas</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46</w:t>
            </w:r>
          </w:p>
        </w:tc>
        <w:tc>
          <w:tcPr>
            <w:tcW w:w="442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Chief Financial Officer</w:t>
            </w:r>
          </w:p>
        </w:tc>
      </w:tr>
      <w:tr>
        <w:trPr>
          <w:trHeight w:val="349"/>
        </w:trPr>
        <w:tc>
          <w:tcPr>
            <w:tcW w:w="4440" w:type="dxa"/>
            <w:vAlign w:val="bottom"/>
            <w:gridSpan w:val="3"/>
          </w:tcPr>
          <w:p>
            <w:pPr>
              <w:spacing w:after="0"/>
              <w:rPr>
                <w:sz w:val="20"/>
                <w:szCs w:val="20"/>
                <w:color w:val="auto"/>
              </w:rPr>
            </w:pPr>
            <w:r>
              <w:rPr>
                <w:rFonts w:ascii="Arial" w:cs="Arial" w:eastAsia="Arial" w:hAnsi="Arial"/>
                <w:sz w:val="18"/>
                <w:szCs w:val="18"/>
                <w:color w:val="auto"/>
              </w:rPr>
              <w:t>Konstantinos Karathanos</w:t>
            </w:r>
            <w:r>
              <w:rPr>
                <w:rFonts w:ascii="Arial" w:cs="Arial" w:eastAsia="Arial" w:hAnsi="Arial"/>
                <w:sz w:val="26"/>
                <w:szCs w:val="26"/>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15671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3" w:lineRule="exact"/>
        <w:rPr>
          <w:sz w:val="20"/>
          <w:szCs w:val="20"/>
          <w:color w:val="auto"/>
        </w:rPr>
      </w:pPr>
    </w:p>
    <w:p>
      <w:pPr>
        <w:ind w:left="320" w:hanging="313"/>
        <w:spacing w:after="0"/>
        <w:tabs>
          <w:tab w:leader="none" w:pos="320" w:val="left"/>
        </w:tabs>
        <w:numPr>
          <w:ilvl w:val="0"/>
          <w:numId w:val="67"/>
        </w:numPr>
        <w:rPr>
          <w:rFonts w:ascii="Arial" w:cs="Arial" w:eastAsia="Arial" w:hAnsi="Arial"/>
          <w:sz w:val="11"/>
          <w:szCs w:val="11"/>
          <w:color w:val="auto"/>
        </w:rPr>
      </w:pPr>
      <w:r>
        <w:rPr>
          <w:rFonts w:ascii="Arial" w:cs="Arial" w:eastAsia="Arial" w:hAnsi="Arial"/>
          <w:sz w:val="14"/>
          <w:szCs w:val="14"/>
          <w:color w:val="auto"/>
        </w:rPr>
        <w:t>Mr. Berner and Mr. Ruijs were appointed directors on June 9, 2021.</w:t>
      </w:r>
    </w:p>
    <w:p>
      <w:pPr>
        <w:spacing w:after="0" w:line="172" w:lineRule="exact"/>
        <w:rPr>
          <w:rFonts w:ascii="Arial" w:cs="Arial" w:eastAsia="Arial" w:hAnsi="Arial"/>
          <w:sz w:val="11"/>
          <w:szCs w:val="11"/>
          <w:color w:val="auto"/>
        </w:rPr>
      </w:pPr>
    </w:p>
    <w:p>
      <w:pPr>
        <w:ind w:left="320" w:hanging="313"/>
        <w:spacing w:after="0"/>
        <w:tabs>
          <w:tab w:leader="none" w:pos="320" w:val="left"/>
        </w:tabs>
        <w:numPr>
          <w:ilvl w:val="0"/>
          <w:numId w:val="67"/>
        </w:numPr>
        <w:rPr>
          <w:rFonts w:ascii="Arial" w:cs="Arial" w:eastAsia="Arial" w:hAnsi="Arial"/>
          <w:sz w:val="10"/>
          <w:szCs w:val="10"/>
          <w:color w:val="auto"/>
        </w:rPr>
      </w:pPr>
      <w:r>
        <w:rPr>
          <w:rFonts w:ascii="Arial" w:cs="Arial" w:eastAsia="Arial" w:hAnsi="Arial"/>
          <w:sz w:val="13"/>
          <w:szCs w:val="13"/>
          <w:color w:val="auto"/>
        </w:rPr>
        <w:t>Mr. Wogan will retire as CEO on March 9, 2022 and be retained as a consultant until June 30, 2022. Mr. Enoizi has been appointed as CEO effective March 10, 2022.</w:t>
      </w:r>
    </w:p>
    <w:p>
      <w:pPr>
        <w:spacing w:after="0" w:line="197" w:lineRule="exact"/>
        <w:rPr>
          <w:rFonts w:ascii="Arial" w:cs="Arial" w:eastAsia="Arial" w:hAnsi="Arial"/>
          <w:sz w:val="10"/>
          <w:szCs w:val="10"/>
          <w:color w:val="auto"/>
        </w:rPr>
      </w:pPr>
    </w:p>
    <w:p>
      <w:pPr>
        <w:ind w:left="320" w:hanging="313"/>
        <w:spacing w:after="0"/>
        <w:tabs>
          <w:tab w:leader="none" w:pos="320" w:val="left"/>
        </w:tabs>
        <w:numPr>
          <w:ilvl w:val="0"/>
          <w:numId w:val="67"/>
        </w:numPr>
        <w:rPr>
          <w:rFonts w:ascii="Arial" w:cs="Arial" w:eastAsia="Arial" w:hAnsi="Arial"/>
          <w:sz w:val="13"/>
          <w:szCs w:val="13"/>
          <w:color w:val="auto"/>
        </w:rPr>
      </w:pPr>
      <w:r>
        <w:rPr>
          <w:rFonts w:ascii="Arial" w:cs="Arial" w:eastAsia="Arial" w:hAnsi="Arial"/>
          <w:sz w:val="14"/>
          <w:szCs w:val="14"/>
          <w:color w:val="auto"/>
        </w:rPr>
        <w:t>Mr. Karathanos was appointed Chief Operating Officer on February 11, 2022.</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6" w:lineRule="exact"/>
        <w:rPr>
          <w:sz w:val="20"/>
          <w:szCs w:val="20"/>
          <w:color w:val="auto"/>
        </w:rPr>
      </w:pPr>
    </w:p>
    <w:p>
      <w:pPr>
        <w:ind w:firstLine="320"/>
        <w:spacing w:after="0" w:line="250" w:lineRule="auto"/>
        <w:rPr>
          <w:sz w:val="20"/>
          <w:szCs w:val="20"/>
          <w:color w:val="auto"/>
        </w:rPr>
      </w:pPr>
      <w:r>
        <w:rPr>
          <w:rFonts w:ascii="Arial" w:cs="Arial" w:eastAsia="Arial" w:hAnsi="Arial"/>
          <w:sz w:val="18"/>
          <w:szCs w:val="18"/>
          <w:b w:val="1"/>
          <w:bCs w:val="1"/>
          <w:color w:val="auto"/>
        </w:rPr>
        <w:t xml:space="preserve">Peter G. Livanos </w:t>
      </w:r>
      <w:r>
        <w:rPr>
          <w:rFonts w:ascii="Arial" w:cs="Arial" w:eastAsia="Arial" w:hAnsi="Arial"/>
          <w:sz w:val="18"/>
          <w:szCs w:val="18"/>
          <w:color w:val="auto"/>
        </w:rPr>
        <w:t>is our Chairman and a member of our board of directors. Mr. Livanos founded our subsidiary GasLog LNG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2001 and was a director of our subsidiary GasLog Partners from the closing of its initial public offering in May 2014 until June 2020. He has served as our Chairman since the Company was incorporated in July 2003 and he held the role of chief executive officer (“CEO”) from January 2012 until January 2013. Mr. Livanos is the chairman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92"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b w:val="1"/>
          <w:bCs w:val="1"/>
          <w:color w:val="auto"/>
        </w:rPr>
        <w:t xml:space="preserve">James C. Berner </w:t>
      </w:r>
      <w:r>
        <w:rPr>
          <w:rFonts w:ascii="Arial" w:cs="Arial" w:eastAsia="Arial" w:hAnsi="Arial"/>
          <w:sz w:val="16"/>
          <w:szCs w:val="16"/>
          <w:color w:val="auto"/>
        </w:rPr>
        <w:t>was appointed to our Board in June 2021 and is a member of the Global Energy &amp; Power Infrastructure Fund at</w:t>
      </w:r>
      <w:r>
        <w:rPr>
          <w:rFonts w:ascii="Arial" w:cs="Arial" w:eastAsia="Arial" w:hAnsi="Arial"/>
          <w:sz w:val="16"/>
          <w:szCs w:val="16"/>
          <w:b w:val="1"/>
          <w:bCs w:val="1"/>
          <w:color w:val="auto"/>
        </w:rPr>
        <w:t xml:space="preserve"> </w:t>
      </w:r>
      <w:r>
        <w:rPr>
          <w:rFonts w:ascii="Arial" w:cs="Arial" w:eastAsia="Arial" w:hAnsi="Arial"/>
          <w:sz w:val="16"/>
          <w:szCs w:val="16"/>
          <w:color w:val="auto"/>
        </w:rPr>
        <w:t>BlackRock. Within the Fund Mr. Berner is responsible for investment origination, execution and management, focusing on the power generation, shipping and liquefied natural gas sectors. Mr. Berner is also a member of the Fund investment, management and ESG committees. Mr. Berner has over 20 years’ experience in energy investing and lending. Prior to joining BlackRock in 2017, Mr. Berner was a Managing Director on the Energy Infrastructure team at First Reserve. Prior to joining First Reserve in 2011, Mr. Berner was a Managing Director at General Electric Capital Corporation in the Energy Financial Services division focused on energy investing and lending and worked in the USA, UK and Singapore. Mr. Berner earned a B.A., cum laude, from Cornell University, an M.A. from John Hopkins University, School of Advanced International Studies and an M.B.A from the University of Pennsylvania, Wharton School of Business.</w:t>
      </w:r>
    </w:p>
    <w:p>
      <w:pPr>
        <w:spacing w:after="0" w:line="161" w:lineRule="exact"/>
        <w:rPr>
          <w:sz w:val="20"/>
          <w:szCs w:val="20"/>
          <w:color w:val="auto"/>
        </w:rPr>
      </w:pPr>
    </w:p>
    <w:p>
      <w:pPr>
        <w:ind w:firstLine="320"/>
        <w:spacing w:after="0" w:line="286" w:lineRule="auto"/>
        <w:rPr>
          <w:sz w:val="20"/>
          <w:szCs w:val="20"/>
          <w:color w:val="auto"/>
        </w:rPr>
      </w:pPr>
      <w:r>
        <w:rPr>
          <w:rFonts w:ascii="Arial" w:cs="Arial" w:eastAsia="Arial" w:hAnsi="Arial"/>
          <w:sz w:val="16"/>
          <w:szCs w:val="16"/>
          <w:b w:val="1"/>
          <w:bCs w:val="1"/>
          <w:color w:val="auto"/>
        </w:rPr>
        <w:t xml:space="preserve">Julian R. Metherell </w:t>
      </w:r>
      <w:r>
        <w:rPr>
          <w:rFonts w:ascii="Arial" w:cs="Arial" w:eastAsia="Arial" w:hAnsi="Arial"/>
          <w:sz w:val="16"/>
          <w:szCs w:val="16"/>
          <w:color w:val="auto"/>
        </w:rPr>
        <w:t>has been a member of our board of directors since October 2011. Mr. Metherell is currently a director of MW&amp;L</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he also sits on the board of a number of private companies including Wellsafe, Natural Capital Research and Chairman Mentors International. Mr. Metherell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was appointed to the board of directors and audit committee of GasLog Partners in August 2020. Mr. Metherell is a graduate of Manchester University, where he received a B.Sc. degree, and of Cambridge University, where he received an M.B.A.</w:t>
      </w:r>
    </w:p>
    <w:p>
      <w:pPr>
        <w:spacing w:after="0" w:line="162"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b w:val="1"/>
          <w:bCs w:val="1"/>
          <w:color w:val="auto"/>
        </w:rPr>
        <w:t xml:space="preserve">Anthony S. Papadimitriou </w:t>
      </w:r>
      <w:r>
        <w:rPr>
          <w:rFonts w:ascii="Arial" w:cs="Arial" w:eastAsia="Arial" w:hAnsi="Arial"/>
          <w:sz w:val="17"/>
          <w:szCs w:val="17"/>
          <w:color w:val="auto"/>
        </w:rPr>
        <w:t>has been a member of our board of directors since November 2011, when he was designated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Onassis Foundation to serve as one of our directors. Mr. Papadimitriou is the Founding partner of the law firm A.S. Papadimitriou and Partners, of which he was the Managing Partner from 1990 to 2018.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of Aix-en-Provence, a B.Sc. from the London School of Economics and a Ph.D. from the National and Kapodistrian University of Athens. Mr. Papadimitriou was appointed to the Board of GasLog Partners in May 2015 and stepped down on January 31, 2019.</w:t>
      </w:r>
    </w:p>
    <w:p>
      <w:pPr>
        <w:spacing w:after="0" w:line="182" w:lineRule="exact"/>
        <w:rPr>
          <w:sz w:val="20"/>
          <w:szCs w:val="20"/>
          <w:color w:val="auto"/>
        </w:rPr>
      </w:pPr>
    </w:p>
    <w:p>
      <w:pPr>
        <w:ind w:right="60" w:firstLine="320"/>
        <w:spacing w:after="0" w:line="266" w:lineRule="auto"/>
        <w:rPr>
          <w:sz w:val="20"/>
          <w:szCs w:val="20"/>
          <w:color w:val="auto"/>
        </w:rPr>
      </w:pPr>
      <w:r>
        <w:rPr>
          <w:rFonts w:ascii="Arial" w:cs="Arial" w:eastAsia="Arial" w:hAnsi="Arial"/>
          <w:sz w:val="17"/>
          <w:szCs w:val="17"/>
          <w:b w:val="1"/>
          <w:bCs w:val="1"/>
          <w:color w:val="auto"/>
        </w:rPr>
        <w:t xml:space="preserve">Eduard Ruijs </w:t>
      </w:r>
      <w:r>
        <w:rPr>
          <w:rFonts w:ascii="Arial" w:cs="Arial" w:eastAsia="Arial" w:hAnsi="Arial"/>
          <w:sz w:val="17"/>
          <w:szCs w:val="17"/>
          <w:color w:val="auto"/>
        </w:rPr>
        <w:t>was appointed to our Board in June 2021 and is a Managing Director of the Global Energy &amp; Power Infrastructure</w:t>
      </w:r>
      <w:r>
        <w:rPr>
          <w:rFonts w:ascii="Arial" w:cs="Arial" w:eastAsia="Arial" w:hAnsi="Arial"/>
          <w:sz w:val="17"/>
          <w:szCs w:val="17"/>
          <w:b w:val="1"/>
          <w:bCs w:val="1"/>
          <w:color w:val="auto"/>
        </w:rPr>
        <w:t xml:space="preserve"> </w:t>
      </w:r>
      <w:r>
        <w:rPr>
          <w:rFonts w:ascii="Arial" w:cs="Arial" w:eastAsia="Arial" w:hAnsi="Arial"/>
          <w:sz w:val="17"/>
          <w:szCs w:val="17"/>
          <w:color w:val="auto"/>
        </w:rPr>
        <w:t>Funds team at BlackRock. Mr. Ruijs leads the London team and is responsible for investment origination, execution and exit strategy, focusing on the energy infrastructure sector in EMEA and Asia-Pacific. From 2011 Mr. Ruijs led the London infrastructure investment team at First Reserve, which was acquired by BlackRock in June 2017. Prior to building the infrastructure franchise at First Reserve, Mr. Ruijs was an Investment Director &amp; Partner with NIBC Infrastructure Partners, a Europe focused infrastructure fund manager. Mr. Ruijs is appointed to the Boards of ADNOC Oil Pipelines, Kellas Midstream, Medgaz and Renovalia/Demex. Mr. Ruijs earned a M. Juris in Law and Economics from Oxford University where he was a Chevening Scholar; an MSc (DRS) in Economics and MA (Mr.) in Law from the Vrije Universiteit in Amsterdam, a Bachelor in Business Administration of Nijenrode University in the Netherlands, and obtained an Executive MBA from Michigan Business School as well as graduated from the Japan Prizewinners Programme at Leiden University in Tokyo.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firstLine="320"/>
        <w:spacing w:after="0" w:line="287" w:lineRule="auto"/>
        <w:rPr>
          <w:sz w:val="20"/>
          <w:szCs w:val="20"/>
          <w:color w:val="auto"/>
        </w:rPr>
      </w:pPr>
      <w:r>
        <w:rPr>
          <w:rFonts w:ascii="Arial" w:cs="Arial" w:eastAsia="Arial" w:hAnsi="Arial"/>
          <w:sz w:val="16"/>
          <w:szCs w:val="16"/>
          <w:b w:val="1"/>
          <w:bCs w:val="1"/>
          <w:color w:val="auto"/>
        </w:rPr>
        <w:t xml:space="preserve">Paul A. Wogan </w:t>
      </w:r>
      <w:r>
        <w:rPr>
          <w:rFonts w:ascii="Arial" w:cs="Arial" w:eastAsia="Arial" w:hAnsi="Arial"/>
          <w:sz w:val="16"/>
          <w:szCs w:val="16"/>
          <w:color w:val="auto"/>
        </w:rPr>
        <w:t>has served as our CEO since January 2013 and will retire on March 9, 2022. Mr. Wogan was a member of our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from May 2015 to June 2021. Mr. Wogan was appointed to the board of directors of GasLog Partners between August 2020 and August 2021 and was the CEO of GasLog Partners from September 2020 to August 2021. 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From 2009 to 2014, Mr. Wogan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61" w:lineRule="exact"/>
        <w:rPr>
          <w:sz w:val="20"/>
          <w:szCs w:val="20"/>
          <w:color w:val="auto"/>
        </w:rPr>
      </w:pPr>
    </w:p>
    <w:p>
      <w:pPr>
        <w:ind w:right="160" w:firstLine="320"/>
        <w:spacing w:after="0" w:line="266" w:lineRule="auto"/>
        <w:rPr>
          <w:sz w:val="20"/>
          <w:szCs w:val="20"/>
          <w:color w:val="auto"/>
        </w:rPr>
      </w:pPr>
      <w:r>
        <w:rPr>
          <w:rFonts w:ascii="Arial" w:cs="Arial" w:eastAsia="Arial" w:hAnsi="Arial"/>
          <w:sz w:val="17"/>
          <w:szCs w:val="17"/>
          <w:b w:val="1"/>
          <w:bCs w:val="1"/>
          <w:color w:val="auto"/>
        </w:rPr>
        <w:t xml:space="preserve">Paolo Enoizi </w:t>
      </w:r>
      <w:r>
        <w:rPr>
          <w:rFonts w:ascii="Arial" w:cs="Arial" w:eastAsia="Arial" w:hAnsi="Arial"/>
          <w:sz w:val="17"/>
          <w:szCs w:val="17"/>
          <w:color w:val="auto"/>
        </w:rPr>
        <w:t>joined GasLog in August 2019 and was Chief Operating Officer (“COO”) from September 2019 to February 2022. He</w:t>
      </w:r>
      <w:r>
        <w:rPr>
          <w:rFonts w:ascii="Arial" w:cs="Arial" w:eastAsia="Arial" w:hAnsi="Arial"/>
          <w:sz w:val="17"/>
          <w:szCs w:val="17"/>
          <w:b w:val="1"/>
          <w:bCs w:val="1"/>
          <w:color w:val="auto"/>
        </w:rPr>
        <w:t xml:space="preserve"> </w:t>
      </w:r>
      <w:r>
        <w:rPr>
          <w:rFonts w:ascii="Arial" w:cs="Arial" w:eastAsia="Arial" w:hAnsi="Arial"/>
          <w:sz w:val="17"/>
          <w:szCs w:val="17"/>
          <w:color w:val="auto"/>
        </w:rPr>
        <w:t>was appointed COO of GasLog Partners during the same period. From March 10, 2022, Mr. Enoizi will be CEO of GasLog. Mr. Enoizi was appointed CEO of GasLog Partners in August 2021. Prior to joining GasLog,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Mr. Enoizi has a Masters degree in Naval Architecture and Marine Engineering from the University of Genova.</w:t>
      </w:r>
    </w:p>
    <w:p>
      <w:pPr>
        <w:spacing w:after="0" w:line="179" w:lineRule="exact"/>
        <w:rPr>
          <w:sz w:val="20"/>
          <w:szCs w:val="20"/>
          <w:color w:val="auto"/>
        </w:rPr>
      </w:pPr>
    </w:p>
    <w:p>
      <w:pPr>
        <w:ind w:firstLine="320"/>
        <w:spacing w:after="0" w:line="286" w:lineRule="auto"/>
        <w:rPr>
          <w:sz w:val="20"/>
          <w:szCs w:val="20"/>
          <w:color w:val="auto"/>
        </w:rPr>
      </w:pPr>
      <w:r>
        <w:rPr>
          <w:rFonts w:ascii="Arial" w:cs="Arial" w:eastAsia="Arial" w:hAnsi="Arial"/>
          <w:sz w:val="16"/>
          <w:szCs w:val="16"/>
          <w:b w:val="1"/>
          <w:bCs w:val="1"/>
          <w:color w:val="auto"/>
        </w:rPr>
        <w:t xml:space="preserve">Achilleas Tasioulas </w:t>
      </w:r>
      <w:r>
        <w:rPr>
          <w:rFonts w:ascii="Arial" w:cs="Arial" w:eastAsia="Arial" w:hAnsi="Arial"/>
          <w:sz w:val="16"/>
          <w:szCs w:val="16"/>
          <w:color w:val="auto"/>
        </w:rPr>
        <w:t>has served as our CFO and CFO of GasLog Partners since July 2020. He joined GasLog in October 2014 as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Controller and his role was expanded to Chief Risk Officer, Financial Controller and Head of Tax in August 2017 and Deputy CFO of GasLog in December 2019 and has over 14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He is an ICAEW Fellow Chartered Accountant, has an MSc in Project Analysis, Finance and Investments from the University of York and a BSc in Economics from the University of Macedonia in Greece. Furthermore, he has completed executive education programs in Advance Corporate Finance in London Business School and Strategic Financial Leadership in Stanford University Graduate School of Business.</w:t>
      </w:r>
    </w:p>
    <w:p>
      <w:pPr>
        <w:spacing w:after="0" w:line="162"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b w:val="1"/>
          <w:bCs w:val="1"/>
          <w:color w:val="auto"/>
        </w:rPr>
        <w:t xml:space="preserve">Konstantinos Karathanos </w:t>
      </w:r>
      <w:r>
        <w:rPr>
          <w:rFonts w:ascii="Arial" w:cs="Arial" w:eastAsia="Arial" w:hAnsi="Arial"/>
          <w:sz w:val="16"/>
          <w:szCs w:val="16"/>
          <w:color w:val="auto"/>
        </w:rPr>
        <w:t>was appointed COO of GasLog and GasLog Partners on February 11, 2022. Prior to this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 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0" w:lineRule="exact"/>
        <w:rPr>
          <w:sz w:val="20"/>
          <w:szCs w:val="20"/>
          <w:color w:val="auto"/>
        </w:rPr>
      </w:pPr>
    </w:p>
    <w:p>
      <w:pPr>
        <w:ind w:right="80" w:firstLine="320"/>
        <w:spacing w:after="0" w:line="292" w:lineRule="auto"/>
        <w:rPr>
          <w:sz w:val="20"/>
          <w:szCs w:val="20"/>
          <w:color w:val="auto"/>
        </w:rPr>
      </w:pPr>
      <w:r>
        <w:rPr>
          <w:rFonts w:ascii="Arial" w:cs="Arial" w:eastAsia="Arial" w:hAnsi="Arial"/>
          <w:sz w:val="16"/>
          <w:szCs w:val="16"/>
          <w:color w:val="auto"/>
        </w:rPr>
        <w:t>Our board leadership structure consists of our Chairman, and the chairmen of our board committees. Our operational management is headed by our CEO. The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non-executive directors receive:</w:t>
      </w:r>
    </w:p>
    <w:p>
      <w:pPr>
        <w:spacing w:after="0" w:line="220" w:lineRule="exact"/>
        <w:rPr>
          <w:sz w:val="20"/>
          <w:szCs w:val="20"/>
          <w:color w:val="auto"/>
        </w:rPr>
      </w:pPr>
    </w:p>
    <w:p>
      <w:pPr>
        <w:ind w:left="680" w:hanging="326"/>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annual fee of $132,000;</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440" w:hanging="326"/>
        <w:spacing w:after="0" w:line="300"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additional annual fees of $50,000 to the chairman of the board, $50,000 to the chairman of the audit and risk committee and $30,000 to the chairmen of the compensation committee and safety and sustainability committee; and</w:t>
      </w:r>
    </w:p>
    <w:p>
      <w:pPr>
        <w:spacing w:after="0" w:line="85" w:lineRule="exact"/>
        <w:rPr>
          <w:rFonts w:ascii="Arial" w:cs="Arial" w:eastAsia="Arial" w:hAnsi="Arial"/>
          <w:sz w:val="17"/>
          <w:szCs w:val="17"/>
          <w:color w:val="auto"/>
        </w:rPr>
      </w:pPr>
    </w:p>
    <w:p>
      <w:pPr>
        <w:ind w:left="680" w:right="380" w:hanging="326"/>
        <w:spacing w:after="0" w:line="415" w:lineRule="auto"/>
        <w:tabs>
          <w:tab w:leader="none" w:pos="6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additional annual fees of $25,000 to each member of the audit and risk committee and $20,000 to each member of the compensation committee and safety and sustainability committee (in each case other than the chairmen of such committees).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aggregate annual fees paid to non-executive directors in 2021 was $974,134.</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of directors may determine that a portion of the above fees will be paid in shares rather than cash.</w:t>
      </w:r>
    </w:p>
    <w:p>
      <w:pPr>
        <w:spacing w:after="0" w:line="220"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75" w:lineRule="exact"/>
        <w:rPr>
          <w:sz w:val="20"/>
          <w:szCs w:val="20"/>
          <w:color w:val="auto"/>
        </w:rPr>
      </w:pPr>
    </w:p>
    <w:p>
      <w:pPr>
        <w:ind w:right="40" w:firstLine="320"/>
        <w:spacing w:after="0" w:line="285" w:lineRule="auto"/>
        <w:rPr>
          <w:sz w:val="20"/>
          <w:szCs w:val="20"/>
          <w:color w:val="auto"/>
        </w:rPr>
      </w:pPr>
      <w:r>
        <w:rPr>
          <w:rFonts w:ascii="Arial" w:cs="Arial" w:eastAsia="Arial" w:hAnsi="Arial"/>
          <w:sz w:val="16"/>
          <w:szCs w:val="16"/>
          <w:color w:val="auto"/>
        </w:rPr>
        <w:t>For 2021, our executive officers were Paul Wogan, Achilleas Tasioulas and Paolo Enoizi. Compensation for our executive officers in 2021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subject to the achievement of pre-established individual and Company performance objectives. Each participant’s target payout and the weightings assigned to the individual and Company performance objectives are dependent on the participant’s organization level. Company performance is measured against a number of key business indicators (KBI’s), multiplied by a Company Safety Factor, the results of which are overlaid with Board Discretion. Since 2021, the following KBIs are in place: a) Free Cash Flow per Share target (15.75%), b) Absolute Return on Invested Capital target (15.75%), c) Commercial Performance (22.5%), d) Operating Running Costs (18%), e) Vessel uptime (18%) and f) ESG Performance (10%).</w:t>
      </w:r>
    </w:p>
    <w:p>
      <w:pPr>
        <w:spacing w:after="0" w:line="168"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The Company Safety factor is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2021 pursuant to the MIP were determined based on the following weightings: Individual performance (30.0%), Company performance (50.0%) and Company discretion (20.0%).</w:t>
      </w:r>
    </w:p>
    <w:p>
      <w:pPr>
        <w:spacing w:after="0" w:line="190" w:lineRule="exact"/>
        <w:rPr>
          <w:sz w:val="20"/>
          <w:szCs w:val="20"/>
          <w:color w:val="auto"/>
        </w:rPr>
      </w:pPr>
    </w:p>
    <w:p>
      <w:pPr>
        <w:ind w:right="60" w:firstLine="320"/>
        <w:spacing w:after="0" w:line="270" w:lineRule="auto"/>
        <w:rPr>
          <w:sz w:val="20"/>
          <w:szCs w:val="20"/>
          <w:color w:val="auto"/>
        </w:rPr>
      </w:pPr>
      <w:r>
        <w:rPr>
          <w:rFonts w:ascii="Arial" w:cs="Arial" w:eastAsia="Arial" w:hAnsi="Arial"/>
          <w:sz w:val="18"/>
          <w:szCs w:val="18"/>
          <w:color w:val="auto"/>
        </w:rPr>
        <w:t>The aggregate amount of cash compensation, including cash incentive compensation, paid to our executive officers for the year ended December 31, 2021 was $3.1 million.</w:t>
      </w:r>
    </w:p>
    <w:p>
      <w:pPr>
        <w:spacing w:after="0" w:line="175"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In addition, our executive officers received cash-based compensation awards in accordance with the 2013 Omnibus Incentive Compensation Plan, or the “Plan”. On April 1, 2021, we granted our executive officers an aggregate of $790,000 under the Plan. The cash-based incentive plan vests following the completion of a 3-year period (01.04.2021-31.03.2024), subject to the recipient’s continued service. We generally determine during the March meeting of the board of the directors each year which individuals, if any, will be eligible to receive cash-based compensation awards under the Plan for such year and the amount of awards each participant will be eligible to receive. In addition, we intend to grant such awards each year.</w:t>
      </w:r>
    </w:p>
    <w:p>
      <w:pPr>
        <w:spacing w:after="0" w:line="190" w:lineRule="exact"/>
        <w:rPr>
          <w:sz w:val="20"/>
          <w:szCs w:val="20"/>
          <w:color w:val="auto"/>
        </w:rPr>
      </w:pPr>
    </w:p>
    <w:p>
      <w:pPr>
        <w:ind w:right="100" w:firstLine="320"/>
        <w:spacing w:after="0" w:line="270" w:lineRule="auto"/>
        <w:rPr>
          <w:sz w:val="20"/>
          <w:szCs w:val="20"/>
          <w:color w:val="auto"/>
        </w:rPr>
      </w:pPr>
      <w:r>
        <w:rPr>
          <w:rFonts w:ascii="Arial" w:cs="Arial" w:eastAsia="Arial" w:hAnsi="Arial"/>
          <w:sz w:val="18"/>
          <w:szCs w:val="18"/>
          <w:color w:val="auto"/>
        </w:rPr>
        <w:t>We did not set aside or accrue any amounts in the year ended December 31, 2021 to provide pension, retirement or similar benefits to our directors or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24"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Our board of directors consists of five members. In accordance with the Shareholders Agreement the board of directors shall consist of five directors, two to be appointed by BlackRock and three by certain existing shareholders including Blenheim Holdings and Olympic LNG (the “Existing Shareholders”). See “Item 7. Major Shareholders and Related Party Transactions—B. Related Party Transactions— Shareholders’ Agreement”.</w:t>
      </w:r>
    </w:p>
    <w:p>
      <w:pPr>
        <w:spacing w:after="0" w:line="188" w:lineRule="exact"/>
        <w:rPr>
          <w:sz w:val="20"/>
          <w:szCs w:val="20"/>
          <w:color w:val="auto"/>
        </w:rPr>
      </w:pPr>
    </w:p>
    <w:p>
      <w:pPr>
        <w:ind w:right="20" w:firstLine="320"/>
        <w:spacing w:after="0" w:line="296"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home country practice in lieu of the listing requirements of the NYSE, including (i) the requirement that a nominating/corporate governance committee be established and (ii) the requirement of an annual performance evaluation of the compensation committee. We do not have a separate nominating/corporate governance committee and we complete biennial performance evaluation of the compensation committee. As a result, non-independent directors may, among other things, participate in resolving governance issues regarding our Company. Accordingly, in the future you may not have the same protections afforded to shareholders of companies that are subject to all of the NYSE corporate governance requirements.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of directors meets regularly throughout the year. In 2021, the board met 14 times.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0" w:lineRule="exact"/>
        <w:rPr>
          <w:sz w:val="20"/>
          <w:szCs w:val="20"/>
          <w:color w:val="auto"/>
        </w:rPr>
      </w:pPr>
    </w:p>
    <w:p>
      <w:pPr>
        <w:ind w:right="80" w:firstLine="320"/>
        <w:spacing w:after="0" w:line="255" w:lineRule="auto"/>
        <w:rPr>
          <w:sz w:val="20"/>
          <w:szCs w:val="20"/>
          <w:color w:val="auto"/>
        </w:rPr>
      </w:pPr>
      <w:r>
        <w:rPr>
          <w:rFonts w:ascii="Arial" w:cs="Arial" w:eastAsia="Arial" w:hAnsi="Arial"/>
          <w:sz w:val="18"/>
          <w:szCs w:val="18"/>
          <w:color w:val="auto"/>
        </w:rPr>
        <w:t>Our audit and risk committee consists of Messrs. Berner and Metherell with Mr. Metherell serving as the committee chairman. Our board of directors has affirmatively determined that each of these individuals meets the definition of “independent director” for purposes of serving on an audit committee under applicable SEC and NYSE rules. Mr. Metherell qualifies as an “audit committee financial expert”. The audit and risk committee is responsible for:</w:t>
      </w:r>
    </w:p>
    <w:p>
      <w:pPr>
        <w:spacing w:after="0" w:line="121" w:lineRule="exact"/>
        <w:rPr>
          <w:sz w:val="20"/>
          <w:szCs w:val="20"/>
          <w:color w:val="auto"/>
        </w:rPr>
      </w:pPr>
    </w:p>
    <w:p>
      <w:pPr>
        <w:ind w:left="680" w:right="80" w:hanging="326"/>
        <w:spacing w:after="0" w:line="300" w:lineRule="auto"/>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71" w:lineRule="exact"/>
        <w:rPr>
          <w:rFonts w:ascii="Arial" w:cs="Arial" w:eastAsia="Arial" w:hAnsi="Arial"/>
          <w:sz w:val="17"/>
          <w:szCs w:val="17"/>
          <w:color w:val="auto"/>
        </w:rPr>
      </w:pPr>
    </w:p>
    <w:p>
      <w:pPr>
        <w:ind w:left="680" w:right="380" w:hanging="326"/>
        <w:spacing w:after="0" w:line="281" w:lineRule="auto"/>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100" w:lineRule="exact"/>
        <w:rPr>
          <w:rFonts w:ascii="Arial" w:cs="Arial" w:eastAsia="Arial" w:hAnsi="Arial"/>
          <w:sz w:val="17"/>
          <w:szCs w:val="17"/>
          <w:color w:val="auto"/>
        </w:rPr>
      </w:pPr>
    </w:p>
    <w:p>
      <w:pPr>
        <w:ind w:left="680" w:right="260" w:hanging="326"/>
        <w:spacing w:after="0" w:line="300" w:lineRule="auto"/>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85" w:lineRule="exact"/>
        <w:rPr>
          <w:rFonts w:ascii="Arial" w:cs="Arial" w:eastAsia="Arial" w:hAnsi="Arial"/>
          <w:sz w:val="17"/>
          <w:szCs w:val="17"/>
          <w:color w:val="auto"/>
        </w:rPr>
      </w:pPr>
    </w:p>
    <w:p>
      <w:pPr>
        <w:ind w:left="680" w:right="60" w:hanging="326"/>
        <w:spacing w:after="0" w:line="270"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94" w:lineRule="exact"/>
        <w:rPr>
          <w:rFonts w:ascii="Arial" w:cs="Arial" w:eastAsia="Arial" w:hAnsi="Arial"/>
          <w:sz w:val="18"/>
          <w:szCs w:val="18"/>
          <w:color w:val="auto"/>
        </w:rPr>
      </w:pPr>
    </w:p>
    <w:p>
      <w:pPr>
        <w:ind w:left="680" w:right="640" w:hanging="326"/>
        <w:spacing w:after="0" w:line="270"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earnings press releases, as well as financial information and earnings guidance provided to analysts and rating agencies, with management and the independent auditors;</w:t>
      </w:r>
    </w:p>
    <w:p>
      <w:pPr>
        <w:spacing w:after="0" w:line="108" w:lineRule="exact"/>
        <w:rPr>
          <w:rFonts w:ascii="Arial" w:cs="Arial" w:eastAsia="Arial" w:hAnsi="Arial"/>
          <w:sz w:val="18"/>
          <w:szCs w:val="18"/>
          <w:color w:val="auto"/>
        </w:rPr>
      </w:pPr>
    </w:p>
    <w:p>
      <w:pPr>
        <w:ind w:left="680" w:right="420" w:hanging="326"/>
        <w:spacing w:after="0" w:line="270"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policies with respect to financial risk assessment and risk management and monitoring our financial risk and risk management systems;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meeting periodically and separately with management, our internal audit group and the independent auditors;</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annually reviewing the adequacy of the audit and risk committee’s written charter;</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periodically reviewing the budget, responsibilities and organizational structure of the internal audit department;</w:t>
      </w:r>
    </w:p>
    <w:p>
      <w:pPr>
        <w:spacing w:after="0" w:line="153" w:lineRule="exact"/>
        <w:rPr>
          <w:rFonts w:ascii="Arial" w:cs="Arial" w:eastAsia="Arial" w:hAnsi="Arial"/>
          <w:sz w:val="18"/>
          <w:szCs w:val="18"/>
          <w:color w:val="auto"/>
        </w:rPr>
      </w:pPr>
    </w:p>
    <w:p>
      <w:pPr>
        <w:ind w:left="680" w:right="220" w:hanging="326"/>
        <w:spacing w:after="0" w:line="270"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procedures for the consideration of all related-party transactions, including matters involving potential conflicts of interest;</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139" w:lineRule="exact"/>
        <w:rPr>
          <w:rFonts w:ascii="Arial" w:cs="Arial" w:eastAsia="Arial" w:hAnsi="Arial"/>
          <w:sz w:val="18"/>
          <w:szCs w:val="18"/>
          <w:color w:val="auto"/>
        </w:rPr>
      </w:pPr>
    </w:p>
    <w:p>
      <w:pPr>
        <w:ind w:left="680" w:right="140" w:hanging="326"/>
        <w:spacing w:after="0" w:line="270"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and risk committee by the board of directors from time to time.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0" w:lineRule="exact"/>
        <w:rPr>
          <w:sz w:val="20"/>
          <w:szCs w:val="20"/>
          <w:color w:val="auto"/>
        </w:rPr>
      </w:pPr>
    </w:p>
    <w:p>
      <w:pPr>
        <w:ind w:right="420" w:firstLine="320"/>
        <w:spacing w:after="0" w:line="270" w:lineRule="auto"/>
        <w:rPr>
          <w:sz w:val="20"/>
          <w:szCs w:val="20"/>
          <w:color w:val="auto"/>
        </w:rPr>
      </w:pPr>
      <w:r>
        <w:rPr>
          <w:rFonts w:ascii="Arial" w:cs="Arial" w:eastAsia="Arial" w:hAnsi="Arial"/>
          <w:sz w:val="18"/>
          <w:szCs w:val="18"/>
          <w:color w:val="auto"/>
        </w:rPr>
        <w:t>Our compensation committee consists of Messrs. Livanos, Berner and Papadimitriou, with Mr. Livanos serving as the committee chairman. The compensation committee is responsible for:</w:t>
      </w:r>
    </w:p>
    <w:p>
      <w:pPr>
        <w:spacing w:after="0" w:line="108" w:lineRule="exact"/>
        <w:rPr>
          <w:sz w:val="20"/>
          <w:szCs w:val="20"/>
          <w:color w:val="auto"/>
        </w:rPr>
      </w:pPr>
    </w:p>
    <w:p>
      <w:pPr>
        <w:ind w:left="680" w:right="340" w:hanging="326"/>
        <w:spacing w:after="0" w:line="270"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with respect to the compensation of directors, senior management and other managerial employees reporting to the CEO;</w:t>
      </w:r>
    </w:p>
    <w:p>
      <w:pPr>
        <w:spacing w:after="0" w:line="94"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and making recommendations to the full board of directors with respect to any of the Company’s long-term incentive plans, including any equity-based compensation plans to be adopted; and</w:t>
      </w:r>
    </w:p>
    <w:p>
      <w:pPr>
        <w:spacing w:after="0" w:line="108" w:lineRule="exact"/>
        <w:rPr>
          <w:rFonts w:ascii="Arial" w:cs="Arial" w:eastAsia="Arial" w:hAnsi="Arial"/>
          <w:sz w:val="18"/>
          <w:szCs w:val="18"/>
          <w:color w:val="auto"/>
        </w:rPr>
      </w:pPr>
    </w:p>
    <w:p>
      <w:pPr>
        <w:ind w:left="680" w:right="120" w:hanging="326"/>
        <w:spacing w:after="0" w:line="270"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committee by the board of directors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Sustainability Committee</w:t>
      </w:r>
    </w:p>
    <w:p>
      <w:pPr>
        <w:spacing w:after="0" w:line="220" w:lineRule="exact"/>
        <w:rPr>
          <w:sz w:val="20"/>
          <w:szCs w:val="20"/>
          <w:color w:val="auto"/>
        </w:rPr>
      </w:pPr>
    </w:p>
    <w:p>
      <w:pPr>
        <w:ind w:right="100" w:firstLine="320"/>
        <w:spacing w:after="0" w:line="270" w:lineRule="auto"/>
        <w:rPr>
          <w:sz w:val="20"/>
          <w:szCs w:val="20"/>
          <w:color w:val="auto"/>
        </w:rPr>
      </w:pPr>
      <w:r>
        <w:rPr>
          <w:rFonts w:ascii="Arial" w:cs="Arial" w:eastAsia="Arial" w:hAnsi="Arial"/>
          <w:sz w:val="18"/>
          <w:szCs w:val="18"/>
          <w:color w:val="auto"/>
        </w:rPr>
        <w:t>Our safety and sustainability committee consists of Messrs. Livanos, Metherell and Ruijs, with Mr. Livanos serving as the committee chairman. The safety and sustainability committee is responsible for:</w:t>
      </w:r>
    </w:p>
    <w:p>
      <w:pPr>
        <w:spacing w:after="0" w:line="175" w:lineRule="exact"/>
        <w:rPr>
          <w:sz w:val="20"/>
          <w:szCs w:val="20"/>
          <w:color w:val="auto"/>
        </w:rPr>
      </w:pPr>
    </w:p>
    <w:p>
      <w:pPr>
        <w:ind w:left="680" w:right="140" w:hanging="326"/>
        <w:spacing w:after="0" w:line="270"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and reviewing on an annual basis the Company’s key policies in relation to safety and sustainability (including those relating to operational risks);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overseeing and reviewing the development of the Company’s Environmental, Social and Governance (“ESG”) strategy;</w:t>
      </w:r>
    </w:p>
    <w:p>
      <w:pPr>
        <w:spacing w:after="0" w:line="151" w:lineRule="exact"/>
        <w:rPr>
          <w:rFonts w:ascii="Arial" w:cs="Arial" w:eastAsia="Arial" w:hAnsi="Arial"/>
          <w:sz w:val="17"/>
          <w:szCs w:val="17"/>
          <w:color w:val="auto"/>
        </w:rPr>
      </w:pPr>
    </w:p>
    <w:p>
      <w:pPr>
        <w:ind w:left="680" w:right="180" w:hanging="326"/>
        <w:spacing w:after="0" w:line="270"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Company’s compliance with relevant legislation, regulation and recommendations for safety and sustainability in all operational areas;</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ensuring the appropriate training is provided for employees in relation to safety and sustainability;</w:t>
      </w:r>
    </w:p>
    <w:p>
      <w:pPr>
        <w:spacing w:after="0" w:line="153" w:lineRule="exact"/>
        <w:rPr>
          <w:rFonts w:ascii="Arial" w:cs="Arial" w:eastAsia="Arial" w:hAnsi="Arial"/>
          <w:sz w:val="18"/>
          <w:szCs w:val="18"/>
          <w:color w:val="auto"/>
        </w:rPr>
      </w:pPr>
    </w:p>
    <w:p>
      <w:pPr>
        <w:ind w:left="680" w:right="40" w:hanging="326"/>
        <w:spacing w:after="0" w:line="270"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receiving reports from management relating to any serious accidents or fatalities and reviewing recommended actions to be taken by management in connection therewith; and</w:t>
      </w:r>
    </w:p>
    <w:p>
      <w:pPr>
        <w:spacing w:after="0" w:line="94"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the integrity and effectiveness of the non-financial statements of the Company and any other formal communications relating to the Company’s performance in safety and sustainability.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adopted a Code of Business Conduct and Ethics for all directors, officers, employees and agents of the Company.</w:t>
      </w:r>
    </w:p>
    <w:p>
      <w:pPr>
        <w:spacing w:after="0" w:line="231" w:lineRule="exact"/>
        <w:rPr>
          <w:sz w:val="20"/>
          <w:szCs w:val="20"/>
          <w:color w:val="auto"/>
        </w:rPr>
      </w:pPr>
    </w:p>
    <w:p>
      <w:pPr>
        <w:ind w:firstLine="320"/>
        <w:spacing w:after="0" w:line="274" w:lineRule="auto"/>
        <w:rPr>
          <w:sz w:val="20"/>
          <w:szCs w:val="20"/>
          <w:color w:val="auto"/>
        </w:rPr>
      </w:pPr>
      <w:r>
        <w:rPr>
          <w:rFonts w:ascii="Arial" w:cs="Arial" w:eastAsia="Arial" w:hAnsi="Arial"/>
          <w:sz w:val="17"/>
          <w:szCs w:val="17"/>
          <w:color w:val="auto"/>
        </w:rPr>
        <w:t xml:space="preserve">This document and other important information on our governance are posted on our website and may be viewed at </w:t>
      </w:r>
      <w:r>
        <w:rPr>
          <w:rFonts w:ascii="Arial" w:cs="Arial" w:eastAsia="Arial" w:hAnsi="Arial"/>
          <w:sz w:val="17"/>
          <w:szCs w:val="17"/>
          <w:i w:val="1"/>
          <w:iCs w:val="1"/>
          <w:color w:val="auto"/>
        </w:rPr>
        <w:t>http://www.gaslogltd.com.</w:t>
      </w:r>
      <w:r>
        <w:rPr>
          <w:rFonts w:ascii="Arial" w:cs="Arial" w:eastAsia="Arial" w:hAnsi="Arial"/>
          <w:sz w:val="17"/>
          <w:szCs w:val="17"/>
          <w:color w:val="auto"/>
        </w:rPr>
        <w:t>The information contained on or connected to our website is not a part of this annual report. We will also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paper copy of any of these documents upon the written request of a shareholder at no cost. Shareholders may direct their requests to the attention of our General Counsel, c/o GasLog LNG Services Ltd., 69 Akti Miaouli, 18537 Piraeus, Greece.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24" w:lineRule="exact"/>
        <w:rPr>
          <w:sz w:val="20"/>
          <w:szCs w:val="20"/>
          <w:color w:val="auto"/>
        </w:rPr>
      </w:pPr>
    </w:p>
    <w:p>
      <w:pPr>
        <w:ind w:right="80" w:firstLine="320"/>
        <w:spacing w:after="0" w:line="253" w:lineRule="auto"/>
        <w:rPr>
          <w:sz w:val="20"/>
          <w:szCs w:val="20"/>
          <w:color w:val="auto"/>
        </w:rPr>
      </w:pPr>
      <w:r>
        <w:rPr>
          <w:rFonts w:ascii="Arial" w:cs="Arial" w:eastAsia="Arial" w:hAnsi="Arial"/>
          <w:sz w:val="18"/>
          <w:szCs w:val="18"/>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24" w:lineRule="exact"/>
        <w:rPr>
          <w:sz w:val="20"/>
          <w:szCs w:val="20"/>
          <w:color w:val="auto"/>
        </w:rPr>
      </w:pPr>
    </w:p>
    <w:p>
      <w:pPr>
        <w:ind w:right="240" w:firstLine="320"/>
        <w:spacing w:after="0" w:line="337" w:lineRule="auto"/>
        <w:rPr>
          <w:sz w:val="20"/>
          <w:szCs w:val="20"/>
          <w:color w:val="auto"/>
        </w:rPr>
      </w:pPr>
      <w:r>
        <w:rPr>
          <w:rFonts w:ascii="Arial" w:cs="Arial" w:eastAsia="Arial" w:hAnsi="Arial"/>
          <w:sz w:val="14"/>
          <w:szCs w:val="14"/>
          <w:color w:val="auto"/>
        </w:rPr>
        <w:t>As of December 31, 2021, we had 150 full-time employees and contractors based in our offices in Piraeus, London, New Jersey, Singapore. In addition to our shore-based employees and contractors, we had approximately 2,247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38"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 crews to instill a culture focused on the highest operational and safety standards. As a result, we have historically enjoyed high retention rates. In 2021, our retention rate was 95.6% for senior seagoing officers, 96.8% for other seagoing officers and 95.6% for shore staff.</w:t>
      </w:r>
    </w:p>
    <w:p>
      <w:pPr>
        <w:spacing w:after="0" w:line="190" w:lineRule="exact"/>
        <w:rPr>
          <w:sz w:val="20"/>
          <w:szCs w:val="20"/>
          <w:color w:val="auto"/>
        </w:rPr>
      </w:pPr>
    </w:p>
    <w:p>
      <w:pPr>
        <w:ind w:right="60" w:firstLine="320"/>
        <w:spacing w:after="0" w:line="252" w:lineRule="auto"/>
        <w:rPr>
          <w:sz w:val="20"/>
          <w:szCs w:val="20"/>
          <w:color w:val="auto"/>
        </w:rPr>
      </w:pPr>
      <w:r>
        <w:rPr>
          <w:rFonts w:ascii="Arial" w:cs="Arial" w:eastAsia="Arial" w:hAnsi="Arial"/>
          <w:sz w:val="18"/>
          <w:szCs w:val="18"/>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would be mitigated to some extent by certain provisions in some of our time charters, including automatic periodic adjustment and cost review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24" w:lineRule="exact"/>
        <w:rPr>
          <w:sz w:val="20"/>
          <w:szCs w:val="20"/>
          <w:color w:val="auto"/>
        </w:rPr>
      </w:pPr>
    </w:p>
    <w:p>
      <w:pPr>
        <w:ind w:right="120" w:firstLine="320"/>
        <w:spacing w:after="0" w:line="255" w:lineRule="auto"/>
        <w:rPr>
          <w:sz w:val="20"/>
          <w:szCs w:val="20"/>
          <w:color w:val="auto"/>
        </w:rPr>
      </w:pPr>
      <w:r>
        <w:rPr>
          <w:rFonts w:ascii="Arial" w:cs="Arial" w:eastAsia="Arial" w:hAnsi="Arial"/>
          <w:sz w:val="18"/>
          <w:szCs w:val="18"/>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certain information regarding the beneficial ownership of our outstanding common shares as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7, 2022 held by:</w:t>
      </w:r>
    </w:p>
    <w:p>
      <w:pPr>
        <w:spacing w:after="0" w:line="207" w:lineRule="exact"/>
        <w:rPr>
          <w:sz w:val="20"/>
          <w:szCs w:val="20"/>
          <w:color w:val="auto"/>
        </w:rPr>
      </w:pPr>
    </w:p>
    <w:p>
      <w:pPr>
        <w:ind w:left="680" w:hanging="32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53" w:lineRule="exact"/>
        <w:rPr>
          <w:rFonts w:ascii="Arial" w:cs="Arial" w:eastAsia="Arial" w:hAnsi="Arial"/>
          <w:sz w:val="18"/>
          <w:szCs w:val="18"/>
          <w:color w:val="auto"/>
        </w:rPr>
      </w:pPr>
    </w:p>
    <w:p>
      <w:pPr>
        <w:ind w:left="680" w:hanging="32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139" w:lineRule="exact"/>
        <w:rPr>
          <w:rFonts w:ascii="Arial" w:cs="Arial" w:eastAsia="Arial" w:hAnsi="Arial"/>
          <w:sz w:val="18"/>
          <w:szCs w:val="18"/>
          <w:color w:val="auto"/>
        </w:rPr>
      </w:pPr>
    </w:p>
    <w:p>
      <w:pPr>
        <w:ind w:left="680" w:hanging="32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holder known to us to beneficially own 5.0% or more of our shares;</w:t>
      </w:r>
    </w:p>
    <w:p>
      <w:pPr>
        <w:spacing w:after="0" w:line="220" w:lineRule="exact"/>
        <w:rPr>
          <w:sz w:val="20"/>
          <w:szCs w:val="20"/>
          <w:color w:val="auto"/>
        </w:rPr>
      </w:pPr>
    </w:p>
    <w:p>
      <w:pPr>
        <w:ind w:right="120" w:firstLine="320"/>
        <w:spacing w:after="0" w:line="306" w:lineRule="auto"/>
        <w:rPr>
          <w:sz w:val="20"/>
          <w:szCs w:val="20"/>
          <w:color w:val="auto"/>
        </w:rPr>
      </w:pPr>
      <w:r>
        <w:rPr>
          <w:rFonts w:ascii="Arial" w:cs="Arial" w:eastAsia="Arial" w:hAnsi="Arial"/>
          <w:sz w:val="16"/>
          <w:szCs w:val="16"/>
          <w:color w:val="auto"/>
        </w:rPr>
        <w:t>Beneficial ownership is determined in accordance with SEC rules. Percentage computations are based on 95,389,062 common shares outstanding as of March 7, 2022. Each issued and outstanding common share will entitle the shareholder to one vote. Information for certain holders is based on their latest filings with the SEC or information delivered to us. Except as noted below,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address of all shareholders, officers and directors identified in the table and the accompanying footnotes below is in care of our principal executive offices.</w:t>
      </w:r>
    </w:p>
    <w:p>
      <w:pPr>
        <w:spacing w:after="0" w:line="18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Common Shares</w:t>
      </w:r>
    </w:p>
    <w:tbl>
      <w:tblPr>
        <w:tblLayout w:type="fixed"/>
        <w:tblInd w:w="0" w:type="dxa"/>
        <w:tblCellMar>
          <w:top w:w="0" w:type="dxa"/>
          <w:left w:w="0" w:type="dxa"/>
          <w:bottom w:w="0" w:type="dxa"/>
          <w:right w:w="0" w:type="dxa"/>
        </w:tblCellMar>
      </w:tblPr>
      <w:tr>
        <w:trPr>
          <w:trHeight w:val="155"/>
        </w:trPr>
        <w:tc>
          <w:tcPr>
            <w:tcW w:w="7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tcBorders>
              <w:bottom w:val="single" w:sz="8" w:color="auto"/>
            </w:tcBorders>
            <w:gridSpan w:val="3"/>
          </w:tcPr>
          <w:p>
            <w:pPr>
              <w:jc w:val="right"/>
              <w:ind w:right="433"/>
              <w:spacing w:after="0" w:line="155" w:lineRule="exact"/>
              <w:rPr>
                <w:sz w:val="20"/>
                <w:szCs w:val="20"/>
                <w:color w:val="auto"/>
              </w:rPr>
            </w:pPr>
            <w:r>
              <w:rPr>
                <w:rFonts w:ascii="Arial" w:cs="Arial" w:eastAsia="Arial" w:hAnsi="Arial"/>
                <w:sz w:val="14"/>
                <w:szCs w:val="14"/>
                <w:b w:val="1"/>
                <w:bCs w:val="1"/>
                <w:color w:val="auto"/>
              </w:rPr>
              <w:t>Beneficially Owned</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440" w:type="dxa"/>
            <w:vAlign w:val="bottom"/>
            <w:gridSpan w:val="3"/>
            <w:vMerge w:val="continue"/>
          </w:tcPr>
          <w:p>
            <w:pPr>
              <w:spacing w:after="0"/>
              <w:rPr>
                <w:sz w:val="12"/>
                <w:szCs w:val="12"/>
                <w:color w:val="auto"/>
              </w:rPr>
            </w:pPr>
          </w:p>
        </w:tc>
        <w:tc>
          <w:tcPr>
            <w:tcW w:w="1280" w:type="dxa"/>
            <w:vAlign w:val="bottom"/>
            <w:gridSpan w:val="2"/>
          </w:tcPr>
          <w:p>
            <w:pPr>
              <w:ind w:left="280"/>
              <w:spacing w:after="0" w:line="140" w:lineRule="exact"/>
              <w:rPr>
                <w:sz w:val="20"/>
                <w:szCs w:val="20"/>
                <w:color w:val="auto"/>
              </w:rPr>
            </w:pPr>
            <w:r>
              <w:rPr>
                <w:rFonts w:ascii="Arial" w:cs="Arial" w:eastAsia="Arial" w:hAnsi="Arial"/>
                <w:sz w:val="14"/>
                <w:szCs w:val="14"/>
                <w:b w:val="1"/>
                <w:bCs w:val="1"/>
                <w:color w:val="auto"/>
              </w:rPr>
              <w:t>Number</w:t>
            </w:r>
          </w:p>
        </w:tc>
        <w:tc>
          <w:tcPr>
            <w:tcW w:w="1000" w:type="dxa"/>
            <w:vAlign w:val="bottom"/>
          </w:tcPr>
          <w:p>
            <w:pPr>
              <w:jc w:val="right"/>
              <w:ind w:right="173"/>
              <w:spacing w:after="0" w:line="140" w:lineRule="exact"/>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line="213" w:lineRule="exact"/>
              <w:rPr>
                <w:sz w:val="20"/>
                <w:szCs w:val="20"/>
                <w:color w:val="auto"/>
              </w:rPr>
            </w:pPr>
            <w:r>
              <w:rPr>
                <w:rFonts w:ascii="Arial" w:cs="Arial" w:eastAsia="Arial" w:hAnsi="Arial"/>
                <w:sz w:val="17"/>
                <w:szCs w:val="17"/>
                <w:color w:val="auto"/>
              </w:rPr>
              <w:t>Peter G. Livanos</w:t>
            </w:r>
            <w:r>
              <w:rPr>
                <w:rFonts w:ascii="Arial" w:cs="Arial" w:eastAsia="Arial" w:hAnsi="Arial"/>
                <w:sz w:val="24"/>
                <w:szCs w:val="24"/>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41,460,198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Berner</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Julian R. Metherell</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S. Papadimitriou</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Eduard Ruijs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Wogan</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Paolo Enoizi</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Achilleas Tasioulas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Konstantinos Karathanos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i w:val="1"/>
                <w:iCs w:val="1"/>
                <w:color w:val="auto"/>
              </w:rPr>
              <w:t>Other 5.0% beneficial owners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color w:val="auto"/>
              </w:rPr>
              <w:t>Alexander S. Onassis Foundation</w:t>
            </w:r>
            <w:r>
              <w:rPr>
                <w:rFonts w:ascii="Arial" w:cs="Arial" w:eastAsia="Arial" w:hAnsi="Arial"/>
                <w:sz w:val="24"/>
                <w:szCs w:val="24"/>
                <w:color w:val="auto"/>
                <w:vertAlign w:val="superscript"/>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11,164,904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BlackRock</w:t>
            </w:r>
            <w:r>
              <w:rPr>
                <w:rFonts w:ascii="Arial" w:cs="Arial" w:eastAsia="Arial" w:hAnsi="Arial"/>
                <w:sz w:val="26"/>
                <w:szCs w:val="26"/>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42,763,960</w:t>
            </w:r>
          </w:p>
        </w:tc>
        <w:tc>
          <w:tcPr>
            <w:tcW w:w="2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-34925</wp:posOffset>
            </wp:positionV>
            <wp:extent cx="15671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ind w:left="320" w:right="100" w:hanging="313"/>
        <w:spacing w:after="0" w:line="242" w:lineRule="auto"/>
        <w:tabs>
          <w:tab w:leader="none" w:pos="3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w:t>
      </w:r>
    </w:p>
    <w:p>
      <w:pPr>
        <w:ind w:left="320"/>
        <w:spacing w:after="0"/>
        <w:rPr>
          <w:rFonts w:ascii="Arial" w:cs="Arial" w:eastAsia="Arial" w:hAnsi="Arial"/>
          <w:sz w:val="10"/>
          <w:szCs w:val="10"/>
          <w:color w:val="auto"/>
        </w:rPr>
      </w:pPr>
      <w:r>
        <w:rPr>
          <w:rFonts w:ascii="Arial" w:cs="Arial" w:eastAsia="Arial" w:hAnsi="Arial"/>
          <w:sz w:val="14"/>
          <w:szCs w:val="14"/>
          <w:color w:val="auto"/>
        </w:rPr>
        <w:t>Mr. Livanos can effectively control the Company through direct and indirect ownership interests.</w:t>
      </w:r>
    </w:p>
    <w:p>
      <w:pPr>
        <w:spacing w:after="0" w:line="187" w:lineRule="exact"/>
        <w:rPr>
          <w:rFonts w:ascii="Arial" w:cs="Arial" w:eastAsia="Arial" w:hAnsi="Arial"/>
          <w:sz w:val="10"/>
          <w:szCs w:val="10"/>
          <w:color w:val="auto"/>
        </w:rPr>
      </w:pPr>
    </w:p>
    <w:p>
      <w:pPr>
        <w:ind w:left="320" w:right="180" w:hanging="313"/>
        <w:spacing w:after="0" w:line="235" w:lineRule="auto"/>
        <w:tabs>
          <w:tab w:leader="none" w:pos="320" w:val="left"/>
        </w:tabs>
        <w:numPr>
          <w:ilvl w:val="0"/>
          <w:numId w:val="74"/>
        </w:numPr>
        <w:rPr>
          <w:rFonts w:ascii="Arial" w:cs="Arial" w:eastAsia="Arial" w:hAnsi="Arial"/>
          <w:sz w:val="11"/>
          <w:szCs w:val="11"/>
          <w:color w:val="auto"/>
        </w:rPr>
      </w:pPr>
      <w:r>
        <w:rPr>
          <w:rFonts w:ascii="Arial" w:cs="Arial" w:eastAsia="Arial" w:hAnsi="Arial"/>
          <w:sz w:val="14"/>
          <w:szCs w:val="14"/>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80" w:lineRule="exact"/>
        <w:rPr>
          <w:rFonts w:ascii="Arial" w:cs="Arial" w:eastAsia="Arial" w:hAnsi="Arial"/>
          <w:sz w:val="11"/>
          <w:szCs w:val="11"/>
          <w:color w:val="auto"/>
        </w:rPr>
      </w:pPr>
    </w:p>
    <w:p>
      <w:pPr>
        <w:ind w:left="320" w:hanging="313"/>
        <w:spacing w:after="0"/>
        <w:tabs>
          <w:tab w:leader="none" w:pos="320" w:val="left"/>
        </w:tabs>
        <w:numPr>
          <w:ilvl w:val="0"/>
          <w:numId w:val="74"/>
        </w:numPr>
        <w:rPr>
          <w:rFonts w:ascii="Arial" w:cs="Arial" w:eastAsia="Arial" w:hAnsi="Arial"/>
          <w:sz w:val="11"/>
          <w:szCs w:val="11"/>
          <w:color w:val="auto"/>
        </w:rPr>
      </w:pPr>
      <w:r>
        <w:rPr>
          <w:rFonts w:ascii="Arial" w:cs="Arial" w:eastAsia="Arial" w:hAnsi="Arial"/>
          <w:sz w:val="14"/>
          <w:szCs w:val="14"/>
          <w:color w:val="auto"/>
        </w:rPr>
        <w:t>By virtue of common shares held indirectly through its wholly owned subsidiary, GEPIF III Crown BidCo L.P. acquired on June 6, 2021.</w:t>
      </w:r>
    </w:p>
    <w:p>
      <w:pPr>
        <w:spacing w:after="0" w:line="199" w:lineRule="exact"/>
        <w:rPr>
          <w:sz w:val="20"/>
          <w:szCs w:val="20"/>
          <w:color w:val="auto"/>
        </w:rPr>
      </w:pPr>
    </w:p>
    <w:p>
      <w:pPr>
        <w:ind w:left="320" w:hanging="313"/>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GasLog Partners</w:t>
      </w:r>
    </w:p>
    <w:p>
      <w:pPr>
        <w:spacing w:after="0" w:line="224" w:lineRule="exact"/>
        <w:rPr>
          <w:sz w:val="20"/>
          <w:szCs w:val="20"/>
          <w:color w:val="auto"/>
        </w:rPr>
      </w:pPr>
    </w:p>
    <w:p>
      <w:pPr>
        <w:ind w:right="200" w:firstLine="320"/>
        <w:spacing w:after="0" w:line="258" w:lineRule="auto"/>
        <w:rPr>
          <w:sz w:val="20"/>
          <w:szCs w:val="20"/>
          <w:color w:val="auto"/>
        </w:rPr>
      </w:pPr>
      <w:r>
        <w:rPr>
          <w:rFonts w:ascii="Arial" w:cs="Arial" w:eastAsia="Arial" w:hAnsi="Arial"/>
          <w:sz w:val="18"/>
          <w:szCs w:val="18"/>
          <w:color w:val="auto"/>
        </w:rPr>
        <w:t>GasLog Partners was formed by us in January 2014 to acquire, own and operate LNG carriers engaged in LNG transportation under long-term charters, which we define as charters of five full years or more. In May 2014, the Partnership completed its initial public offering and its common units began trading on the NYSE.</w:t>
      </w:r>
    </w:p>
    <w:p>
      <w:pPr>
        <w:spacing w:after="0" w:line="186" w:lineRule="exact"/>
        <w:rPr>
          <w:sz w:val="20"/>
          <w:szCs w:val="20"/>
          <w:color w:val="auto"/>
        </w:rPr>
      </w:pPr>
    </w:p>
    <w:p>
      <w:pPr>
        <w:ind w:right="260" w:firstLine="320"/>
        <w:spacing w:after="0" w:line="258" w:lineRule="auto"/>
        <w:rPr>
          <w:sz w:val="20"/>
          <w:szCs w:val="20"/>
          <w:color w:val="auto"/>
        </w:rPr>
      </w:pPr>
      <w:r>
        <w:rPr>
          <w:rFonts w:ascii="Arial" w:cs="Arial" w:eastAsia="Arial" w:hAnsi="Arial"/>
          <w:sz w:val="18"/>
          <w:szCs w:val="18"/>
          <w:color w:val="auto"/>
        </w:rPr>
        <w:t>On November 10, 2020, the Partnership announced its intention to engage with an independent advisor to assess its strategic alternatives. After a comprehensive analysis of the Partnership’s corporate structure, assets, financial position, competitive environment and current and expected commercial market, it was concluded that:</w:t>
      </w:r>
    </w:p>
    <w:p>
      <w:pPr>
        <w:spacing w:after="0" w:line="186" w:lineRule="exact"/>
        <w:rPr>
          <w:sz w:val="20"/>
          <w:szCs w:val="20"/>
          <w:color w:val="auto"/>
        </w:rPr>
      </w:pPr>
    </w:p>
    <w:p>
      <w:pPr>
        <w:ind w:left="680" w:hanging="32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Partnership will maintain its current corporate structure with GasLog as its general partner;</w:t>
      </w:r>
    </w:p>
    <w:p>
      <w:pPr>
        <w:spacing w:after="0" w:line="139" w:lineRule="exact"/>
        <w:rPr>
          <w:rFonts w:ascii="Arial" w:cs="Arial" w:eastAsia="Arial" w:hAnsi="Arial"/>
          <w:sz w:val="18"/>
          <w:szCs w:val="18"/>
          <w:color w:val="auto"/>
        </w:rPr>
      </w:pPr>
    </w:p>
    <w:p>
      <w:pPr>
        <w:ind w:left="680" w:right="80" w:hanging="326"/>
        <w:spacing w:after="0" w:line="270"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Partnership will continue to pursue an independent commercial and operational strategy of owning, operating, and acquiring LNG carriers; and</w:t>
      </w:r>
    </w:p>
    <w:p>
      <w:pPr>
        <w:spacing w:after="0" w:line="108" w:lineRule="exact"/>
        <w:rPr>
          <w:rFonts w:ascii="Arial" w:cs="Arial" w:eastAsia="Arial" w:hAnsi="Arial"/>
          <w:sz w:val="18"/>
          <w:szCs w:val="18"/>
          <w:color w:val="auto"/>
        </w:rPr>
      </w:pPr>
    </w:p>
    <w:p>
      <w:pPr>
        <w:ind w:left="680" w:right="180" w:hanging="326"/>
        <w:spacing w:after="0" w:line="270"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Strategy remains an ongoing focus of our board of directors and we are open to entertaining all value-enhancing options for the business as we continue to reduce debt and enhance liquidity.</w:t>
      </w:r>
    </w:p>
    <w:p>
      <w:pPr>
        <w:spacing w:after="0" w:line="175" w:lineRule="exact"/>
        <w:rPr>
          <w:sz w:val="20"/>
          <w:szCs w:val="20"/>
          <w:color w:val="auto"/>
        </w:rPr>
      </w:pPr>
    </w:p>
    <w:p>
      <w:pPr>
        <w:ind w:right="200" w:firstLine="320"/>
        <w:spacing w:after="0" w:line="274" w:lineRule="auto"/>
        <w:rPr>
          <w:sz w:val="20"/>
          <w:szCs w:val="20"/>
          <w:color w:val="auto"/>
        </w:rPr>
      </w:pPr>
      <w:r>
        <w:rPr>
          <w:rFonts w:ascii="Arial" w:cs="Arial" w:eastAsia="Arial" w:hAnsi="Arial"/>
          <w:sz w:val="17"/>
          <w:szCs w:val="17"/>
          <w:color w:val="auto"/>
        </w:rPr>
        <w:t>The Partnership conducts its operations through its vessel-owning subsidiaries and as of March 7, 2022, had a wholly owned and bareboat fleet of 15 LNG carriers. As of March 7, 2022, we hold a 33.3% ownership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Quarterly Cash Dividends</w:t>
      </w:r>
    </w:p>
    <w:p>
      <w:pPr>
        <w:spacing w:after="0" w:line="220" w:lineRule="exact"/>
        <w:rPr>
          <w:sz w:val="20"/>
          <w:szCs w:val="20"/>
          <w:color w:val="auto"/>
        </w:rPr>
      </w:pPr>
    </w:p>
    <w:p>
      <w:pPr>
        <w:ind w:right="20" w:firstLine="320"/>
        <w:spacing w:after="0" w:line="253" w:lineRule="auto"/>
        <w:rPr>
          <w:sz w:val="20"/>
          <w:szCs w:val="20"/>
          <w:color w:val="auto"/>
        </w:rPr>
      </w:pPr>
      <w:r>
        <w:rPr>
          <w:rFonts w:ascii="Arial" w:cs="Arial" w:eastAsia="Arial" w:hAnsi="Arial"/>
          <w:sz w:val="18"/>
          <w:szCs w:val="18"/>
          <w:color w:val="auto"/>
        </w:rPr>
        <w:t>We are entitled to distributions on our general and limited partner interests in GasLog Partners. These interests consist of common units and general partner interests. Following a challenging number of years for capital markets in midstream energy, along with declining visibility in to the Partnership’s future financial performance exacerbated by the COVID-19 pandemic related uncertainty in the near term LNG and LNG shipping markets, the Partnership’s board of directors decided to reduce its quarterly cash distributions on common units to $0.01 per unit from the third quarter of 2020.</w:t>
      </w:r>
    </w:p>
    <w:p>
      <w:pPr>
        <w:spacing w:after="0" w:line="190" w:lineRule="exact"/>
        <w:rPr>
          <w:sz w:val="20"/>
          <w:szCs w:val="20"/>
          <w:color w:val="auto"/>
        </w:rPr>
      </w:pPr>
    </w:p>
    <w:p>
      <w:pPr>
        <w:ind w:right="140" w:firstLine="320"/>
        <w:spacing w:after="0" w:line="306" w:lineRule="auto"/>
        <w:rPr>
          <w:sz w:val="20"/>
          <w:szCs w:val="20"/>
          <w:color w:val="auto"/>
        </w:rPr>
      </w:pPr>
      <w:r>
        <w:rPr>
          <w:rFonts w:ascii="Arial" w:cs="Arial" w:eastAsia="Arial" w:hAnsi="Arial"/>
          <w:sz w:val="16"/>
          <w:szCs w:val="16"/>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received total distributions from GasLog Partners of $0.6 million in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0" w:lineRule="exact"/>
        <w:rPr>
          <w:sz w:val="20"/>
          <w:szCs w:val="20"/>
          <w:color w:val="auto"/>
        </w:rPr>
      </w:pPr>
    </w:p>
    <w:p>
      <w:pPr>
        <w:ind w:right="660" w:firstLine="320"/>
        <w:spacing w:after="0" w:line="270" w:lineRule="auto"/>
        <w:rPr>
          <w:sz w:val="20"/>
          <w:szCs w:val="20"/>
          <w:color w:val="auto"/>
        </w:rPr>
      </w:pPr>
      <w:r>
        <w:rPr>
          <w:rFonts w:ascii="Arial" w:cs="Arial" w:eastAsia="Arial" w:hAnsi="Arial"/>
          <w:sz w:val="18"/>
          <w:szCs w:val="18"/>
          <w:color w:val="auto"/>
        </w:rPr>
        <w:t>On May 12, 2014, we entered into an omnibus agreement with GasLog Partners and certain of its subsidiaries. The following discussion describes certain provisions of the omnibus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Noncompetition; Five-Year Vessel Restricted Business Opportunities</w:t>
      </w:r>
    </w:p>
    <w:p>
      <w:pPr>
        <w:spacing w:after="0" w:line="220" w:lineRule="exact"/>
        <w:rPr>
          <w:sz w:val="20"/>
          <w:szCs w:val="20"/>
          <w:color w:val="auto"/>
        </w:rPr>
      </w:pPr>
    </w:p>
    <w:p>
      <w:pPr>
        <w:ind w:firstLine="320"/>
        <w:spacing w:after="0" w:line="250" w:lineRule="auto"/>
        <w:rPr>
          <w:sz w:val="20"/>
          <w:szCs w:val="20"/>
          <w:color w:val="auto"/>
        </w:rPr>
      </w:pPr>
      <w:r>
        <w:rPr>
          <w:rFonts w:ascii="Arial" w:cs="Arial" w:eastAsia="Arial" w:hAnsi="Arial"/>
          <w:sz w:val="18"/>
          <w:szCs w:val="18"/>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 For purposes of this section, we refer to these vessels, together with any related charters, as “Five-Year Vessels” and to all other LNG carriers, together with any related charters, as “Non-Five-Year Vessels”. The restrictions in this paragraph will not prevent us or any of our controlled affiliates (other than GasLog Partners and its subsidiaries) from:</w:t>
      </w:r>
    </w:p>
    <w:p>
      <w:pPr>
        <w:spacing w:after="0" w:line="196" w:lineRule="exact"/>
        <w:rPr>
          <w:sz w:val="20"/>
          <w:szCs w:val="20"/>
          <w:color w:val="auto"/>
        </w:rPr>
      </w:pPr>
    </w:p>
    <w:p>
      <w:pPr>
        <w:ind w:left="680" w:hanging="326"/>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owning, operating or chartering Non-Five-Year Vessels;</w:t>
      </w:r>
    </w:p>
    <w:p>
      <w:pPr>
        <w:spacing w:after="0" w:line="219" w:lineRule="exact"/>
        <w:rPr>
          <w:rFonts w:ascii="Arial" w:cs="Arial" w:eastAsia="Arial" w:hAnsi="Arial"/>
          <w:sz w:val="18"/>
          <w:szCs w:val="18"/>
          <w:color w:val="auto"/>
        </w:rPr>
      </w:pPr>
    </w:p>
    <w:p>
      <w:pPr>
        <w:jc w:val="both"/>
        <w:ind w:left="680" w:right="100" w:hanging="326"/>
        <w:spacing w:after="0" w:line="258"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186" w:lineRule="exact"/>
        <w:rPr>
          <w:rFonts w:ascii="Arial" w:cs="Arial" w:eastAsia="Arial" w:hAnsi="Arial"/>
          <w:sz w:val="18"/>
          <w:szCs w:val="18"/>
          <w:color w:val="auto"/>
        </w:rPr>
      </w:pPr>
    </w:p>
    <w:p>
      <w:pPr>
        <w:ind w:left="680" w:right="140" w:hanging="326"/>
        <w:spacing w:after="0" w:line="258"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putting a Non-Five-Year Vessel under charter for five full years or more if we offer to sell the vessel to GasLog Partners for fair market value (x) promptly after the time it becomes a Five-Year Vessel and (y) at each renewal or extension of that charter for five full years or more;</w:t>
      </w:r>
    </w:p>
    <w:p>
      <w:pPr>
        <w:spacing w:after="0" w:line="186"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174" w:lineRule="exact"/>
        <w:rPr>
          <w:rFonts w:ascii="Arial" w:cs="Arial" w:eastAsia="Arial" w:hAnsi="Arial"/>
          <w:sz w:val="18"/>
          <w:szCs w:val="18"/>
          <w:color w:val="auto"/>
        </w:rPr>
      </w:pPr>
    </w:p>
    <w:p>
      <w:pPr>
        <w:jc w:val="both"/>
        <w:ind w:left="1000" w:right="220" w:hanging="326"/>
        <w:spacing w:after="0" w:line="255"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Five-Year Vessels, as determined in good faith by our board of directors, we must offer to sell such vessels to GasLog Partners for their fair market value plus any additional tax or other similar costs that we incur in connection with the acquisition and the transfer of such vessels to GasLog Partners separate from the acquired business; and</w:t>
      </w:r>
    </w:p>
    <w:p>
      <w:pPr>
        <w:spacing w:after="0" w:line="187" w:lineRule="exact"/>
        <w:rPr>
          <w:rFonts w:ascii="Arial" w:cs="Arial" w:eastAsia="Arial" w:hAnsi="Arial"/>
          <w:sz w:val="18"/>
          <w:szCs w:val="18"/>
          <w:color w:val="auto"/>
        </w:rPr>
      </w:pPr>
    </w:p>
    <w:p>
      <w:pPr>
        <w:ind w:left="1000" w:hanging="326"/>
        <w:spacing w:after="0" w:line="252"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ectPr>
          <w:pgSz w:w="11900" w:h="16838" w:orient="portrait"/>
          <w:cols w:equalWidth="0" w:num="1">
            <w:col w:w="9900"/>
          </w:cols>
          <w:pgMar w:left="980" w:top="659"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hanging="326"/>
        <w:spacing w:after="0"/>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acquiring a non-controlling equity ownership, voting or profit participation interest in any company, business or pool of assets;</w:t>
      </w:r>
    </w:p>
    <w:p>
      <w:pPr>
        <w:spacing w:after="0" w:line="242" w:lineRule="exact"/>
        <w:rPr>
          <w:rFonts w:ascii="Arial" w:cs="Arial" w:eastAsia="Arial" w:hAnsi="Arial"/>
          <w:sz w:val="16"/>
          <w:szCs w:val="16"/>
          <w:color w:val="auto"/>
        </w:rPr>
      </w:pPr>
    </w:p>
    <w:p>
      <w:pPr>
        <w:ind w:left="680" w:right="360" w:hanging="326"/>
        <w:spacing w:after="0" w:line="270"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GasLog Partners does not fulfill its obligation to purchase such vessel in accordance with the terms of any existing or future agreement;</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subject to the offers to GasLog Partners described in</w:t>
      </w:r>
    </w:p>
    <w:p>
      <w:pPr>
        <w:spacing w:after="0" w:line="19" w:lineRule="exact"/>
        <w:rPr>
          <w:rFonts w:ascii="Arial" w:cs="Arial" w:eastAsia="Arial" w:hAnsi="Arial"/>
          <w:sz w:val="18"/>
          <w:szCs w:val="18"/>
          <w:color w:val="auto"/>
        </w:rPr>
      </w:pPr>
    </w:p>
    <w:p>
      <w:pPr>
        <w:ind w:left="680" w:right="80"/>
        <w:spacing w:after="0" w:line="255" w:lineRule="auto"/>
        <w:rPr>
          <w:rFonts w:ascii="Arial" w:cs="Arial" w:eastAsia="Arial" w:hAnsi="Arial"/>
          <w:sz w:val="18"/>
          <w:szCs w:val="18"/>
          <w:color w:val="auto"/>
        </w:rPr>
      </w:pPr>
      <w:r>
        <w:rPr>
          <w:rFonts w:ascii="Arial" w:cs="Arial" w:eastAsia="Arial" w:hAnsi="Arial"/>
          <w:sz w:val="18"/>
          <w:szCs w:val="18"/>
          <w:color w:val="auto"/>
        </w:rPr>
        <w:t>paragraphs (2), (3) and (4) above pending its determination whether to accept such offers and pending the closing of any offers it accepts;</w:t>
      </w:r>
    </w:p>
    <w:p>
      <w:pPr>
        <w:spacing w:after="0" w:line="187" w:lineRule="exact"/>
        <w:rPr>
          <w:rFonts w:ascii="Arial" w:cs="Arial" w:eastAsia="Arial" w:hAnsi="Arial"/>
          <w:sz w:val="18"/>
          <w:szCs w:val="18"/>
          <w:color w:val="auto"/>
        </w:rPr>
      </w:pPr>
    </w:p>
    <w:p>
      <w:pPr>
        <w:ind w:left="680" w:hanging="32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19" w:lineRule="exact"/>
        <w:rPr>
          <w:rFonts w:ascii="Arial" w:cs="Arial" w:eastAsia="Arial" w:hAnsi="Arial"/>
          <w:sz w:val="18"/>
          <w:szCs w:val="18"/>
          <w:color w:val="auto"/>
        </w:rPr>
      </w:pPr>
    </w:p>
    <w:p>
      <w:pPr>
        <w:ind w:left="680" w:right="40" w:hanging="326"/>
        <w:spacing w:after="0" w:line="270"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owning or operating any Five-Year Vessel that we owned on the closing date of GasLog Partners’ IPO and that was not part of its fleet as of such date; or</w:t>
      </w:r>
    </w:p>
    <w:p>
      <w:pPr>
        <w:spacing w:after="0" w:line="174" w:lineRule="exact"/>
        <w:rPr>
          <w:rFonts w:ascii="Arial" w:cs="Arial" w:eastAsia="Arial" w:hAnsi="Arial"/>
          <w:sz w:val="18"/>
          <w:szCs w:val="18"/>
          <w:color w:val="auto"/>
        </w:rPr>
      </w:pPr>
    </w:p>
    <w:p>
      <w:pPr>
        <w:ind w:left="680" w:right="320" w:hanging="326"/>
        <w:spacing w:after="0" w:line="270"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GasLog Partners has previously advised us that it consents to such acquisition, ownership, operation or charter.</w:t>
      </w:r>
    </w:p>
    <w:p>
      <w:pPr>
        <w:spacing w:after="0" w:line="175"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188" w:lineRule="exact"/>
        <w:rPr>
          <w:sz w:val="20"/>
          <w:szCs w:val="20"/>
          <w:color w:val="auto"/>
        </w:rPr>
      </w:pPr>
    </w:p>
    <w:p>
      <w:pPr>
        <w:ind w:right="480" w:firstLine="320"/>
        <w:spacing w:after="0" w:line="270" w:lineRule="auto"/>
        <w:rPr>
          <w:sz w:val="20"/>
          <w:szCs w:val="20"/>
          <w:color w:val="auto"/>
        </w:rPr>
      </w:pPr>
      <w:r>
        <w:rPr>
          <w:rFonts w:ascii="Arial" w:cs="Arial" w:eastAsia="Arial" w:hAnsi="Arial"/>
          <w:sz w:val="18"/>
          <w:szCs w:val="18"/>
          <w:color w:val="auto"/>
        </w:rPr>
        <w:t>In addition, under the omnibus agreement GasLog Partners has agreed, and has caused its subsidiaries to agree, to acquire, own, operate or charter Five-Year Vessels only. The restrictions in this paragraph will not:</w:t>
      </w:r>
    </w:p>
    <w:p>
      <w:pPr>
        <w:spacing w:after="0" w:line="175" w:lineRule="exact"/>
        <w:rPr>
          <w:sz w:val="20"/>
          <w:szCs w:val="20"/>
          <w:color w:val="auto"/>
        </w:rPr>
      </w:pPr>
    </w:p>
    <w:p>
      <w:pPr>
        <w:ind w:left="680" w:right="460" w:hanging="326"/>
        <w:spacing w:after="0" w:line="270"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owning, operating or chartering any Non-Five-Year Vessel that was previously a Five-Year Vessel while owned by GasLog Partners or any of its subsidiaries;</w:t>
      </w:r>
    </w:p>
    <w:p>
      <w:pPr>
        <w:spacing w:after="0" w:line="174" w:lineRule="exact"/>
        <w:rPr>
          <w:rFonts w:ascii="Arial" w:cs="Arial" w:eastAsia="Arial" w:hAnsi="Arial"/>
          <w:sz w:val="18"/>
          <w:szCs w:val="18"/>
          <w:color w:val="auto"/>
        </w:rPr>
      </w:pPr>
    </w:p>
    <w:p>
      <w:pPr>
        <w:ind w:left="680" w:right="80" w:hanging="326"/>
        <w:spacing w:after="0" w:line="333"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129" w:lineRule="exact"/>
        <w:rPr>
          <w:rFonts w:ascii="Arial" w:cs="Arial" w:eastAsia="Arial" w:hAnsi="Arial"/>
          <w:sz w:val="16"/>
          <w:szCs w:val="16"/>
          <w:color w:val="auto"/>
        </w:rPr>
      </w:pPr>
    </w:p>
    <w:p>
      <w:pPr>
        <w:ind w:left="1000" w:right="120" w:hanging="326"/>
        <w:spacing w:after="0" w:line="255"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187" w:lineRule="exact"/>
        <w:rPr>
          <w:rFonts w:ascii="Arial" w:cs="Arial" w:eastAsia="Arial" w:hAnsi="Arial"/>
          <w:sz w:val="18"/>
          <w:szCs w:val="18"/>
          <w:color w:val="auto"/>
        </w:rPr>
      </w:pPr>
    </w:p>
    <w:p>
      <w:pPr>
        <w:ind w:left="1000" w:hanging="326"/>
        <w:spacing w:after="0" w:line="252"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a majority or more of the value of the business or assets acquired is attributable to Non-Five-Year Vessels, as determined in good faith by GasLog Partners, the Partnership must notify us of the proposed acquisition in advance. Not later than 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 30 days, the Partnership may proceed with the acquisition and then offer to sell such vessels to us as provided in (a) above;</w:t>
      </w:r>
    </w:p>
    <w:p>
      <w:pPr>
        <w:spacing w:after="0" w:line="190" w:lineRule="exact"/>
        <w:rPr>
          <w:rFonts w:ascii="Arial" w:cs="Arial" w:eastAsia="Arial" w:hAnsi="Arial"/>
          <w:sz w:val="18"/>
          <w:szCs w:val="18"/>
          <w:color w:val="auto"/>
        </w:rPr>
      </w:pPr>
    </w:p>
    <w:p>
      <w:pPr>
        <w:ind w:left="680" w:right="200" w:hanging="326"/>
        <w:spacing w:after="0" w:line="258"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186" w:lineRule="exact"/>
        <w:rPr>
          <w:rFonts w:ascii="Arial" w:cs="Arial" w:eastAsia="Arial" w:hAnsi="Arial"/>
          <w:sz w:val="18"/>
          <w:szCs w:val="18"/>
          <w:color w:val="auto"/>
        </w:rPr>
      </w:pPr>
    </w:p>
    <w:p>
      <w:pPr>
        <w:ind w:left="680" w:right="160" w:hanging="326"/>
        <w:spacing w:after="0" w:line="333"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130" w:lineRule="exact"/>
        <w:rPr>
          <w:sz w:val="20"/>
          <w:szCs w:val="20"/>
          <w:color w:val="auto"/>
        </w:rPr>
      </w:pPr>
    </w:p>
    <w:p>
      <w:pPr>
        <w:ind w:right="340" w:firstLine="320"/>
        <w:spacing w:after="0" w:line="258" w:lineRule="auto"/>
        <w:rPr>
          <w:sz w:val="20"/>
          <w:szCs w:val="20"/>
          <w:color w:val="auto"/>
        </w:rPr>
      </w:pPr>
      <w:r>
        <w:rPr>
          <w:rFonts w:ascii="Arial" w:cs="Arial" w:eastAsia="Arial" w:hAnsi="Arial"/>
          <w:sz w:val="18"/>
          <w:szCs w:val="18"/>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firstLine="320"/>
        <w:spacing w:after="0" w:line="266" w:lineRule="auto"/>
        <w:rPr>
          <w:sz w:val="20"/>
          <w:szCs w:val="20"/>
          <w:color w:val="auto"/>
        </w:rPr>
      </w:pPr>
      <w:r>
        <w:rPr>
          <w:rFonts w:ascii="Arial" w:cs="Arial" w:eastAsia="Arial" w:hAnsi="Arial"/>
          <w:sz w:val="17"/>
          <w:szCs w:val="17"/>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 Five-Year Vessel. Under the omnibus agreement, we will indemnify GasLog Partners against losses arising from the failure to obtain any consent or governmental permit necessary to own or operate the fleet in substantially the same manner that the vessels were owned and operated by us immediately prior to the Partnership’s acquisition of such vessels. See “—Indemnification”.</w:t>
      </w:r>
    </w:p>
    <w:p>
      <w:pPr>
        <w:spacing w:after="0" w:line="182" w:lineRule="exact"/>
        <w:rPr>
          <w:sz w:val="20"/>
          <w:szCs w:val="20"/>
          <w:color w:val="auto"/>
        </w:rPr>
      </w:pPr>
    </w:p>
    <w:p>
      <w:pPr>
        <w:ind w:right="100" w:firstLine="320"/>
        <w:spacing w:after="0" w:line="287" w:lineRule="auto"/>
        <w:rPr>
          <w:sz w:val="20"/>
          <w:szCs w:val="20"/>
          <w:color w:val="auto"/>
        </w:rPr>
      </w:pPr>
      <w:r>
        <w:rPr>
          <w:rFonts w:ascii="Arial" w:cs="Arial" w:eastAsia="Arial" w:hAnsi="Arial"/>
          <w:sz w:val="16"/>
          <w:szCs w:val="16"/>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on the date of the change of control.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 The Merger Agreement between GasLog and GEPIF will not result in a change of control of GasLog Partners due to the Rolling Shareholders maintaining the majority of the outstanding common shares of GasLog post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LNG Carrier Purchase Options</w:t>
      </w:r>
    </w:p>
    <w:p>
      <w:pPr>
        <w:spacing w:after="0" w:line="220" w:lineRule="exact"/>
        <w:rPr>
          <w:sz w:val="20"/>
          <w:szCs w:val="20"/>
          <w:color w:val="auto"/>
        </w:rPr>
      </w:pPr>
    </w:p>
    <w:p>
      <w:pPr>
        <w:ind w:right="60" w:firstLine="320"/>
        <w:spacing w:after="0" w:line="274" w:lineRule="auto"/>
        <w:rPr>
          <w:sz w:val="20"/>
          <w:szCs w:val="20"/>
          <w:color w:val="auto"/>
        </w:rPr>
      </w:pPr>
      <w:r>
        <w:rPr>
          <w:rFonts w:ascii="Arial" w:cs="Arial" w:eastAsia="Arial" w:hAnsi="Arial"/>
          <w:sz w:val="17"/>
          <w:szCs w:val="17"/>
          <w:color w:val="auto"/>
        </w:rPr>
        <w:t>Under the omnibus agreement entered into with GasLog Partners and certain of its subsidiaries in connection with the Partnership’s initial public offering, GasLog Partners has the option to purchase from us any LNG carrier with a cargo capacity greater than 75,000 cbm engaged in oceangoing LNG transportation under a charter for five full years or more, within 30 calendar days after the consummation of the acquisition or the commencement of the operations or charter of such a vessel.</w:t>
      </w:r>
    </w:p>
    <w:p>
      <w:pPr>
        <w:spacing w:after="0" w:line="175" w:lineRule="exact"/>
        <w:rPr>
          <w:sz w:val="20"/>
          <w:szCs w:val="20"/>
          <w:color w:val="auto"/>
        </w:rPr>
      </w:pPr>
    </w:p>
    <w:p>
      <w:pPr>
        <w:ind w:right="200" w:firstLine="320"/>
        <w:spacing w:after="0" w:line="269" w:lineRule="auto"/>
        <w:rPr>
          <w:sz w:val="20"/>
          <w:szCs w:val="20"/>
          <w:color w:val="auto"/>
        </w:rPr>
      </w:pPr>
      <w:r>
        <w:rPr>
          <w:rFonts w:ascii="Arial" w:cs="Arial" w:eastAsia="Arial" w:hAnsi="Arial"/>
          <w:sz w:val="17"/>
          <w:szCs w:val="17"/>
          <w:color w:val="auto"/>
        </w:rPr>
        <w:t>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180" w:lineRule="exact"/>
        <w:rPr>
          <w:sz w:val="20"/>
          <w:szCs w:val="20"/>
          <w:color w:val="auto"/>
        </w:rPr>
      </w:pPr>
    </w:p>
    <w:p>
      <w:pPr>
        <w:ind w:right="640" w:firstLine="320"/>
        <w:spacing w:after="0" w:line="281" w:lineRule="auto"/>
        <w:rPr>
          <w:sz w:val="20"/>
          <w:szCs w:val="20"/>
          <w:color w:val="auto"/>
        </w:rPr>
      </w:pPr>
      <w:r>
        <w:rPr>
          <w:rFonts w:ascii="Arial" w:cs="Arial" w:eastAsia="Arial" w:hAnsi="Arial"/>
          <w:sz w:val="17"/>
          <w:szCs w:val="17"/>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First Offer</w:t>
      </w:r>
    </w:p>
    <w:p>
      <w:pPr>
        <w:spacing w:after="0" w:line="220" w:lineRule="exact"/>
        <w:rPr>
          <w:sz w:val="20"/>
          <w:szCs w:val="20"/>
          <w:color w:val="auto"/>
        </w:rPr>
      </w:pPr>
    </w:p>
    <w:p>
      <w:pPr>
        <w:ind w:right="100" w:firstLine="320"/>
        <w:spacing w:after="0" w:line="252" w:lineRule="auto"/>
        <w:rPr>
          <w:sz w:val="20"/>
          <w:szCs w:val="20"/>
          <w:color w:val="auto"/>
        </w:rPr>
      </w:pPr>
      <w:r>
        <w:rPr>
          <w:rFonts w:ascii="Arial" w:cs="Arial" w:eastAsia="Arial" w:hAnsi="Arial"/>
          <w:sz w:val="18"/>
          <w:szCs w:val="18"/>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 subsidiaries or pursuant to the terms of any current or future charter or other agreement with a charter party or (ii) merger with or into, or sale of substantially all of the assets to, an unaffiliated third party.</w:t>
      </w:r>
    </w:p>
    <w:p>
      <w:pPr>
        <w:spacing w:after="0" w:line="190" w:lineRule="exact"/>
        <w:rPr>
          <w:sz w:val="20"/>
          <w:szCs w:val="20"/>
          <w:color w:val="auto"/>
        </w:rPr>
      </w:pPr>
    </w:p>
    <w:p>
      <w:pPr>
        <w:ind w:firstLine="320"/>
        <w:spacing w:after="0" w:line="285"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 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ectPr>
          <w:pgSz w:w="11900" w:h="16838" w:orient="portrait"/>
          <w:cols w:equalWidth="0" w:num="1">
            <w:col w:w="9900"/>
          </w:cols>
          <w:pgMar w:left="980" w:top="659"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20" w:firstLine="320"/>
        <w:spacing w:after="0" w:line="282" w:lineRule="auto"/>
        <w:rPr>
          <w:sz w:val="20"/>
          <w:szCs w:val="20"/>
          <w:color w:val="auto"/>
        </w:rPr>
      </w:pPr>
      <w:r>
        <w:rPr>
          <w:rFonts w:ascii="Arial" w:cs="Arial" w:eastAsia="Arial" w:hAnsi="Arial"/>
          <w:sz w:val="16"/>
          <w:szCs w:val="16"/>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on the date of the change of control. On the date on which a majority of GasLog Partners’ directors ceases to consist of directors that were (i) appointed by the Partnership’s general partner prior to its first annual meeting of unitholders and</w:t>
      </w:r>
    </w:p>
    <w:p>
      <w:pPr>
        <w:spacing w:after="0" w:line="2" w:lineRule="exact"/>
        <w:rPr>
          <w:sz w:val="20"/>
          <w:szCs w:val="20"/>
          <w:color w:val="auto"/>
        </w:rPr>
      </w:pPr>
    </w:p>
    <w:p>
      <w:pPr>
        <w:ind w:right="500" w:firstLine="7"/>
        <w:spacing w:after="0" w:line="255" w:lineRule="auto"/>
        <w:tabs>
          <w:tab w:leader="none" w:pos="2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recommended for election by a majority of the Partnership’s appointed directors, the provisions related to the rights of first offer granted to the Partnership by us shall terminate immediately.</w:t>
      </w:r>
    </w:p>
    <w:p>
      <w:pPr>
        <w:spacing w:after="0" w:line="188"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0"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color w:val="auto"/>
        </w:rPr>
        <w:t>Under the omnibus agreement, we will indemnify GasLog Partners after the closing of its IPO for a period of five years (and we will indemnify the Partnership for a period of at least three years 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 $5 million on the amount of indemnity coverage provided by us for environmental and toxic tort liabilities. No claim may be made unless the aggregate dollar amount of all claims exceeds $500,000, in which case we are liable for claims only to the extent such aggregate amount exceeds $500,000.</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also indemnify GasLog Partners for liabilities related to:</w:t>
      </w:r>
    </w:p>
    <w:p>
      <w:pPr>
        <w:spacing w:after="0" w:line="220" w:lineRule="exact"/>
        <w:rPr>
          <w:sz w:val="20"/>
          <w:szCs w:val="20"/>
          <w:color w:val="auto"/>
        </w:rPr>
      </w:pPr>
    </w:p>
    <w:p>
      <w:pPr>
        <w:ind w:left="680" w:right="340" w:hanging="326"/>
        <w:spacing w:after="0" w:line="258"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defects in title to GasLog Partners’ initial fleet and any failure to obtain, prior to the time they were contributed to the Partnership, certain consents and permits necessary to conduct the Partnership’s business, which liabilities arise within three years after the closing of the Partnership’s IPO; and</w:t>
      </w:r>
    </w:p>
    <w:p>
      <w:pPr>
        <w:spacing w:after="0" w:line="119" w:lineRule="exact"/>
        <w:rPr>
          <w:rFonts w:ascii="Arial" w:cs="Arial" w:eastAsia="Arial" w:hAnsi="Arial"/>
          <w:sz w:val="18"/>
          <w:szCs w:val="18"/>
          <w:color w:val="auto"/>
        </w:rPr>
      </w:pPr>
    </w:p>
    <w:p>
      <w:pPr>
        <w:ind w:left="680" w:right="220" w:hanging="326"/>
        <w:spacing w:after="0" w:line="270"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tax liabilities attributable to the operation of the assets contributed or sold to the Partnership prior to the time they were contributed or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 Agreement</w:t>
      </w:r>
    </w:p>
    <w:p>
      <w:pPr>
        <w:spacing w:after="0" w:line="224" w:lineRule="exact"/>
        <w:rPr>
          <w:sz w:val="20"/>
          <w:szCs w:val="20"/>
          <w:color w:val="auto"/>
        </w:rPr>
      </w:pPr>
    </w:p>
    <w:p>
      <w:pPr>
        <w:ind w:right="20" w:firstLine="320"/>
        <w:spacing w:after="0" w:line="255" w:lineRule="auto"/>
        <w:rPr>
          <w:sz w:val="20"/>
          <w:szCs w:val="20"/>
          <w:color w:val="auto"/>
        </w:rPr>
      </w:pPr>
      <w:r>
        <w:rPr>
          <w:rFonts w:ascii="Arial" w:cs="Arial" w:eastAsia="Arial" w:hAnsi="Arial"/>
          <w:sz w:val="18"/>
          <w:szCs w:val="18"/>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20" w:lineRule="exact"/>
        <w:rPr>
          <w:sz w:val="20"/>
          <w:szCs w:val="20"/>
          <w:color w:val="auto"/>
        </w:rPr>
      </w:pPr>
    </w:p>
    <w:p>
      <w:pPr>
        <w:ind w:left="680" w:right="100" w:hanging="326"/>
        <w:spacing w:after="0" w:line="270"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passive ownership (a) of minority interests in any business that is not primarily engaged in owning, operating or managing LNG vessels or (b) constituting less than 5.0% of any publicly listed company; and</w:t>
      </w:r>
    </w:p>
    <w:p>
      <w:pPr>
        <w:spacing w:after="0" w:line="94" w:lineRule="exact"/>
        <w:rPr>
          <w:rFonts w:ascii="Arial" w:cs="Arial" w:eastAsia="Arial" w:hAnsi="Arial"/>
          <w:sz w:val="18"/>
          <w:szCs w:val="18"/>
          <w:color w:val="auto"/>
        </w:rPr>
      </w:pPr>
    </w:p>
    <w:p>
      <w:pPr>
        <w:ind w:left="680" w:right="420" w:hanging="326"/>
        <w:spacing w:after="0" w:line="415" w:lineRule="auto"/>
        <w:tabs>
          <w:tab w:leader="none" w:pos="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non-passive participation in a business that acquires an interest in the ownership, operation or management of LNG vessels, provided that as promptly as reasonably practicable either (A) the business enters into an agreement to dispose of such</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80" w:right="240"/>
        <w:spacing w:after="0" w:line="258" w:lineRule="auto"/>
        <w:rPr>
          <w:sz w:val="20"/>
          <w:szCs w:val="20"/>
          <w:color w:val="auto"/>
        </w:rPr>
      </w:pPr>
      <w:r>
        <w:rPr>
          <w:rFonts w:ascii="Arial" w:cs="Arial" w:eastAsia="Arial" w:hAnsi="Arial"/>
          <w:sz w:val="18"/>
          <w:szCs w:val="18"/>
          <w:color w:val="auto"/>
        </w:rPr>
        <w:t>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86" w:lineRule="exact"/>
        <w:rPr>
          <w:sz w:val="20"/>
          <w:szCs w:val="20"/>
          <w:color w:val="auto"/>
        </w:rPr>
      </w:pPr>
    </w:p>
    <w:p>
      <w:pPr>
        <w:ind w:right="140" w:firstLine="320"/>
        <w:spacing w:after="0" w:line="270"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75"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75" w:lineRule="exact"/>
        <w:rPr>
          <w:sz w:val="20"/>
          <w:szCs w:val="20"/>
          <w:color w:val="auto"/>
        </w:rPr>
      </w:pPr>
    </w:p>
    <w:p>
      <w:pPr>
        <w:ind w:left="680" w:right="60" w:hanging="326"/>
        <w:spacing w:after="0" w:line="258"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119" w:lineRule="exact"/>
        <w:rPr>
          <w:rFonts w:ascii="Arial" w:cs="Arial" w:eastAsia="Arial" w:hAnsi="Arial"/>
          <w:sz w:val="18"/>
          <w:szCs w:val="18"/>
          <w:color w:val="auto"/>
        </w:rPr>
      </w:pPr>
    </w:p>
    <w:p>
      <w:pPr>
        <w:ind w:left="680" w:right="100" w:hanging="326"/>
        <w:spacing w:after="0" w:line="270"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94" w:lineRule="exact"/>
        <w:rPr>
          <w:rFonts w:ascii="Arial" w:cs="Arial" w:eastAsia="Arial" w:hAnsi="Arial"/>
          <w:sz w:val="18"/>
          <w:szCs w:val="18"/>
          <w:color w:val="auto"/>
        </w:rPr>
      </w:pPr>
    </w:p>
    <w:p>
      <w:pPr>
        <w:ind w:left="680" w:right="360" w:hanging="326"/>
        <w:spacing w:after="0" w:line="270"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08" w:lineRule="exact"/>
        <w:rPr>
          <w:rFonts w:ascii="Arial" w:cs="Arial" w:eastAsia="Arial" w:hAnsi="Arial"/>
          <w:sz w:val="18"/>
          <w:szCs w:val="18"/>
          <w:color w:val="auto"/>
        </w:rPr>
      </w:pPr>
    </w:p>
    <w:p>
      <w:pPr>
        <w:ind w:left="680" w:hanging="326"/>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0"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4" w:lineRule="exact"/>
        <w:rPr>
          <w:sz w:val="20"/>
          <w:szCs w:val="20"/>
          <w:color w:val="auto"/>
        </w:rPr>
      </w:pPr>
    </w:p>
    <w:p>
      <w:pPr>
        <w:ind w:right="140" w:firstLine="320"/>
        <w:spacing w:after="0" w:line="253" w:lineRule="auto"/>
        <w:rPr>
          <w:sz w:val="20"/>
          <w:szCs w:val="20"/>
          <w:color w:val="auto"/>
        </w:rPr>
      </w:pPr>
      <w:r>
        <w:rPr>
          <w:rFonts w:ascii="Arial" w:cs="Arial" w:eastAsia="Arial" w:hAnsi="Arial"/>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Space and Related Arrangements</w:t>
      </w:r>
    </w:p>
    <w:p>
      <w:pPr>
        <w:spacing w:after="0" w:line="224"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86" w:lineRule="exact"/>
        <w:rPr>
          <w:sz w:val="20"/>
          <w:szCs w:val="20"/>
          <w:color w:val="auto"/>
        </w:rPr>
      </w:pPr>
    </w:p>
    <w:p>
      <w:pPr>
        <w:ind w:right="80" w:firstLine="320"/>
        <w:spacing w:after="0" w:line="253" w:lineRule="auto"/>
        <w:rPr>
          <w:sz w:val="20"/>
          <w:szCs w:val="20"/>
          <w:color w:val="auto"/>
        </w:rPr>
      </w:pPr>
      <w:r>
        <w:rPr>
          <w:rFonts w:ascii="Arial" w:cs="Arial" w:eastAsia="Arial" w:hAnsi="Arial"/>
          <w:sz w:val="18"/>
          <w:szCs w:val="18"/>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Egypt LNG</w:t>
      </w:r>
    </w:p>
    <w:p>
      <w:pPr>
        <w:spacing w:after="0" w:line="224" w:lineRule="exact"/>
        <w:rPr>
          <w:sz w:val="20"/>
          <w:szCs w:val="20"/>
          <w:color w:val="auto"/>
        </w:rPr>
      </w:pPr>
    </w:p>
    <w:p>
      <w:pPr>
        <w:ind w:right="120" w:firstLine="320"/>
        <w:spacing w:after="0" w:line="252" w:lineRule="auto"/>
        <w:rPr>
          <w:sz w:val="20"/>
          <w:szCs w:val="20"/>
          <w:color w:val="auto"/>
        </w:rPr>
      </w:pPr>
      <w:r>
        <w:rPr>
          <w:rFonts w:ascii="Arial" w:cs="Arial" w:eastAsia="Arial" w:hAnsi="Arial"/>
          <w:sz w:val="18"/>
          <w:szCs w:val="18"/>
          <w:color w:val="auto"/>
        </w:rPr>
        <w:t xml:space="preserve">We have a 25.0% ownership interest in Egypt LNG, whose principal asset is the LNG carrier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is currently operating under a 20-year time charter with a subsidiary of Shell. Through our subsidiary GasLog LNG Services, we supervised the construction of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was delivered from the shipyard in 2007. Pursuant to a ship management agreement between GasLog LNG Services and Egypt LNG, the vessel has operated under our technical management since its delivery. From January 1, 2021 to December 31, 2021, we received a total of approximately $0.7 million in revenues from Egypt LNG in respect of our vessel management services.</w:t>
      </w:r>
    </w:p>
    <w:p>
      <w:pPr>
        <w:sectPr>
          <w:pgSz w:w="11900" w:h="16838" w:orient="portrait"/>
          <w:cols w:equalWidth="0" w:num="1">
            <w:col w:w="9900"/>
          </w:cols>
          <w:pgMar w:left="980" w:top="659"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Agreements</w:t>
      </w:r>
    </w:p>
    <w:p>
      <w:pPr>
        <w:spacing w:after="0" w:line="224"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 xml:space="preserve">GasLog entered into a consulting agreement with Unisea Maritime Ltd. (“Unisea”), an entity controlled by the Livanos family, in consideration of the consulting services performed by Unisea in respect of the sale and leaseback transaction for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GasLog agreed to pay a brokerage commission fee equal to 0.25% of the agreed charter rates under the sale and leaseback transaction plus reasonable expenses (in line with the Company’s policies). The brokerage commission fee was paid in advance for the full 20-year period of the bareboat charter, discounted to the date of the agreement at an annual discount rate of 7.5%.</w:t>
      </w:r>
    </w:p>
    <w:p>
      <w:pPr>
        <w:spacing w:after="0" w:line="190" w:lineRule="exact"/>
        <w:rPr>
          <w:sz w:val="20"/>
          <w:szCs w:val="20"/>
          <w:color w:val="auto"/>
        </w:rPr>
      </w:pPr>
    </w:p>
    <w:p>
      <w:pPr>
        <w:ind w:right="260" w:firstLine="320"/>
        <w:spacing w:after="0" w:line="296" w:lineRule="auto"/>
        <w:rPr>
          <w:sz w:val="20"/>
          <w:szCs w:val="20"/>
          <w:color w:val="auto"/>
        </w:rPr>
      </w:pPr>
      <w:r>
        <w:rPr>
          <w:rFonts w:ascii="Arial" w:cs="Arial" w:eastAsia="Arial" w:hAnsi="Arial"/>
          <w:sz w:val="16"/>
          <w:szCs w:val="16"/>
          <w:color w:val="auto"/>
        </w:rPr>
        <w:t>In December 2020, GasLog and GasLog Partners reached agreement with Ceres Shipping Enterprises S.A. (“Ceres Shipping Enterprises”), an entity controlled by the Livanos family, to pay a fee of US$1.0M to Ceres Shipping Enterprises in consideration of the provision of services provided by employees of Ceres Shipping Enterprises in support of the refinancing of all GasLog and GasLog Partners bank debt maturities due in 2021. The US$1.0M fee was paid 60% by GasLog and 40% by GasLog Partners.</w:t>
      </w:r>
    </w:p>
    <w:p>
      <w:pPr>
        <w:spacing w:after="0" w:line="160" w:lineRule="exact"/>
        <w:rPr>
          <w:sz w:val="20"/>
          <w:szCs w:val="20"/>
          <w:color w:val="auto"/>
        </w:rPr>
      </w:pPr>
    </w:p>
    <w:p>
      <w:pPr>
        <w:ind w:right="60" w:firstLine="320"/>
        <w:spacing w:after="0" w:line="296" w:lineRule="auto"/>
        <w:rPr>
          <w:sz w:val="20"/>
          <w:szCs w:val="20"/>
          <w:color w:val="auto"/>
        </w:rPr>
      </w:pPr>
      <w:r>
        <w:rPr>
          <w:rFonts w:ascii="Arial" w:cs="Arial" w:eastAsia="Arial" w:hAnsi="Arial"/>
          <w:sz w:val="16"/>
          <w:szCs w:val="16"/>
          <w:color w:val="auto"/>
        </w:rPr>
        <w:t>In February 2021, GasLog agreed with Ceres Shipping Enterprises that if GasLog proceeds with the refinancing of the 8.875% Senior Notes due 2022, Ceres Shipping Enterprises will receive a fee equal to 10% of the total fees paid by the Company to investment banks in the refinancing process. The fee payable to Ceres Shipping Enterprises will be in consideration of the provision of services provided by employees of Ceres Shipping Enterprises in support of the refinancing. The US$487,500 fee was paid in December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24" w:lineRule="exact"/>
        <w:rPr>
          <w:sz w:val="20"/>
          <w:szCs w:val="20"/>
          <w:color w:val="auto"/>
        </w:rPr>
      </w:pPr>
    </w:p>
    <w:p>
      <w:pPr>
        <w:ind w:right="160" w:firstLine="320"/>
        <w:spacing w:after="0" w:line="258" w:lineRule="auto"/>
        <w:rPr>
          <w:sz w:val="20"/>
          <w:szCs w:val="20"/>
          <w:color w:val="auto"/>
        </w:rPr>
      </w:pPr>
      <w:r>
        <w:rPr>
          <w:rFonts w:ascii="Arial" w:cs="Arial" w:eastAsia="Arial" w:hAnsi="Arial"/>
          <w:sz w:val="18"/>
          <w:szCs w:val="18"/>
          <w:color w:val="auto"/>
        </w:rPr>
        <w:t>On February 22, 2021, we announced that GasLog had entered into a Merger Agreement with GEPIF. Under the Merger Agreement, GEPIF would acquire all of the outstanding common shares of GasLog that were not held by the Rolling Shareholders of GasLog in exchange for $5.80 in cash per common share (the “Merger Consideration”).</w:t>
      </w:r>
    </w:p>
    <w:p>
      <w:pPr>
        <w:spacing w:after="0" w:line="186" w:lineRule="exact"/>
        <w:rPr>
          <w:sz w:val="20"/>
          <w:szCs w:val="20"/>
          <w:color w:val="auto"/>
        </w:rPr>
      </w:pPr>
    </w:p>
    <w:p>
      <w:pPr>
        <w:ind w:right="20" w:firstLine="320"/>
        <w:spacing w:after="0" w:line="253" w:lineRule="auto"/>
        <w:rPr>
          <w:sz w:val="20"/>
          <w:szCs w:val="20"/>
          <w:color w:val="auto"/>
        </w:rPr>
      </w:pPr>
      <w:r>
        <w:rPr>
          <w:rFonts w:ascii="Arial" w:cs="Arial" w:eastAsia="Arial" w:hAnsi="Arial"/>
          <w:sz w:val="18"/>
          <w:szCs w:val="18"/>
          <w:color w:val="auto"/>
        </w:rPr>
        <w:t>GasLog announced on June 9, 2021, the completion of the Transaction with GEPIF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w:t>
      </w:r>
    </w:p>
    <w:p>
      <w:pPr>
        <w:spacing w:after="0" w:line="190"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Trading in GasLog’s common shares on the NYSE, was suspended with immediate effect and the delisting of the common shares from the NYSE became effective on June 21, 2021. GasLog’s 8.75% Series A Cumulative Redeemable Perpetual Preference Shares remain outstanding and continue to trade in the NYSE.</w:t>
      </w:r>
    </w:p>
    <w:p>
      <w:pPr>
        <w:spacing w:after="0" w:line="186"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Pursuant to the Rolling Shareholders Agreement (the “Rollover Agreement”), following the consummation of the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224" w:lineRule="exact"/>
        <w:rPr>
          <w:sz w:val="20"/>
          <w:szCs w:val="20"/>
          <w:color w:val="auto"/>
        </w:rPr>
      </w:pPr>
    </w:p>
    <w:p>
      <w:pPr>
        <w:ind w:right="120" w:firstLine="320"/>
        <w:spacing w:after="0" w:line="286" w:lineRule="auto"/>
        <w:rPr>
          <w:sz w:val="20"/>
          <w:szCs w:val="20"/>
          <w:color w:val="auto"/>
        </w:rPr>
      </w:pPr>
      <w:r>
        <w:rPr>
          <w:rFonts w:ascii="Arial" w:cs="Arial" w:eastAsia="Arial" w:hAnsi="Arial"/>
          <w:sz w:val="16"/>
          <w:szCs w:val="16"/>
          <w:color w:val="auto"/>
        </w:rPr>
        <w:t>On June 9, 2021 following the consummation of the Transaction GEPIF, Blenheim Holdings, Blenheim Special, Olympic LNG and the Company entered into a Shareholders’ Agreement with respect to corporate governance and other matters of the Company and the Common Shares. The Shareholders’ Agreement details company board representation, board committees, quorum for board and committee meetings and how to manage conflicts of interest. In addition, the Shareholders’ Agreement covers restrictions on the transfer of common shares, rights of first offer and tag along rights, dividend policy, audit rights and tax matters. The Shareholders’ Agreement also lists matters that require the prior approval of the GEPIF and Blenheim Holdings.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24"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For a description of additional related party transactions, see Note 21 to our consolidated financial statements included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and Approval of Related Party Transactions</w:t>
      </w:r>
    </w:p>
    <w:p>
      <w:pPr>
        <w:spacing w:after="0" w:line="224"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0" w:lineRule="exact"/>
        <w:rPr>
          <w:sz w:val="20"/>
          <w:szCs w:val="20"/>
          <w:color w:val="auto"/>
        </w:rPr>
      </w:pPr>
    </w:p>
    <w:p>
      <w:pPr>
        <w:ind w:left="320" w:right="5160" w:hanging="313"/>
        <w:spacing w:after="0" w:line="524" w:lineRule="auto"/>
        <w:tabs>
          <w:tab w:leader="none" w:pos="306"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Consolidated Statements and Other Financial Information </w:t>
      </w:r>
      <w:r>
        <w:rPr>
          <w:rFonts w:ascii="Arial" w:cs="Arial" w:eastAsia="Arial" w:hAnsi="Arial"/>
          <w:sz w:val="17"/>
          <w:szCs w:val="17"/>
          <w:color w:val="auto"/>
        </w:rPr>
        <w:t>See “Item 18. Financial Statements” below.</w:t>
      </w:r>
    </w:p>
    <w:p>
      <w:pPr>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ind w:right="20" w:firstLine="320"/>
        <w:spacing w:after="0" w:line="269" w:lineRule="auto"/>
        <w:rPr>
          <w:sz w:val="20"/>
          <w:szCs w:val="20"/>
          <w:color w:val="auto"/>
        </w:rPr>
      </w:pPr>
      <w:r>
        <w:rPr>
          <w:rFonts w:ascii="Arial" w:cs="Arial" w:eastAsia="Arial" w:hAnsi="Arial"/>
          <w:sz w:val="17"/>
          <w:szCs w:val="17"/>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 Dividend Requirements</w:t>
      </w:r>
    </w:p>
    <w:p>
      <w:pPr>
        <w:spacing w:after="0" w:line="224" w:lineRule="exact"/>
        <w:rPr>
          <w:sz w:val="20"/>
          <w:szCs w:val="20"/>
          <w:color w:val="auto"/>
        </w:rPr>
      </w:pPr>
    </w:p>
    <w:p>
      <w:pPr>
        <w:ind w:right="140" w:firstLine="320"/>
        <w:spacing w:after="0" w:line="252" w:lineRule="auto"/>
        <w:rPr>
          <w:sz w:val="20"/>
          <w:szCs w:val="20"/>
          <w:color w:val="auto"/>
        </w:rPr>
      </w:pPr>
      <w:r>
        <w:rPr>
          <w:rFonts w:ascii="Arial" w:cs="Arial" w:eastAsia="Arial" w:hAnsi="Arial"/>
          <w:sz w:val="18"/>
          <w:szCs w:val="18"/>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of $0.546875 per share on, January 4, 2021, April 1, 2021, July 1, 2021, October 1, 2021 and January 3, 2022. Our Preference Shares dividend payment obligations impact our future liquidity needs.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 Dividend Policy</w:t>
      </w:r>
    </w:p>
    <w:p>
      <w:pPr>
        <w:spacing w:after="0" w:line="224" w:lineRule="exact"/>
        <w:rPr>
          <w:sz w:val="20"/>
          <w:szCs w:val="20"/>
          <w:color w:val="auto"/>
        </w:rPr>
      </w:pPr>
    </w:p>
    <w:p>
      <w:pPr>
        <w:ind w:right="100" w:firstLine="320"/>
        <w:spacing w:after="0" w:line="269" w:lineRule="auto"/>
        <w:rPr>
          <w:sz w:val="20"/>
          <w:szCs w:val="20"/>
          <w:color w:val="auto"/>
        </w:rPr>
      </w:pPr>
      <w:r>
        <w:rPr>
          <w:rFonts w:ascii="Arial" w:cs="Arial" w:eastAsia="Arial" w:hAnsi="Arial"/>
          <w:sz w:val="17"/>
          <w:szCs w:val="17"/>
          <w:color w:val="auto"/>
        </w:rPr>
        <w:t>The declaration and payment of any dividend is subject to the discretion of our board of directors and the requirements of Bermuda law. In addition, certain of our credit facilities impose limitations on our ability to pay dividends. When considering the declaration of our preference dividends our board of directors will make their determination based on various factors, including our earnings, financial condition, cash requirements and availability, restrictions in our credit facilities and the provisions of Bermuda law. Accordingly, we cannot guarantee that we will be able to pay preference dividends. See “Item 3. Key Information—D. Risk Factors—Risks Related to Our Business” for a discussion of risks related to our ability to pay dividends.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 out below is a table showing the dividends declared on our Preference Shares in 2017, 2018, 2019, 2020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0"/>
              <w:spacing w:after="0" w:line="140"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3"/>
              <w:spacing w:after="0" w:line="140"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0"/>
              <w:spacing w:after="0" w:line="140"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0"/>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line="140"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0" w:lineRule="exact"/>
              <w:rPr>
                <w:sz w:val="20"/>
                <w:szCs w:val="20"/>
                <w:color w:val="auto"/>
              </w:rPr>
            </w:pPr>
            <w:r>
              <w:rPr>
                <w:rFonts w:ascii="Arial" w:cs="Arial" w:eastAsia="Arial" w:hAnsi="Arial"/>
                <w:sz w:val="14"/>
                <w:szCs w:val="14"/>
                <w:b w:val="1"/>
                <w:bCs w:val="1"/>
                <w:color w:val="auto"/>
              </w:rPr>
              <w:t>Total</w:t>
            </w:r>
          </w:p>
        </w:tc>
      </w:tr>
      <w:tr>
        <w:trPr>
          <w:trHeight w:val="127"/>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9"/>
          </w:tcPr>
          <w:p>
            <w:pPr>
              <w:jc w:val="center"/>
              <w:ind w:left="323"/>
              <w:spacing w:after="0" w:line="127" w:lineRule="exact"/>
              <w:rPr>
                <w:sz w:val="20"/>
                <w:szCs w:val="20"/>
                <w:color w:val="auto"/>
              </w:rPr>
            </w:pPr>
            <w:r>
              <w:rPr>
                <w:rFonts w:ascii="Arial" w:cs="Arial" w:eastAsia="Arial" w:hAnsi="Arial"/>
                <w:sz w:val="14"/>
                <w:szCs w:val="14"/>
                <w:b w:val="1"/>
                <w:bCs w:val="1"/>
                <w:color w:val="auto"/>
                <w:w w:val="90"/>
              </w:rPr>
              <w:t>(Expressed in millions of U.S. dollars)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 dividend declared</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00" w:lineRule="exact"/>
        <w:rPr>
          <w:sz w:val="20"/>
          <w:szCs w:val="20"/>
          <w:color w:val="auto"/>
        </w:rPr>
      </w:pPr>
    </w:p>
    <w:p>
      <w:pPr>
        <w:sectPr>
          <w:pgSz w:w="11900" w:h="16838" w:orient="portrait"/>
          <w:cols w:equalWidth="0" w:num="1">
            <w:col w:w="9920"/>
          </w:cols>
          <w:pgMar w:left="980" w:top="659" w:right="99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4"/>
          <w:szCs w:val="14"/>
          <w:b w:val="1"/>
          <w:bCs w:val="1"/>
          <w:color w:val="auto"/>
        </w:rPr>
        <w:t>Significant Changes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18. Financial Statements—Note 29. Subsequent Events”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NYSE</w:t>
      </w:r>
    </w:p>
    <w:p>
      <w:pPr>
        <w:spacing w:after="0" w:line="220" w:lineRule="exact"/>
        <w:rPr>
          <w:sz w:val="20"/>
          <w:szCs w:val="20"/>
          <w:color w:val="auto"/>
        </w:rPr>
      </w:pPr>
    </w:p>
    <w:p>
      <w:pPr>
        <w:ind w:right="340" w:firstLine="320"/>
        <w:spacing w:after="0" w:line="270" w:lineRule="auto"/>
        <w:rPr>
          <w:sz w:val="20"/>
          <w:szCs w:val="20"/>
          <w:color w:val="auto"/>
        </w:rPr>
      </w:pPr>
      <w:r>
        <w:rPr>
          <w:rFonts w:ascii="Arial" w:cs="Arial" w:eastAsia="Arial" w:hAnsi="Arial"/>
          <w:sz w:val="18"/>
          <w:szCs w:val="18"/>
          <w:color w:val="auto"/>
        </w:rPr>
        <w:t>From our IPO in the United States in 2012 and through to our delisting in June 2021 our common shares were listed on the NYSE under the symbol “GLOG”.</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Preference Shares have been trading on the NYSE under the symbol “GLOG PR A” since March 31,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24" w:lineRule="exact"/>
        <w:rPr>
          <w:sz w:val="20"/>
          <w:szCs w:val="20"/>
          <w:color w:val="auto"/>
        </w:rPr>
      </w:pPr>
    </w:p>
    <w:p>
      <w:pPr>
        <w:ind w:right="320" w:firstLine="320"/>
        <w:spacing w:after="0" w:line="258" w:lineRule="auto"/>
        <w:rPr>
          <w:sz w:val="20"/>
          <w:szCs w:val="20"/>
          <w:color w:val="auto"/>
        </w:rPr>
      </w:pPr>
      <w:r>
        <w:rPr>
          <w:rFonts w:ascii="Arial" w:cs="Arial" w:eastAsia="Arial" w:hAnsi="Arial"/>
          <w:sz w:val="18"/>
          <w:szCs w:val="18"/>
          <w:color w:val="auto"/>
        </w:rPr>
        <w:t>Our authorized share capital consists of 500,000,000 shares, par value $0.01 per share. As of December 31, 2021, the share capital consisted of 95,389,062 issued and outstanding common shares, par value $0.01 per share and 4,600,000 issued and outstanding Preference Shares.</w:t>
      </w:r>
    </w:p>
    <w:p>
      <w:pPr>
        <w:spacing w:after="0" w:line="186"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24"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88" w:lineRule="exact"/>
        <w:rPr>
          <w:sz w:val="20"/>
          <w:szCs w:val="20"/>
          <w:color w:val="auto"/>
        </w:rPr>
      </w:pPr>
    </w:p>
    <w:p>
      <w:pPr>
        <w:ind w:right="560" w:firstLine="320"/>
        <w:spacing w:after="0" w:line="270" w:lineRule="auto"/>
        <w:rPr>
          <w:sz w:val="20"/>
          <w:szCs w:val="20"/>
          <w:color w:val="auto"/>
        </w:rPr>
      </w:pPr>
      <w:r>
        <w:rPr>
          <w:rFonts w:ascii="Arial" w:cs="Arial" w:eastAsia="Arial" w:hAnsi="Arial"/>
          <w:sz w:val="18"/>
          <w:szCs w:val="18"/>
          <w:color w:val="auto"/>
        </w:rPr>
        <w:t>The objects of our business are unrestricted, and the Company has the capacity of a natural person. We can therefore undertake activities without restriction on our capacity.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4"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88" w:lineRule="exact"/>
        <w:rPr>
          <w:sz w:val="20"/>
          <w:szCs w:val="20"/>
          <w:color w:val="auto"/>
        </w:rPr>
      </w:pPr>
    </w:p>
    <w:p>
      <w:pPr>
        <w:ind w:right="20" w:firstLine="320"/>
        <w:spacing w:after="0" w:line="258" w:lineRule="auto"/>
        <w:rPr>
          <w:sz w:val="20"/>
          <w:szCs w:val="20"/>
          <w:color w:val="auto"/>
        </w:rPr>
      </w:pPr>
      <w:r>
        <w:rPr>
          <w:rFonts w:ascii="Arial" w:cs="Arial" w:eastAsia="Arial" w:hAnsi="Arial"/>
          <w:sz w:val="18"/>
          <w:szCs w:val="18"/>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24" w:lineRule="exact"/>
        <w:rPr>
          <w:sz w:val="20"/>
          <w:szCs w:val="20"/>
          <w:color w:val="auto"/>
        </w:rPr>
      </w:pPr>
    </w:p>
    <w:p>
      <w:pPr>
        <w:ind w:right="60" w:firstLine="320"/>
        <w:spacing w:after="0" w:line="271" w:lineRule="auto"/>
        <w:rPr>
          <w:sz w:val="20"/>
          <w:szCs w:val="20"/>
          <w:color w:val="auto"/>
        </w:rPr>
      </w:pPr>
      <w:r>
        <w:rPr>
          <w:rFonts w:ascii="Arial" w:cs="Arial" w:eastAsia="Arial" w:hAnsi="Arial"/>
          <w:sz w:val="17"/>
          <w:szCs w:val="17"/>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authorised shares, 4.6 million have been designated 8.75% Series A Cumulative Redeemable Perpetual Preference Shares.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4" w:lineRule="exact"/>
        <w:rPr>
          <w:sz w:val="20"/>
          <w:szCs w:val="20"/>
          <w:color w:val="auto"/>
        </w:rPr>
      </w:pPr>
    </w:p>
    <w:p>
      <w:pPr>
        <w:ind w:right="80" w:firstLine="320"/>
        <w:spacing w:after="0" w:line="255" w:lineRule="auto"/>
        <w:rPr>
          <w:sz w:val="20"/>
          <w:szCs w:val="20"/>
          <w:color w:val="auto"/>
        </w:rPr>
      </w:pPr>
      <w:r>
        <w:rPr>
          <w:rFonts w:ascii="Arial" w:cs="Arial" w:eastAsia="Arial" w:hAnsi="Arial"/>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224" w:lineRule="exact"/>
        <w:rPr>
          <w:sz w:val="20"/>
          <w:szCs w:val="20"/>
          <w:color w:val="auto"/>
        </w:rPr>
      </w:pPr>
    </w:p>
    <w:p>
      <w:pPr>
        <w:ind w:right="180" w:firstLine="320"/>
        <w:spacing w:after="0" w:line="286" w:lineRule="auto"/>
        <w:rPr>
          <w:sz w:val="20"/>
          <w:szCs w:val="20"/>
          <w:color w:val="auto"/>
        </w:rPr>
      </w:pPr>
      <w:r>
        <w:rPr>
          <w:rFonts w:ascii="Arial" w:cs="Arial" w:eastAsia="Arial" w:hAnsi="Arial"/>
          <w:sz w:val="16"/>
          <w:szCs w:val="16"/>
          <w:color w:val="auto"/>
        </w:rPr>
        <w:t>If at any time we have more than one class of shares, the rights attaching to any class, unless otherwise provided for by the terms of issue of the relevant class, may be varied either: (i) with the consent in writing of the holders of 75% of the issued shares of that class; or</w:t>
      </w:r>
    </w:p>
    <w:p>
      <w:pPr>
        <w:spacing w:after="0" w:line="1" w:lineRule="exact"/>
        <w:rPr>
          <w:sz w:val="20"/>
          <w:szCs w:val="20"/>
          <w:color w:val="auto"/>
        </w:rPr>
      </w:pPr>
    </w:p>
    <w:p>
      <w:pPr>
        <w:jc w:val="both"/>
        <w:ind w:right="80" w:firstLine="7"/>
        <w:spacing w:after="0" w:line="250" w:lineRule="auto"/>
        <w:tabs>
          <w:tab w:leader="none" w:pos="2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the sanction of a resolution passed by holders of 75% of the issued shares of the relevant class of shareholders as may be present in person or by proxy at a separate general meeting of the holders of the issued shares of the relevant class. Our bye-laws specify that the creation or issue of shares ranking equally with existing shares will not, unless expressly provided by the terms of issue of existing shares, vary the rights attached to existing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4"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Subject to our Byelaws and the Shareholders’ Agreement, all transfer of common shares must be completed in accordance with Article III of the Shareholders’ Agreement. No transfer of shares is allowed prior to June 6, 2023 without the prior written consent of all the other common shareholders other than transfers to a permitted transferee of a shareholder (as defined in the Shareholders’ Agreement). 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224" w:lineRule="exact"/>
        <w:rPr>
          <w:sz w:val="20"/>
          <w:szCs w:val="20"/>
          <w:color w:val="auto"/>
        </w:rPr>
      </w:pPr>
    </w:p>
    <w:p>
      <w:pPr>
        <w:ind w:right="40" w:firstLine="320"/>
        <w:spacing w:after="0" w:line="282" w:lineRule="auto"/>
        <w:rPr>
          <w:sz w:val="20"/>
          <w:szCs w:val="20"/>
          <w:color w:val="auto"/>
        </w:rPr>
      </w:pPr>
      <w:r>
        <w:rPr>
          <w:rFonts w:ascii="Arial" w:cs="Arial" w:eastAsia="Arial" w:hAnsi="Arial"/>
          <w:sz w:val="16"/>
          <w:szCs w:val="16"/>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 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at least five days’ notice of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at least two shareholders present in person or proxy, one of which shall represent BlackRock and one Blenheim Holdings.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224" w:lineRule="exact"/>
        <w:rPr>
          <w:sz w:val="20"/>
          <w:szCs w:val="20"/>
          <w:color w:val="auto"/>
        </w:rPr>
      </w:pPr>
    </w:p>
    <w:p>
      <w:pPr>
        <w:jc w:val="both"/>
        <w:ind w:right="380" w:firstLine="320"/>
        <w:spacing w:after="0" w:line="306" w:lineRule="auto"/>
        <w:rPr>
          <w:sz w:val="20"/>
          <w:szCs w:val="20"/>
          <w:color w:val="auto"/>
        </w:rPr>
      </w:pPr>
      <w:r>
        <w:rPr>
          <w:rFonts w:ascii="Arial" w:cs="Arial" w:eastAsia="Arial" w:hAnsi="Arial"/>
          <w:sz w:val="16"/>
          <w:szCs w:val="16"/>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224" w:lineRule="exact"/>
        <w:rPr>
          <w:sz w:val="20"/>
          <w:szCs w:val="20"/>
          <w:color w:val="auto"/>
        </w:rPr>
      </w:pPr>
    </w:p>
    <w:p>
      <w:pPr>
        <w:ind w:right="760" w:firstLine="320"/>
        <w:spacing w:after="0" w:line="270" w:lineRule="auto"/>
        <w:rPr>
          <w:sz w:val="20"/>
          <w:szCs w:val="20"/>
          <w:color w:val="auto"/>
        </w:rPr>
      </w:pPr>
      <w:r>
        <w:rPr>
          <w:rFonts w:ascii="Arial" w:cs="Arial" w:eastAsia="Arial" w:hAnsi="Arial"/>
          <w:sz w:val="18"/>
          <w:szCs w:val="18"/>
          <w:color w:val="auto"/>
        </w:rPr>
        <w:t>In accordance with the Shareholders Agreement the board of directors shall consist of five directors, two to be appointed by BlackRock and three by the Existing Shareholders.</w:t>
      </w:r>
    </w:p>
    <w:p>
      <w:pPr>
        <w:spacing w:after="0" w:line="175"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Board of Directors</w:t>
      </w:r>
    </w:p>
    <w:p>
      <w:pPr>
        <w:spacing w:after="0" w:line="224" w:lineRule="exact"/>
        <w:rPr>
          <w:sz w:val="20"/>
          <w:szCs w:val="20"/>
          <w:color w:val="auto"/>
        </w:rPr>
      </w:pPr>
    </w:p>
    <w:p>
      <w:pPr>
        <w:jc w:val="both"/>
        <w:ind w:right="40" w:firstLine="320"/>
        <w:spacing w:after="0" w:line="258" w:lineRule="auto"/>
        <w:rPr>
          <w:sz w:val="20"/>
          <w:szCs w:val="20"/>
          <w:color w:val="auto"/>
        </w:rPr>
      </w:pPr>
      <w:r>
        <w:rPr>
          <w:rFonts w:ascii="Arial" w:cs="Arial" w:eastAsia="Arial" w:hAnsi="Arial"/>
          <w:sz w:val="18"/>
          <w:szCs w:val="18"/>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remuneration of our directors is determined by the board of directors, and there is no requirement that a specified number</w:t>
      </w:r>
    </w:p>
    <w:p>
      <w:pPr>
        <w:spacing w:after="0" w:line="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or percentage of “independent” directors must approve any such determination. Our directors may also be paid all travel, hotel and other expenses properly incurred by them in connection with our business or their duties as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Conflicts of Interest</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Any conflict of interest question involving one or more of the Company’s directors will be resolved by the audit and risk committee of the board of directors.</w:t>
      </w:r>
    </w:p>
    <w:p>
      <w:pPr>
        <w:spacing w:after="0" w:line="175" w:lineRule="exact"/>
        <w:rPr>
          <w:sz w:val="20"/>
          <w:szCs w:val="20"/>
          <w:color w:val="auto"/>
        </w:rPr>
      </w:pPr>
    </w:p>
    <w:p>
      <w:pPr>
        <w:ind w:right="40" w:firstLine="320"/>
        <w:spacing w:after="0" w:line="292" w:lineRule="auto"/>
        <w:rPr>
          <w:sz w:val="20"/>
          <w:szCs w:val="20"/>
          <w:color w:val="auto"/>
        </w:rPr>
      </w:pPr>
      <w:r>
        <w:rPr>
          <w:rFonts w:ascii="Arial" w:cs="Arial" w:eastAsia="Arial" w:hAnsi="Arial"/>
          <w:sz w:val="16"/>
          <w:szCs w:val="16"/>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16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4" w:lineRule="exact"/>
        <w:rPr>
          <w:sz w:val="20"/>
          <w:szCs w:val="20"/>
          <w:color w:val="auto"/>
        </w:rPr>
      </w:pPr>
    </w:p>
    <w:p>
      <w:pPr>
        <w:ind w:right="120" w:firstLine="320"/>
        <w:spacing w:after="0" w:line="251"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3" w:lineRule="exact"/>
        <w:rPr>
          <w:sz w:val="20"/>
          <w:szCs w:val="20"/>
          <w:color w:val="auto"/>
        </w:rPr>
      </w:pPr>
    </w:p>
    <w:p>
      <w:pPr>
        <w:ind w:right="120" w:firstLine="320"/>
        <w:spacing w:after="0" w:line="266" w:lineRule="auto"/>
        <w:rPr>
          <w:sz w:val="20"/>
          <w:szCs w:val="20"/>
          <w:color w:val="auto"/>
        </w:rPr>
      </w:pPr>
      <w:r>
        <w:rPr>
          <w:rFonts w:ascii="Arial" w:cs="Arial" w:eastAsia="Arial" w:hAnsi="Arial"/>
          <w:sz w:val="17"/>
          <w:szCs w:val="17"/>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224"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approval of both BlackRock and Blenheim Holdings.</w:t>
      </w:r>
    </w:p>
    <w:p>
      <w:pPr>
        <w:spacing w:after="0" w:line="188" w:lineRule="exact"/>
        <w:rPr>
          <w:sz w:val="20"/>
          <w:szCs w:val="20"/>
          <w:color w:val="auto"/>
        </w:rPr>
      </w:pPr>
    </w:p>
    <w:p>
      <w:pPr>
        <w:ind w:firstLine="320"/>
        <w:spacing w:after="0" w:line="281" w:lineRule="auto"/>
        <w:rPr>
          <w:sz w:val="20"/>
          <w:szCs w:val="20"/>
          <w:color w:val="auto"/>
        </w:rPr>
      </w:pPr>
      <w:r>
        <w:rPr>
          <w:rFonts w:ascii="Arial" w:cs="Arial" w:eastAsia="Arial" w:hAnsi="Arial"/>
          <w:sz w:val="16"/>
          <w:szCs w:val="16"/>
          <w:color w:val="auto"/>
        </w:rPr>
        <w:t>Under Bermuda law, the holders of an aggregate of not less than 20.0% in par value of a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twenty-</w:t>
      </w:r>
    </w:p>
    <w:p>
      <w:pPr>
        <w:spacing w:after="0" w:line="3"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color w:val="auto"/>
        </w:rPr>
        <w:t>one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Amalgamations, Mergers and Business Combinations</w:t>
      </w:r>
    </w:p>
    <w:p>
      <w:pPr>
        <w:spacing w:after="0" w:line="224"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and the Shareholders’ Agreement provide that a merger or an amalgamation must only be approved once the approval of both BlackRock and Blenheim Holdings has been obtained.</w:t>
      </w:r>
    </w:p>
    <w:p>
      <w:pPr>
        <w:spacing w:after="0" w:line="165" w:lineRule="exact"/>
        <w:rPr>
          <w:sz w:val="20"/>
          <w:szCs w:val="20"/>
          <w:color w:val="auto"/>
        </w:rPr>
      </w:pPr>
    </w:p>
    <w:p>
      <w:pPr>
        <w:ind w:right="80" w:firstLine="320"/>
        <w:spacing w:after="0" w:line="255" w:lineRule="auto"/>
        <w:rPr>
          <w:sz w:val="20"/>
          <w:szCs w:val="20"/>
          <w:color w:val="auto"/>
        </w:rPr>
      </w:pPr>
      <w:r>
        <w:rPr>
          <w:rFonts w:ascii="Arial" w:cs="Arial" w:eastAsia="Arial" w:hAnsi="Arial"/>
          <w:sz w:val="18"/>
          <w:szCs w:val="18"/>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224" w:lineRule="exact"/>
        <w:rPr>
          <w:sz w:val="20"/>
          <w:szCs w:val="20"/>
          <w:color w:val="auto"/>
        </w:rPr>
      </w:pPr>
    </w:p>
    <w:p>
      <w:pPr>
        <w:ind w:right="20" w:firstLine="320"/>
        <w:spacing w:after="0" w:line="306"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w:t>
      </w:r>
    </w:p>
    <w:p>
      <w:pPr>
        <w:sectPr>
          <w:pgSz w:w="11900" w:h="16838" w:orient="portrait"/>
          <w:cols w:equalWidth="0" w:num="1">
            <w:col w:w="9900"/>
          </w:cols>
          <w:pgMar w:left="980" w:top="659" w:right="101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6" w:lineRule="exact"/>
        <w:rPr>
          <w:sz w:val="20"/>
          <w:szCs w:val="20"/>
          <w:color w:val="auto"/>
        </w:rPr>
      </w:pPr>
    </w:p>
    <w:p>
      <w:pPr>
        <w:ind w:right="140" w:firstLine="320"/>
        <w:spacing w:after="0" w:line="255" w:lineRule="auto"/>
        <w:rPr>
          <w:sz w:val="20"/>
          <w:szCs w:val="20"/>
          <w:color w:val="auto"/>
        </w:rPr>
      </w:pPr>
      <w:r>
        <w:rPr>
          <w:rFonts w:ascii="Arial" w:cs="Arial" w:eastAsia="Arial" w:hAnsi="Arial"/>
          <w:sz w:val="18"/>
          <w:szCs w:val="18"/>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88"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224" w:lineRule="exact"/>
        <w:rPr>
          <w:sz w:val="20"/>
          <w:szCs w:val="20"/>
          <w:color w:val="auto"/>
        </w:rPr>
      </w:pPr>
    </w:p>
    <w:p>
      <w:pPr>
        <w:ind w:right="140" w:firstLine="320"/>
        <w:spacing w:after="0" w:line="252" w:lineRule="auto"/>
        <w:rPr>
          <w:sz w:val="20"/>
          <w:szCs w:val="20"/>
          <w:color w:val="auto"/>
        </w:rPr>
      </w:pPr>
      <w:r>
        <w:rPr>
          <w:rFonts w:ascii="Arial" w:cs="Arial" w:eastAsia="Arial" w:hAnsi="Arial"/>
          <w:sz w:val="18"/>
          <w:szCs w:val="18"/>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 and Forfeiture</w:t>
      </w:r>
    </w:p>
    <w:p>
      <w:pPr>
        <w:spacing w:after="0" w:line="224" w:lineRule="exact"/>
        <w:rPr>
          <w:sz w:val="20"/>
          <w:szCs w:val="20"/>
          <w:color w:val="auto"/>
        </w:rPr>
      </w:pPr>
    </w:p>
    <w:p>
      <w:pPr>
        <w:ind w:right="20" w:firstLine="320"/>
        <w:spacing w:after="0" w:line="267" w:lineRule="auto"/>
        <w:rPr>
          <w:sz w:val="20"/>
          <w:szCs w:val="20"/>
          <w:color w:val="auto"/>
        </w:rPr>
      </w:pPr>
      <w:r>
        <w:rPr>
          <w:rFonts w:ascii="Arial" w:cs="Arial" w:eastAsia="Arial" w:hAnsi="Arial"/>
          <w:sz w:val="17"/>
          <w:szCs w:val="17"/>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 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Shareholders</w:t>
      </w:r>
    </w:p>
    <w:p>
      <w:pPr>
        <w:spacing w:after="0" w:line="224"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Bermuda Law</w:t>
      </w:r>
    </w:p>
    <w:p>
      <w:pPr>
        <w:spacing w:after="0" w:line="224" w:lineRule="exact"/>
        <w:rPr>
          <w:sz w:val="20"/>
          <w:szCs w:val="20"/>
          <w:color w:val="auto"/>
        </w:rPr>
      </w:pPr>
    </w:p>
    <w:p>
      <w:pPr>
        <w:ind w:right="120" w:firstLine="320"/>
        <w:spacing w:after="0" w:line="255" w:lineRule="auto"/>
        <w:rPr>
          <w:sz w:val="20"/>
          <w:szCs w:val="20"/>
          <w:color w:val="auto"/>
        </w:rPr>
      </w:pPr>
      <w:r>
        <w:rPr>
          <w:rFonts w:ascii="Arial" w:cs="Arial" w:eastAsia="Arial" w:hAnsi="Arial"/>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88" w:lineRule="exact"/>
        <w:rPr>
          <w:sz w:val="20"/>
          <w:szCs w:val="20"/>
          <w:color w:val="auto"/>
        </w:rPr>
      </w:pPr>
    </w:p>
    <w:p>
      <w:pPr>
        <w:ind w:right="420" w:firstLine="320"/>
        <w:spacing w:after="0" w:line="306" w:lineRule="auto"/>
        <w:rPr>
          <w:sz w:val="20"/>
          <w:szCs w:val="20"/>
          <w:color w:val="auto"/>
        </w:rPr>
      </w:pPr>
      <w:r>
        <w:rPr>
          <w:rFonts w:ascii="Arial" w:cs="Arial" w:eastAsia="Arial" w:hAnsi="Arial"/>
          <w:sz w:val="16"/>
          <w:szCs w:val="16"/>
          <w:color w:val="auto"/>
        </w:rPr>
        <w:t>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w:t>
      </w:r>
    </w:p>
    <w:p>
      <w:pPr>
        <w:sectPr>
          <w:pgSz w:w="11900" w:h="16838" w:orient="portrait"/>
          <w:cols w:equalWidth="0" w:num="1">
            <w:col w:w="9920"/>
          </w:cols>
          <w:pgMar w:left="980" w:top="659" w:right="99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660"/>
        <w:spacing w:after="0" w:line="300" w:lineRule="auto"/>
        <w:rPr>
          <w:sz w:val="20"/>
          <w:szCs w:val="20"/>
          <w:color w:val="auto"/>
        </w:rPr>
      </w:pPr>
      <w:r>
        <w:rPr>
          <w:rFonts w:ascii="Arial" w:cs="Arial" w:eastAsia="Arial" w:hAnsi="Arial"/>
          <w:sz w:val="17"/>
          <w:szCs w:val="17"/>
          <w:color w:val="auto"/>
        </w:rPr>
        <w:t>or statements expressed in this annual report. Certain issues and transfers of common shares involving persons deemed resident in Bermuda for exchange control purposes require the specific consent of the Bermuda Monetary Authority.</w:t>
      </w:r>
    </w:p>
    <w:p>
      <w:pPr>
        <w:spacing w:after="0" w:line="152" w:lineRule="exact"/>
        <w:rPr>
          <w:sz w:val="20"/>
          <w:szCs w:val="20"/>
          <w:color w:val="auto"/>
        </w:rPr>
      </w:pPr>
    </w:p>
    <w:p>
      <w:pPr>
        <w:ind w:right="60" w:firstLine="320"/>
        <w:spacing w:after="0" w:line="253" w:lineRule="auto"/>
        <w:rPr>
          <w:sz w:val="20"/>
          <w:szCs w:val="20"/>
          <w:color w:val="auto"/>
        </w:rPr>
      </w:pPr>
      <w:r>
        <w:rPr>
          <w:rFonts w:ascii="Arial" w:cs="Arial" w:eastAsia="Arial" w:hAnsi="Arial"/>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24"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186" w:lineRule="exact"/>
        <w:rPr>
          <w:sz w:val="20"/>
          <w:szCs w:val="20"/>
          <w:color w:val="auto"/>
        </w:rPr>
      </w:pPr>
    </w:p>
    <w:p>
      <w:pPr>
        <w:ind w:left="640" w:right="80" w:hanging="313"/>
        <w:spacing w:after="0" w:line="281"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Transactions—B. Related Party Transactions—Office Space and Related Arrangements”.</w:t>
      </w:r>
    </w:p>
    <w:p>
      <w:pPr>
        <w:spacing w:after="0" w:line="167" w:lineRule="exact"/>
        <w:rPr>
          <w:rFonts w:ascii="Arial" w:cs="Arial" w:eastAsia="Arial" w:hAnsi="Arial"/>
          <w:sz w:val="17"/>
          <w:szCs w:val="17"/>
          <w:color w:val="auto"/>
        </w:rPr>
      </w:pPr>
    </w:p>
    <w:p>
      <w:pPr>
        <w:ind w:left="640" w:right="40" w:hanging="313"/>
        <w:spacing w:after="0" w:line="27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174" w:lineRule="exact"/>
        <w:rPr>
          <w:rFonts w:ascii="Arial" w:cs="Arial" w:eastAsia="Arial" w:hAnsi="Arial"/>
          <w:sz w:val="18"/>
          <w:szCs w:val="18"/>
          <w:color w:val="auto"/>
        </w:rPr>
      </w:pPr>
    </w:p>
    <w:p>
      <w:pPr>
        <w:ind w:left="640" w:right="100" w:hanging="313"/>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86" w:lineRule="exact"/>
        <w:rPr>
          <w:rFonts w:ascii="Arial" w:cs="Arial" w:eastAsia="Arial" w:hAnsi="Arial"/>
          <w:sz w:val="18"/>
          <w:szCs w:val="18"/>
          <w:color w:val="auto"/>
        </w:rPr>
      </w:pPr>
    </w:p>
    <w:p>
      <w:pPr>
        <w:ind w:left="640" w:right="160" w:hanging="313"/>
        <w:spacing w:after="0" w:line="27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GasLog Ltd. 2013 Omnibus Incentive Compensation Plan; please see “Item 6. Directors, Senior Management and Employees— B. Compensation of Directors and Senior Management—Equity Compensation Plans”.</w:t>
      </w:r>
    </w:p>
    <w:p>
      <w:pPr>
        <w:spacing w:after="0" w:line="174" w:lineRule="exact"/>
        <w:rPr>
          <w:rFonts w:ascii="Arial" w:cs="Arial" w:eastAsia="Arial" w:hAnsi="Arial"/>
          <w:sz w:val="18"/>
          <w:szCs w:val="18"/>
          <w:color w:val="auto"/>
        </w:rPr>
      </w:pPr>
    </w:p>
    <w:p>
      <w:pPr>
        <w:ind w:left="640" w:right="60" w:hanging="313"/>
        <w:spacing w:after="0" w:line="266"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please see “Item 5. Operating and Financial Review and Prospects—B. Liquidity and Capital Resources—Borrowing Activities—Credit Facilities”.</w:t>
      </w:r>
    </w:p>
    <w:p>
      <w:pPr>
        <w:spacing w:after="0" w:line="181" w:lineRule="exact"/>
        <w:rPr>
          <w:rFonts w:ascii="Arial" w:cs="Arial" w:eastAsia="Arial" w:hAnsi="Arial"/>
          <w:sz w:val="17"/>
          <w:szCs w:val="17"/>
          <w:color w:val="auto"/>
        </w:rPr>
      </w:pPr>
    </w:p>
    <w:p>
      <w:pPr>
        <w:ind w:left="640" w:right="20" w:hanging="313"/>
        <w:spacing w:after="0" w:line="251"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Prospects—B. Liquidity and Capital Resources—Borrowing Activities—Credit Facilities”.</w:t>
      </w:r>
    </w:p>
    <w:p>
      <w:pPr>
        <w:spacing w:after="0" w:line="192" w:lineRule="exact"/>
        <w:rPr>
          <w:rFonts w:ascii="Arial" w:cs="Arial" w:eastAsia="Arial" w:hAnsi="Arial"/>
          <w:sz w:val="18"/>
          <w:szCs w:val="18"/>
          <w:color w:val="auto"/>
        </w:rPr>
      </w:pPr>
    </w:p>
    <w:p>
      <w:pPr>
        <w:ind w:left="640" w:right="140" w:hanging="313"/>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Corporate Guarantee between GasLog Ltd. and DNB Bank ASA, London Branch (provided in respect of the Senior Facility Agreement, dated February 18, 2016); please see “Item 5. Operating and Financial Review and Prospects—B. Liquidity and Capital Resources—Borrowing Activities—Credit Facilities”.</w:t>
      </w:r>
    </w:p>
    <w:p>
      <w:pPr>
        <w:spacing w:after="0" w:line="186" w:lineRule="exact"/>
        <w:rPr>
          <w:rFonts w:ascii="Arial" w:cs="Arial" w:eastAsia="Arial" w:hAnsi="Arial"/>
          <w:sz w:val="18"/>
          <w:szCs w:val="18"/>
          <w:color w:val="auto"/>
        </w:rPr>
      </w:pPr>
    </w:p>
    <w:p>
      <w:pPr>
        <w:jc w:val="both"/>
        <w:ind w:left="640" w:right="340" w:hanging="313"/>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Senior Facility Agreement, dated February 18, 2016); please see “Item 5. Operating and Financial Review and Prospects—B. Liquidity and Capital Resources—Borrowing Activities—Credit Facilities”.</w:t>
      </w:r>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40" w:right="120" w:hanging="313"/>
        <w:spacing w:after="0" w:line="251"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 agent; please see “Item 5. Operating and Financial Review and Prospects—B. Liquidity and Capital Resources— Borrowing Activities—Credit Facilities”.</w:t>
      </w:r>
    </w:p>
    <w:p>
      <w:pPr>
        <w:spacing w:after="0" w:line="192" w:lineRule="exact"/>
        <w:rPr>
          <w:rFonts w:ascii="Arial" w:cs="Arial" w:eastAsia="Arial" w:hAnsi="Arial"/>
          <w:sz w:val="18"/>
          <w:szCs w:val="18"/>
          <w:color w:val="auto"/>
        </w:rPr>
      </w:pPr>
    </w:p>
    <w:p>
      <w:pPr>
        <w:ind w:left="640" w:right="120" w:hanging="313"/>
        <w:spacing w:after="0" w:line="269"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Resources—Borrowing Activities—Credit Facilities”.</w:t>
      </w:r>
    </w:p>
    <w:p>
      <w:pPr>
        <w:spacing w:after="0" w:line="179" w:lineRule="exact"/>
        <w:rPr>
          <w:rFonts w:ascii="Arial" w:cs="Arial" w:eastAsia="Arial" w:hAnsi="Arial"/>
          <w:sz w:val="17"/>
          <w:szCs w:val="17"/>
          <w:color w:val="auto"/>
        </w:rPr>
      </w:pPr>
    </w:p>
    <w:p>
      <w:pPr>
        <w:ind w:left="640" w:right="120" w:hanging="313"/>
        <w:spacing w:after="0" w:line="274"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Facility Agreement dated June 25, 2019, relating to $130,000,000 Term Loan Facility among GasLog Hellas-1 Special Maritime Enterprise as Borrower, ABN Amro Bank N.V. and Oversea-Chinese Banking Corporation Limited as mandated lead arrangers and ABN Amro Bank N.V. as agent and the security agent; please see “Item 5. Operating and Financial Review and Prospects— B. Liquidity and Capital Resources—Borrowing Activities—Credit Facilities”.</w:t>
      </w:r>
    </w:p>
    <w:p>
      <w:pPr>
        <w:spacing w:after="0" w:line="174" w:lineRule="exact"/>
        <w:rPr>
          <w:rFonts w:ascii="Arial" w:cs="Arial" w:eastAsia="Arial" w:hAnsi="Arial"/>
          <w:sz w:val="17"/>
          <w:szCs w:val="17"/>
          <w:color w:val="auto"/>
        </w:rPr>
      </w:pPr>
    </w:p>
    <w:p>
      <w:pPr>
        <w:jc w:val="both"/>
        <w:ind w:left="640" w:right="440" w:hanging="313"/>
        <w:spacing w:after="0" w:line="258"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Form of Corporate Guarantee between GasLog Ltd. and ABN Amro Bank N.V. (provided in respect of the GasLog Warsaw Facility, dated June 25, 2019); please see “Item 5. Operating and Financial Review and Prospects—B. Liquidity and Capital Resources—Borrowing Activities—Credit Facilities”.</w:t>
      </w:r>
    </w:p>
    <w:p>
      <w:pPr>
        <w:spacing w:after="0" w:line="186" w:lineRule="exact"/>
        <w:rPr>
          <w:rFonts w:ascii="Arial" w:cs="Arial" w:eastAsia="Arial" w:hAnsi="Arial"/>
          <w:sz w:val="18"/>
          <w:szCs w:val="18"/>
          <w:color w:val="auto"/>
        </w:rPr>
      </w:pPr>
    </w:p>
    <w:p>
      <w:pPr>
        <w:ind w:left="640" w:right="40" w:hanging="313"/>
        <w:spacing w:after="0" w:line="283"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 London Branch and DNB (UK) Ltd., as Global Co-ordinators and GasLog Ltd., GasLog Carriers, GasLog Partners LP and GasLog Partners Holdings LLC as Guarantors; please see “Item 5. Operating and Financial Review and Prospects—B. Liquidity and Capital Resources—Borrowing Activities—Credit Facilities”.</w:t>
      </w:r>
    </w:p>
    <w:p>
      <w:pPr>
        <w:spacing w:after="0" w:line="171" w:lineRule="exact"/>
        <w:rPr>
          <w:rFonts w:ascii="Arial" w:cs="Arial" w:eastAsia="Arial" w:hAnsi="Arial"/>
          <w:sz w:val="16"/>
          <w:szCs w:val="16"/>
          <w:color w:val="auto"/>
        </w:rPr>
      </w:pPr>
    </w:p>
    <w:p>
      <w:pPr>
        <w:ind w:left="640" w:hanging="313"/>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Facility Agreement dated July 16, 2020, relating to $576,887,500 loan facility among GAS-one Ltd., GAS-two Ltd., GAS-six Ltd., GAS-nine Ltd., GAS-ten Ltd. and GAS-eighteen Ltd. as borrowers, ABN Amro Bank N.V., Citigroup Global Markets Limited, Nordea Bank ABP, Filial I Norge and HSBC Bank PLC as mandated lead arrangers and Credit Agricole Corporate and Investment Bank, Unicredit Bank AG and National Australia Bank Limited as arrangers, with ABN Amro Bank N.V. as agent and security agent and ABN Amro Bank N.V., Citigroup Global Markets Limited and Nordea Bank ABO, Filial I Norge as bookrunners, guaranteed by GasLog Ltd., GasLog Carriers, GasLog Partners LP and GasLog Partners Holdings LLC; please see “Item 5. Operating and Financial Review and Prospects—B. Liquidity and Capital Resources—Borrowing Activities—Credit Facilities”.</w:t>
      </w:r>
    </w:p>
    <w:p>
      <w:pPr>
        <w:spacing w:after="0" w:line="196" w:lineRule="exact"/>
        <w:rPr>
          <w:rFonts w:ascii="Arial" w:cs="Arial" w:eastAsia="Arial" w:hAnsi="Arial"/>
          <w:sz w:val="18"/>
          <w:szCs w:val="18"/>
          <w:color w:val="auto"/>
        </w:rPr>
      </w:pPr>
    </w:p>
    <w:p>
      <w:pPr>
        <w:ind w:left="640" w:right="120" w:hanging="313"/>
        <w:spacing w:after="0" w:line="253"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Facility Agreement dated July 16, 2020, relating to $260,331,250 loan facility among GAS-twenty Ltd., GAS-seven Ltd. and GAS-eight Ltd., as borrowers, BNP Paribas and Credit Suisse AG, as mandated lead arrangers, with BNP Paribas as agent and security agent and Credit Suisse AG as global co-ordinator and bookrunner, guaranteed by GasLog Partners LP and GasLog Partners Holdings LLC; please see “Item 5. Operating and Financial Review and Prospects—B. Liquidity and Capital Resources —Borrowing Activities—Credit Facilities”.</w:t>
      </w:r>
    </w:p>
    <w:p>
      <w:pPr>
        <w:spacing w:after="0" w:line="189" w:lineRule="exact"/>
        <w:rPr>
          <w:rFonts w:ascii="Arial" w:cs="Arial" w:eastAsia="Arial" w:hAnsi="Arial"/>
          <w:sz w:val="18"/>
          <w:szCs w:val="18"/>
          <w:color w:val="auto"/>
        </w:rPr>
      </w:pPr>
    </w:p>
    <w:p>
      <w:pPr>
        <w:ind w:left="640" w:right="480" w:hanging="313"/>
        <w:spacing w:after="0" w:line="333"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Facility Agreement dated July 16, 2020, relating to $200,000,000 loan facility among GAS-twenty seven Ltd., GAS-twenty one Ltd. and GAS-nineteen Ltd., as borrowers, DNB (UK) Ltd. and ING Bank N.V., London Branch, as mandated lead</w:t>
      </w:r>
    </w:p>
    <w:p>
      <w:pPr>
        <w:sectPr>
          <w:pgSz w:w="11900" w:h="16838" w:orient="portrait"/>
          <w:cols w:equalWidth="0" w:num="1">
            <w:col w:w="9920"/>
          </w:cols>
          <w:pgMar w:left="980" w:top="659" w:right="99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640" w:right="340"/>
        <w:spacing w:after="0" w:line="296" w:lineRule="auto"/>
        <w:rPr>
          <w:sz w:val="20"/>
          <w:szCs w:val="20"/>
          <w:color w:val="auto"/>
        </w:rPr>
      </w:pPr>
      <w:r>
        <w:rPr>
          <w:rFonts w:ascii="Arial" w:cs="Arial" w:eastAsia="Arial" w:hAnsi="Arial"/>
          <w:sz w:val="16"/>
          <w:szCs w:val="16"/>
          <w:color w:val="auto"/>
        </w:rPr>
        <w:t>arrangers, with DNB Bank ASA, London Branch as agent and security agent, DNB (UK) Ltd. and ING Bank N.V., London Branch as bookrunners and ING Bank N.V, London Branch as structuring and documentation bank, guaranteed by GasLog Partners LP, GasLog Partners Holdings LLC, GasLog Ltd. and GasLog Carriers; please see “Item 5. Operating and Financial Review and Prospects—B. Liquidity and Capital Resources—Borrowing Activities—Credit Facilities”.</w:t>
      </w:r>
    </w:p>
    <w:p>
      <w:pPr>
        <w:spacing w:after="0" w:line="160" w:lineRule="exact"/>
        <w:rPr>
          <w:sz w:val="20"/>
          <w:szCs w:val="20"/>
          <w:color w:val="auto"/>
        </w:rPr>
      </w:pPr>
    </w:p>
    <w:p>
      <w:pPr>
        <w:ind w:left="640" w:right="20" w:hanging="313"/>
        <w:spacing w:after="0" w:line="255" w:lineRule="auto"/>
        <w:tabs>
          <w:tab w:leader="none" w:pos="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Facility Agreement dated July 30, 2020, relating to a $96,800,000 loan facility among GAS-fifteen Ltd. as Borrower and National Bank of Greece S.A. as Arranger, Agent and Security Agent, guaranteed by GasLog Ltd. and GasLog Carriers; please see “Item 5. Operating and Financial Review and Prospects—B. Liquidity and Capital Resources—Borrowing Activities—Credit Facilities”.</w:t>
      </w:r>
    </w:p>
    <w:p>
      <w:pPr>
        <w:spacing w:after="0" w:line="187" w:lineRule="exact"/>
        <w:rPr>
          <w:rFonts w:ascii="Arial" w:cs="Arial" w:eastAsia="Arial" w:hAnsi="Arial"/>
          <w:sz w:val="18"/>
          <w:szCs w:val="18"/>
          <w:color w:val="auto"/>
        </w:rPr>
      </w:pPr>
    </w:p>
    <w:p>
      <w:pPr>
        <w:ind w:left="640" w:right="60" w:hanging="313"/>
        <w:spacing w:after="0" w:line="258" w:lineRule="auto"/>
        <w:tabs>
          <w:tab w:leader="none" w:pos="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Agreement and Plan of Merger dated February 21, 2021 (and as subsequently amended on April 20, 2021) among GasLog Ltd., GEPIF III Crown Bidco L.P. and GEPIF III Crown MergerCo Limited; please see “Item 7. Major Shareholders and Related Party Transactions—B. Related Party Transactions—Merger Agreement”.</w:t>
      </w:r>
    </w:p>
    <w:p>
      <w:pPr>
        <w:spacing w:after="0" w:line="186" w:lineRule="exact"/>
        <w:rPr>
          <w:rFonts w:ascii="Arial" w:cs="Arial" w:eastAsia="Arial" w:hAnsi="Arial"/>
          <w:sz w:val="18"/>
          <w:szCs w:val="18"/>
          <w:color w:val="auto"/>
        </w:rPr>
      </w:pPr>
    </w:p>
    <w:p>
      <w:pPr>
        <w:ind w:left="640" w:right="280" w:hanging="313"/>
        <w:spacing w:after="0" w:line="258" w:lineRule="auto"/>
        <w:tabs>
          <w:tab w:leader="none" w:pos="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Rollover Agreement dated February 21, 2021 among GasLog Ltd., GEPIF III Crown Bidco L.P. and the Rolling Shareholders, and the Shareholders Agreement attached as Exhibit A thereto; please see “Item 7. Major Shareholders and Related Party Transactions—B. Related Party Transactions—Shareholders’ Agreement”.</w:t>
      </w:r>
    </w:p>
    <w:p>
      <w:pPr>
        <w:spacing w:after="0" w:line="182" w:lineRule="exact"/>
        <w:rPr>
          <w:rFonts w:ascii="Arial" w:cs="Arial" w:eastAsia="Arial" w:hAnsi="Arial"/>
          <w:sz w:val="18"/>
          <w:szCs w:val="18"/>
          <w:color w:val="auto"/>
        </w:rPr>
      </w:pPr>
    </w:p>
    <w:p>
      <w:pPr>
        <w:ind w:left="220" w:hanging="213"/>
        <w:spacing w:after="0"/>
        <w:tabs>
          <w:tab w:leader="none" w:pos="2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Security Holders</w:t>
      </w:r>
    </w:p>
    <w:p>
      <w:pPr>
        <w:spacing w:after="0" w:line="224" w:lineRule="exact"/>
        <w:rPr>
          <w:sz w:val="20"/>
          <w:szCs w:val="20"/>
          <w:color w:val="auto"/>
        </w:rPr>
      </w:pPr>
    </w:p>
    <w:p>
      <w:pPr>
        <w:ind w:right="460" w:firstLine="320"/>
        <w:spacing w:after="0" w:line="333" w:lineRule="auto"/>
        <w:rPr>
          <w:sz w:val="20"/>
          <w:szCs w:val="20"/>
          <w:color w:val="auto"/>
        </w:rPr>
      </w:pPr>
      <w:r>
        <w:rPr>
          <w:rFonts w:ascii="Arial" w:cs="Arial" w:eastAsia="Arial" w:hAnsi="Arial"/>
          <w:sz w:val="16"/>
          <w:szCs w:val="16"/>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30" w:lineRule="exact"/>
        <w:rPr>
          <w:sz w:val="20"/>
          <w:szCs w:val="20"/>
          <w:color w:val="auto"/>
        </w:rPr>
      </w:pPr>
    </w:p>
    <w:p>
      <w:pPr>
        <w:ind w:right="120" w:firstLine="320"/>
        <w:spacing w:after="0" w:line="255" w:lineRule="auto"/>
        <w:rPr>
          <w:sz w:val="20"/>
          <w:szCs w:val="20"/>
          <w:color w:val="auto"/>
        </w:rPr>
      </w:pPr>
      <w:r>
        <w:rPr>
          <w:rFonts w:ascii="Arial" w:cs="Arial" w:eastAsia="Arial" w:hAnsi="Arial"/>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88" w:lineRule="exact"/>
        <w:rPr>
          <w:sz w:val="20"/>
          <w:szCs w:val="20"/>
          <w:color w:val="auto"/>
        </w:rPr>
      </w:pPr>
    </w:p>
    <w:p>
      <w:pPr>
        <w:ind w:right="220" w:firstLine="320"/>
        <w:spacing w:after="0" w:line="255" w:lineRule="auto"/>
        <w:rPr>
          <w:sz w:val="20"/>
          <w:szCs w:val="20"/>
          <w:color w:val="auto"/>
        </w:rPr>
      </w:pPr>
      <w:r>
        <w:rPr>
          <w:rFonts w:ascii="Arial" w:cs="Arial" w:eastAsia="Arial" w:hAnsi="Arial"/>
          <w:sz w:val="18"/>
          <w:szCs w:val="18"/>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24"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 give no assurance that we will not be subject to any Bermuda tax after March 31, 2035.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4" w:lineRule="exact"/>
        <w:rPr>
          <w:sz w:val="20"/>
          <w:szCs w:val="20"/>
          <w:color w:val="auto"/>
        </w:rPr>
      </w:pPr>
    </w:p>
    <w:p>
      <w:pPr>
        <w:jc w:val="both"/>
        <w:ind w:right="260" w:firstLine="320"/>
        <w:spacing w:after="0" w:line="258" w:lineRule="auto"/>
        <w:rPr>
          <w:sz w:val="20"/>
          <w:szCs w:val="20"/>
          <w:color w:val="auto"/>
        </w:rPr>
      </w:pPr>
      <w:r>
        <w:rPr>
          <w:rFonts w:ascii="Arial" w:cs="Arial" w:eastAsia="Arial" w:hAnsi="Arial"/>
          <w:sz w:val="18"/>
          <w:szCs w:val="18"/>
          <w:color w:val="auto"/>
        </w:rPr>
        <w:t>The following discussion summarizes the material U.S. Federal income tax consequences to us of our activities and, subject to the limitations described above, to you as a holder of our common shares or Preference Shares. For purposes of this tax discussion, “we” or “our” refer to GasLog Ltd.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firstLine="320"/>
        <w:spacing w:after="0" w:line="271" w:lineRule="auto"/>
        <w:rPr>
          <w:sz w:val="20"/>
          <w:szCs w:val="20"/>
          <w:color w:val="auto"/>
        </w:rPr>
      </w:pPr>
      <w:r>
        <w:rPr>
          <w:rFonts w:ascii="Arial" w:cs="Arial" w:eastAsia="Arial" w:hAnsi="Arial"/>
          <w:sz w:val="17"/>
          <w:szCs w:val="17"/>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Operating Income</w:t>
      </w:r>
    </w:p>
    <w:p>
      <w:pPr>
        <w:spacing w:after="0" w:line="220" w:lineRule="exact"/>
        <w:rPr>
          <w:sz w:val="20"/>
          <w:szCs w:val="20"/>
          <w:color w:val="auto"/>
        </w:rPr>
      </w:pPr>
    </w:p>
    <w:p>
      <w:pPr>
        <w:ind w:right="20" w:firstLine="320"/>
        <w:spacing w:after="0" w:line="289" w:lineRule="auto"/>
        <w:rPr>
          <w:sz w:val="20"/>
          <w:szCs w:val="20"/>
          <w:color w:val="auto"/>
        </w:rPr>
      </w:pPr>
      <w:r>
        <w:rPr>
          <w:rFonts w:ascii="Arial" w:cs="Arial" w:eastAsia="Arial" w:hAnsi="Arial"/>
          <w:sz w:val="16"/>
          <w:szCs w:val="16"/>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U.S. Taxation of Shipping Income</w:t>
      </w:r>
    </w:p>
    <w:p>
      <w:pPr>
        <w:spacing w:after="0" w:line="220"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88" w:lineRule="exact"/>
        <w:rPr>
          <w:sz w:val="20"/>
          <w:szCs w:val="20"/>
          <w:color w:val="auto"/>
        </w:rPr>
      </w:pPr>
    </w:p>
    <w:p>
      <w:pPr>
        <w:ind w:right="40" w:firstLine="320"/>
        <w:spacing w:after="0" w:line="296" w:lineRule="auto"/>
        <w:rPr>
          <w:sz w:val="20"/>
          <w:szCs w:val="20"/>
          <w:color w:val="auto"/>
        </w:rPr>
      </w:pPr>
      <w:r>
        <w:rPr>
          <w:rFonts w:ascii="Arial" w:cs="Arial" w:eastAsia="Arial" w:hAnsi="Arial"/>
          <w:sz w:val="16"/>
          <w:szCs w:val="16"/>
          <w:color w:val="auto"/>
        </w:rPr>
        <w:t>For this purpose, U.S. source gross transportation income includes 50% of the shipping income that is attributable to transportation that begins or ends (but that does not both begin and end) in the United States (such 50% being “U.S. Source International Transportation Income”). The other 50% of the income described in the first sentence of this paragraph would not be subject to U.S. income tax. Shipping income attributable to transportation exclusively between non-U.S. ports is generally not subject to any U.S. Federal income tax.</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20" w:lineRule="exact"/>
        <w:rPr>
          <w:sz w:val="20"/>
          <w:szCs w:val="20"/>
          <w:color w:val="auto"/>
        </w:rPr>
      </w:pPr>
    </w:p>
    <w:p>
      <w:pPr>
        <w:ind w:left="960" w:hanging="480"/>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19" w:lineRule="exact"/>
        <w:rPr>
          <w:rFonts w:ascii="Arial" w:cs="Arial" w:eastAsia="Arial" w:hAnsi="Arial"/>
          <w:sz w:val="18"/>
          <w:szCs w:val="18"/>
          <w:color w:val="auto"/>
        </w:rPr>
      </w:pPr>
    </w:p>
    <w:p>
      <w:pPr>
        <w:ind w:left="960" w:hanging="530"/>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19" w:lineRule="exact"/>
        <w:rPr>
          <w:rFonts w:ascii="Arial" w:cs="Arial" w:eastAsia="Arial" w:hAnsi="Arial"/>
          <w:sz w:val="18"/>
          <w:szCs w:val="18"/>
          <w:color w:val="auto"/>
        </w:rPr>
      </w:pPr>
    </w:p>
    <w:p>
      <w:pPr>
        <w:ind w:left="960" w:right="440" w:hanging="579"/>
        <w:spacing w:after="0" w:line="270"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74" w:lineRule="exact"/>
        <w:rPr>
          <w:rFonts w:ascii="Arial" w:cs="Arial" w:eastAsia="Arial" w:hAnsi="Arial"/>
          <w:sz w:val="18"/>
          <w:szCs w:val="18"/>
          <w:color w:val="auto"/>
        </w:rPr>
      </w:pPr>
    </w:p>
    <w:p>
      <w:pPr>
        <w:ind w:left="960" w:hanging="569"/>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0" w:lineRule="exact"/>
        <w:rPr>
          <w:sz w:val="20"/>
          <w:szCs w:val="20"/>
          <w:color w:val="auto"/>
        </w:rPr>
      </w:pPr>
    </w:p>
    <w:p>
      <w:pPr>
        <w:ind w:right="260" w:firstLine="320"/>
        <w:spacing w:after="0" w:line="270" w:lineRule="auto"/>
        <w:rPr>
          <w:sz w:val="20"/>
          <w:szCs w:val="20"/>
          <w:color w:val="auto"/>
        </w:rPr>
      </w:pPr>
      <w:r>
        <w:rPr>
          <w:rFonts w:ascii="Arial" w:cs="Arial" w:eastAsia="Arial" w:hAnsi="Arial"/>
          <w:sz w:val="18"/>
          <w:szCs w:val="18"/>
          <w:color w:val="auto"/>
        </w:rPr>
        <w:t>Under Section 883 of the Code and the regulations thereunder, we will be exempt from U.S. Federal income tax on our U.S. source gross transportation income if:</w:t>
      </w:r>
    </w:p>
    <w:p>
      <w:pPr>
        <w:spacing w:after="0" w:line="175" w:lineRule="exact"/>
        <w:rPr>
          <w:sz w:val="20"/>
          <w:szCs w:val="20"/>
          <w:color w:val="auto"/>
        </w:rPr>
      </w:pPr>
    </w:p>
    <w:p>
      <w:pPr>
        <w:ind w:left="960" w:right="180" w:hanging="480"/>
        <w:spacing w:after="0" w:line="270"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174" w:lineRule="exact"/>
        <w:rPr>
          <w:rFonts w:ascii="Arial" w:cs="Arial" w:eastAsia="Arial" w:hAnsi="Arial"/>
          <w:sz w:val="18"/>
          <w:szCs w:val="18"/>
          <w:color w:val="auto"/>
        </w:rPr>
      </w:pPr>
    </w:p>
    <w:p>
      <w:pPr>
        <w:ind w:left="960" w:hanging="530"/>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either</w:t>
      </w:r>
    </w:p>
    <w:p>
      <w:pPr>
        <w:spacing w:after="0" w:line="219" w:lineRule="exact"/>
        <w:rPr>
          <w:rFonts w:ascii="Arial" w:cs="Arial" w:eastAsia="Arial" w:hAnsi="Arial"/>
          <w:sz w:val="18"/>
          <w:szCs w:val="18"/>
          <w:color w:val="auto"/>
        </w:rPr>
      </w:pPr>
    </w:p>
    <w:p>
      <w:pPr>
        <w:ind w:left="1320" w:right="200" w:hanging="325"/>
        <w:spacing w:after="0" w:line="258" w:lineRule="auto"/>
        <w:tabs>
          <w:tab w:leader="none" w:pos="13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186" w:lineRule="exact"/>
        <w:rPr>
          <w:rFonts w:ascii="Arial" w:cs="Arial" w:eastAsia="Arial" w:hAnsi="Arial"/>
          <w:sz w:val="18"/>
          <w:szCs w:val="18"/>
          <w:color w:val="auto"/>
        </w:rPr>
      </w:pPr>
    </w:p>
    <w:p>
      <w:pPr>
        <w:ind w:left="1320" w:right="160" w:hanging="325"/>
        <w:spacing w:after="0" w:line="258" w:lineRule="auto"/>
        <w:tabs>
          <w:tab w:leader="none" w:pos="13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180" w:firstLine="320"/>
        <w:spacing w:after="0" w:line="281" w:lineRule="auto"/>
        <w:rPr>
          <w:sz w:val="20"/>
          <w:szCs w:val="20"/>
          <w:color w:val="auto"/>
        </w:rPr>
      </w:pPr>
      <w:r>
        <w:rPr>
          <w:rFonts w:ascii="Arial" w:cs="Arial" w:eastAsia="Arial" w:hAnsi="Arial"/>
          <w:sz w:val="17"/>
          <w:szCs w:val="17"/>
          <w:color w:val="auto"/>
        </w:rPr>
        <w:t>We do not expect to qualify for the statutory tax exemption for the year of 2021 or for future years. For any tax year in which we are not entitled to the exemption under Section 883, we would be subject to the 4% U.S. federal income tax under Section 887 on our U.S. Source International Transportation Income (subject to the discussion of “effectively connected income” below).</w:t>
      </w:r>
    </w:p>
    <w:p>
      <w:pPr>
        <w:spacing w:after="0" w:line="167"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For 2021, our U.S. source gross transportation tax for the wholly owned subsidiaries of GasLog, was $3.3 million. In addition,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0" w:lineRule="exact"/>
        <w:rPr>
          <w:sz w:val="20"/>
          <w:szCs w:val="20"/>
          <w:color w:val="auto"/>
        </w:rPr>
      </w:pPr>
    </w:p>
    <w:p>
      <w:pPr>
        <w:ind w:right="200" w:firstLine="320"/>
        <w:spacing w:after="0" w:line="270" w:lineRule="auto"/>
        <w:rPr>
          <w:sz w:val="20"/>
          <w:szCs w:val="20"/>
          <w:color w:val="auto"/>
        </w:rPr>
      </w:pPr>
      <w:r>
        <w:rPr>
          <w:rFonts w:ascii="Arial" w:cs="Arial" w:eastAsia="Arial" w:hAnsi="Arial"/>
          <w:sz w:val="18"/>
          <w:szCs w:val="18"/>
          <w:color w:val="auto"/>
        </w:rPr>
        <w:t>Our U.S. source gross transportation income would be considered effectively connected with the conduct of a U.S. trade or business only if:</w:t>
      </w:r>
    </w:p>
    <w:p>
      <w:pPr>
        <w:spacing w:after="0" w:line="175" w:lineRule="exact"/>
        <w:rPr>
          <w:sz w:val="20"/>
          <w:szCs w:val="20"/>
          <w:color w:val="auto"/>
        </w:rPr>
      </w:pPr>
    </w:p>
    <w:p>
      <w:pPr>
        <w:ind w:left="960" w:right="400" w:hanging="480"/>
        <w:spacing w:after="0" w:line="270"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74" w:lineRule="exact"/>
        <w:rPr>
          <w:rFonts w:ascii="Arial" w:cs="Arial" w:eastAsia="Arial" w:hAnsi="Arial"/>
          <w:sz w:val="18"/>
          <w:szCs w:val="18"/>
          <w:color w:val="auto"/>
        </w:rPr>
      </w:pPr>
    </w:p>
    <w:p>
      <w:pPr>
        <w:jc w:val="both"/>
        <w:ind w:left="960" w:right="20" w:hanging="530"/>
        <w:spacing w:after="0" w:line="258"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86" w:lineRule="exact"/>
        <w:rPr>
          <w:sz w:val="20"/>
          <w:szCs w:val="20"/>
          <w:color w:val="auto"/>
        </w:rPr>
      </w:pPr>
    </w:p>
    <w:p>
      <w:pPr>
        <w:ind w:right="60" w:firstLine="320"/>
        <w:spacing w:after="0" w:line="333" w:lineRule="auto"/>
        <w:rPr>
          <w:sz w:val="20"/>
          <w:szCs w:val="20"/>
          <w:color w:val="auto"/>
        </w:rPr>
      </w:pPr>
      <w:r>
        <w:rPr>
          <w:rFonts w:ascii="Arial" w:cs="Arial" w:eastAsia="Arial" w:hAnsi="Arial"/>
          <w:sz w:val="16"/>
          <w:szCs w:val="16"/>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30" w:lineRule="exact"/>
        <w:rPr>
          <w:sz w:val="20"/>
          <w:szCs w:val="20"/>
          <w:color w:val="auto"/>
        </w:rPr>
      </w:pPr>
    </w:p>
    <w:p>
      <w:pPr>
        <w:ind w:right="20" w:firstLine="320"/>
        <w:spacing w:after="0" w:line="255" w:lineRule="auto"/>
        <w:rPr>
          <w:sz w:val="20"/>
          <w:szCs w:val="20"/>
          <w:color w:val="auto"/>
        </w:rPr>
      </w:pPr>
      <w:r>
        <w:rPr>
          <w:rFonts w:ascii="Arial" w:cs="Arial" w:eastAsia="Arial" w:hAnsi="Arial"/>
          <w:sz w:val="18"/>
          <w:szCs w:val="18"/>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0" w:lineRule="exact"/>
        <w:rPr>
          <w:sz w:val="20"/>
          <w:szCs w:val="20"/>
          <w:color w:val="auto"/>
        </w:rPr>
      </w:pPr>
    </w:p>
    <w:p>
      <w:pPr>
        <w:ind w:right="140" w:firstLine="320"/>
        <w:spacing w:after="0" w:line="271" w:lineRule="auto"/>
        <w:rPr>
          <w:sz w:val="20"/>
          <w:szCs w:val="20"/>
          <w:color w:val="auto"/>
        </w:rPr>
      </w:pPr>
      <w:r>
        <w:rPr>
          <w:rFonts w:ascii="Arial" w:cs="Arial" w:eastAsia="Arial" w:hAnsi="Arial"/>
          <w:sz w:val="17"/>
          <w:szCs w:val="17"/>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0" w:lineRule="exact"/>
        <w:rPr>
          <w:sz w:val="20"/>
          <w:szCs w:val="20"/>
          <w:color w:val="auto"/>
        </w:rPr>
      </w:pPr>
    </w:p>
    <w:p>
      <w:pPr>
        <w:ind w:right="60" w:firstLine="320"/>
        <w:spacing w:after="0" w:line="252" w:lineRule="auto"/>
        <w:rPr>
          <w:sz w:val="20"/>
          <w:szCs w:val="20"/>
          <w:color w:val="auto"/>
        </w:rPr>
      </w:pPr>
      <w:r>
        <w:rPr>
          <w:rFonts w:ascii="Arial" w:cs="Arial" w:eastAsia="Arial" w:hAnsi="Arial"/>
          <w:sz w:val="18"/>
          <w:szCs w:val="18"/>
          <w:color w:val="auto"/>
        </w:rPr>
        <w:t>You are a “U.S. holder” if you are a beneficial owner of our common shares or Preference Shares that owns (actually or constructively) less than 10% of our equity and you are (i) a U.S. citizen or resident, (ii) a U.S. corporation (or other U.S. entity taxable as a corporation), (iii) an estate the income of which is subject to U.S. Federal income taxation regardless of its source or (iv) a trust if (x) a court within the United States is able to exercise primary jurisdiction over the administration of the trust and one or more U.S. persons have the authority to control all substantial decisions of the trust or (y) the trust has a valid election in effect to be treated as a U.S. Federal income tax purposes.</w:t>
      </w:r>
    </w:p>
    <w:p>
      <w:pPr>
        <w:spacing w:after="0" w:line="190"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8"/>
          <w:szCs w:val="18"/>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0" w:lineRule="exact"/>
        <w:rPr>
          <w:sz w:val="20"/>
          <w:szCs w:val="20"/>
          <w:color w:val="auto"/>
        </w:rPr>
      </w:pPr>
    </w:p>
    <w:p>
      <w:pPr>
        <w:ind w:firstLine="320"/>
        <w:spacing w:after="0" w:line="306" w:lineRule="auto"/>
        <w:rPr>
          <w:sz w:val="20"/>
          <w:szCs w:val="20"/>
          <w:color w:val="auto"/>
        </w:rPr>
      </w:pPr>
      <w:r>
        <w:rPr>
          <w:rFonts w:ascii="Arial" w:cs="Arial" w:eastAsia="Arial" w:hAnsi="Arial"/>
          <w:sz w:val="16"/>
          <w:szCs w:val="16"/>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w:t>
      </w:r>
    </w:p>
    <w:p>
      <w:pPr>
        <w:sectPr>
          <w:pgSz w:w="11900" w:h="16838" w:orient="portrait"/>
          <w:cols w:equalWidth="0" w:num="1">
            <w:col w:w="9920"/>
          </w:cols>
          <w:pgMar w:left="980" w:top="659" w:right="99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treated first as a nontaxable return of capital to the extent of your tax basis in our common shares or Preference Shares (on a dollar-for-dollar basis) and thereafter as capital gain.</w:t>
      </w:r>
    </w:p>
    <w:p>
      <w:pPr>
        <w:spacing w:after="0" w:line="175" w:lineRule="exact"/>
        <w:rPr>
          <w:sz w:val="20"/>
          <w:szCs w:val="20"/>
          <w:color w:val="auto"/>
        </w:rPr>
      </w:pPr>
    </w:p>
    <w:p>
      <w:pPr>
        <w:ind w:right="580" w:firstLine="320"/>
        <w:spacing w:after="0" w:line="270" w:lineRule="auto"/>
        <w:rPr>
          <w:sz w:val="20"/>
          <w:szCs w:val="20"/>
          <w:color w:val="auto"/>
        </w:rPr>
      </w:pPr>
      <w:r>
        <w:rPr>
          <w:rFonts w:ascii="Arial" w:cs="Arial" w:eastAsia="Arial" w:hAnsi="Arial"/>
          <w:sz w:val="18"/>
          <w:szCs w:val="18"/>
          <w:color w:val="auto"/>
        </w:rPr>
        <w:t>If you are a U.S. corporation (or a U.S. entity taxable as a corporation), you generally will not be entitled to claim a dividends-received deduction with respect to any distributions you receive from us.</w:t>
      </w:r>
    </w:p>
    <w:p>
      <w:pPr>
        <w:spacing w:after="0" w:line="175" w:lineRule="exact"/>
        <w:rPr>
          <w:sz w:val="20"/>
          <w:szCs w:val="20"/>
          <w:color w:val="auto"/>
        </w:rPr>
      </w:pPr>
    </w:p>
    <w:p>
      <w:pPr>
        <w:ind w:right="300" w:firstLine="320"/>
        <w:spacing w:after="0" w:line="270" w:lineRule="auto"/>
        <w:rPr>
          <w:sz w:val="20"/>
          <w:szCs w:val="20"/>
          <w:color w:val="auto"/>
        </w:rPr>
      </w:pPr>
      <w:r>
        <w:rPr>
          <w:rFonts w:ascii="Arial" w:cs="Arial" w:eastAsia="Arial" w:hAnsi="Arial"/>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75" w:lineRule="exact"/>
        <w:rPr>
          <w:sz w:val="20"/>
          <w:szCs w:val="20"/>
          <w:color w:val="auto"/>
        </w:rPr>
      </w:pPr>
    </w:p>
    <w:p>
      <w:pPr>
        <w:ind w:right="380" w:firstLine="320"/>
        <w:spacing w:after="0" w:line="300" w:lineRule="auto"/>
        <w:rPr>
          <w:sz w:val="20"/>
          <w:szCs w:val="20"/>
          <w:color w:val="auto"/>
        </w:rPr>
      </w:pPr>
      <w:r>
        <w:rPr>
          <w:rFonts w:ascii="Arial" w:cs="Arial" w:eastAsia="Arial" w:hAnsi="Arial"/>
          <w:sz w:val="17"/>
          <w:szCs w:val="17"/>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52" w:lineRule="exact"/>
        <w:rPr>
          <w:sz w:val="20"/>
          <w:szCs w:val="20"/>
          <w:color w:val="auto"/>
        </w:rPr>
      </w:pPr>
    </w:p>
    <w:p>
      <w:pPr>
        <w:ind w:left="960" w:right="200" w:hanging="480"/>
        <w:spacing w:after="0" w:line="270"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common shares or Preference Shares, as the case may be, are readily tradable on an established securities market in the United States (such as the NYSE);</w:t>
      </w:r>
    </w:p>
    <w:p>
      <w:pPr>
        <w:spacing w:after="0" w:line="174" w:lineRule="exact"/>
        <w:rPr>
          <w:rFonts w:ascii="Arial" w:cs="Arial" w:eastAsia="Arial" w:hAnsi="Arial"/>
          <w:sz w:val="18"/>
          <w:szCs w:val="18"/>
          <w:color w:val="auto"/>
        </w:rPr>
      </w:pPr>
    </w:p>
    <w:p>
      <w:pPr>
        <w:ind w:left="960" w:right="780" w:hanging="530"/>
        <w:spacing w:after="0" w:line="270"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are not a PFIC for the tax year during which the dividend is paid or the immediately preceding tax year (see the discussion below under “—PFIC Status and Significant Tax Consequences”);</w:t>
      </w:r>
    </w:p>
    <w:p>
      <w:pPr>
        <w:spacing w:after="0" w:line="174" w:lineRule="exact"/>
        <w:rPr>
          <w:rFonts w:ascii="Arial" w:cs="Arial" w:eastAsia="Arial" w:hAnsi="Arial"/>
          <w:sz w:val="18"/>
          <w:szCs w:val="18"/>
          <w:color w:val="auto"/>
        </w:rPr>
      </w:pPr>
    </w:p>
    <w:p>
      <w:pPr>
        <w:ind w:left="960" w:right="100" w:hanging="579"/>
        <w:spacing w:after="0" w:line="270"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own our common shares or Preference Shares for more than 60 days in the 121-day period beginning 60 days before the date on which the common shares or Preference Shares become ex-dividend;</w:t>
      </w:r>
    </w:p>
    <w:p>
      <w:pPr>
        <w:spacing w:after="0" w:line="174" w:lineRule="exact"/>
        <w:rPr>
          <w:rFonts w:ascii="Arial" w:cs="Arial" w:eastAsia="Arial" w:hAnsi="Arial"/>
          <w:sz w:val="18"/>
          <w:szCs w:val="18"/>
          <w:color w:val="auto"/>
        </w:rPr>
      </w:pPr>
    </w:p>
    <w:p>
      <w:pPr>
        <w:ind w:left="960" w:right="700" w:hanging="569"/>
        <w:spacing w:after="0" w:line="270"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are not under an obligation to make related payments with respect to positions in substantially similar or related property; and</w:t>
      </w:r>
    </w:p>
    <w:p>
      <w:pPr>
        <w:spacing w:after="0" w:line="174" w:lineRule="exact"/>
        <w:rPr>
          <w:rFonts w:ascii="Arial" w:cs="Arial" w:eastAsia="Arial" w:hAnsi="Arial"/>
          <w:sz w:val="18"/>
          <w:szCs w:val="18"/>
          <w:color w:val="auto"/>
        </w:rPr>
      </w:pPr>
    </w:p>
    <w:p>
      <w:pPr>
        <w:ind w:left="960" w:hanging="520"/>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0" w:lineRule="exact"/>
        <w:rPr>
          <w:sz w:val="20"/>
          <w:szCs w:val="20"/>
          <w:color w:val="auto"/>
        </w:rPr>
      </w:pPr>
    </w:p>
    <w:p>
      <w:pPr>
        <w:ind w:firstLine="320"/>
        <w:spacing w:after="0" w:line="292" w:lineRule="auto"/>
        <w:rPr>
          <w:sz w:val="20"/>
          <w:szCs w:val="20"/>
          <w:color w:val="auto"/>
        </w:rPr>
      </w:pPr>
      <w:r>
        <w:rPr>
          <w:rFonts w:ascii="Arial" w:cs="Arial" w:eastAsia="Arial" w:hAnsi="Arial"/>
          <w:sz w:val="16"/>
          <w:szCs w:val="16"/>
          <w:color w:val="auto"/>
        </w:rPr>
        <w:t>Special rules may apply to any “extraordinary dividend”. Generally, an extraordinary dividend is a dividend in an amount that is equal to (or in excess of) 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162" w:lineRule="exact"/>
        <w:rPr>
          <w:sz w:val="20"/>
          <w:szCs w:val="20"/>
          <w:color w:val="auto"/>
        </w:rPr>
      </w:pPr>
    </w:p>
    <w:p>
      <w:pPr>
        <w:ind w:right="120" w:firstLine="320"/>
        <w:spacing w:after="0" w:line="333" w:lineRule="auto"/>
        <w:rPr>
          <w:sz w:val="20"/>
          <w:szCs w:val="20"/>
          <w:color w:val="auto"/>
        </w:rPr>
      </w:pPr>
      <w:r>
        <w:rPr>
          <w:rFonts w:ascii="Arial" w:cs="Arial" w:eastAsia="Arial" w:hAnsi="Arial"/>
          <w:sz w:val="16"/>
          <w:szCs w:val="16"/>
          <w:color w:val="auto"/>
        </w:rPr>
        <w:t>There is no assurance that dividends you receive from us will be eligible for the preferential tax rates applicable to qualified dividend income. Dividends you receive from us that are not eligible for the preferential tax rates will be taxed at the ordinary income rates.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 Exchange or Other Disposition of Common Shares and Preference Shares</w:t>
      </w:r>
    </w:p>
    <w:p>
      <w:pPr>
        <w:spacing w:after="0" w:line="220" w:lineRule="exact"/>
        <w:rPr>
          <w:sz w:val="20"/>
          <w:szCs w:val="20"/>
          <w:color w:val="auto"/>
        </w:rPr>
      </w:pPr>
    </w:p>
    <w:p>
      <w:pPr>
        <w:ind w:firstLine="320"/>
        <w:spacing w:after="0" w:line="269" w:lineRule="auto"/>
        <w:rPr>
          <w:sz w:val="20"/>
          <w:szCs w:val="20"/>
          <w:color w:val="auto"/>
        </w:rPr>
      </w:pPr>
      <w:r>
        <w:rPr>
          <w:rFonts w:ascii="Arial" w:cs="Arial" w:eastAsia="Arial" w:hAnsi="Arial"/>
          <w:sz w:val="17"/>
          <w:szCs w:val="17"/>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0" w:lineRule="exact"/>
        <w:rPr>
          <w:sz w:val="20"/>
          <w:szCs w:val="20"/>
          <w:color w:val="auto"/>
        </w:rPr>
      </w:pPr>
    </w:p>
    <w:p>
      <w:pPr>
        <w:ind w:right="20" w:firstLine="320"/>
        <w:spacing w:after="0" w:line="289" w:lineRule="auto"/>
        <w:rPr>
          <w:sz w:val="20"/>
          <w:szCs w:val="20"/>
          <w:color w:val="auto"/>
        </w:rPr>
      </w:pPr>
      <w:r>
        <w:rPr>
          <w:rFonts w:ascii="Arial" w:cs="Arial" w:eastAsia="Arial" w:hAnsi="Arial"/>
          <w:sz w:val="16"/>
          <w:szCs w:val="16"/>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 General</w:t>
      </w:r>
    </w:p>
    <w:p>
      <w:pPr>
        <w:spacing w:after="0" w:line="220" w:lineRule="exact"/>
        <w:rPr>
          <w:sz w:val="20"/>
          <w:szCs w:val="20"/>
          <w:color w:val="auto"/>
        </w:rPr>
      </w:pPr>
    </w:p>
    <w:p>
      <w:pPr>
        <w:ind w:right="260" w:firstLine="320"/>
        <w:spacing w:after="0" w:line="258" w:lineRule="auto"/>
        <w:rPr>
          <w:sz w:val="20"/>
          <w:szCs w:val="20"/>
          <w:color w:val="auto"/>
        </w:rPr>
      </w:pPr>
      <w:r>
        <w:rPr>
          <w:rFonts w:ascii="Arial" w:cs="Arial" w:eastAsia="Arial" w:hAnsi="Arial"/>
          <w:sz w:val="18"/>
          <w:szCs w:val="18"/>
          <w:color w:val="auto"/>
        </w:rPr>
        <w:t>Special U.S. Federal income tax rules apply to you if you hold shares in a non-U.S. corporation that is classified as a PFIC for U.S. Federal income tax purposes. In general, under Section 1297 of the Code, we will be treated as a PFIC in any tax year in which, after applying certain look-through rules, either:</w:t>
      </w:r>
    </w:p>
    <w:p>
      <w:pPr>
        <w:spacing w:after="0" w:line="186" w:lineRule="exact"/>
        <w:rPr>
          <w:sz w:val="20"/>
          <w:szCs w:val="20"/>
          <w:color w:val="auto"/>
        </w:rPr>
      </w:pPr>
    </w:p>
    <w:p>
      <w:pPr>
        <w:ind w:left="960" w:right="80" w:hanging="480"/>
        <w:spacing w:after="0" w:line="258"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86" w:lineRule="exact"/>
        <w:rPr>
          <w:rFonts w:ascii="Arial" w:cs="Arial" w:eastAsia="Arial" w:hAnsi="Arial"/>
          <w:sz w:val="18"/>
          <w:szCs w:val="18"/>
          <w:color w:val="auto"/>
        </w:rPr>
      </w:pPr>
    </w:p>
    <w:p>
      <w:pPr>
        <w:ind w:left="960" w:right="780" w:hanging="530"/>
        <w:spacing w:after="0" w:line="300" w:lineRule="auto"/>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least 50% of the average value of our assets including our proportionate share of the assets of our vessel-owning subsidiaries during such tax year that produce, or are held for the production of, passive income.</w:t>
      </w:r>
    </w:p>
    <w:p>
      <w:pPr>
        <w:spacing w:after="0" w:line="152" w:lineRule="exact"/>
        <w:rPr>
          <w:sz w:val="20"/>
          <w:szCs w:val="20"/>
          <w:color w:val="auto"/>
        </w:rPr>
      </w:pPr>
    </w:p>
    <w:p>
      <w:pPr>
        <w:ind w:right="340" w:firstLine="320"/>
        <w:spacing w:after="0" w:line="258" w:lineRule="auto"/>
        <w:rPr>
          <w:sz w:val="20"/>
          <w:szCs w:val="20"/>
          <w:color w:val="auto"/>
        </w:rPr>
      </w:pPr>
      <w:r>
        <w:rPr>
          <w:rFonts w:ascii="Arial" w:cs="Arial" w:eastAsia="Arial" w:hAnsi="Arial"/>
          <w:sz w:val="18"/>
          <w:szCs w:val="18"/>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86" w:lineRule="exact"/>
        <w:rPr>
          <w:sz w:val="20"/>
          <w:szCs w:val="20"/>
          <w:color w:val="auto"/>
        </w:rPr>
      </w:pPr>
    </w:p>
    <w:p>
      <w:pPr>
        <w:ind w:right="20" w:firstLine="320"/>
        <w:spacing w:after="0" w:line="282" w:lineRule="auto"/>
        <w:rPr>
          <w:sz w:val="20"/>
          <w:szCs w:val="20"/>
          <w:color w:val="auto"/>
        </w:rPr>
      </w:pPr>
      <w:r>
        <w:rPr>
          <w:rFonts w:ascii="Arial" w:cs="Arial" w:eastAsia="Arial" w:hAnsi="Arial"/>
          <w:sz w:val="16"/>
          <w:szCs w:val="16"/>
          <w:color w:val="auto"/>
        </w:rPr>
        <w:t xml:space="preserve">There are legal uncertainties involved in determining whether the income derived from time 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published guidance, however, the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charters and the assets engaged in generating such income should not be treated as passive income or assets which produce (or are held for the production of) passive income, respectively, and (ii) we should currently not be a PFIC and in the future, assuming no material change in the nature of our activities and assets.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 give no assurance that the nature of our operations will not change in the future, or that we can avoid PFIC status in the future.</w:t>
      </w:r>
    </w:p>
    <w:p>
      <w:pPr>
        <w:spacing w:after="0" w:line="170" w:lineRule="exact"/>
        <w:rPr>
          <w:sz w:val="20"/>
          <w:szCs w:val="20"/>
          <w:color w:val="auto"/>
        </w:rPr>
      </w:pPr>
    </w:p>
    <w:p>
      <w:pPr>
        <w:jc w:val="both"/>
        <w:ind w:right="200" w:firstLine="320"/>
        <w:spacing w:after="0" w:line="253" w:lineRule="auto"/>
        <w:rPr>
          <w:sz w:val="20"/>
          <w:szCs w:val="20"/>
          <w:color w:val="auto"/>
        </w:rPr>
      </w:pPr>
      <w:r>
        <w:rPr>
          <w:rFonts w:ascii="Arial" w:cs="Arial" w:eastAsia="Arial" w:hAnsi="Arial"/>
          <w:sz w:val="18"/>
          <w:szCs w:val="18"/>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90" w:lineRule="exact"/>
        <w:rPr>
          <w:sz w:val="20"/>
          <w:szCs w:val="20"/>
          <w:color w:val="auto"/>
        </w:rPr>
      </w:pPr>
    </w:p>
    <w:p>
      <w:pPr>
        <w:ind w:right="180" w:firstLine="320"/>
        <w:spacing w:after="0" w:line="270"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0" w:lineRule="exact"/>
        <w:rPr>
          <w:sz w:val="20"/>
          <w:szCs w:val="20"/>
          <w:color w:val="auto"/>
        </w:rPr>
      </w:pPr>
    </w:p>
    <w:p>
      <w:pPr>
        <w:ind w:firstLine="320"/>
        <w:spacing w:after="0" w:line="286" w:lineRule="auto"/>
        <w:rPr>
          <w:sz w:val="20"/>
          <w:szCs w:val="20"/>
          <w:color w:val="auto"/>
        </w:rPr>
      </w:pPr>
      <w:r>
        <w:rPr>
          <w:rFonts w:ascii="Arial" w:cs="Arial" w:eastAsia="Arial" w:hAnsi="Arial"/>
          <w:sz w:val="16"/>
          <w:szCs w:val="16"/>
          <w:color w:val="auto"/>
        </w:rPr>
        <w:t>If we were a PFIC and if you make a timely election to treat us as a “Qualifying Electing Fund” for U.S. tax purposes (a “QEF Election”), you would be required to report each year your pro rata share of our ordinary earnings and our net capital gain for our tax year that ends with or within your tax year, regardless of whether we make any distributions to you. Such income inclusions would not be eligible for the preferential tax rates applicable to qualified dividend income (as discussed above under “U.S. Federal Income Taxation of U.S. Holders—Distributions on Our Common Shares and Preference Shares”). Your adjusted tax basis in our common shares or Preference Shares would be increased to reflect such taxed but undistributed earnings and profits. Distributions of earnings and profits that had previously been taxed would result in a corresponding reduction in your adjusted tax basis in our common shares or Preference Shares and would not be taxed again once distributed. You generally would recognize capital gain or loss on the sale,</w:t>
      </w:r>
    </w:p>
    <w:p>
      <w:pPr>
        <w:sectPr>
          <w:pgSz w:w="11900" w:h="16838" w:orient="portrait"/>
          <w:cols w:equalWidth="0" w:num="1">
            <w:col w:w="9920"/>
          </w:cols>
          <w:pgMar w:left="980" w:top="659"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exchange or other disposition of our common shares or Preference Shares. Even if you make a QEF Election for one of our tax years, if we were a PFIC for a prior tax year during which you held our common shares or Preference Shares and for which you did not make a timely QEF Election, you would also be subject to a more adverse regime described below under “—Taxation of U.S. Holders That Make No Election”.</w:t>
      </w:r>
    </w:p>
    <w:p>
      <w:pPr>
        <w:spacing w:after="0" w:line="188" w:lineRule="exact"/>
        <w:rPr>
          <w:sz w:val="20"/>
          <w:szCs w:val="20"/>
          <w:color w:val="auto"/>
        </w:rPr>
      </w:pPr>
    </w:p>
    <w:p>
      <w:pPr>
        <w:jc w:val="both"/>
        <w:ind w:right="160" w:firstLine="320"/>
        <w:spacing w:after="0" w:line="274" w:lineRule="auto"/>
        <w:rPr>
          <w:sz w:val="20"/>
          <w:szCs w:val="20"/>
          <w:color w:val="auto"/>
        </w:rPr>
      </w:pPr>
      <w:r>
        <w:rPr>
          <w:rFonts w:ascii="Arial" w:cs="Arial" w:eastAsia="Arial" w:hAnsi="Arial"/>
          <w:sz w:val="17"/>
          <w:szCs w:val="17"/>
          <w:color w:val="auto"/>
        </w:rPr>
        <w:t>You would make a QEF Election by completing and filing IRS Form 8621 with your U.S. Federal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Taxation of U.S. Holders Making a Timely “Mark-to-Market” Election</w:t>
      </w:r>
    </w:p>
    <w:p>
      <w:pPr>
        <w:spacing w:after="0" w:line="220" w:lineRule="exact"/>
        <w:rPr>
          <w:sz w:val="20"/>
          <w:szCs w:val="20"/>
          <w:color w:val="auto"/>
        </w:rPr>
      </w:pPr>
    </w:p>
    <w:p>
      <w:pPr>
        <w:ind w:right="20" w:firstLine="320"/>
        <w:spacing w:after="0" w:line="265" w:lineRule="auto"/>
        <w:rPr>
          <w:sz w:val="20"/>
          <w:szCs w:val="20"/>
          <w:color w:val="auto"/>
        </w:rPr>
      </w:pPr>
      <w:r>
        <w:rPr>
          <w:rFonts w:ascii="Arial" w:cs="Arial" w:eastAsia="Arial" w:hAnsi="Arial"/>
          <w:sz w:val="17"/>
          <w:szCs w:val="17"/>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Federal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Taxation of U.S. Holders That Make No Election</w:t>
      </w:r>
    </w:p>
    <w:p>
      <w:pPr>
        <w:spacing w:after="0" w:line="220" w:lineRule="exact"/>
        <w:rPr>
          <w:sz w:val="20"/>
          <w:szCs w:val="20"/>
          <w:color w:val="auto"/>
        </w:rPr>
      </w:pPr>
    </w:p>
    <w:p>
      <w:pPr>
        <w:ind w:firstLine="320"/>
        <w:spacing w:after="0" w:line="292" w:lineRule="auto"/>
        <w:rPr>
          <w:sz w:val="20"/>
          <w:szCs w:val="20"/>
          <w:color w:val="auto"/>
        </w:rPr>
      </w:pPr>
      <w:r>
        <w:rPr>
          <w:rFonts w:ascii="Arial" w:cs="Arial" w:eastAsia="Arial" w:hAnsi="Arial"/>
          <w:sz w:val="16"/>
          <w:szCs w:val="16"/>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 Preference Shares) and (ii) any gain realized on the sale, exchange or other disposition of our common shares or Preference Shares. Under these special rules:</w:t>
      </w:r>
    </w:p>
    <w:p>
      <w:pPr>
        <w:spacing w:after="0" w:line="162" w:lineRule="exact"/>
        <w:rPr>
          <w:sz w:val="20"/>
          <w:szCs w:val="20"/>
          <w:color w:val="auto"/>
        </w:rPr>
      </w:pPr>
    </w:p>
    <w:p>
      <w:pPr>
        <w:ind w:left="960" w:right="460" w:hanging="480"/>
        <w:spacing w:after="0" w:line="270"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your aggregate holding period for our common shares or Preference Shares;</w:t>
      </w:r>
    </w:p>
    <w:p>
      <w:pPr>
        <w:spacing w:after="0" w:line="174" w:lineRule="exact"/>
        <w:rPr>
          <w:rFonts w:ascii="Arial" w:cs="Arial" w:eastAsia="Arial" w:hAnsi="Arial"/>
          <w:sz w:val="18"/>
          <w:szCs w:val="18"/>
          <w:color w:val="auto"/>
        </w:rPr>
      </w:pPr>
    </w:p>
    <w:p>
      <w:pPr>
        <w:ind w:left="960" w:right="60" w:hanging="530"/>
        <w:spacing w:after="0" w:line="258"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allocated to the current tax year and any tax year prior to the tax year we were first treated as a PFIC with respect to such U.S. holder who does not make a QEF Election or a “mark-to-market” election would be taxed as ordinary income; and</w:t>
      </w:r>
    </w:p>
    <w:p>
      <w:pPr>
        <w:spacing w:after="0" w:line="186" w:lineRule="exact"/>
        <w:rPr>
          <w:rFonts w:ascii="Arial" w:cs="Arial" w:eastAsia="Arial" w:hAnsi="Arial"/>
          <w:sz w:val="18"/>
          <w:szCs w:val="18"/>
          <w:color w:val="auto"/>
        </w:rPr>
      </w:pPr>
    </w:p>
    <w:p>
      <w:pPr>
        <w:ind w:left="960" w:hanging="579"/>
        <w:spacing w:after="0" w:line="258"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0" w:lineRule="exact"/>
        <w:rPr>
          <w:sz w:val="20"/>
          <w:szCs w:val="20"/>
          <w:color w:val="auto"/>
        </w:rPr>
      </w:pPr>
    </w:p>
    <w:p>
      <w:pPr>
        <w:ind w:right="300" w:firstLine="320"/>
        <w:spacing w:after="0" w:line="270" w:lineRule="auto"/>
        <w:rPr>
          <w:sz w:val="20"/>
          <w:szCs w:val="20"/>
          <w:color w:val="auto"/>
        </w:rPr>
      </w:pPr>
      <w:r>
        <w:rPr>
          <w:rFonts w:ascii="Arial" w:cs="Arial" w:eastAsia="Arial" w:hAnsi="Arial"/>
          <w:sz w:val="18"/>
          <w:szCs w:val="18"/>
          <w:color w:val="auto"/>
        </w:rPr>
        <w:t>You are a “non-U.S. holder” if you are a beneficial owner of our common shares or Preference Shares (other than a partnership for U.S. tax purposes) and you are not a U.S. holder.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0" w:lineRule="exact"/>
        <w:rPr>
          <w:sz w:val="20"/>
          <w:szCs w:val="20"/>
          <w:color w:val="auto"/>
        </w:rPr>
      </w:pPr>
    </w:p>
    <w:p>
      <w:pPr>
        <w:ind w:right="220" w:firstLine="320"/>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w:t>
      </w:r>
    </w:p>
    <w:p>
      <w:pPr>
        <w:sectPr>
          <w:pgSz w:w="11900" w:h="16838" w:orient="portrait"/>
          <w:cols w:equalWidth="0" w:num="1">
            <w:col w:w="9920"/>
          </w:cols>
          <w:pgMar w:left="980" w:top="659" w:right="99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income, that income generally is taxable in the United States only if it is attributable to a permanent establishment maintained by you in the United States.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 Exchange or Other Disposition of Our Common Shares and Preference Shares</w:t>
      </w:r>
    </w:p>
    <w:p>
      <w:pPr>
        <w:spacing w:after="0" w:line="220" w:lineRule="exact"/>
        <w:rPr>
          <w:sz w:val="20"/>
          <w:szCs w:val="20"/>
          <w:color w:val="auto"/>
        </w:rPr>
      </w:pPr>
    </w:p>
    <w:p>
      <w:pPr>
        <w:ind w:right="100" w:firstLine="320"/>
        <w:spacing w:after="0" w:line="270" w:lineRule="auto"/>
        <w:rPr>
          <w:sz w:val="20"/>
          <w:szCs w:val="20"/>
          <w:color w:val="auto"/>
        </w:rPr>
      </w:pPr>
      <w:r>
        <w:rPr>
          <w:rFonts w:ascii="Arial" w:cs="Arial" w:eastAsia="Arial" w:hAnsi="Arial"/>
          <w:sz w:val="18"/>
          <w:szCs w:val="18"/>
          <w:color w:val="auto"/>
        </w:rPr>
        <w:t>You generally will not be subject to U.S. Federal income tax or withholding tax on any gain realized upon the sale, exchange or other disposition of our common shares or Preference Shares, unless:</w:t>
      </w:r>
    </w:p>
    <w:p>
      <w:pPr>
        <w:spacing w:after="0" w:line="175" w:lineRule="exact"/>
        <w:rPr>
          <w:sz w:val="20"/>
          <w:szCs w:val="20"/>
          <w:color w:val="auto"/>
        </w:rPr>
      </w:pPr>
    </w:p>
    <w:p>
      <w:pPr>
        <w:ind w:left="960" w:right="80" w:hanging="480"/>
        <w:spacing w:after="0" w:line="281" w:lineRule="auto"/>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167" w:lineRule="exact"/>
        <w:rPr>
          <w:rFonts w:ascii="Arial" w:cs="Arial" w:eastAsia="Arial" w:hAnsi="Arial"/>
          <w:sz w:val="17"/>
          <w:szCs w:val="17"/>
          <w:color w:val="auto"/>
        </w:rPr>
      </w:pPr>
    </w:p>
    <w:p>
      <w:pPr>
        <w:ind w:left="960" w:right="160" w:hanging="530"/>
        <w:spacing w:after="0" w:line="270"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during the tax year of disposition and certain other conditions are met.</w:t>
      </w:r>
    </w:p>
    <w:p>
      <w:pPr>
        <w:spacing w:after="0" w:line="175" w:lineRule="exact"/>
        <w:rPr>
          <w:sz w:val="20"/>
          <w:szCs w:val="20"/>
          <w:color w:val="auto"/>
        </w:rPr>
      </w:pPr>
    </w:p>
    <w:p>
      <w:pPr>
        <w:ind w:firstLine="320"/>
        <w:spacing w:after="0" w:line="296" w:lineRule="auto"/>
        <w:rPr>
          <w:sz w:val="20"/>
          <w:szCs w:val="20"/>
          <w:color w:val="auto"/>
        </w:rPr>
      </w:pPr>
      <w:r>
        <w:rPr>
          <w:rFonts w:ascii="Arial" w:cs="Arial" w:eastAsia="Arial" w:hAnsi="Arial"/>
          <w:sz w:val="16"/>
          <w:szCs w:val="16"/>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Backup Withholding and Information Reporting</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 General</w:t>
      </w:r>
    </w:p>
    <w:p>
      <w:pPr>
        <w:spacing w:after="0" w:line="220" w:lineRule="exact"/>
        <w:rPr>
          <w:sz w:val="20"/>
          <w:szCs w:val="20"/>
          <w:color w:val="auto"/>
        </w:rPr>
      </w:pPr>
    </w:p>
    <w:p>
      <w:pPr>
        <w:ind w:right="260" w:firstLine="320"/>
        <w:spacing w:after="0" w:line="300" w:lineRule="auto"/>
        <w:rPr>
          <w:sz w:val="20"/>
          <w:szCs w:val="20"/>
          <w:color w:val="auto"/>
        </w:rPr>
      </w:pPr>
      <w:r>
        <w:rPr>
          <w:rFonts w:ascii="Arial" w:cs="Arial" w:eastAsia="Arial" w:hAnsi="Arial"/>
          <w:sz w:val="17"/>
          <w:szCs w:val="17"/>
          <w:color w:val="auto"/>
        </w:rPr>
        <w:t>In general, if you are a non-corporate U.S. holder, dividend payments (or other taxable distributions) made within the United States will be subject to information reporting requirements. Backup withholding may apply to such payments if you:</w:t>
      </w:r>
    </w:p>
    <w:p>
      <w:pPr>
        <w:spacing w:after="0" w:line="152" w:lineRule="exact"/>
        <w:rPr>
          <w:sz w:val="20"/>
          <w:szCs w:val="20"/>
          <w:color w:val="auto"/>
        </w:rPr>
      </w:pPr>
    </w:p>
    <w:p>
      <w:pPr>
        <w:ind w:left="960" w:hanging="480"/>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19" w:lineRule="exact"/>
        <w:rPr>
          <w:rFonts w:ascii="Arial" w:cs="Arial" w:eastAsia="Arial" w:hAnsi="Arial"/>
          <w:sz w:val="18"/>
          <w:szCs w:val="18"/>
          <w:color w:val="auto"/>
        </w:rPr>
      </w:pPr>
    </w:p>
    <w:p>
      <w:pPr>
        <w:ind w:left="960" w:right="440" w:hanging="530"/>
        <w:spacing w:after="0" w:line="270"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are notified by the IRS that you have failed to report all interest or dividends required to be shown on your U.S. Federal income tax returns; or</w:t>
      </w:r>
    </w:p>
    <w:p>
      <w:pPr>
        <w:spacing w:after="0" w:line="174" w:lineRule="exact"/>
        <w:rPr>
          <w:rFonts w:ascii="Arial" w:cs="Arial" w:eastAsia="Arial" w:hAnsi="Arial"/>
          <w:sz w:val="18"/>
          <w:szCs w:val="18"/>
          <w:color w:val="auto"/>
        </w:rPr>
      </w:pPr>
    </w:p>
    <w:p>
      <w:pPr>
        <w:ind w:left="960" w:hanging="579"/>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0" w:lineRule="exact"/>
        <w:rPr>
          <w:sz w:val="20"/>
          <w:szCs w:val="20"/>
          <w:color w:val="auto"/>
        </w:rPr>
      </w:pPr>
    </w:p>
    <w:p>
      <w:pPr>
        <w:ind w:right="80" w:firstLine="320"/>
        <w:spacing w:after="0" w:line="270"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75" w:lineRule="exact"/>
        <w:rPr>
          <w:sz w:val="20"/>
          <w:szCs w:val="20"/>
          <w:color w:val="auto"/>
        </w:rPr>
      </w:pPr>
    </w:p>
    <w:p>
      <w:pPr>
        <w:ind w:right="40" w:firstLine="320"/>
        <w:spacing w:after="0" w:line="253" w:lineRule="auto"/>
        <w:rPr>
          <w:sz w:val="20"/>
          <w:szCs w:val="20"/>
          <w:color w:val="auto"/>
        </w:rPr>
      </w:pPr>
      <w:r>
        <w:rPr>
          <w:rFonts w:ascii="Arial" w:cs="Arial" w:eastAsia="Arial" w:hAnsi="Arial"/>
          <w:sz w:val="18"/>
          <w:szCs w:val="18"/>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190" w:lineRule="exact"/>
        <w:rPr>
          <w:sz w:val="20"/>
          <w:szCs w:val="20"/>
          <w:color w:val="auto"/>
        </w:rPr>
      </w:pPr>
    </w:p>
    <w:p>
      <w:pPr>
        <w:ind w:right="140" w:firstLine="320"/>
        <w:spacing w:after="0" w:line="258"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86"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Backup withholding tax is not an additional tax. Rather, you generally may obtain a credit for any amount withheld against its liability for U.S. federal income tax (and obtain a refund of any amounts withheld in excess of such liability) by accurately completing and timely filing certain required information with the IRS.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 Return Disclosure</w:t>
      </w:r>
    </w:p>
    <w:p>
      <w:pPr>
        <w:spacing w:after="0" w:line="220" w:lineRule="exact"/>
        <w:rPr>
          <w:sz w:val="20"/>
          <w:szCs w:val="20"/>
          <w:color w:val="auto"/>
        </w:rPr>
      </w:pPr>
    </w:p>
    <w:p>
      <w:pPr>
        <w:ind w:right="240" w:firstLine="320"/>
        <w:spacing w:after="0" w:line="333" w:lineRule="auto"/>
        <w:rPr>
          <w:sz w:val="20"/>
          <w:szCs w:val="20"/>
          <w:color w:val="auto"/>
        </w:rPr>
      </w:pPr>
      <w:r>
        <w:rPr>
          <w:rFonts w:ascii="Arial" w:cs="Arial" w:eastAsia="Arial" w:hAnsi="Arial"/>
          <w:sz w:val="16"/>
          <w:szCs w:val="16"/>
          <w:color w:val="auto"/>
        </w:rPr>
        <w:t>U.S. individuals who hold certain “specified foreign financial assets” (which include shares in a foreign corporation) with values in excess of certain dollar thresholds are subject to U.S. return disclosure obligations (and related penalties for failure to disclose).</w:t>
      </w:r>
    </w:p>
    <w:p>
      <w:pPr>
        <w:sectPr>
          <w:pgSz w:w="11900" w:h="16838" w:orient="portrait"/>
          <w:cols w:equalWidth="0" w:num="1">
            <w:col w:w="9920"/>
          </w:cols>
          <w:pgMar w:left="980" w:top="659" w:right="99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Such U.S. individuals are required to file IRS Form 8938 with their U.S. Federal income tax returns. Regulations extend this reporting requirement to certain entities that are treated as formed or availed of to hold direct or indirect interests in specified foreign financial assets based on certain objective criteria. You are encouraged to consult your own tax advisors concerning the filing of IRS Form 8938.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24" w:lineRule="exact"/>
        <w:rPr>
          <w:sz w:val="20"/>
          <w:szCs w:val="20"/>
          <w:color w:val="auto"/>
        </w:rPr>
      </w:pPr>
    </w:p>
    <w:p>
      <w:pPr>
        <w:ind w:right="160" w:firstLine="320"/>
        <w:spacing w:after="0" w:line="274" w:lineRule="auto"/>
        <w:rPr>
          <w:sz w:val="20"/>
          <w:szCs w:val="20"/>
          <w:color w:val="auto"/>
        </w:rPr>
      </w:pPr>
      <w:r>
        <w:rPr>
          <w:rFonts w:ascii="Arial" w:cs="Arial" w:eastAsia="Arial" w:hAnsi="Arial"/>
          <w:sz w:val="17"/>
          <w:szCs w:val="17"/>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4" w:lineRule="exact"/>
        <w:rPr>
          <w:sz w:val="20"/>
          <w:szCs w:val="20"/>
          <w:color w:val="auto"/>
        </w:rPr>
      </w:pPr>
    </w:p>
    <w:p>
      <w:pPr>
        <w:ind w:right="680" w:firstLine="320"/>
        <w:spacing w:after="0" w:line="333" w:lineRule="auto"/>
        <w:rPr>
          <w:sz w:val="20"/>
          <w:szCs w:val="20"/>
          <w:color w:val="auto"/>
        </w:rPr>
      </w:pPr>
      <w:r>
        <w:rPr>
          <w:rFonts w:ascii="Arial" w:cs="Arial" w:eastAsia="Arial" w:hAnsi="Arial"/>
          <w:sz w:val="16"/>
          <w:szCs w:val="16"/>
          <w:color w:val="auto"/>
        </w:rPr>
        <w:t>We are exposed to various market risks, including interest rate and foreign currency exchange risks. The Group makes use of derivative financial instruments such as derivative contracts to maintain the desired level of exposure arising from these risks.</w:t>
      </w:r>
    </w:p>
    <w:p>
      <w:pPr>
        <w:spacing w:after="0" w:line="130"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audited consolidated financial statements included elsewhere in this report. Further information on our exposure to market risk is included in Note 24 to our audited consolidated financial statements included elsewhere in this report.</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4" w:lineRule="exact"/>
        <w:rPr>
          <w:sz w:val="20"/>
          <w:szCs w:val="20"/>
          <w:color w:val="auto"/>
        </w:rPr>
      </w:pPr>
    </w:p>
    <w:p>
      <w:pPr>
        <w:jc w:val="both"/>
        <w:ind w:right="180" w:firstLine="320"/>
        <w:spacing w:after="0" w:line="258" w:lineRule="auto"/>
        <w:rPr>
          <w:sz w:val="20"/>
          <w:szCs w:val="20"/>
          <w:color w:val="auto"/>
        </w:rPr>
      </w:pPr>
      <w:r>
        <w:rPr>
          <w:rFonts w:ascii="Arial" w:cs="Arial" w:eastAsia="Arial" w:hAnsi="Arial"/>
          <w:sz w:val="18"/>
          <w:szCs w:val="18"/>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MATERIAL MODIFICATIONS TO THE RIGHTS OF SECURITY HOLDERS AND USE OF PROCEEDS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4" w:lineRule="exact"/>
        <w:rPr>
          <w:sz w:val="20"/>
          <w:szCs w:val="20"/>
          <w:color w:val="auto"/>
        </w:rPr>
      </w:pPr>
    </w:p>
    <w:p>
      <w:pPr>
        <w:ind w:right="420" w:firstLine="320"/>
        <w:spacing w:after="0" w:line="333" w:lineRule="auto"/>
        <w:rPr>
          <w:sz w:val="20"/>
          <w:szCs w:val="20"/>
          <w:color w:val="auto"/>
        </w:rPr>
      </w:pPr>
      <w:r>
        <w:rPr>
          <w:rFonts w:ascii="Arial" w:cs="Arial" w:eastAsia="Arial" w:hAnsi="Arial"/>
          <w:sz w:val="16"/>
          <w:szCs w:val="16"/>
          <w:color w:val="auto"/>
        </w:rPr>
        <w:t>Our management, with the participation of our CEO and CFO, has evaluated the effectiveness of the design and operation of our disclosure controls and procedures, as defined in Rules 13a-15(e) and 15d-15(e) under the Exchange Act as of December 31, 2021.</w:t>
      </w:r>
    </w:p>
    <w:p>
      <w:pPr>
        <w:sectPr>
          <w:pgSz w:w="11900" w:h="16838" w:orient="portrait"/>
          <w:cols w:equalWidth="0" w:num="1">
            <w:col w:w="9900"/>
          </w:cols>
          <w:pgMar w:left="980" w:top="659" w:right="1019" w:bottom="1440" w:gutter="0" w:footer="0" w:header="0"/>
        </w:sect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Based on our evaluation, the CEO and the CFO have concluded that our disclosure controls and procedures were effective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4" w:lineRule="exact"/>
        <w:rPr>
          <w:sz w:val="20"/>
          <w:szCs w:val="20"/>
          <w:color w:val="auto"/>
        </w:rPr>
      </w:pPr>
    </w:p>
    <w:p>
      <w:pPr>
        <w:ind w:right="100" w:firstLine="320"/>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90"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0"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4" w:lineRule="exact"/>
        <w:rPr>
          <w:sz w:val="20"/>
          <w:szCs w:val="20"/>
          <w:color w:val="auto"/>
        </w:rPr>
      </w:pPr>
    </w:p>
    <w:p>
      <w:pPr>
        <w:ind w:right="120" w:firstLine="320"/>
        <w:spacing w:after="0" w:line="270" w:lineRule="auto"/>
        <w:rPr>
          <w:sz w:val="20"/>
          <w:szCs w:val="20"/>
          <w:color w:val="auto"/>
        </w:rPr>
      </w:pPr>
      <w:r>
        <w:rPr>
          <w:rFonts w:ascii="Arial" w:cs="Arial" w:eastAsia="Arial" w:hAnsi="Arial"/>
          <w:sz w:val="18"/>
          <w:szCs w:val="18"/>
          <w:color w:val="auto"/>
        </w:rPr>
        <w:t>Following the delisting of our common shares from the NYSE in June 2021, an attestation report of our registered public accounting firm is not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4" w:lineRule="exact"/>
        <w:rPr>
          <w:sz w:val="20"/>
          <w:szCs w:val="20"/>
          <w:color w:val="auto"/>
        </w:rPr>
      </w:pPr>
    </w:p>
    <w:p>
      <w:pPr>
        <w:ind w:right="200" w:firstLine="320"/>
        <w:spacing w:after="0" w:line="300" w:lineRule="auto"/>
        <w:rPr>
          <w:sz w:val="20"/>
          <w:szCs w:val="20"/>
          <w:color w:val="auto"/>
        </w:rPr>
      </w:pPr>
      <w:r>
        <w:rPr>
          <w:rFonts w:ascii="Arial" w:cs="Arial" w:eastAsia="Arial" w:hAnsi="Arial"/>
          <w:sz w:val="17"/>
          <w:szCs w:val="17"/>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pacing w:after="0" w:line="1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4"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Julian R. Metherell, whose biographical details are included in “Item 6. Directors, Senior Management and Employees—A. Directors and Senior Management”, qualifies as an “audit committee financial expert”. Our board of directors has affirmatively determined that Mr. Metherell meets the definition of “independent director” for purposes of serving on an audit committee under applicable SEC and NYSE rules.</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24"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 xml:space="preserve">We have adopted a Code of Business Conduct and Ethics for all directors, officers, employees and agents of the Company, a copy of which is posted on our website and may be viewed at </w:t>
      </w:r>
      <w:r>
        <w:rPr>
          <w:rFonts w:ascii="Arial" w:cs="Arial" w:eastAsia="Arial" w:hAnsi="Arial"/>
          <w:sz w:val="18"/>
          <w:szCs w:val="18"/>
          <w:i w:val="1"/>
          <w:iCs w:val="1"/>
          <w:color w:val="auto"/>
        </w:rPr>
        <w:t>http://www.gaslogltd.com.</w:t>
      </w:r>
      <w:r>
        <w:rPr>
          <w:rFonts w:ascii="Arial" w:cs="Arial" w:eastAsia="Arial" w:hAnsi="Arial"/>
          <w:sz w:val="18"/>
          <w:szCs w:val="18"/>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LNG Services Ltd., 69 Akti Miaouli, 18537 Piraeus, Greece. No waivers of the Code of Business Conduct and Ethics have been granted to any person during the fiscal year ended December 31, 2021.</w:t>
      </w:r>
    </w:p>
    <w:p>
      <w:pPr>
        <w:sectPr>
          <w:pgSz w:w="11900" w:h="16838" w:orient="portrait"/>
          <w:cols w:equalWidth="0" w:num="1">
            <w:col w:w="9880"/>
          </w:cols>
          <w:pgMar w:left="980" w:top="659"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right="80" w:firstLine="320"/>
        <w:spacing w:after="0" w:line="265" w:lineRule="auto"/>
        <w:rPr>
          <w:sz w:val="20"/>
          <w:szCs w:val="20"/>
          <w:color w:val="auto"/>
        </w:rPr>
      </w:pPr>
      <w:r>
        <w:rPr>
          <w:rFonts w:ascii="Arial" w:cs="Arial" w:eastAsia="Arial" w:hAnsi="Arial"/>
          <w:sz w:val="17"/>
          <w:szCs w:val="17"/>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 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 (ii) 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 than 12 months, (y) with respect to the number of Company securities less than or equal to the amount such Covered Person could sell at such time in compliance with Rule 144 under the Securities Act of 1933, as amended, and (z) 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4" w:lineRule="exact"/>
        <w:rPr>
          <w:sz w:val="20"/>
          <w:szCs w:val="20"/>
          <w:color w:val="auto"/>
        </w:rPr>
      </w:pPr>
    </w:p>
    <w:p>
      <w:pPr>
        <w:ind w:right="100" w:firstLine="320"/>
        <w:spacing w:after="0" w:line="270" w:lineRule="auto"/>
        <w:rPr>
          <w:sz w:val="20"/>
          <w:szCs w:val="20"/>
          <w:color w:val="auto"/>
        </w:rPr>
      </w:pPr>
      <w:r>
        <w:rPr>
          <w:rFonts w:ascii="Arial" w:cs="Arial" w:eastAsia="Arial" w:hAnsi="Arial"/>
          <w:sz w:val="18"/>
          <w:szCs w:val="18"/>
          <w:color w:val="auto"/>
        </w:rPr>
        <w:t>Deloitte Certified Public Accountants S.A. (PCAOB ID No. 1163), an independent registered public accounting firm, has audited our annual financial statements acting as our independent auditor for the fiscal year ended December 31, 2021.</w:t>
      </w:r>
    </w:p>
    <w:p>
      <w:pPr>
        <w:spacing w:after="0" w:line="175"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Deloitte LLP, (PCAOB ID No. 1147), an independent registered public accounting firm, has audited our annual financial statements acting as our independent auditor for the fiscal year ended December 31, 2020.</w:t>
      </w:r>
    </w:p>
    <w:p>
      <w:pPr>
        <w:spacing w:after="0" w:line="175" w:lineRule="exact"/>
        <w:rPr>
          <w:sz w:val="20"/>
          <w:szCs w:val="20"/>
          <w:color w:val="auto"/>
        </w:rPr>
      </w:pPr>
    </w:p>
    <w:p>
      <w:pPr>
        <w:ind w:right="140" w:firstLine="320"/>
        <w:spacing w:after="0" w:line="255" w:lineRule="auto"/>
        <w:rPr>
          <w:sz w:val="20"/>
          <w:szCs w:val="20"/>
          <w:color w:val="auto"/>
        </w:rPr>
      </w:pPr>
      <w:r>
        <w:rPr>
          <w:rFonts w:ascii="Arial" w:cs="Arial" w:eastAsia="Arial" w:hAnsi="Arial"/>
          <w:sz w:val="18"/>
          <w:szCs w:val="18"/>
          <w:color w:val="auto"/>
        </w:rPr>
        <w:t>The chart below sets forth the total amount billed and accrued for Deloitte Certified Public Accountants S.A. (PCAOB ID No. 1163) and Deloitte LLP (PCAOB ID No. 1147) for services performed in 2020 and 2021, respectively, and breaks down these amounts by the category of service. The fees paid to our principal accountant were approved in accordance with the pre-approval policies and procedures described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104"/>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gridSpan w:val="3"/>
          </w:tcPr>
          <w:p>
            <w:pPr>
              <w:ind w:left="100"/>
              <w:spacing w:after="0" w:line="105" w:lineRule="exact"/>
              <w:rPr>
                <w:sz w:val="20"/>
                <w:szCs w:val="20"/>
                <w:color w:val="auto"/>
              </w:rPr>
            </w:pPr>
            <w:r>
              <w:rPr>
                <w:rFonts w:ascii="Arial" w:cs="Arial" w:eastAsia="Arial" w:hAnsi="Arial"/>
                <w:sz w:val="12"/>
                <w:szCs w:val="12"/>
                <w:b w:val="1"/>
                <w:bCs w:val="1"/>
                <w:color w:val="auto"/>
                <w:w w:val="77"/>
              </w:rPr>
              <w:t>(Expressed</w:t>
            </w:r>
          </w:p>
        </w:tc>
        <w:tc>
          <w:tcPr>
            <w:tcW w:w="400" w:type="dxa"/>
            <w:vAlign w:val="bottom"/>
          </w:tcPr>
          <w:p>
            <w:pPr>
              <w:jc w:val="right"/>
              <w:ind w:right="45"/>
              <w:spacing w:after="0" w:line="105" w:lineRule="exact"/>
              <w:rPr>
                <w:sz w:val="20"/>
                <w:szCs w:val="20"/>
                <w:color w:val="auto"/>
              </w:rPr>
            </w:pPr>
            <w:r>
              <w:rPr>
                <w:rFonts w:ascii="Arial" w:cs="Arial" w:eastAsia="Arial" w:hAnsi="Arial"/>
                <w:sz w:val="12"/>
                <w:szCs w:val="12"/>
                <w:b w:val="1"/>
                <w:bCs w:val="1"/>
                <w:color w:val="auto"/>
              </w:rPr>
              <w:t>in</w:t>
            </w:r>
          </w:p>
        </w:tc>
        <w:tc>
          <w:tcPr>
            <w:tcW w:w="900" w:type="dxa"/>
            <w:vAlign w:val="bottom"/>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gridSpan w:val="4"/>
          </w:tcPr>
          <w:p>
            <w:pPr>
              <w:ind w:left="200"/>
              <w:spacing w:after="0" w:line="147" w:lineRule="exact"/>
              <w:rPr>
                <w:sz w:val="20"/>
                <w:szCs w:val="20"/>
                <w:color w:val="auto"/>
              </w:rPr>
            </w:pPr>
            <w:r>
              <w:rPr>
                <w:rFonts w:ascii="Arial" w:cs="Arial" w:eastAsia="Arial" w:hAnsi="Arial"/>
                <w:sz w:val="14"/>
                <w:szCs w:val="14"/>
                <w:b w:val="1"/>
                <w:bCs w:val="1"/>
                <w:color w:val="auto"/>
              </w:rPr>
              <w:t>millions of</w:t>
            </w:r>
          </w:p>
        </w:tc>
        <w:tc>
          <w:tcPr>
            <w:tcW w:w="90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U.S. Dollars)</w:t>
            </w:r>
          </w:p>
        </w:tc>
        <w:tc>
          <w:tcPr>
            <w:tcW w:w="90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0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5"/>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7"/>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fees</w:t>
            </w:r>
          </w:p>
        </w:tc>
        <w:tc>
          <w:tcPr>
            <w:tcW w:w="3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0" w:lineRule="exact"/>
        <w:rPr>
          <w:sz w:val="20"/>
          <w:szCs w:val="20"/>
          <w:color w:val="auto"/>
        </w:rPr>
      </w:pPr>
    </w:p>
    <w:p>
      <w:pPr>
        <w:ind w:right="300" w:firstLine="320"/>
        <w:spacing w:after="0" w:line="255" w:lineRule="auto"/>
        <w:rPr>
          <w:sz w:val="20"/>
          <w:szCs w:val="20"/>
          <w:color w:val="auto"/>
        </w:rPr>
      </w:pPr>
      <w:r>
        <w:rPr>
          <w:rFonts w:ascii="Arial" w:cs="Arial" w:eastAsia="Arial" w:hAnsi="Arial"/>
          <w:sz w:val="18"/>
          <w:szCs w:val="18"/>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pacing w:after="0" w:line="188" w:lineRule="exact"/>
        <w:rPr>
          <w:sz w:val="20"/>
          <w:szCs w:val="20"/>
          <w:color w:val="auto"/>
        </w:rPr>
      </w:pPr>
    </w:p>
    <w:p>
      <w:pPr>
        <w:ind w:right="380" w:firstLine="320"/>
        <w:spacing w:after="0" w:line="270" w:lineRule="auto"/>
        <w:rPr>
          <w:sz w:val="20"/>
          <w:szCs w:val="20"/>
          <w:color w:val="auto"/>
        </w:rPr>
      </w:pPr>
      <w:r>
        <w:rPr>
          <w:rFonts w:ascii="Arial" w:cs="Arial" w:eastAsia="Arial" w:hAnsi="Arial"/>
          <w:sz w:val="18"/>
          <w:szCs w:val="18"/>
          <w:color w:val="auto"/>
        </w:rPr>
        <w:t>Included in the audit fees for 2020 are fees of $0.2 million related to equity and bond related transactions in 2020. Included in the audit fees for 2021 are fees of $0.1 million related to equity and bond related transactions in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tax fees were billed by our principal accountant in 2020 and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audit-related fees were billed by our principal accountant in 2020 and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other fees were billed by our principal accountant in 2020 and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0"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Set forth below are all purchases of our preference shares by our affiliated purchasers for the period ended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Purchased</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 that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as Part of</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Publicly</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Announced</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7"/>
        </w:trPr>
        <w:tc>
          <w:tcPr>
            <w:tcW w:w="5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Price Paid</w:t>
            </w: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Plans or</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9"/>
        </w:trPr>
        <w:tc>
          <w:tcPr>
            <w:tcW w:w="5280" w:type="dxa"/>
            <w:vAlign w:val="bottom"/>
            <w:gridSpan w:val="4"/>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 ($)</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Programs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2"/>
            <w:shd w:val="clear" w:color="auto" w:fill="CCEEFF"/>
          </w:tcPr>
          <w:p>
            <w:pPr>
              <w:spacing w:after="0" w:line="207" w:lineRule="exact"/>
              <w:rPr>
                <w:sz w:val="20"/>
                <w:szCs w:val="20"/>
                <w:color w:val="auto"/>
              </w:rPr>
            </w:pPr>
            <w:r>
              <w:rPr>
                <w:rFonts w:ascii="Arial" w:cs="Arial" w:eastAsia="Arial" w:hAnsi="Arial"/>
                <w:sz w:val="16"/>
                <w:szCs w:val="16"/>
                <w:color w:val="auto"/>
              </w:rPr>
              <w:t>November 2021</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line="213" w:lineRule="exact"/>
              <w:rPr>
                <w:sz w:val="20"/>
                <w:szCs w:val="20"/>
                <w:color w:val="auto"/>
              </w:rPr>
            </w:pPr>
            <w:r>
              <w:rPr>
                <w:rFonts w:ascii="Arial" w:cs="Arial" w:eastAsia="Arial" w:hAnsi="Arial"/>
                <w:sz w:val="17"/>
                <w:szCs w:val="17"/>
                <w:color w:val="auto"/>
              </w:rPr>
              <w:t>December 2021</w:t>
            </w:r>
            <w:r>
              <w:rPr>
                <w:rFonts w:ascii="Arial" w:cs="Arial" w:eastAsia="Arial" w:hAnsi="Arial"/>
                <w:sz w:val="24"/>
                <w:szCs w:val="24"/>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52,903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25.46</w:t>
            </w:r>
          </w:p>
        </w:tc>
        <w:tc>
          <w:tcPr>
            <w:tcW w:w="20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20" w:hanging="313"/>
        <w:spacing w:after="0" w:line="232" w:lineRule="auto"/>
        <w:tabs>
          <w:tab w:leader="none" w:pos="320" w:val="left"/>
        </w:tabs>
        <w:numPr>
          <w:ilvl w:val="0"/>
          <w:numId w:val="98"/>
        </w:numPr>
        <w:rPr>
          <w:rFonts w:ascii="Arial" w:cs="Arial" w:eastAsia="Arial" w:hAnsi="Arial"/>
          <w:sz w:val="25"/>
          <w:szCs w:val="25"/>
          <w:color w:val="auto"/>
          <w:vertAlign w:val="superscript"/>
        </w:rPr>
      </w:pPr>
      <w:r>
        <w:rPr>
          <w:rFonts w:ascii="Arial" w:cs="Arial" w:eastAsia="Arial" w:hAnsi="Arial"/>
          <w:sz w:val="13"/>
          <w:szCs w:val="13"/>
          <w:color w:val="auto"/>
        </w:rPr>
        <w:t>Entities controlled by Peter Livanos, for his own benefit and the benefit of his immediate family members, acquired these shares in open-market transactions</w:t>
      </w:r>
      <w:r>
        <w:rPr>
          <w:rFonts w:ascii="Arial" w:cs="Arial" w:eastAsia="Arial" w:hAnsi="Arial"/>
          <w:sz w:val="16"/>
          <w:szCs w:val="16"/>
          <w:color w:val="auto"/>
        </w:rPr>
        <w:t>.</w:t>
      </w:r>
    </w:p>
    <w:p>
      <w:pPr>
        <w:spacing w:after="0" w:line="1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16.F.</w:t>
        <w:tab/>
        <w:t>CHANGE IN COMPANY’S CERTIFYING ACCOUNTANT</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Deloitte LLP served as our independent auditor for the fiscal years ended 2020 and 2019.</w:t>
      </w:r>
    </w:p>
    <w:p>
      <w:pPr>
        <w:spacing w:after="0" w:line="220" w:lineRule="exact"/>
        <w:rPr>
          <w:sz w:val="20"/>
          <w:szCs w:val="20"/>
          <w:color w:val="auto"/>
        </w:rPr>
      </w:pPr>
    </w:p>
    <w:p>
      <w:pPr>
        <w:jc w:val="both"/>
        <w:ind w:right="320" w:firstLine="353"/>
        <w:spacing w:after="0" w:line="258" w:lineRule="auto"/>
        <w:rPr>
          <w:sz w:val="20"/>
          <w:szCs w:val="20"/>
          <w:color w:val="auto"/>
        </w:rPr>
      </w:pPr>
      <w:r>
        <w:rPr>
          <w:rFonts w:ascii="Arial" w:cs="Arial" w:eastAsia="Arial" w:hAnsi="Arial"/>
          <w:sz w:val="18"/>
          <w:szCs w:val="18"/>
          <w:color w:val="auto"/>
        </w:rPr>
        <w:t>As previously reported on our Form 6-K filed with the SEC on March 22, 2021, in March 2021, our audit committee and board of directors, respectively, approved the engagement of Deloitte Certified Public Accountants S.A. to audit our financial statements for the fiscal year ended December 31, 2021.</w:t>
      </w:r>
    </w:p>
    <w:p>
      <w:pPr>
        <w:spacing w:after="0" w:line="18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0" w:lineRule="exact"/>
        <w:rPr>
          <w:sz w:val="20"/>
          <w:szCs w:val="20"/>
          <w:color w:val="auto"/>
        </w:rPr>
      </w:pPr>
    </w:p>
    <w:p>
      <w:pPr>
        <w:ind w:right="680"/>
        <w:spacing w:after="0" w:line="274"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NYSE Corporate Governance Standards for U.S. Non-Controlled Issuers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right="20" w:firstLine="320"/>
        <w:spacing w:after="0" w:line="289" w:lineRule="auto"/>
        <w:rPr>
          <w:sz w:val="20"/>
          <w:szCs w:val="20"/>
          <w:color w:val="auto"/>
        </w:rPr>
      </w:pPr>
      <w:r>
        <w:rPr>
          <w:rFonts w:ascii="Arial" w:cs="Arial" w:eastAsia="Arial" w:hAnsi="Arial"/>
          <w:sz w:val="16"/>
          <w:szCs w:val="16"/>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Committee</w:t>
      </w:r>
    </w:p>
    <w:p>
      <w:pPr>
        <w:spacing w:after="0" w:line="220"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Pursuant to NYSE Rules 303A.04 and 303A.05, the NYSE requires that a listed U.S. company have a nominating/corporate governance committee and a compensation committee, each composed entirely of independent directors.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7"/>
          <w:szCs w:val="17"/>
          <w:b w:val="1"/>
          <w:bCs w:val="1"/>
          <w:color w:val="auto"/>
        </w:rPr>
        <w:t>MINE SAFETY DISCLOSURE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720"/>
          </w:cols>
          <w:pgMar w:left="980" w:top="659" w:right="11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Reference is made to pages F-1 through F-71 included herein by reference.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19.</w:t>
        <w:tab/>
        <w:t>EXHIBITS</w:t>
      </w:r>
    </w:p>
    <w:p>
      <w:pPr>
        <w:spacing w:after="0" w:line="229" w:lineRule="exact"/>
        <w:rPr>
          <w:sz w:val="20"/>
          <w:szCs w:val="20"/>
          <w:color w:val="auto"/>
        </w:rPr>
      </w:pPr>
    </w:p>
    <w:p>
      <w:pPr>
        <w:ind w:left="100"/>
        <w:spacing w:after="0"/>
        <w:tabs>
          <w:tab w:leader="none" w:pos="51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wp:posOffset>
            </wp:positionV>
            <wp:extent cx="62953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ind w:left="680"/>
        <w:spacing w:after="0" w:line="202"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151">
        <w:r>
          <w:rPr>
            <w:rFonts w:ascii="Arial" w:cs="Arial" w:eastAsia="Arial" w:hAnsi="Arial"/>
            <w:sz w:val="16"/>
            <w:szCs w:val="16"/>
            <w:u w:val="single" w:color="auto"/>
            <w:color w:val="0000EE"/>
          </w:rPr>
          <w:t>Amended Memorandum of Association of GasLog Ltd.</w:t>
        </w:r>
        <w:r>
          <w:rPr>
            <w:rFonts w:ascii="Arial" w:cs="Arial" w:eastAsia="Arial" w:hAnsi="Arial"/>
            <w:sz w:val="23"/>
            <w:szCs w:val="23"/>
            <w:u w:val="single" w:color="auto"/>
            <w:color w:val="0000EE"/>
            <w:vertAlign w:val="superscript"/>
          </w:rPr>
          <w:t>(10)</w:t>
        </w:r>
      </w:hyperlink>
    </w:p>
    <w:p>
      <w:pPr>
        <w:ind w:left="680"/>
        <w:spacing w:after="0" w:line="206"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r:id="rId152">
        <w:r>
          <w:rPr>
            <w:rFonts w:ascii="Arial" w:cs="Arial" w:eastAsia="Arial" w:hAnsi="Arial"/>
            <w:sz w:val="16"/>
            <w:szCs w:val="16"/>
            <w:u w:val="single" w:color="auto"/>
            <w:color w:val="0000EE"/>
          </w:rPr>
          <w:t>Bye-laws of GasLog Ltd.</w:t>
        </w:r>
        <w:r>
          <w:rPr>
            <w:rFonts w:ascii="Arial" w:cs="Arial" w:eastAsia="Arial" w:hAnsi="Arial"/>
            <w:sz w:val="23"/>
            <w:szCs w:val="23"/>
            <w:u w:val="single" w:color="auto"/>
            <w:color w:val="0000EE"/>
            <w:vertAlign w:val="superscript"/>
          </w:rPr>
          <w:t>(10)</w:t>
        </w:r>
      </w:hyperlink>
    </w:p>
    <w:p>
      <w:pPr>
        <w:spacing w:after="0" w:line="1" w:lineRule="exact"/>
        <w:rPr>
          <w:sz w:val="20"/>
          <w:szCs w:val="20"/>
          <w:color w:val="auto"/>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w:anchor="page194">
        <w:r>
          <w:rPr>
            <w:rFonts w:ascii="Arial" w:cs="Arial" w:eastAsia="Arial" w:hAnsi="Arial"/>
            <w:sz w:val="16"/>
            <w:szCs w:val="16"/>
            <w:u w:val="single" w:color="auto"/>
            <w:color w:val="0000EE"/>
          </w:rPr>
          <w:t>Description of Registered Securities</w:t>
        </w:r>
      </w:hyperlink>
    </w:p>
    <w:p>
      <w:pPr>
        <w:spacing w:after="0" w:line="3" w:lineRule="exact"/>
        <w:rPr>
          <w:sz w:val="20"/>
          <w:szCs w:val="20"/>
          <w:color w:val="auto"/>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53">
        <w:r>
          <w:rPr>
            <w:rFonts w:ascii="Arial" w:cs="Arial" w:eastAsia="Arial" w:hAnsi="Arial"/>
            <w:sz w:val="16"/>
            <w:szCs w:val="16"/>
            <w:u w:val="single" w:color="auto"/>
            <w:color w:val="0000EE"/>
          </w:rPr>
          <w:t>Appendix to the Private Agreement of Professional Hiring (English translation), dated December 1, 2010 and October 1,</w:t>
        </w:r>
      </w:hyperlink>
    </w:p>
    <w:p>
      <w:pPr>
        <w:ind w:left="1140"/>
        <w:spacing w:after="0" w:line="181" w:lineRule="auto"/>
        <w:rPr>
          <w:rFonts w:ascii="Arial" w:cs="Arial" w:eastAsia="Arial" w:hAnsi="Arial"/>
          <w:sz w:val="17"/>
          <w:szCs w:val="17"/>
          <w:u w:val="single" w:color="auto"/>
          <w:color w:val="0000EE"/>
        </w:rPr>
      </w:pPr>
      <w:hyperlink r:id="rId153">
        <w:r>
          <w:rPr>
            <w:rFonts w:ascii="Arial" w:cs="Arial" w:eastAsia="Arial" w:hAnsi="Arial"/>
            <w:sz w:val="17"/>
            <w:szCs w:val="17"/>
            <w:u w:val="single" w:color="auto"/>
            <w:color w:val="0000EE"/>
          </w:rPr>
          <w:t>2011, between Nea Dimitra Ktimatikh Kai Emporikh S.A. and GasLog LNG Services Ltd.</w:t>
        </w:r>
        <w:r>
          <w:rPr>
            <w:rFonts w:ascii="Arial" w:cs="Arial" w:eastAsia="Arial" w:hAnsi="Arial"/>
            <w:sz w:val="24"/>
            <w:szCs w:val="24"/>
            <w:u w:val="single" w:color="auto"/>
            <w:color w:val="0000EE"/>
            <w:vertAlign w:val="superscript"/>
          </w:rPr>
          <w:t>(1)</w:t>
        </w:r>
      </w:hyperlink>
    </w:p>
    <w:p>
      <w:pPr>
        <w:ind w:left="680"/>
        <w:spacing w:after="0" w:line="194"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154">
        <w:r>
          <w:rPr>
            <w:rFonts w:ascii="Arial" w:cs="Arial" w:eastAsia="Arial" w:hAnsi="Arial"/>
            <w:sz w:val="16"/>
            <w:szCs w:val="16"/>
            <w:u w:val="single" w:color="auto"/>
            <w:color w:val="0000EE"/>
          </w:rPr>
          <w:t>Form of Indemnification Agreement for the Company’s directors and certain officers</w:t>
        </w:r>
        <w:r>
          <w:rPr>
            <w:rFonts w:ascii="Arial" w:cs="Arial" w:eastAsia="Arial" w:hAnsi="Arial"/>
            <w:sz w:val="23"/>
            <w:szCs w:val="23"/>
            <w:u w:val="single" w:color="auto"/>
            <w:color w:val="0000EE"/>
            <w:vertAlign w:val="superscript"/>
          </w:rPr>
          <w:t>(4)</w:t>
        </w:r>
      </w:hyperlink>
    </w:p>
    <w:p>
      <w:pPr>
        <w:ind w:left="680"/>
        <w:spacing w:after="0" w:line="194"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55">
        <w:r>
          <w:rPr>
            <w:rFonts w:ascii="Arial" w:cs="Arial" w:eastAsia="Arial" w:hAnsi="Arial"/>
            <w:sz w:val="16"/>
            <w:szCs w:val="16"/>
            <w:u w:val="single" w:color="auto"/>
            <w:color w:val="0000EE"/>
          </w:rPr>
          <w:t>Form of Restrictive Covenant Agreement</w:t>
        </w:r>
        <w:r>
          <w:rPr>
            <w:rFonts w:ascii="Arial" w:cs="Arial" w:eastAsia="Arial" w:hAnsi="Arial"/>
            <w:sz w:val="23"/>
            <w:szCs w:val="23"/>
            <w:u w:val="single" w:color="auto"/>
            <w:color w:val="0000EE"/>
            <w:vertAlign w:val="superscript"/>
          </w:rPr>
          <w:t>(1)</w:t>
        </w:r>
      </w:hyperlink>
    </w:p>
    <w:p>
      <w:pPr>
        <w:ind w:left="680"/>
        <w:spacing w:after="0" w:line="206"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56">
        <w:r>
          <w:rPr>
            <w:rFonts w:ascii="Arial" w:cs="Arial" w:eastAsia="Arial" w:hAnsi="Arial"/>
            <w:sz w:val="16"/>
            <w:szCs w:val="16"/>
            <w:u w:val="single" w:color="auto"/>
            <w:color w:val="0000EE"/>
          </w:rPr>
          <w:t>GasLog Ltd. 2013 Omnibus Incentive Compensation Plan</w:t>
        </w:r>
        <w:r>
          <w:rPr>
            <w:rFonts w:ascii="Arial" w:cs="Arial" w:eastAsia="Arial" w:hAnsi="Arial"/>
            <w:sz w:val="23"/>
            <w:szCs w:val="23"/>
            <w:u w:val="single" w:color="auto"/>
            <w:color w:val="0000EE"/>
            <w:vertAlign w:val="superscript"/>
          </w:rPr>
          <w:t>(3)</w:t>
        </w:r>
      </w:hyperlink>
    </w:p>
    <w:p>
      <w:pPr>
        <w:spacing w:after="0" w:line="1" w:lineRule="exact"/>
        <w:rPr>
          <w:sz w:val="20"/>
          <w:szCs w:val="20"/>
          <w:color w:val="auto"/>
        </w:rPr>
      </w:pPr>
    </w:p>
    <w:p>
      <w:pPr>
        <w:ind w:left="1140" w:hanging="461"/>
        <w:spacing w:after="0" w:line="265"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57">
        <w:r>
          <w:rPr>
            <w:rFonts w:ascii="Arial" w:cs="Arial" w:eastAsia="Arial" w:hAnsi="Arial"/>
            <w:sz w:val="16"/>
            <w:szCs w:val="16"/>
            <w:u w:val="single" w:color="auto"/>
            <w:color w:val="0000EE"/>
          </w:rPr>
          <w:t>Facilities Agreement for $1,311,356,340 Loan Facilities dated October 16, 2015 between GAS-eleven Ltd., GAS-twelve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Ltd., GAS-thirteen Ltd., GAS-fourteen Ltd., GAS-twenty two Ltd., GAS-twenty three Ltd., GAS-twenty four Ltd., GAS-</w:t>
        </w:r>
      </w:hyperlink>
      <w:hyperlink r:id="rId157">
        <w:r>
          <w:rPr>
            <w:rFonts w:ascii="Arial" w:cs="Arial" w:eastAsia="Arial" w:hAnsi="Arial"/>
            <w:sz w:val="16"/>
            <w:szCs w:val="16"/>
            <w:u w:val="single" w:color="auto"/>
            <w:color w:val="0000EE"/>
          </w:rPr>
          <w:t>twenty five Ltd., as borrowers, Citibank, N.A., London Branch, Nordea Bank AB, London Branch, The Export-Import</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Bank of Korea, Bank of America, National Association, BNP Paribas, Credit Agricole Corporate and Investment Bank,</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Credit Suisse AG, HSBC Bank plc, ING Bank N.V., London Branch, KEB Hana Bank, London Branch, KfW IPEX-Bank</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GmbH, National Australia Bank Limited, Oversea-Chinese Banking Corporation Limited, Societe Generale and The Korea</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Development Bank as mandated lead arrangers with Nordea Bank AB, London Branch as agent, security agent, global co-</w:t>
        </w:r>
      </w:hyperlink>
      <w:hyperlink r:id="rId157">
        <w:r>
          <w:rPr>
            <w:rFonts w:ascii="Arial" w:cs="Arial" w:eastAsia="Arial" w:hAnsi="Arial"/>
            <w:sz w:val="16"/>
            <w:szCs w:val="16"/>
            <w:u w:val="single" w:color="auto"/>
            <w:color w:val="0000EE"/>
          </w:rPr>
          <w:t>ordinator and bookrunner and Citibank N.A., London Branch as export credit agent, global co-ordinator, bookrunner and</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export credit agent co-ordinator, guaranteed by GasLog Ltd. and GasLog Carriers</w:t>
        </w:r>
        <w:r>
          <w:rPr>
            <w:rFonts w:ascii="Arial" w:cs="Arial" w:eastAsia="Arial" w:hAnsi="Arial"/>
            <w:sz w:val="23"/>
            <w:szCs w:val="23"/>
            <w:u w:val="single" w:color="auto"/>
            <w:color w:val="0000EE"/>
            <w:vertAlign w:val="superscript"/>
          </w:rPr>
          <w:t>(4)</w:t>
        </w:r>
        <w:r>
          <w:rPr>
            <w:rFonts w:ascii="Arial" w:cs="Arial" w:eastAsia="Arial" w:hAnsi="Arial"/>
            <w:sz w:val="16"/>
            <w:szCs w:val="16"/>
            <w:u w:val="single" w:color="auto"/>
            <w:color w:val="0000EE"/>
          </w:rPr>
          <w:t>*</w:t>
        </w:r>
      </w:hyperlink>
    </w:p>
    <w:p>
      <w:pPr>
        <w:spacing w:after="0" w:line="4" w:lineRule="exact"/>
        <w:rPr>
          <w:rFonts w:ascii="Arial" w:cs="Arial" w:eastAsia="Arial" w:hAnsi="Arial"/>
          <w:sz w:val="16"/>
          <w:szCs w:val="16"/>
          <w:u w:val="single" w:color="auto"/>
          <w:color w:val="0000EE"/>
        </w:rPr>
      </w:pPr>
    </w:p>
    <w:p>
      <w:pPr>
        <w:ind w:left="1140" w:right="20" w:hanging="461"/>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4.8</w:t>
      </w:r>
      <w:r>
        <w:rPr>
          <w:sz w:val="20"/>
          <w:szCs w:val="20"/>
          <w:color w:val="auto"/>
        </w:rPr>
        <w:tab/>
      </w:r>
      <w:hyperlink r:id="rId158">
        <w:r>
          <w:rPr>
            <w:rFonts w:ascii="Arial" w:cs="Arial" w:eastAsia="Arial" w:hAnsi="Arial"/>
            <w:sz w:val="17"/>
            <w:szCs w:val="17"/>
            <w:u w:val="single" w:color="auto"/>
            <w:color w:val="0000EE"/>
          </w:rPr>
          <w:t>Senior Facility Agreement dated February 18, 2016, relating to a $396,500,000 loan facility among GAS-eighteen Ltd.,</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GAS-nineteen Ltd., GAS-twenty Ltd., GAS-twenty one Ltd. and GAS-twenty seven Ltd. as borrowers, ABN AMRO Bank</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N.V. and DNB (UK) Ltd. as mandated lead arrangers, original lenders and bookrunners, DVB Bank America N.V. as</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mandated lead arranger and original lender, Commonwealth Bank of Australia, ING Bank N.V., London Branch, Credit</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Agricole Corporate and Investment Bank, National Australia Bank Limited as original lenders and DNB Bank ASA,</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London Branch as agent and security agent.</w:t>
        </w:r>
        <w:r>
          <w:rPr>
            <w:rFonts w:ascii="Arial" w:cs="Arial" w:eastAsia="Arial" w:hAnsi="Arial"/>
            <w:sz w:val="25"/>
            <w:szCs w:val="25"/>
            <w:u w:val="single" w:color="auto"/>
            <w:color w:val="0000EE"/>
            <w:vertAlign w:val="superscript"/>
          </w:rPr>
          <w:t>(4)</w:t>
        </w:r>
        <w:r>
          <w:rPr>
            <w:rFonts w:ascii="Arial" w:cs="Arial" w:eastAsia="Arial" w:hAnsi="Arial"/>
            <w:sz w:val="17"/>
            <w:szCs w:val="17"/>
            <w:u w:val="single" w:color="auto"/>
            <w:color w:val="0000EE"/>
          </w:rPr>
          <w:t>*</w:t>
        </w:r>
      </w:hyperlink>
    </w:p>
    <w:p>
      <w:pPr>
        <w:ind w:left="1140" w:right="420" w:hanging="461"/>
        <w:spacing w:after="0" w:line="202"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59">
        <w:r>
          <w:rPr>
            <w:rFonts w:ascii="Arial" w:cs="Arial" w:eastAsia="Arial" w:hAnsi="Arial"/>
            <w:sz w:val="18"/>
            <w:szCs w:val="18"/>
            <w:u w:val="single" w:color="auto"/>
            <w:color w:val="0000EE"/>
          </w:rPr>
          <w:t>Form of Corporate Guarantee between GasLog Ltd. and DNB Bank ASA, London Branch (provided in respect of the</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Senior Facility Agreement, dated February 18, 2016).</w:t>
        </w:r>
        <w:r>
          <w:rPr>
            <w:rFonts w:ascii="Arial" w:cs="Arial" w:eastAsia="Arial" w:hAnsi="Arial"/>
            <w:sz w:val="26"/>
            <w:szCs w:val="26"/>
            <w:u w:val="single" w:color="auto"/>
            <w:color w:val="0000EE"/>
            <w:vertAlign w:val="superscript"/>
          </w:rPr>
          <w:t>(4)</w:t>
        </w:r>
      </w:hyperlink>
    </w:p>
    <w:p>
      <w:pPr>
        <w:spacing w:after="0" w:line="1" w:lineRule="exact"/>
        <w:rPr>
          <w:sz w:val="20"/>
          <w:szCs w:val="20"/>
          <w:color w:val="auto"/>
        </w:rPr>
      </w:pPr>
    </w:p>
    <w:p>
      <w:pPr>
        <w:ind w:left="1140" w:right="140" w:hanging="550"/>
        <w:spacing w:after="0" w:line="202"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60">
        <w:r>
          <w:rPr>
            <w:rFonts w:ascii="Arial" w:cs="Arial" w:eastAsia="Arial" w:hAnsi="Arial"/>
            <w:sz w:val="18"/>
            <w:szCs w:val="18"/>
            <w:u w:val="single" w:color="auto"/>
            <w:color w:val="0000EE"/>
          </w:rPr>
          <w:t>Form of Corporate Guarantee between GasLog Partners LP and DNB Bank ASA, London Branch (provided in respect of</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the Senior Facility Agreement, dated February 18, 2016).</w:t>
        </w:r>
        <w:r>
          <w:rPr>
            <w:rFonts w:ascii="Arial" w:cs="Arial" w:eastAsia="Arial" w:hAnsi="Arial"/>
            <w:sz w:val="26"/>
            <w:szCs w:val="26"/>
            <w:u w:val="single" w:color="auto"/>
            <w:color w:val="0000EE"/>
            <w:vertAlign w:val="superscript"/>
          </w:rPr>
          <w:t>(4)</w:t>
        </w:r>
      </w:hyperlink>
    </w:p>
    <w:p>
      <w:pPr>
        <w:spacing w:after="0" w:line="1" w:lineRule="exact"/>
        <w:rPr>
          <w:sz w:val="20"/>
          <w:szCs w:val="20"/>
          <w:color w:val="auto"/>
        </w:rPr>
      </w:pPr>
    </w:p>
    <w:p>
      <w:pPr>
        <w:ind w:left="1140" w:right="100" w:hanging="544"/>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4.11</w:t>
      </w:r>
      <w:r>
        <w:rPr>
          <w:sz w:val="20"/>
          <w:szCs w:val="20"/>
          <w:color w:val="auto"/>
        </w:rPr>
        <w:tab/>
      </w:r>
      <w:hyperlink r:id="rId161">
        <w:r>
          <w:rPr>
            <w:rFonts w:ascii="Arial" w:cs="Arial" w:eastAsia="Arial" w:hAnsi="Arial"/>
            <w:sz w:val="17"/>
            <w:szCs w:val="17"/>
            <w:u w:val="single" w:color="auto"/>
            <w:color w:val="0000EE"/>
          </w:rPr>
          <w:t>Facilities Agreement dated July 19, 2016, relating to $1,050,000,000 Term Loan and Revolving Credit Facilities among</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GAS-one Ltd., GAS-two Ltd., GAS-six Ltd., GAS-seven Ltd., GAS-eight Ltd., GAS-nine Ltd., GAS-ten Ltd. and GAS-</w:t>
        </w:r>
      </w:hyperlink>
      <w:hyperlink r:id="rId161">
        <w:r>
          <w:rPr>
            <w:rFonts w:ascii="Arial" w:cs="Arial" w:eastAsia="Arial" w:hAnsi="Arial"/>
            <w:sz w:val="17"/>
            <w:szCs w:val="17"/>
            <w:u w:val="single" w:color="auto"/>
            <w:color w:val="0000EE"/>
          </w:rPr>
          <w:t>fifteen Ltd. as borrowers, Citigroup Global Market Limited, Credit Suisse AG, Nordea Bank AB, London Branch,</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Skandinaviska Enskilda Banken AB (publ), HSBC Bank plc, ING Bank N.V., London Branch, Danmarks Skibskredit A/S</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and The Korea Development Bank as mandated lead arrangers and DVB Bank America N.V. as arranger with Nordea</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Bank AB, London Branch as agent and security agent.</w:t>
        </w:r>
        <w:r>
          <w:rPr>
            <w:rFonts w:ascii="Arial" w:cs="Arial" w:eastAsia="Arial" w:hAnsi="Arial"/>
            <w:sz w:val="25"/>
            <w:szCs w:val="25"/>
            <w:u w:val="single" w:color="auto"/>
            <w:color w:val="0000EE"/>
            <w:vertAlign w:val="superscript"/>
          </w:rPr>
          <w:t>(5)</w:t>
        </w:r>
        <w:r>
          <w:rPr>
            <w:rFonts w:ascii="Arial" w:cs="Arial" w:eastAsia="Arial" w:hAnsi="Arial"/>
            <w:sz w:val="17"/>
            <w:szCs w:val="17"/>
            <w:u w:val="single" w:color="auto"/>
            <w:color w:val="0000EE"/>
          </w:rPr>
          <w:t>*</w:t>
        </w:r>
      </w:hyperlink>
    </w:p>
    <w:p>
      <w:pPr>
        <w:ind w:left="1140" w:hanging="550"/>
        <w:spacing w:after="0" w:line="269"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4.12</w:t>
      </w:r>
      <w:r>
        <w:rPr>
          <w:sz w:val="20"/>
          <w:szCs w:val="20"/>
          <w:color w:val="auto"/>
        </w:rPr>
        <w:tab/>
      </w:r>
      <w:hyperlink r:id="rId162">
        <w:r>
          <w:rPr>
            <w:rFonts w:ascii="Arial" w:cs="Arial" w:eastAsia="Arial" w:hAnsi="Arial"/>
            <w:sz w:val="17"/>
            <w:szCs w:val="17"/>
            <w:u w:val="single" w:color="auto"/>
            <w:color w:val="0000EE"/>
          </w:rPr>
          <w:t>Facilities Agreement dated February 20, 2019, relating to $450,000,000 Revolving Credit Facility among GAS-three Ltd.,</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GAS-four Ltd., GAS-five Ltd., Gas-sixteen Ltd., GAS-seventeen Ltd., as borrowers, Credit Suisse AG, Nordea Bank Abp,</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Filial I Norge, The IyoBank, Ltd. Singapore Branch as the Original Lenders with Nordea Bank Abp, Filial I Norge as agent</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and the security agent, and Credit Suisse AG as mandated lead arranger, global co-ordinator and bookrunner, guaranteed</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by GasLog Partners LP and GasLog Partners Holdings LLC.</w:t>
        </w:r>
        <w:r>
          <w:rPr>
            <w:rFonts w:ascii="Arial" w:cs="Arial" w:eastAsia="Arial" w:hAnsi="Arial"/>
            <w:sz w:val="25"/>
            <w:szCs w:val="25"/>
            <w:u w:val="single" w:color="auto"/>
            <w:color w:val="0000EE"/>
            <w:vertAlign w:val="superscript"/>
          </w:rPr>
          <w:t>(6)</w:t>
        </w:r>
        <w:r>
          <w:rPr>
            <w:rFonts w:ascii="Arial" w:cs="Arial" w:eastAsia="Arial" w:hAnsi="Arial"/>
            <w:sz w:val="17"/>
            <w:szCs w:val="17"/>
            <w:u w:val="single" w:color="auto"/>
            <w:color w:val="0000EE"/>
          </w:rPr>
          <w:t>*</w:t>
        </w:r>
      </w:hyperlink>
    </w:p>
    <w:p>
      <w:pPr>
        <w:spacing w:after="0" w:line="280"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1140" w:right="40" w:hanging="550"/>
        <w:spacing w:after="0" w:line="282"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164">
        <w:r>
          <w:rPr>
            <w:rFonts w:ascii="Arial" w:cs="Arial" w:eastAsia="Arial" w:hAnsi="Arial"/>
            <w:sz w:val="16"/>
            <w:szCs w:val="16"/>
            <w:u w:val="single" w:color="auto"/>
            <w:color w:val="0000EE"/>
          </w:rPr>
          <w:t>Facility Agreement dated June 25, 2019, relating to $130,000,000 Term Loan Facility among GasLog Hellas-1 Special</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Maritime Enterprise as Borrower, ABN Amro Bank N.V. and Oversea-Chinese Banking Corporation Limited as mandated</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lead arrangers and ABN Amro Bank N.V. as agent and the security agent; please see “Item 5. Operating and Financial</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Review and Prospects—B. Liquidity and Capital Resources—Borrowing Activities—Credit Facilities”**</w:t>
        </w:r>
      </w:hyperlink>
    </w:p>
    <w:p>
      <w:pPr>
        <w:spacing w:after="0" w:line="2" w:lineRule="exact"/>
        <w:rPr>
          <w:rFonts w:ascii="Arial" w:cs="Arial" w:eastAsia="Arial" w:hAnsi="Arial"/>
          <w:sz w:val="16"/>
          <w:szCs w:val="16"/>
          <w:u w:val="single" w:color="auto"/>
          <w:color w:val="0000EE"/>
        </w:rPr>
      </w:pPr>
    </w:p>
    <w:p>
      <w:pPr>
        <w:ind w:left="1140" w:right="160" w:hanging="550"/>
        <w:spacing w:after="0" w:line="24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65">
        <w:r>
          <w:rPr>
            <w:rFonts w:ascii="Arial" w:cs="Arial" w:eastAsia="Arial" w:hAnsi="Arial"/>
            <w:sz w:val="18"/>
            <w:szCs w:val="18"/>
            <w:u w:val="single" w:color="auto"/>
            <w:color w:val="0000EE"/>
          </w:rPr>
          <w:t>Form of Corporate Guarantee between GasLog Ltd. and ABN Amro Bank N.V. (provided in respect of the GasLog</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Warsaw Facility, dated June 25, 2019); please see “Item 5. Operating and Financial Review and Prospects—B. Liquidity</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and Capital Resources—Borrowing Activities—Credit Facilities”**</w:t>
        </w:r>
      </w:hyperlink>
    </w:p>
    <w:p>
      <w:pPr>
        <w:spacing w:after="0" w:line="1" w:lineRule="exact"/>
        <w:rPr>
          <w:rFonts w:ascii="Arial" w:cs="Arial" w:eastAsia="Arial" w:hAnsi="Arial"/>
          <w:sz w:val="18"/>
          <w:szCs w:val="18"/>
          <w:u w:val="single" w:color="auto"/>
          <w:color w:val="0000EE"/>
        </w:rPr>
      </w:pPr>
    </w:p>
    <w:p>
      <w:pPr>
        <w:ind w:left="1140" w:hanging="550"/>
        <w:spacing w:after="0" w:line="269"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hyperlink r:id="rId166">
        <w:r>
          <w:rPr>
            <w:rFonts w:ascii="Arial" w:cs="Arial" w:eastAsia="Arial" w:hAnsi="Arial"/>
            <w:sz w:val="16"/>
            <w:szCs w:val="16"/>
            <w:u w:val="single" w:color="auto"/>
            <w:color w:val="0000EE"/>
          </w:rPr>
          <w:t>Facility Agreement dated December 12, 2019, relating to $1,052,791,260 Loan Facilities among GAS-twenty eight Ltd.;</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GAS-thirty Ltd., GAS-thirty one Ltd., GAS-thirty two Ltd., GAS-thirty three Ltd., GAS-thirty four Ltd., and GAS-thirty</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five Ltd., as borrowers, Citibank, N.A. London Branch, DNB (UK) Ltd., Skandinaviska Enskilda Banken AB (publ), Bank</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of America National Association, Commonwealth Bank of Australia, KfW IPEX-Bank GmbH, National Australia Bank</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Limited, Oversea-Chinese Banking Corporation Limited, Societe Generale, London Branch, Standard Chartered Bank,</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BNP Paribas Seoul Branch and The Korea Development Bank as Mandated Lead Arrangers; Citibank, N.A. London</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Branch, DNB (UK) Ltd., Skandinaviska Enskilda Banken AB (publ), KfW IPEX-Bank GmbH, National Australia Bank</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Limited, Oversea-Chinese Banking Corporation Limited, Societe Generale, London Branch, Standard Chartered Bank,</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BNP Paribas Seoul Branch and The Korea Development Bank as bookrunners; DNB Bank ASA, London Branch as Agent</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and security agent; Citibank N.A., London Branch as ECA Agent and ECA Co-ordinator; Citibank N.A. London Branch</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and DNB (UK) Ltd., as Global Co-ordinators and GasLog Ltd., GasLog Carriers, GasLog Partners LP and GasLog</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Partners Holdings LLC as Guarantors; please see “Item 5. Operating and Financial Review and Prospects—B. Liquidity</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and Capital Resources—Borrowing Activities—Credit Facilities”</w:t>
        </w:r>
        <w:r>
          <w:rPr>
            <w:rFonts w:ascii="Arial" w:cs="Arial" w:eastAsia="Arial" w:hAnsi="Arial"/>
            <w:sz w:val="23"/>
            <w:szCs w:val="23"/>
            <w:u w:val="single" w:color="auto"/>
            <w:color w:val="0000EE"/>
            <w:vertAlign w:val="superscript"/>
          </w:rPr>
          <w:t>(8)</w:t>
        </w:r>
        <w:r>
          <w:rPr>
            <w:rFonts w:ascii="Arial" w:cs="Arial" w:eastAsia="Arial" w:hAnsi="Arial"/>
            <w:sz w:val="16"/>
            <w:szCs w:val="16"/>
            <w:u w:val="single" w:color="auto"/>
            <w:color w:val="0000EE"/>
          </w:rPr>
          <w:t>**</w:t>
        </w:r>
      </w:hyperlink>
    </w:p>
    <w:p>
      <w:pPr>
        <w:spacing w:after="0" w:line="7" w:lineRule="exact"/>
        <w:rPr>
          <w:rFonts w:ascii="Arial" w:cs="Arial" w:eastAsia="Arial" w:hAnsi="Arial"/>
          <w:sz w:val="16"/>
          <w:szCs w:val="16"/>
          <w:u w:val="single" w:color="auto"/>
          <w:color w:val="0000EE"/>
        </w:rPr>
      </w:pPr>
    </w:p>
    <w:p>
      <w:pPr>
        <w:ind w:left="1140" w:hanging="550"/>
        <w:spacing w:after="0" w:line="247"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4.16</w:t>
      </w:r>
      <w:r>
        <w:rPr>
          <w:sz w:val="20"/>
          <w:szCs w:val="20"/>
          <w:color w:val="auto"/>
        </w:rPr>
        <w:tab/>
      </w:r>
      <w:hyperlink r:id="rId167">
        <w:r>
          <w:rPr>
            <w:rFonts w:ascii="Arial" w:cs="Arial" w:eastAsia="Arial" w:hAnsi="Arial"/>
            <w:sz w:val="17"/>
            <w:szCs w:val="17"/>
            <w:u w:val="single" w:color="auto"/>
            <w:color w:val="0000EE"/>
          </w:rPr>
          <w:t>Facility Agreement dated July 16, 2020, relating to $576,887,500 loan facility among GAS-one Ltd., GAS-two Ltd., GAS-</w:t>
        </w:r>
      </w:hyperlink>
      <w:hyperlink r:id="rId167">
        <w:r>
          <w:rPr>
            <w:rFonts w:ascii="Arial" w:cs="Arial" w:eastAsia="Arial" w:hAnsi="Arial"/>
            <w:sz w:val="17"/>
            <w:szCs w:val="17"/>
            <w:u w:val="single" w:color="auto"/>
            <w:color w:val="0000EE"/>
          </w:rPr>
          <w:t>six Ltd., GAS-nine Ltd., GAS-ten Ltd. and GAS-eighteen Ltd. as borrowers, ABN Amro Bank N.V., Citigroup Global</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Markets Limited, Nordea Bank ABP, Filial I Norge and HSBC Bank PLC as mandated lead arrangers and Credit Agricole</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Corporate and Investment Bank, Unicredit Bank AG and National Australia Bank Limited as arrangers, with ABN Amro</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Bank N.V. as agent and security agent and ABN Amro Bank N.V., Citigroup Global Markets Limited and Nordea Bank</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ABO, Filial I Norge as bookrunners, guaranteed by GasLog Ltd., GasLog Carriers, GasLog Partners LP and GasLog</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Partners Holdings LLC; please see “Item 5. Operating and Financial Review and Prospects—B. Liquidity and Capital</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Resources—Borrowing Activities—Credit Facilities” **</w:t>
        </w:r>
        <w:r>
          <w:rPr>
            <w:rFonts w:ascii="Arial" w:cs="Arial" w:eastAsia="Arial" w:hAnsi="Arial"/>
            <w:sz w:val="25"/>
            <w:szCs w:val="25"/>
            <w:u w:val="single" w:color="auto"/>
            <w:color w:val="0000EE"/>
            <w:vertAlign w:val="superscript"/>
          </w:rPr>
          <w:t>(8)</w:t>
        </w:r>
      </w:hyperlink>
    </w:p>
    <w:p>
      <w:pPr>
        <w:spacing w:after="0" w:line="4" w:lineRule="exact"/>
        <w:rPr>
          <w:rFonts w:ascii="Arial" w:cs="Arial" w:eastAsia="Arial" w:hAnsi="Arial"/>
          <w:sz w:val="17"/>
          <w:szCs w:val="17"/>
          <w:u w:val="single" w:color="auto"/>
          <w:color w:val="0000EE"/>
        </w:rPr>
      </w:pPr>
    </w:p>
    <w:p>
      <w:pPr>
        <w:jc w:val="both"/>
        <w:ind w:left="1140" w:hanging="550"/>
        <w:spacing w:after="0" w:line="239"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4.17</w:t>
      </w:r>
      <w:r>
        <w:rPr>
          <w:sz w:val="20"/>
          <w:szCs w:val="20"/>
          <w:color w:val="auto"/>
        </w:rPr>
        <w:tab/>
      </w:r>
      <w:hyperlink r:id="rId168">
        <w:r>
          <w:rPr>
            <w:rFonts w:ascii="Arial" w:cs="Arial" w:eastAsia="Arial" w:hAnsi="Arial"/>
            <w:sz w:val="17"/>
            <w:szCs w:val="17"/>
            <w:u w:val="single" w:color="auto"/>
            <w:color w:val="0000EE"/>
          </w:rPr>
          <w:t>Facility Agreement dated July 16, 2020, relating to $260,331,250 loan facility among GAS-twenty Ltd., GAS-seven Ltd.</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and GAS-eight Ltd., as borrowers, BNP Paribas and Credit Suisse AG, as mandated lead arrangers, with BNP Paribas as</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agent and security agent and Credit Suisse AG as global co-ordinator and bookrunner, guaranteed by GasLog Partners LP</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and GasLog Partners Holdings LLC; please see “Item 5. Operating and Financial Review and Prospects—B. Liquidity and</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Capital Resources—Borrowing Activities—Credit Facilities” **</w:t>
        </w:r>
        <w:r>
          <w:rPr>
            <w:rFonts w:ascii="Arial" w:cs="Arial" w:eastAsia="Arial" w:hAnsi="Arial"/>
            <w:sz w:val="25"/>
            <w:szCs w:val="25"/>
            <w:u w:val="single" w:color="auto"/>
            <w:color w:val="0000EE"/>
            <w:vertAlign w:val="superscript"/>
          </w:rPr>
          <w:t>(9)</w:t>
        </w:r>
      </w:hyperlink>
    </w:p>
    <w:p>
      <w:pPr>
        <w:spacing w:after="0" w:line="3" w:lineRule="exact"/>
        <w:rPr>
          <w:rFonts w:ascii="Arial" w:cs="Arial" w:eastAsia="Arial" w:hAnsi="Arial"/>
          <w:sz w:val="17"/>
          <w:szCs w:val="17"/>
          <w:u w:val="single" w:color="auto"/>
          <w:color w:val="0000EE"/>
        </w:rPr>
      </w:pPr>
    </w:p>
    <w:p>
      <w:pPr>
        <w:ind w:left="1140" w:hanging="550"/>
        <w:spacing w:after="0" w:line="259"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4.18</w:t>
      </w:r>
      <w:r>
        <w:rPr>
          <w:sz w:val="20"/>
          <w:szCs w:val="20"/>
          <w:color w:val="auto"/>
        </w:rPr>
        <w:tab/>
      </w:r>
      <w:hyperlink r:id="rId169">
        <w:r>
          <w:rPr>
            <w:rFonts w:ascii="Arial" w:cs="Arial" w:eastAsia="Arial" w:hAnsi="Arial"/>
            <w:sz w:val="16"/>
            <w:szCs w:val="16"/>
            <w:u w:val="single" w:color="auto"/>
            <w:color w:val="0000EE"/>
          </w:rPr>
          <w:t>Facility Agreement dated July 16, 2020, relating to $200,000,000 loan facility among GAS-twenty seven Ltd., GAS-</w:t>
        </w:r>
      </w:hyperlink>
      <w:hyperlink r:id="rId169">
        <w:r>
          <w:rPr>
            <w:rFonts w:ascii="Arial" w:cs="Arial" w:eastAsia="Arial" w:hAnsi="Arial"/>
            <w:sz w:val="16"/>
            <w:szCs w:val="16"/>
            <w:u w:val="single" w:color="auto"/>
            <w:color w:val="0000EE"/>
          </w:rPr>
          <w:t>twenty one Ltd. and GAS-nineteen Ltd., as borrowers, DNB (UK) Ltd. and ING Bank N.V., London Branch, as mandated</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lead arrangers, with DNB Bank ASA, London Branch as agent and security agent, DNB (UK) Ltd. and ING Bank N.V.,</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London Branch as bookrunners and ING Bank N.V, London Branch as structuring and documentation bank, guaranteed by</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GasLog Partners LP, GasLog Partners Holdings LLC, GasLog Ltd. and GasLog Carriers; please see “Item 5. Operating</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and Financial Review and Prospects—B. Liquidity and Capital Resources—Borrowing Activities—Credit Facilities” **</w:t>
        </w:r>
        <w:r>
          <w:rPr>
            <w:rFonts w:ascii="Arial" w:cs="Arial" w:eastAsia="Arial" w:hAnsi="Arial"/>
            <w:sz w:val="23"/>
            <w:szCs w:val="23"/>
            <w:u w:val="single" w:color="auto"/>
            <w:color w:val="0000EE"/>
            <w:vertAlign w:val="superscript"/>
          </w:rPr>
          <w:t>(9)</w:t>
        </w:r>
      </w:hyperlink>
    </w:p>
    <w:p>
      <w:pPr>
        <w:spacing w:after="0" w:line="3" w:lineRule="exact"/>
        <w:rPr>
          <w:rFonts w:ascii="Arial" w:cs="Arial" w:eastAsia="Arial" w:hAnsi="Arial"/>
          <w:sz w:val="16"/>
          <w:szCs w:val="16"/>
          <w:u w:val="single" w:color="auto"/>
          <w:color w:val="0000EE"/>
        </w:rPr>
      </w:pPr>
    </w:p>
    <w:p>
      <w:pPr>
        <w:ind w:left="1140" w:right="140" w:hanging="550"/>
        <w:spacing w:after="0" w:line="222"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4.19</w:t>
      </w:r>
      <w:r>
        <w:rPr>
          <w:sz w:val="20"/>
          <w:szCs w:val="20"/>
          <w:color w:val="auto"/>
        </w:rPr>
        <w:tab/>
      </w:r>
      <w:hyperlink r:id="rId170">
        <w:r>
          <w:rPr>
            <w:rFonts w:ascii="Arial" w:cs="Arial" w:eastAsia="Arial" w:hAnsi="Arial"/>
            <w:sz w:val="18"/>
            <w:szCs w:val="18"/>
            <w:u w:val="single" w:color="auto"/>
            <w:color w:val="0000EE"/>
          </w:rPr>
          <w:t>Facility Agreement dated July 30, 2020, relating to a $96,800,000 loan facility among GAS-fifteen Ltd. as Borrower and</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National Bank of Greece S.A. as Arranger, Agent and Security Agent, guaranteed by GasLog Ltd. and GasLog Carriers;</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please see “Item 5. Operating and Financial Review and Prospects—B. Liquidity and Capital Resources—Borrowing</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Activities—Credit Facilities”. **</w:t>
        </w:r>
        <w:r>
          <w:rPr>
            <w:rFonts w:ascii="Arial" w:cs="Arial" w:eastAsia="Arial" w:hAnsi="Arial"/>
            <w:sz w:val="26"/>
            <w:szCs w:val="26"/>
            <w:u w:val="single" w:color="auto"/>
            <w:color w:val="0000EE"/>
            <w:vertAlign w:val="superscript"/>
          </w:rPr>
          <w:t>(11)</w:t>
        </w:r>
      </w:hyperlink>
    </w:p>
    <w:p>
      <w:pPr>
        <w:spacing w:after="0" w:line="3" w:lineRule="exact"/>
        <w:rPr>
          <w:rFonts w:ascii="Arial" w:cs="Arial" w:eastAsia="Arial" w:hAnsi="Arial"/>
          <w:sz w:val="18"/>
          <w:szCs w:val="18"/>
          <w:u w:val="single" w:color="auto"/>
          <w:color w:val="0000EE"/>
        </w:rPr>
      </w:pPr>
    </w:p>
    <w:p>
      <w:pPr>
        <w:ind w:left="1140" w:right="80" w:hanging="550"/>
        <w:spacing w:after="0" w:line="215"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4.20</w:t>
      </w:r>
      <w:r>
        <w:rPr>
          <w:sz w:val="20"/>
          <w:szCs w:val="20"/>
          <w:color w:val="auto"/>
        </w:rPr>
        <w:tab/>
      </w:r>
      <w:hyperlink r:id="rId171">
        <w:r>
          <w:rPr>
            <w:rFonts w:ascii="Arial" w:cs="Arial" w:eastAsia="Arial" w:hAnsi="Arial"/>
            <w:sz w:val="18"/>
            <w:szCs w:val="18"/>
            <w:u w:val="single" w:color="auto"/>
            <w:color w:val="0000EE"/>
          </w:rPr>
          <w:t>Agreement and Plan of Merger dated February 21, 2021 among GasLog Ltd., GEPIF III Crown Bidco L.P. and GEPIF III</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Crown MergerCo Limited; please see “Item 7. Major Shareholders and Related Party Transactions—B. Related Party</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Transactions—Merger Agreement”</w:t>
        </w:r>
        <w:r>
          <w:rPr>
            <w:rFonts w:ascii="Arial" w:cs="Arial" w:eastAsia="Arial" w:hAnsi="Arial"/>
            <w:sz w:val="26"/>
            <w:szCs w:val="26"/>
            <w:u w:val="single" w:color="auto"/>
            <w:color w:val="0000EE"/>
            <w:vertAlign w:val="superscript"/>
          </w:rPr>
          <w:t>(10)</w:t>
        </w:r>
      </w:hyperlink>
    </w:p>
    <w:p>
      <w:pPr>
        <w:spacing w:after="0" w:line="2" w:lineRule="exact"/>
        <w:rPr>
          <w:rFonts w:ascii="Arial" w:cs="Arial" w:eastAsia="Arial" w:hAnsi="Arial"/>
          <w:sz w:val="18"/>
          <w:szCs w:val="18"/>
          <w:u w:val="single" w:color="auto"/>
          <w:color w:val="0000EE"/>
        </w:rPr>
      </w:pPr>
    </w:p>
    <w:p>
      <w:pPr>
        <w:ind w:left="1140" w:right="200" w:hanging="550"/>
        <w:spacing w:after="0" w:line="215"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4.21</w:t>
      </w:r>
      <w:r>
        <w:rPr>
          <w:sz w:val="20"/>
          <w:szCs w:val="20"/>
          <w:color w:val="auto"/>
        </w:rPr>
        <w:tab/>
      </w:r>
      <w:hyperlink r:id="rId172">
        <w:r>
          <w:rPr>
            <w:rFonts w:ascii="Arial" w:cs="Arial" w:eastAsia="Arial" w:hAnsi="Arial"/>
            <w:sz w:val="18"/>
            <w:szCs w:val="18"/>
            <w:u w:val="single" w:color="auto"/>
            <w:color w:val="0000EE"/>
          </w:rPr>
          <w:t>Rollover Agreement dated February 21, 2021 among GasLog Ltd., GEPIF III Crown Bidco L.P. and the Rolling</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Shareholders; please see “Item 7. Major Shareholders and Related Party Transactions—B. Related Party Transactions—</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Merger Agreement”</w:t>
        </w:r>
        <w:r>
          <w:rPr>
            <w:rFonts w:ascii="Arial" w:cs="Arial" w:eastAsia="Arial" w:hAnsi="Arial"/>
            <w:sz w:val="26"/>
            <w:szCs w:val="26"/>
            <w:u w:val="single" w:color="auto"/>
            <w:color w:val="0000EE"/>
            <w:vertAlign w:val="superscript"/>
          </w:rPr>
          <w:t>(10)</w:t>
        </w:r>
      </w:hyperlink>
    </w:p>
    <w:p>
      <w:pPr>
        <w:spacing w:after="0" w:line="2" w:lineRule="exact"/>
        <w:rPr>
          <w:rFonts w:ascii="Arial" w:cs="Arial" w:eastAsia="Arial" w:hAnsi="Arial"/>
          <w:sz w:val="18"/>
          <w:szCs w:val="18"/>
          <w:u w:val="single" w:color="auto"/>
          <w:color w:val="0000EE"/>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196">
        <w:r>
          <w:rPr>
            <w:rFonts w:ascii="Arial" w:cs="Arial" w:eastAsia="Arial" w:hAnsi="Arial"/>
            <w:sz w:val="16"/>
            <w:szCs w:val="16"/>
            <w:u w:val="single" w:color="auto"/>
            <w:color w:val="0000EE"/>
          </w:rPr>
          <w:t>List of Subsidiaries of GasLog Ltd.</w:t>
        </w:r>
      </w:hyperlink>
    </w:p>
    <w:p>
      <w:pPr>
        <w:spacing w:after="0" w:line="3" w:lineRule="exact"/>
        <w:rPr>
          <w:rFonts w:ascii="Arial" w:cs="Arial" w:eastAsia="Arial" w:hAnsi="Arial"/>
          <w:sz w:val="18"/>
          <w:szCs w:val="18"/>
          <w:u w:val="single" w:color="auto"/>
          <w:color w:val="0000EE"/>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12.1</w:t>
      </w:r>
      <w:r>
        <w:rPr>
          <w:sz w:val="20"/>
          <w:szCs w:val="20"/>
          <w:color w:val="auto"/>
        </w:rPr>
        <w:tab/>
      </w:r>
      <w:hyperlink w:anchor="page198">
        <w:r>
          <w:rPr>
            <w:rFonts w:ascii="Arial" w:cs="Arial" w:eastAsia="Arial" w:hAnsi="Arial"/>
            <w:sz w:val="16"/>
            <w:szCs w:val="16"/>
            <w:u w:val="single" w:color="auto"/>
            <w:color w:val="0000EE"/>
          </w:rPr>
          <w:t>Rule 13a-14(a)/15d-14(a) Certification of GasLog Ltd.’s Chief Executive Officer</w:t>
        </w:r>
      </w:hyperlink>
    </w:p>
    <w:p>
      <w:pPr>
        <w:spacing w:after="0" w:line="6" w:lineRule="exact"/>
        <w:rPr>
          <w:rFonts w:ascii="Arial" w:cs="Arial" w:eastAsia="Arial" w:hAnsi="Arial"/>
          <w:sz w:val="18"/>
          <w:szCs w:val="18"/>
          <w:u w:val="single" w:color="auto"/>
          <w:color w:val="0000EE"/>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12.2</w:t>
      </w:r>
      <w:r>
        <w:rPr>
          <w:sz w:val="20"/>
          <w:szCs w:val="20"/>
          <w:color w:val="auto"/>
        </w:rPr>
        <w:tab/>
      </w:r>
      <w:hyperlink w:anchor="page199">
        <w:r>
          <w:rPr>
            <w:rFonts w:ascii="Arial" w:cs="Arial" w:eastAsia="Arial" w:hAnsi="Arial"/>
            <w:sz w:val="16"/>
            <w:szCs w:val="16"/>
            <w:u w:val="single" w:color="auto"/>
            <w:color w:val="0000EE"/>
          </w:rPr>
          <w:t>Rule 13a-14(a)/15d-14(a) Certification of GasLog Ltd.’s Chief Financial Officer</w:t>
        </w:r>
      </w:hyperlink>
    </w:p>
    <w:p>
      <w:pPr>
        <w:spacing w:after="0" w:line="6" w:lineRule="exact"/>
        <w:rPr>
          <w:rFonts w:ascii="Arial" w:cs="Arial" w:eastAsia="Arial" w:hAnsi="Arial"/>
          <w:sz w:val="18"/>
          <w:szCs w:val="18"/>
          <w:u w:val="single" w:color="auto"/>
          <w:color w:val="0000EE"/>
        </w:rPr>
      </w:pPr>
    </w:p>
    <w:p>
      <w:pPr>
        <w:ind w:left="1140" w:right="560" w:hanging="550"/>
        <w:spacing w:after="0" w:line="255"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13.1</w:t>
      </w:r>
      <w:r>
        <w:rPr>
          <w:sz w:val="20"/>
          <w:szCs w:val="20"/>
          <w:color w:val="auto"/>
        </w:rPr>
        <w:tab/>
      </w:r>
      <w:hyperlink w:anchor="page200">
        <w:r>
          <w:rPr>
            <w:rFonts w:ascii="Arial" w:cs="Arial" w:eastAsia="Arial" w:hAnsi="Arial"/>
            <w:sz w:val="18"/>
            <w:szCs w:val="18"/>
            <w:u w:val="single" w:color="auto"/>
            <w:color w:val="0000EE"/>
          </w:rPr>
          <w:t>GasLog Ltd. Certification of Paul Wogan, Chief Executive Officer, pursuant to 18 U.S.C. Section 1350, as adopted</w:t>
        </w:r>
      </w:hyperlink>
      <w:r>
        <w:rPr>
          <w:rFonts w:ascii="Arial" w:cs="Arial" w:eastAsia="Arial" w:hAnsi="Arial"/>
          <w:sz w:val="18"/>
          <w:szCs w:val="18"/>
          <w:u w:val="single" w:color="auto"/>
          <w:color w:val="0000EE"/>
        </w:rPr>
        <w:t xml:space="preserve"> </w:t>
      </w:r>
      <w:hyperlink w:anchor="page200">
        <w:r>
          <w:rPr>
            <w:rFonts w:ascii="Arial" w:cs="Arial" w:eastAsia="Arial" w:hAnsi="Arial"/>
            <w:sz w:val="18"/>
            <w:szCs w:val="18"/>
            <w:u w:val="single" w:color="auto"/>
            <w:color w:val="0000EE"/>
          </w:rPr>
          <w:t>pursuant to Section 906 of the U.S. Sarbanes-Oxley Act of 2002</w:t>
        </w:r>
      </w:hyperlink>
    </w:p>
    <w:p>
      <w:pPr>
        <w:sectPr>
          <w:pgSz w:w="11900" w:h="16838" w:orient="portrait"/>
          <w:cols w:equalWidth="0" w:num="1">
            <w:col w:w="9880"/>
          </w:cols>
          <w:pgMar w:left="980" w:top="659" w:right="10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00" w:type="dxa"/>
            <w:vAlign w:val="bottom"/>
          </w:tcPr>
          <w:p>
            <w:pPr>
              <w:jc w:val="right"/>
              <w:ind w:right="151"/>
              <w:spacing w:after="0"/>
              <w:rPr>
                <w:sz w:val="20"/>
                <w:szCs w:val="20"/>
                <w:color w:val="auto"/>
              </w:rPr>
            </w:pPr>
            <w:r>
              <w:rPr>
                <w:rFonts w:ascii="Arial" w:cs="Arial" w:eastAsia="Arial" w:hAnsi="Arial"/>
                <w:sz w:val="18"/>
                <w:szCs w:val="18"/>
                <w:color w:val="auto"/>
              </w:rPr>
              <w:t>13.2</w:t>
            </w:r>
          </w:p>
        </w:tc>
        <w:tc>
          <w:tcPr>
            <w:tcW w:w="8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01">
              <w:r>
                <w:rPr>
                  <w:rFonts w:ascii="Arial" w:cs="Arial" w:eastAsia="Arial" w:hAnsi="Arial"/>
                  <w:sz w:val="18"/>
                  <w:szCs w:val="18"/>
                  <w:color w:val="0000EE"/>
                  <w:w w:val="90"/>
                </w:rPr>
                <w:t>GasLog Ltd. Certification of Achilleas Tasioulas, Chief Financial Officer, pursuant to 18 U.S.C. Section 1350, as adopted</w:t>
              </w:r>
            </w:hyperlink>
          </w:p>
        </w:tc>
      </w:tr>
      <w:tr>
        <w:trPr>
          <w:trHeight w:val="193"/>
        </w:trPr>
        <w:tc>
          <w:tcPr>
            <w:tcW w:w="900" w:type="dxa"/>
            <w:vAlign w:val="bottom"/>
          </w:tcPr>
          <w:p>
            <w:pPr>
              <w:spacing w:after="0"/>
              <w:rPr>
                <w:sz w:val="16"/>
                <w:szCs w:val="16"/>
                <w:color w:val="auto"/>
              </w:rPr>
            </w:pPr>
          </w:p>
        </w:tc>
        <w:tc>
          <w:tcPr>
            <w:tcW w:w="458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pursuant to Section 906 of the U.S. Sarbanes-Oxley Act of 2002</w:t>
              </w:r>
            </w:hyperlink>
          </w:p>
        </w:tc>
        <w:tc>
          <w:tcPr>
            <w:tcW w:w="4080" w:type="dxa"/>
            <w:vAlign w:val="bottom"/>
          </w:tcPr>
          <w:p>
            <w:pPr>
              <w:spacing w:after="0"/>
              <w:rPr>
                <w:sz w:val="16"/>
                <w:szCs w:val="16"/>
                <w:color w:val="auto"/>
              </w:rPr>
            </w:pPr>
          </w:p>
        </w:tc>
      </w:tr>
      <w:tr>
        <w:trPr>
          <w:trHeight w:val="193"/>
        </w:trPr>
        <w:tc>
          <w:tcPr>
            <w:tcW w:w="900" w:type="dxa"/>
            <w:vAlign w:val="bottom"/>
          </w:tcPr>
          <w:p>
            <w:pPr>
              <w:jc w:val="right"/>
              <w:ind w:right="151"/>
              <w:spacing w:after="0" w:line="194" w:lineRule="exact"/>
              <w:rPr>
                <w:sz w:val="20"/>
                <w:szCs w:val="20"/>
                <w:color w:val="auto"/>
              </w:rPr>
            </w:pPr>
            <w:r>
              <w:rPr>
                <w:rFonts w:ascii="Arial" w:cs="Arial" w:eastAsia="Arial" w:hAnsi="Arial"/>
                <w:sz w:val="18"/>
                <w:szCs w:val="18"/>
                <w:color w:val="auto"/>
              </w:rPr>
              <w:t>23.1</w:t>
            </w:r>
          </w:p>
        </w:tc>
        <w:tc>
          <w:tcPr>
            <w:tcW w:w="1760" w:type="dxa"/>
            <w:vAlign w:val="bottom"/>
            <w:tcBorders>
              <w:bottom w:val="single" w:sz="8" w:color="0000EE"/>
            </w:tcBorders>
          </w:tcPr>
          <w:p>
            <w:pPr>
              <w:spacing w:after="0" w:line="194"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Consent of Deloitte LLP</w:t>
              </w:r>
            </w:hyperlink>
          </w:p>
        </w:tc>
        <w:tc>
          <w:tcPr>
            <w:tcW w:w="6900" w:type="dxa"/>
            <w:vAlign w:val="bottom"/>
            <w:gridSpan w:val="3"/>
          </w:tcPr>
          <w:p>
            <w:pPr>
              <w:spacing w:after="0"/>
              <w:rPr>
                <w:sz w:val="16"/>
                <w:szCs w:val="16"/>
                <w:color w:val="auto"/>
              </w:rPr>
            </w:pPr>
          </w:p>
        </w:tc>
      </w:tr>
      <w:tr>
        <w:trPr>
          <w:trHeight w:val="193"/>
        </w:trPr>
        <w:tc>
          <w:tcPr>
            <w:tcW w:w="900" w:type="dxa"/>
            <w:vAlign w:val="bottom"/>
          </w:tcPr>
          <w:p>
            <w:pPr>
              <w:jc w:val="right"/>
              <w:ind w:right="151"/>
              <w:spacing w:after="0" w:line="194" w:lineRule="exact"/>
              <w:rPr>
                <w:sz w:val="20"/>
                <w:szCs w:val="20"/>
                <w:color w:val="auto"/>
              </w:rPr>
            </w:pPr>
            <w:r>
              <w:rPr>
                <w:rFonts w:ascii="Arial" w:cs="Arial" w:eastAsia="Arial" w:hAnsi="Arial"/>
                <w:sz w:val="18"/>
                <w:szCs w:val="18"/>
                <w:color w:val="auto"/>
              </w:rPr>
              <w:t>23.2</w:t>
            </w:r>
          </w:p>
        </w:tc>
        <w:tc>
          <w:tcPr>
            <w:tcW w:w="8660" w:type="dxa"/>
            <w:vAlign w:val="bottom"/>
            <w:gridSpan w:val="4"/>
          </w:tcPr>
          <w:p>
            <w:pPr>
              <w:spacing w:after="0" w:line="194" w:lineRule="exact"/>
              <w:rPr>
                <w:rFonts w:ascii="Arial" w:cs="Arial" w:eastAsia="Arial" w:hAnsi="Arial"/>
                <w:sz w:val="18"/>
                <w:szCs w:val="18"/>
                <w:color w:val="0000EE"/>
              </w:rPr>
            </w:pPr>
            <w:hyperlink w:anchor="page203">
              <w:r>
                <w:rPr>
                  <w:rFonts w:ascii="Arial" w:cs="Arial" w:eastAsia="Arial" w:hAnsi="Arial"/>
                  <w:sz w:val="18"/>
                  <w:szCs w:val="18"/>
                  <w:color w:val="0000EE"/>
                </w:rPr>
                <w:t>Consent of Deloitte Certified Public Accountants S.A.</w:t>
              </w:r>
            </w:hyperlink>
          </w:p>
        </w:tc>
      </w:tr>
      <w:tr>
        <w:trPr>
          <w:trHeight w:val="219"/>
        </w:trPr>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101.INS</w:t>
            </w:r>
          </w:p>
        </w:tc>
        <w:tc>
          <w:tcPr>
            <w:tcW w:w="38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4800" w:type="dxa"/>
            <w:vAlign w:val="bottom"/>
            <w:gridSpan w:val="2"/>
          </w:tcPr>
          <w:p>
            <w:pPr>
              <w:spacing w:after="0"/>
              <w:rPr>
                <w:sz w:val="19"/>
                <w:szCs w:val="19"/>
                <w:color w:val="auto"/>
              </w:rPr>
            </w:pPr>
          </w:p>
        </w:tc>
      </w:tr>
      <w:tr>
        <w:trPr>
          <w:trHeight w:val="213"/>
        </w:trPr>
        <w:tc>
          <w:tcPr>
            <w:tcW w:w="900" w:type="dxa"/>
            <w:vAlign w:val="bottom"/>
          </w:tcPr>
          <w:p>
            <w:pPr>
              <w:jc w:val="right"/>
              <w:ind w:right="151"/>
              <w:spacing w:after="0"/>
              <w:rPr>
                <w:sz w:val="20"/>
                <w:szCs w:val="20"/>
                <w:color w:val="auto"/>
              </w:rPr>
            </w:pPr>
            <w:r>
              <w:rPr>
                <w:rFonts w:ascii="Arial" w:cs="Arial" w:eastAsia="Arial" w:hAnsi="Arial"/>
                <w:sz w:val="18"/>
                <w:szCs w:val="18"/>
                <w:color w:val="auto"/>
                <w:w w:val="87"/>
              </w:rPr>
              <w:t>101.SCH</w:t>
            </w:r>
          </w:p>
        </w:tc>
        <w:tc>
          <w:tcPr>
            <w:tcW w:w="8660" w:type="dxa"/>
            <w:vAlign w:val="bottom"/>
            <w:gridSpan w:val="4"/>
          </w:tcPr>
          <w:p>
            <w:pPr>
              <w:spacing w:after="0"/>
              <w:rPr>
                <w:sz w:val="20"/>
                <w:szCs w:val="20"/>
                <w:color w:val="auto"/>
              </w:rPr>
            </w:pPr>
            <w:r>
              <w:rPr>
                <w:rFonts w:ascii="Arial" w:cs="Arial" w:eastAsia="Arial" w:hAnsi="Arial"/>
                <w:sz w:val="18"/>
                <w:szCs w:val="18"/>
                <w:color w:val="auto"/>
              </w:rPr>
              <w:t>XBRL Taxonomy Extension Scheme</w:t>
            </w:r>
          </w:p>
        </w:tc>
      </w:tr>
      <w:tr>
        <w:trPr>
          <w:trHeight w:val="213"/>
        </w:trPr>
        <w:tc>
          <w:tcPr>
            <w:tcW w:w="900" w:type="dxa"/>
            <w:vAlign w:val="bottom"/>
          </w:tcPr>
          <w:p>
            <w:pPr>
              <w:jc w:val="right"/>
              <w:ind w:right="151"/>
              <w:spacing w:after="0"/>
              <w:rPr>
                <w:sz w:val="20"/>
                <w:szCs w:val="20"/>
                <w:color w:val="auto"/>
              </w:rPr>
            </w:pPr>
            <w:r>
              <w:rPr>
                <w:rFonts w:ascii="Arial" w:cs="Arial" w:eastAsia="Arial" w:hAnsi="Arial"/>
                <w:sz w:val="18"/>
                <w:szCs w:val="18"/>
                <w:color w:val="auto"/>
                <w:w w:val="91"/>
              </w:rPr>
              <w:t>101.CAL</w:t>
            </w:r>
          </w:p>
        </w:tc>
        <w:tc>
          <w:tcPr>
            <w:tcW w:w="8660" w:type="dxa"/>
            <w:vAlign w:val="bottom"/>
            <w:gridSpan w:val="4"/>
          </w:tcPr>
          <w:p>
            <w:pPr>
              <w:spacing w:after="0"/>
              <w:rPr>
                <w:sz w:val="20"/>
                <w:szCs w:val="20"/>
                <w:color w:val="auto"/>
              </w:rPr>
            </w:pPr>
            <w:r>
              <w:rPr>
                <w:rFonts w:ascii="Arial" w:cs="Arial" w:eastAsia="Arial" w:hAnsi="Arial"/>
                <w:sz w:val="18"/>
                <w:szCs w:val="18"/>
                <w:color w:val="auto"/>
              </w:rPr>
              <w:t>XBRL Taxonomy Extension Scheme Calculation Linkbase</w:t>
            </w:r>
          </w:p>
        </w:tc>
      </w:tr>
      <w:tr>
        <w:trPr>
          <w:trHeight w:val="213"/>
        </w:trPr>
        <w:tc>
          <w:tcPr>
            <w:tcW w:w="900" w:type="dxa"/>
            <w:vAlign w:val="bottom"/>
          </w:tcPr>
          <w:p>
            <w:pPr>
              <w:jc w:val="right"/>
              <w:ind w:right="151"/>
              <w:spacing w:after="0"/>
              <w:rPr>
                <w:sz w:val="20"/>
                <w:szCs w:val="20"/>
                <w:color w:val="auto"/>
              </w:rPr>
            </w:pPr>
            <w:r>
              <w:rPr>
                <w:rFonts w:ascii="Arial" w:cs="Arial" w:eastAsia="Arial" w:hAnsi="Arial"/>
                <w:sz w:val="18"/>
                <w:szCs w:val="18"/>
                <w:color w:val="auto"/>
                <w:w w:val="90"/>
              </w:rPr>
              <w:t>101.DEF</w:t>
            </w:r>
          </w:p>
        </w:tc>
        <w:tc>
          <w:tcPr>
            <w:tcW w:w="8660" w:type="dxa"/>
            <w:vAlign w:val="bottom"/>
            <w:gridSpan w:val="4"/>
          </w:tcPr>
          <w:p>
            <w:pPr>
              <w:spacing w:after="0"/>
              <w:rPr>
                <w:sz w:val="20"/>
                <w:szCs w:val="20"/>
                <w:color w:val="auto"/>
              </w:rPr>
            </w:pPr>
            <w:r>
              <w:rPr>
                <w:rFonts w:ascii="Arial" w:cs="Arial" w:eastAsia="Arial" w:hAnsi="Arial"/>
                <w:sz w:val="18"/>
                <w:szCs w:val="18"/>
                <w:color w:val="auto"/>
              </w:rPr>
              <w:t>XBRL Taxonomy Extension Scheme Definition Linkbase</w:t>
            </w:r>
          </w:p>
        </w:tc>
      </w:tr>
      <w:tr>
        <w:trPr>
          <w:trHeight w:val="213"/>
        </w:trPr>
        <w:tc>
          <w:tcPr>
            <w:tcW w:w="900" w:type="dxa"/>
            <w:vAlign w:val="bottom"/>
          </w:tcPr>
          <w:p>
            <w:pPr>
              <w:jc w:val="right"/>
              <w:ind w:right="151"/>
              <w:spacing w:after="0"/>
              <w:rPr>
                <w:sz w:val="20"/>
                <w:szCs w:val="20"/>
                <w:color w:val="auto"/>
              </w:rPr>
            </w:pPr>
            <w:r>
              <w:rPr>
                <w:rFonts w:ascii="Arial" w:cs="Arial" w:eastAsia="Arial" w:hAnsi="Arial"/>
                <w:sz w:val="18"/>
                <w:szCs w:val="18"/>
                <w:color w:val="auto"/>
                <w:w w:val="92"/>
              </w:rPr>
              <w:t>101.LAB</w:t>
            </w:r>
          </w:p>
        </w:tc>
        <w:tc>
          <w:tcPr>
            <w:tcW w:w="8660" w:type="dxa"/>
            <w:vAlign w:val="bottom"/>
            <w:gridSpan w:val="4"/>
          </w:tcPr>
          <w:p>
            <w:pPr>
              <w:spacing w:after="0"/>
              <w:rPr>
                <w:sz w:val="20"/>
                <w:szCs w:val="20"/>
                <w:color w:val="auto"/>
              </w:rPr>
            </w:pPr>
            <w:r>
              <w:rPr>
                <w:rFonts w:ascii="Arial" w:cs="Arial" w:eastAsia="Arial" w:hAnsi="Arial"/>
                <w:sz w:val="18"/>
                <w:szCs w:val="18"/>
                <w:color w:val="auto"/>
              </w:rPr>
              <w:t>XBRL Taxonomy Extension Scheme Label Linkbase</w:t>
            </w:r>
          </w:p>
        </w:tc>
      </w:tr>
      <w:tr>
        <w:trPr>
          <w:trHeight w:val="226"/>
        </w:trPr>
        <w:tc>
          <w:tcPr>
            <w:tcW w:w="900" w:type="dxa"/>
            <w:vAlign w:val="bottom"/>
          </w:tcPr>
          <w:p>
            <w:pPr>
              <w:jc w:val="right"/>
              <w:ind w:right="151"/>
              <w:spacing w:after="0"/>
              <w:rPr>
                <w:sz w:val="20"/>
                <w:szCs w:val="20"/>
                <w:color w:val="auto"/>
              </w:rPr>
            </w:pPr>
            <w:r>
              <w:rPr>
                <w:rFonts w:ascii="Arial" w:cs="Arial" w:eastAsia="Arial" w:hAnsi="Arial"/>
                <w:sz w:val="18"/>
                <w:szCs w:val="18"/>
                <w:color w:val="auto"/>
                <w:w w:val="88"/>
              </w:rPr>
              <w:t>101.PRE</w:t>
            </w:r>
          </w:p>
        </w:tc>
        <w:tc>
          <w:tcPr>
            <w:tcW w:w="8660" w:type="dxa"/>
            <w:vAlign w:val="bottom"/>
            <w:gridSpan w:val="4"/>
          </w:tcPr>
          <w:p>
            <w:pPr>
              <w:spacing w:after="0"/>
              <w:rPr>
                <w:sz w:val="20"/>
                <w:szCs w:val="20"/>
                <w:color w:val="auto"/>
              </w:rPr>
            </w:pPr>
            <w:r>
              <w:rPr>
                <w:rFonts w:ascii="Arial" w:cs="Arial" w:eastAsia="Arial" w:hAnsi="Arial"/>
                <w:sz w:val="18"/>
                <w:szCs w:val="18"/>
                <w:color w:val="auto"/>
              </w:rPr>
              <w:t>XBRL Taxonomy Extension Scheme Presentation Linkbase</w:t>
            </w:r>
          </w:p>
        </w:tc>
      </w:tr>
    </w:tbl>
    <w:p>
      <w:pPr>
        <w:ind w:left="1140" w:hanging="505"/>
        <w:spacing w:after="0"/>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62" w:lineRule="exact"/>
        <w:rPr>
          <w:rFonts w:ascii="Arial" w:cs="Arial" w:eastAsia="Arial" w:hAnsi="Arial"/>
          <w:sz w:val="18"/>
          <w:szCs w:val="18"/>
          <w:color w:val="auto"/>
        </w:rPr>
      </w:pPr>
    </w:p>
    <w:p>
      <w:pPr>
        <w:ind w:left="320" w:right="36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Registration Statement on Form F-1 (File No. 333-179034), declared effective by the SEC on March 29, 2012, and hereby incorporated by reference to such Registration Statement.</w:t>
      </w:r>
    </w:p>
    <w:p>
      <w:pPr>
        <w:spacing w:after="0" w:line="174" w:lineRule="exact"/>
        <w:rPr>
          <w:rFonts w:ascii="Arial" w:cs="Arial" w:eastAsia="Arial" w:hAnsi="Arial"/>
          <w:sz w:val="11"/>
          <w:szCs w:val="11"/>
          <w:color w:val="auto"/>
        </w:rPr>
      </w:pPr>
    </w:p>
    <w:p>
      <w:pPr>
        <w:ind w:left="32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May 24, 2013, and hereby incorporated by reference to such Report.</w:t>
      </w:r>
    </w:p>
    <w:p>
      <w:pPr>
        <w:spacing w:after="0" w:line="174" w:lineRule="exact"/>
        <w:rPr>
          <w:rFonts w:ascii="Arial" w:cs="Arial" w:eastAsia="Arial" w:hAnsi="Arial"/>
          <w:sz w:val="11"/>
          <w:szCs w:val="11"/>
          <w:color w:val="auto"/>
        </w:rPr>
      </w:pPr>
    </w:p>
    <w:p>
      <w:pPr>
        <w:ind w:left="320" w:right="28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174" w:lineRule="exact"/>
        <w:rPr>
          <w:rFonts w:ascii="Arial" w:cs="Arial" w:eastAsia="Arial" w:hAnsi="Arial"/>
          <w:sz w:val="11"/>
          <w:szCs w:val="11"/>
          <w:color w:val="auto"/>
        </w:rPr>
      </w:pPr>
    </w:p>
    <w:p>
      <w:pPr>
        <w:ind w:left="320" w:right="10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Annual Report on Form 20-F (File No. 001-35466), filed with the SEC on March 14, 2016, and hereby incorporated by reference to such Report.</w:t>
      </w:r>
    </w:p>
    <w:p>
      <w:pPr>
        <w:spacing w:after="0" w:line="174" w:lineRule="exact"/>
        <w:rPr>
          <w:rFonts w:ascii="Arial" w:cs="Arial" w:eastAsia="Arial" w:hAnsi="Arial"/>
          <w:sz w:val="11"/>
          <w:szCs w:val="11"/>
          <w:color w:val="auto"/>
        </w:rPr>
      </w:pPr>
    </w:p>
    <w:p>
      <w:pPr>
        <w:ind w:left="320" w:right="6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August 4, 2016, and hereby incorporated by reference to such Report.</w:t>
      </w:r>
    </w:p>
    <w:p>
      <w:pPr>
        <w:spacing w:after="0" w:line="174" w:lineRule="exact"/>
        <w:rPr>
          <w:rFonts w:ascii="Arial" w:cs="Arial" w:eastAsia="Arial" w:hAnsi="Arial"/>
          <w:sz w:val="11"/>
          <w:szCs w:val="11"/>
          <w:color w:val="auto"/>
        </w:rPr>
      </w:pPr>
    </w:p>
    <w:p>
      <w:pPr>
        <w:ind w:left="320" w:right="46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Partners LP’s Annual Report on Form 20-F (File No. 001-36433), filed with the SEC on February 26, 2019, and hereby incorporated by reference to such Report.</w:t>
      </w:r>
    </w:p>
    <w:p>
      <w:pPr>
        <w:spacing w:after="0" w:line="174" w:lineRule="exact"/>
        <w:rPr>
          <w:rFonts w:ascii="Arial" w:cs="Arial" w:eastAsia="Arial" w:hAnsi="Arial"/>
          <w:sz w:val="11"/>
          <w:szCs w:val="11"/>
          <w:color w:val="auto"/>
        </w:rPr>
      </w:pPr>
    </w:p>
    <w:p>
      <w:pPr>
        <w:ind w:left="320" w:right="14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Exhibit 10.1 to GasLog Partners LP’s Report on Form 6-K (File No. 001-36433), filed with the SEC on June 24, 2019, and hereby incorporated by reference to such Report.</w:t>
      </w:r>
    </w:p>
    <w:p>
      <w:pPr>
        <w:spacing w:after="0" w:line="174" w:lineRule="exact"/>
        <w:rPr>
          <w:rFonts w:ascii="Arial" w:cs="Arial" w:eastAsia="Arial" w:hAnsi="Arial"/>
          <w:sz w:val="11"/>
          <w:szCs w:val="11"/>
          <w:color w:val="auto"/>
        </w:rPr>
      </w:pPr>
    </w:p>
    <w:p>
      <w:pPr>
        <w:ind w:left="320" w:right="6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August 5, 2020, and hereby incorporated by reference to such Report.</w:t>
      </w:r>
    </w:p>
    <w:p>
      <w:pPr>
        <w:spacing w:after="0" w:line="174" w:lineRule="exact"/>
        <w:rPr>
          <w:rFonts w:ascii="Arial" w:cs="Arial" w:eastAsia="Arial" w:hAnsi="Arial"/>
          <w:sz w:val="11"/>
          <w:szCs w:val="11"/>
          <w:color w:val="auto"/>
        </w:rPr>
      </w:pPr>
    </w:p>
    <w:p>
      <w:pPr>
        <w:ind w:left="320" w:right="6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Exhibit 10.1 to GasLog Partners LP’s Report on Form 6-K (File No. 001-36433), filed with the SEC on August 5, 2020, and hereby incorporated by reference to such Report.</w:t>
      </w:r>
    </w:p>
    <w:p>
      <w:pPr>
        <w:spacing w:after="0" w:line="174" w:lineRule="exact"/>
        <w:rPr>
          <w:rFonts w:ascii="Arial" w:cs="Arial" w:eastAsia="Arial" w:hAnsi="Arial"/>
          <w:sz w:val="11"/>
          <w:szCs w:val="11"/>
          <w:color w:val="auto"/>
        </w:rPr>
      </w:pPr>
    </w:p>
    <w:p>
      <w:pPr>
        <w:ind w:left="320" w:right="10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March 3, 2021, and hereby incorporated by reference to such Report.</w:t>
      </w:r>
    </w:p>
    <w:p>
      <w:pPr>
        <w:spacing w:after="0" w:line="174" w:lineRule="exact"/>
        <w:rPr>
          <w:rFonts w:ascii="Arial" w:cs="Arial" w:eastAsia="Arial" w:hAnsi="Arial"/>
          <w:sz w:val="11"/>
          <w:szCs w:val="11"/>
          <w:color w:val="auto"/>
        </w:rPr>
      </w:pPr>
    </w:p>
    <w:p>
      <w:pPr>
        <w:ind w:left="320" w:right="60" w:hanging="313"/>
        <w:spacing w:after="0" w:line="248" w:lineRule="auto"/>
        <w:tabs>
          <w:tab w:leader="none" w:pos="320" w:val="left"/>
        </w:tabs>
        <w:numPr>
          <w:ilvl w:val="0"/>
          <w:numId w:val="100"/>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20-F (File No. 001-35466), filed with the SEC on March 5, 2021, and hereby incorporated by reference to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-3477895</wp:posOffset>
            </wp:positionV>
            <wp:extent cx="15671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88" w:lineRule="exact"/>
        <w:rPr>
          <w:sz w:val="20"/>
          <w:szCs w:val="20"/>
          <w:color w:val="auto"/>
        </w:rPr>
      </w:pPr>
    </w:p>
    <w:p>
      <w:pPr>
        <w:ind w:left="320" w:hanging="313"/>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Confidential material has been redacted and complete exhibits have been separately filed with the SEC.</w:t>
      </w:r>
    </w:p>
    <w:p>
      <w:pPr>
        <w:spacing w:after="0" w:line="199" w:lineRule="exact"/>
        <w:rPr>
          <w:sz w:val="20"/>
          <w:szCs w:val="20"/>
          <w:color w:val="auto"/>
        </w:rPr>
      </w:pPr>
    </w:p>
    <w:p>
      <w:pPr>
        <w:ind w:left="320" w:right="480" w:hanging="313"/>
        <w:spacing w:after="0" w:line="285"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Certain schedules have been omitted. The registrant hereby undertakes to furnish supplemental copies of any of the omitted schedules upon request by the SEC, provided, however, that GasLog may request confidential treatment pursuant to Rule 24b-2 of the Exchange Act for any schedule so furnished.</w:t>
      </w:r>
    </w:p>
    <w:p>
      <w:pPr>
        <w:spacing w:after="0" w:line="151" w:lineRule="exact"/>
        <w:rPr>
          <w:rFonts w:ascii="Arial" w:cs="Arial" w:eastAsia="Arial" w:hAnsi="Arial"/>
          <w:sz w:val="13"/>
          <w:szCs w:val="13"/>
          <w:color w:val="auto"/>
        </w:rPr>
      </w:pPr>
    </w:p>
    <w:p>
      <w:pPr>
        <w:ind w:left="320" w:right="140"/>
        <w:spacing w:after="0" w:line="248" w:lineRule="auto"/>
        <w:rPr>
          <w:rFonts w:ascii="Arial" w:cs="Arial" w:eastAsia="Arial" w:hAnsi="Arial"/>
          <w:sz w:val="13"/>
          <w:szCs w:val="13"/>
          <w:color w:val="auto"/>
        </w:rPr>
      </w:pPr>
      <w:r>
        <w:rPr>
          <w:rFonts w:ascii="Arial" w:cs="Arial" w:eastAsia="Arial" w:hAnsi="Arial"/>
          <w:sz w:val="14"/>
          <w:szCs w:val="14"/>
          <w:color w:val="auto"/>
        </w:rPr>
        <w:t>The registrant hereby agrees to furnish to the SEC upon request a copy of any instrument relating to long-term debt that does not exceed 10% of the total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GASLOG LTD.,</w:t>
      </w:r>
    </w:p>
    <w:p>
      <w:pPr>
        <w:spacing w:after="0" w:line="24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By/s/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33655</wp:posOffset>
            </wp:positionV>
            <wp:extent cx="30162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Paul A. Wogan</w:t>
      </w:r>
    </w:p>
    <w:p>
      <w:pPr>
        <w:spacing w:after="0" w:line="21" w:lineRule="exact"/>
        <w:rPr>
          <w:sz w:val="20"/>
          <w:szCs w:val="20"/>
          <w:color w:val="auto"/>
        </w:rPr>
      </w:pPr>
    </w:p>
    <w:p>
      <w:pPr>
        <w:ind w:left="5160"/>
        <w:spacing w:after="0"/>
        <w:tabs>
          <w:tab w:leader="none" w:pos="56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760"/>
          </w:cols>
          <w:pgMar w:left="980" w:top="659" w:right="11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92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w w:val="97"/>
              </w:rPr>
              <w:t>GASLOG LTD.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960" w:type="dxa"/>
            <w:vAlign w:val="bottom"/>
            <w:gridSpan w:val="8"/>
          </w:tcPr>
          <w:p>
            <w:pPr>
              <w:jc w:val="center"/>
              <w:ind w:right="560"/>
              <w:spacing w:after="0"/>
              <w:rPr>
                <w:sz w:val="20"/>
                <w:szCs w:val="20"/>
                <w:color w:val="auto"/>
              </w:rPr>
            </w:pPr>
            <w:r>
              <w:rPr>
                <w:rFonts w:ascii="Arial" w:cs="Arial" w:eastAsia="Arial" w:hAnsi="Arial"/>
                <w:sz w:val="18"/>
                <w:szCs w:val="18"/>
                <w:b w:val="1"/>
                <w:bCs w:val="1"/>
                <w:color w:val="auto"/>
              </w:rPr>
              <w:t>INDEX TO CONSOLIDATED FINANCIAL STATEMENTS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0" w:type="dxa"/>
            <w:vAlign w:val="bottom"/>
            <w:gridSpan w:val="9"/>
            <w:shd w:val="clear" w:color="auto" w:fill="CCEEFF"/>
          </w:tcPr>
          <w:p>
            <w:pPr>
              <w:spacing w:after="0" w:line="175"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Report of Independent Registered Public Accounting Firm</w:t>
              </w:r>
            </w:hyperlink>
            <w:r>
              <w:rPr>
                <w:rFonts w:ascii="Arial" w:cs="Arial" w:eastAsia="Arial" w:hAnsi="Arial"/>
                <w:sz w:val="18"/>
                <w:szCs w:val="18"/>
                <w:color w:val="000000"/>
                <w:w w:val="92"/>
              </w:rPr>
              <w:t>—Deloitte</w:t>
            </w:r>
            <w:r>
              <w:rPr>
                <w:rFonts w:ascii="Arial" w:cs="Arial" w:eastAsia="Arial" w:hAnsi="Arial"/>
                <w:sz w:val="18"/>
                <w:szCs w:val="18"/>
                <w:color w:val="0000EE"/>
                <w:w w:val="92"/>
              </w:rPr>
              <w:t xml:space="preserve"> </w:t>
            </w:r>
            <w:r>
              <w:rPr>
                <w:rFonts w:ascii="Arial" w:cs="Arial" w:eastAsia="Arial" w:hAnsi="Arial"/>
                <w:sz w:val="18"/>
                <w:szCs w:val="18"/>
                <w:color w:val="000000"/>
                <w:w w:val="92"/>
              </w:rPr>
              <w:t>Certified Public Accountants S.A. (PCAOB ID No. 1163)</w:t>
            </w:r>
          </w:p>
        </w:tc>
        <w:tc>
          <w:tcPr>
            <w:tcW w:w="7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0" w:type="dxa"/>
            <w:vAlign w:val="bottom"/>
            <w:gridSpan w:val="9"/>
          </w:tcPr>
          <w:p>
            <w:pPr>
              <w:spacing w:after="0" w:line="174" w:lineRule="exact"/>
              <w:rPr>
                <w:rFonts w:ascii="Arial" w:cs="Arial" w:eastAsia="Arial" w:hAnsi="Arial"/>
                <w:sz w:val="18"/>
                <w:szCs w:val="18"/>
                <w:color w:val="0000EE"/>
              </w:rPr>
            </w:pPr>
            <w:hyperlink w:anchor="page127">
              <w:r>
                <w:rPr>
                  <w:rFonts w:ascii="Arial" w:cs="Arial" w:eastAsia="Arial" w:hAnsi="Arial"/>
                  <w:sz w:val="18"/>
                  <w:szCs w:val="18"/>
                  <w:color w:val="0000EE"/>
                </w:rPr>
                <w:t>Report of Independent Registered Public Accounting Firm</w:t>
              </w:r>
            </w:hyperlink>
            <w:r>
              <w:rPr>
                <w:rFonts w:ascii="Arial" w:cs="Arial" w:eastAsia="Arial" w:hAnsi="Arial"/>
                <w:sz w:val="18"/>
                <w:szCs w:val="18"/>
                <w:color w:val="000000"/>
              </w:rPr>
              <w:t>—Deloitte</w:t>
            </w:r>
            <w:r>
              <w:rPr>
                <w:rFonts w:ascii="Arial" w:cs="Arial" w:eastAsia="Arial" w:hAnsi="Arial"/>
                <w:sz w:val="18"/>
                <w:szCs w:val="18"/>
                <w:color w:val="0000EE"/>
              </w:rPr>
              <w:t xml:space="preserve"> </w:t>
            </w:r>
            <w:r>
              <w:rPr>
                <w:rFonts w:ascii="Arial" w:cs="Arial" w:eastAsia="Arial" w:hAnsi="Arial"/>
                <w:sz w:val="18"/>
                <w:szCs w:val="18"/>
                <w:color w:val="000000"/>
              </w:rPr>
              <w:t>LLP (PCAOB ID No. 1147)</w:t>
            </w:r>
          </w:p>
        </w:tc>
        <w:tc>
          <w:tcPr>
            <w:tcW w:w="700" w:type="dxa"/>
            <w:vAlign w:val="bottom"/>
          </w:tcPr>
          <w:p>
            <w:pPr>
              <w:jc w:val="center"/>
              <w:spacing w:after="0" w:line="174"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0" w:type="dxa"/>
            <w:vAlign w:val="bottom"/>
            <w:gridSpan w:val="9"/>
            <w:shd w:val="clear" w:color="auto" w:fill="CCEEFF"/>
          </w:tcPr>
          <w:p>
            <w:pPr>
              <w:spacing w:after="0" w:line="174" w:lineRule="exact"/>
              <w:rPr>
                <w:rFonts w:ascii="Arial" w:cs="Arial" w:eastAsia="Arial" w:hAnsi="Arial"/>
                <w:sz w:val="18"/>
                <w:szCs w:val="18"/>
                <w:color w:val="0000EE"/>
              </w:rPr>
            </w:pPr>
            <w:hyperlink w:anchor="page128">
              <w:r>
                <w:rPr>
                  <w:rFonts w:ascii="Arial" w:cs="Arial" w:eastAsia="Arial" w:hAnsi="Arial"/>
                  <w:sz w:val="18"/>
                  <w:szCs w:val="18"/>
                  <w:color w:val="0000EE"/>
                </w:rPr>
                <w:t>Consolidated statements of financial position as of December 31, 2020 and 2021</w:t>
              </w:r>
            </w:hyperlink>
          </w:p>
        </w:tc>
        <w:tc>
          <w:tcPr>
            <w:tcW w:w="7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0" w:type="dxa"/>
            <w:vAlign w:val="bottom"/>
            <w:gridSpan w:val="9"/>
          </w:tcPr>
          <w:p>
            <w:pPr>
              <w:spacing w:after="0" w:line="174"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profit or loss for the years ended December 31, 2019, 2020 and 2021</w:t>
              </w:r>
            </w:hyperlink>
          </w:p>
        </w:tc>
        <w:tc>
          <w:tcPr>
            <w:tcW w:w="700" w:type="dxa"/>
            <w:vAlign w:val="bottom"/>
          </w:tcPr>
          <w:p>
            <w:pPr>
              <w:jc w:val="center"/>
              <w:spacing w:after="0" w:line="174"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0" w:type="dxa"/>
            <w:vAlign w:val="bottom"/>
            <w:gridSpan w:val="9"/>
            <w:shd w:val="clear" w:color="auto" w:fill="CCEEFF"/>
          </w:tcPr>
          <w:p>
            <w:pPr>
              <w:spacing w:after="0" w:line="174"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Consolidated statements of comprehensive income or loss for the years ended December 31, 2019, 2020 and 2021</w:t>
              </w:r>
            </w:hyperlink>
          </w:p>
        </w:tc>
        <w:tc>
          <w:tcPr>
            <w:tcW w:w="7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73"/>
        </w:trPr>
        <w:tc>
          <w:tcPr>
            <w:tcW w:w="20" w:type="dxa"/>
            <w:vAlign w:val="bottom"/>
            <w:tcBorders>
              <w:top w:val="single" w:sz="8" w:color="0000EE"/>
            </w:tcBorders>
          </w:tcPr>
          <w:p>
            <w:pPr>
              <w:spacing w:after="0"/>
              <w:rPr>
                <w:sz w:val="15"/>
                <w:szCs w:val="15"/>
                <w:color w:val="auto"/>
              </w:rPr>
            </w:pPr>
          </w:p>
        </w:tc>
        <w:tc>
          <w:tcPr>
            <w:tcW w:w="8100" w:type="dxa"/>
            <w:vAlign w:val="bottom"/>
            <w:tcBorders>
              <w:top w:val="single" w:sz="8" w:color="0000EE"/>
            </w:tcBorders>
            <w:gridSpan w:val="8"/>
          </w:tcPr>
          <w:p>
            <w:pPr>
              <w:spacing w:after="0" w:line="174" w:lineRule="exact"/>
              <w:rPr>
                <w:rFonts w:ascii="Arial" w:cs="Arial" w:eastAsia="Arial" w:hAnsi="Arial"/>
                <w:sz w:val="18"/>
                <w:szCs w:val="18"/>
                <w:color w:val="0000EE"/>
                <w:w w:val="98"/>
              </w:rPr>
            </w:pPr>
            <w:hyperlink w:anchor="page131">
              <w:r>
                <w:rPr>
                  <w:rFonts w:ascii="Arial" w:cs="Arial" w:eastAsia="Arial" w:hAnsi="Arial"/>
                  <w:sz w:val="18"/>
                  <w:szCs w:val="18"/>
                  <w:color w:val="0000EE"/>
                  <w:w w:val="98"/>
                </w:rPr>
                <w:t>Consolidated statements of changes in equity for the years ended December 31, 2019, 2020 and 2021</w:t>
              </w:r>
            </w:hyperlink>
          </w:p>
        </w:tc>
        <w:tc>
          <w:tcPr>
            <w:tcW w:w="11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0" w:type="dxa"/>
            <w:vAlign w:val="bottom"/>
            <w:gridSpan w:val="9"/>
            <w:shd w:val="clear" w:color="auto" w:fill="CCEEFF"/>
          </w:tcPr>
          <w:p>
            <w:pPr>
              <w:spacing w:after="0" w:line="174" w:lineRule="exact"/>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cash flows for the years ended December 31, 2019, 2020 and 2021</w:t>
              </w:r>
            </w:hyperlink>
          </w:p>
        </w:tc>
        <w:tc>
          <w:tcPr>
            <w:tcW w:w="7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173"/>
        </w:trPr>
        <w:tc>
          <w:tcPr>
            <w:tcW w:w="20" w:type="dxa"/>
            <w:vAlign w:val="bottom"/>
            <w:tcBorders>
              <w:top w:val="single" w:sz="8" w:color="0000EE"/>
            </w:tcBorders>
          </w:tcPr>
          <w:p>
            <w:pPr>
              <w:spacing w:after="0"/>
              <w:rPr>
                <w:sz w:val="15"/>
                <w:szCs w:val="15"/>
                <w:color w:val="auto"/>
              </w:rPr>
            </w:pPr>
          </w:p>
        </w:tc>
        <w:tc>
          <w:tcPr>
            <w:tcW w:w="6700" w:type="dxa"/>
            <w:vAlign w:val="bottom"/>
            <w:tcBorders>
              <w:top w:val="single" w:sz="8" w:color="0000EE"/>
            </w:tcBorders>
            <w:gridSpan w:val="5"/>
          </w:tcPr>
          <w:p>
            <w:pPr>
              <w:spacing w:after="0" w:line="174" w:lineRule="exact"/>
              <w:rPr>
                <w:rFonts w:ascii="Arial" w:cs="Arial" w:eastAsia="Arial" w:hAnsi="Arial"/>
                <w:sz w:val="18"/>
                <w:szCs w:val="18"/>
                <w:color w:val="0000EE"/>
              </w:rPr>
            </w:pPr>
            <w:hyperlink w:anchor="page134">
              <w:r>
                <w:rPr>
                  <w:rFonts w:ascii="Arial" w:cs="Arial" w:eastAsia="Arial" w:hAnsi="Arial"/>
                  <w:sz w:val="18"/>
                  <w:szCs w:val="18"/>
                  <w:color w:val="0000EE"/>
                </w:rPr>
                <w:t>Notes to the consolidated financial statements</w:t>
              </w:r>
            </w:hyperlink>
          </w:p>
        </w:tc>
        <w:tc>
          <w:tcPr>
            <w:tcW w:w="2500" w:type="dxa"/>
            <w:vAlign w:val="bottom"/>
            <w:tcBorders>
              <w:top w:val="single" w:sz="8" w:color="CCEEFF"/>
            </w:tcBorders>
            <w:gridSpan w:val="4"/>
          </w:tcPr>
          <w:p>
            <w:pPr>
              <w:spacing w:after="0"/>
              <w:rPr>
                <w:sz w:val="15"/>
                <w:szCs w:val="15"/>
                <w:color w:val="auto"/>
              </w:rPr>
            </w:pPr>
          </w:p>
        </w:tc>
        <w:tc>
          <w:tcPr>
            <w:tcW w:w="7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color w:val="auto"/>
                <w:w w:val="91"/>
              </w:rPr>
              <w:t>F-12</w:t>
            </w:r>
          </w:p>
        </w:tc>
        <w:tc>
          <w:tcPr>
            <w:tcW w:w="0" w:type="dxa"/>
            <w:vAlign w:val="bottom"/>
          </w:tcPr>
          <w:p>
            <w:pPr>
              <w:spacing w:after="0"/>
              <w:rPr>
                <w:sz w:val="1"/>
                <w:szCs w:val="1"/>
                <w:color w:val="auto"/>
              </w:rPr>
            </w:pPr>
          </w:p>
        </w:tc>
      </w:tr>
      <w:tr>
        <w:trPr>
          <w:trHeight w:val="886"/>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gridSpan w:val="6"/>
          </w:tcPr>
          <w:p>
            <w:pPr>
              <w:jc w:val="center"/>
              <w:ind w:right="3480"/>
              <w:spacing w:after="0"/>
              <w:rPr>
                <w:sz w:val="20"/>
                <w:szCs w:val="20"/>
                <w:color w:val="auto"/>
              </w:rPr>
            </w:pPr>
            <w:r>
              <w:rPr>
                <w:rFonts w:ascii="Arial" w:cs="Arial" w:eastAsia="Arial" w:hAnsi="Arial"/>
                <w:sz w:val="18"/>
                <w:szCs w:val="18"/>
                <w:color w:val="auto"/>
                <w:w w:val="88"/>
              </w:rPr>
              <w:t>F-1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0"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audited the accompanying consolidated statement of financial position of GasLog Ltd. and subsidiaries (the "Company") as of December 31, 2021, the related consolidated statement of profit or loss, comprehensive income or loss, changes in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year ended December 31, 2021, in conformity with International Financial Reporting Standards as issued by the International Accounting Standards Board.</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consolidated financial statements of the Company for the years ended December 31, 2020 and December 31, 2019, before the effects of the adjustments to retrospectively apply the change in accounting policy discussed in Note 2 to the financial statements, were audited by other auditors whose report, dated March 5, 2021, expressed an unqualified opinion on those statements. We have also audited the adjustments to the 2020 and 2019 financial statements to retrospectively apply the change in accounting policy for the reclassification of interest paid and movements of cash collaterals for swaps in 2021, as discussed in Note 2 to the financial statements. Our procedures included (1) obtaining the Company's restated analysis, prepared by management, of the retrospective adjustments for cash flow reclassification of interest paid and movements of cash collaterals for swaps and comparing the retrospectively adjusted amounts per the 2020 and 2019 cash flow to the previously reported amounts on previously issued financial statements for such year or to the Company's supporting documentation; (2) comparing the amounts of the retrospective adjustments of cash flow to the Company's underlying analysis; and (3) testing the mathematical accuracy of the restated analysis of the retrospective adjustments. In our opinion, such retrospective adjustments are appropriate and have been properly applied. However, we were not engaged to audit, review, or apply any procedures to the 2020 and 2019 consolidated financial statements of the Company other than with respect to the retrospective adjustments, and accordingly, we do not express an opinion or any other form of assurance on the 2020 and 2019 consolidated financial statements taken as a whole.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5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fixed assets - Impairment of vessels - Refer to Notes 2 and 6 to the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carrying value of vessels as of December 31, 2021, was $4,972.28 million, net of an impairment loss of $142.69 million recognized in 2021</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Company's vessels are evaluated for impairment when events or changes in circumstances indicate that the carrying value may not be recoverable, and conversely for reversal of impairment. For each vessel for which impairment indicators or impairment reversal indicators are identified, management estimates the recoverable amount, which is the higher of fair value less cost to sell and value in use and compares it to the carrying value. The Company assesses value in use using discounted future cash flows, which requires management to make estimates and assumptions, the most significant of which is charter rates for non-contracted revenue days and discount rate. Management identifies these as key assumptions to which the outcome of the impairment assessment is most sensitive.</w:t>
      </w:r>
    </w:p>
    <w:p>
      <w:pPr>
        <w:spacing w:after="0" w:line="1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At each reporting date, the Company reassesses its impairment assumptions and revises them as appropriate. In its impairment assessment during 2021, the Company revised its impairment assessment for its Steam vessels by comparing each vessel's value in use applying the "expected cash flow" approach instead of the single most likely cash flow ("traditional approach"). The expected cash flow approach was considered more appropriate in light of the increasing uncertainty pertaining to the business outlook for the Company's Steam vessels. As of December 31, 2021, the Company's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expected future cash flows are discounted to their present value using a discount rate that reflects current market assessments of the time value of money and the risks specific to the asset for which the estimates of future cash flows have not been adjusted.</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to the above, the Company revised certain assumptions for charter rates for the period up to December 31, 2022 and from 2023 up to the end of the Steam vessels useful life and its assumptions for the discount rate. For Steam vessels, management's assumptions for charter rates for non-contracted revenue days decreased from an average of $40 thousand per day to $35 thousand per day compared to 2020, and management's average discount rate assumption increased to 7.52%, resulting in an impairment loss of $125.84 million recognized on all of the Company's Steam vessels during 2021. For all other vessels no impairment indicators were identified as of December 31, 2021 and therefore no impairment was recognized for these remaining vessels.</w:t>
      </w:r>
    </w:p>
    <w:p>
      <w:pPr>
        <w:spacing w:after="0" w:line="16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identified impairment of vessels as a critical audit matter because of the significant judgments made by management to estimate the discount rate, the charter rates for non-contracted revenue days and probabilities scenarios which are particularly subjective as they involve assumptions about the LNG shipping market through the end of the useful lives of the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0"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color w:val="auto"/>
        </w:rPr>
        <w:t>Our audit procedures related to the charter rate assumption for non-contracted revenue days used by management to estimate the recoverable amount of vessels included the following:</w:t>
      </w:r>
    </w:p>
    <w:p>
      <w:pPr>
        <w:spacing w:after="0" w:line="175" w:lineRule="exact"/>
        <w:rPr>
          <w:sz w:val="20"/>
          <w:szCs w:val="20"/>
          <w:color w:val="auto"/>
        </w:rPr>
      </w:pPr>
    </w:p>
    <w:p>
      <w:pPr>
        <w:ind w:right="440" w:firstLine="7"/>
        <w:spacing w:after="0" w:line="333" w:lineRule="auto"/>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We tested the controls over management's estimation of the recoverable amount of vessels for which impairment indicators were identified, including controls over the assumption for the charter rate for non-contracted revenue days and the discount rate.</w:t>
      </w:r>
    </w:p>
    <w:p>
      <w:pPr>
        <w:spacing w:after="0" w:line="129" w:lineRule="exact"/>
        <w:rPr>
          <w:rFonts w:ascii="Arial" w:cs="Arial" w:eastAsia="Arial" w:hAnsi="Arial"/>
          <w:sz w:val="16"/>
          <w:szCs w:val="16"/>
          <w:color w:val="auto"/>
        </w:rPr>
      </w:pPr>
    </w:p>
    <w:p>
      <w:pPr>
        <w:ind w:right="400" w:firstLine="7"/>
        <w:spacing w:after="0" w:line="255"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87" w:lineRule="exact"/>
        <w:rPr>
          <w:rFonts w:ascii="Arial" w:cs="Arial" w:eastAsia="Arial" w:hAnsi="Arial"/>
          <w:sz w:val="18"/>
          <w:szCs w:val="18"/>
          <w:color w:val="auto"/>
        </w:rPr>
      </w:pPr>
    </w:p>
    <w:p>
      <w:pPr>
        <w:ind w:left="320" w:hanging="313"/>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We assessed the Company's use of the expected cash flow approach by obtaining evidence supporting its appropriateness.</w:t>
      </w:r>
    </w:p>
    <w:p>
      <w:pPr>
        <w:sectPr>
          <w:pgSz w:w="11900" w:h="16838" w:orient="portrait"/>
          <w:cols w:equalWidth="0" w:num="1">
            <w:col w:w="9920"/>
          </w:cols>
          <w:pgMar w:left="980" w:top="65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628650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right="300" w:firstLine="7"/>
        <w:spacing w:after="0" w:line="258"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evaluated the reasonableness of charter rates for non-contracted revenue days up to December 31, 2022 by comparing management's assumptions for Steam vessels to market data and considered actual time charters agreed with charterers for similar vessels.</w:t>
      </w:r>
    </w:p>
    <w:p>
      <w:pPr>
        <w:spacing w:after="0" w:line="186" w:lineRule="exact"/>
        <w:rPr>
          <w:rFonts w:ascii="Arial" w:cs="Arial" w:eastAsia="Arial" w:hAnsi="Arial"/>
          <w:sz w:val="18"/>
          <w:szCs w:val="18"/>
          <w:color w:val="auto"/>
        </w:rPr>
      </w:pPr>
    </w:p>
    <w:p>
      <w:pPr>
        <w:ind w:left="320" w:right="20" w:firstLine="7"/>
        <w:spacing w:after="0" w:line="258"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evaluated the reasonableness of management's charter rate assumptions from January 1, 2023 through the end of each vessel's useful life, for which very limited observable market data is available, by evaluating management's rationale and evidence for these assumptions, as follows:</w:t>
      </w:r>
    </w:p>
    <w:p>
      <w:pPr>
        <w:spacing w:after="0" w:line="186" w:lineRule="exact"/>
        <w:rPr>
          <w:rFonts w:ascii="Arial" w:cs="Arial" w:eastAsia="Arial" w:hAnsi="Arial"/>
          <w:sz w:val="18"/>
          <w:szCs w:val="18"/>
          <w:color w:val="auto"/>
        </w:rPr>
      </w:pPr>
    </w:p>
    <w:p>
      <w:pPr>
        <w:ind w:left="640" w:right="140" w:firstLine="8"/>
        <w:spacing w:after="0" w:line="296" w:lineRule="auto"/>
        <w:tabs>
          <w:tab w:leader="none" w:pos="9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We re-assessed the rationale and evidence for the estimated long run costs of building and financing newbuild LNG vessels and the differential between the longer-term charter rates for Steam vessels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159" w:lineRule="exact"/>
        <w:rPr>
          <w:rFonts w:ascii="Arial" w:cs="Arial" w:eastAsia="Arial" w:hAnsi="Arial"/>
          <w:sz w:val="16"/>
          <w:szCs w:val="16"/>
          <w:color w:val="auto"/>
        </w:rPr>
      </w:pPr>
    </w:p>
    <w:p>
      <w:pPr>
        <w:ind w:left="640" w:right="280" w:firstLine="8"/>
        <w:spacing w:after="0" w:line="255" w:lineRule="auto"/>
        <w:tabs>
          <w:tab w:leader="none" w:pos="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We compared them with management's assumptions for the period up to December 31, 2022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87" w:lineRule="exact"/>
        <w:rPr>
          <w:rFonts w:ascii="Arial" w:cs="Arial" w:eastAsia="Arial" w:hAnsi="Arial"/>
          <w:sz w:val="18"/>
          <w:szCs w:val="18"/>
          <w:color w:val="auto"/>
        </w:rPr>
      </w:pPr>
    </w:p>
    <w:p>
      <w:pPr>
        <w:ind w:left="640" w:right="140" w:firstLine="8"/>
        <w:spacing w:after="0" w:line="270" w:lineRule="auto"/>
        <w:tabs>
          <w:tab w:leader="none" w:pos="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We considered new evidence arising between Q4 2020 and Q4 2021 in our evaluation of management's assumption that the long term charter rate for the Steam vessels has changed since the prior year.</w:t>
      </w:r>
    </w:p>
    <w:p>
      <w:pPr>
        <w:spacing w:after="0" w:line="174" w:lineRule="exact"/>
        <w:rPr>
          <w:rFonts w:ascii="Arial" w:cs="Arial" w:eastAsia="Arial" w:hAnsi="Arial"/>
          <w:sz w:val="18"/>
          <w:szCs w:val="18"/>
          <w:color w:val="auto"/>
        </w:rPr>
      </w:pPr>
    </w:p>
    <w:p>
      <w:pPr>
        <w:ind w:left="320" w:right="160" w:firstLine="7"/>
        <w:spacing w:after="0" w:line="270"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also considered other relevant evidence, including shipbrokers' estimates of market values of Steam vessels that were lower than management's estimates of values in use as of December 31, 2021.</w:t>
      </w:r>
    </w:p>
    <w:p>
      <w:pPr>
        <w:spacing w:after="0" w:line="174" w:lineRule="exact"/>
        <w:rPr>
          <w:rFonts w:ascii="Arial" w:cs="Arial" w:eastAsia="Arial" w:hAnsi="Arial"/>
          <w:sz w:val="18"/>
          <w:szCs w:val="18"/>
          <w:color w:val="auto"/>
        </w:rPr>
      </w:pPr>
    </w:p>
    <w:p>
      <w:pPr>
        <w:ind w:left="320" w:right="160" w:firstLine="7"/>
        <w:spacing w:after="0" w:line="270"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value in use calculations and agreed the inputs to the source information and underlying assumptions used by management.</w:t>
      </w:r>
    </w:p>
    <w:p>
      <w:pPr>
        <w:spacing w:after="0" w:line="174" w:lineRule="exact"/>
        <w:rPr>
          <w:rFonts w:ascii="Arial" w:cs="Arial" w:eastAsia="Arial" w:hAnsi="Arial"/>
          <w:sz w:val="18"/>
          <w:szCs w:val="18"/>
          <w:color w:val="auto"/>
        </w:rPr>
      </w:pPr>
    </w:p>
    <w:p>
      <w:pPr>
        <w:ind w:left="320" w:firstLine="7"/>
        <w:spacing w:after="0" w:line="270"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assessed the sensitivity disclosures in Note 6 based on our own sensitivity analysis and checked management's calculations of those sensitivities.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evaluated management's ability to accurately forecast by comparing actual results to management's historical forecasts.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have audited, before the effects of the adjustments to retrospectively apply the change in accounting discussed in Note 2 to the consolidated financial statements, the accompanying consolidated statement of financial position of GasLog Ltd. and subsidiaries (the "Company") as of December 31, 2020, the related consolidated statements of profit or loss, comprehensive income or loss, changes in equity and cash flows, for each of the two years in the period ended December 31, 2020, and the related notes (collectively referred to as the "financial statements") (the 2020 financial statements before the effects of the retrospective adjustments discussed in Note 2 to the financial statements are not presented herein). In our opinion, the financial statements, before the effects of the adjustments to retrospectively apply the change in accounting discussed in Note 2 to the financial statements, present fairly, in all material respects, the financial position of the Company as of December 31, 2020, and the results of its operations and its cash flows for each of the two years in the period ended December 31, 2020, in conformity with International Financial Reporting Standards as issued by the International Accounting Standards Board.</w:t>
      </w:r>
    </w:p>
    <w:p>
      <w:pPr>
        <w:spacing w:after="0" w:line="1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were not engaged to audit, review, or apply any procedures to the adjustments to retrospectively apply the change in accounting discussed in Note 2 to the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2014. In 2021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Note</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140"/>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Assets</w:t>
            </w: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b w:val="1"/>
                <w:bCs w:val="1"/>
                <w:color w:val="auto"/>
              </w:rPr>
              <w:t>Non-current assets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Goodwill</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9,511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9,511</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Investment in associates</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21,759</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23,508</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Deferred financing costs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5,150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5,564</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Other non-current assets</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10</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12,463</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4,866</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Derivative financial instruments, non-current portion</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26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5,561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1,913</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Tangible fixed assets</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5,028,509</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5,002,829</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Vessels under construction</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132,839</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22,939</w:t>
            </w:r>
          </w:p>
        </w:tc>
      </w:tr>
      <w:tr>
        <w:trPr>
          <w:trHeight w:val="147"/>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line="147" w:lineRule="exact"/>
              <w:rPr>
                <w:sz w:val="20"/>
                <w:szCs w:val="20"/>
                <w:color w:val="auto"/>
              </w:rPr>
            </w:pPr>
            <w:r>
              <w:rPr>
                <w:rFonts w:ascii="Arial" w:cs="Arial" w:eastAsia="Arial" w:hAnsi="Arial"/>
                <w:sz w:val="14"/>
                <w:szCs w:val="14"/>
                <w:color w:val="auto"/>
              </w:rPr>
              <w:t>Right-of-use assets</w:t>
            </w:r>
          </w:p>
        </w:tc>
        <w:tc>
          <w:tcPr>
            <w:tcW w:w="780" w:type="dxa"/>
            <w:vAlign w:val="bottom"/>
            <w:tcBorders>
              <w:bottom w:val="single" w:sz="8" w:color="CCEEFF"/>
            </w:tcBorders>
          </w:tcPr>
          <w:p>
            <w:pPr>
              <w:jc w:val="center"/>
              <w:spacing w:after="0" w:line="147" w:lineRule="exact"/>
              <w:rPr>
                <w:sz w:val="20"/>
                <w:szCs w:val="20"/>
                <w:color w:val="auto"/>
              </w:rPr>
            </w:pPr>
            <w:r>
              <w:rPr>
                <w:rFonts w:ascii="Arial" w:cs="Arial" w:eastAsia="Arial" w:hAnsi="Arial"/>
                <w:sz w:val="14"/>
                <w:szCs w:val="14"/>
                <w:color w:val="auto"/>
              </w:rPr>
              <w:t>7</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203,437</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363,035</w:t>
            </w:r>
          </w:p>
        </w:tc>
      </w:tr>
      <w:tr>
        <w:trPr>
          <w:trHeight w:val="140"/>
        </w:trPr>
        <w:tc>
          <w:tcPr>
            <w:tcW w:w="20" w:type="dxa"/>
            <w:vAlign w:val="bottom"/>
          </w:tcPr>
          <w:p>
            <w:pPr>
              <w:spacing w:after="0"/>
              <w:rPr>
                <w:sz w:val="12"/>
                <w:szCs w:val="12"/>
                <w:color w:val="auto"/>
              </w:rPr>
            </w:pPr>
          </w:p>
        </w:tc>
        <w:tc>
          <w:tcPr>
            <w:tcW w:w="64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Total non-current assets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5,419,229</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5,434,165</w:t>
            </w:r>
          </w:p>
        </w:tc>
      </w:tr>
      <w:tr>
        <w:trPr>
          <w:trHeight w:val="140"/>
        </w:trPr>
        <w:tc>
          <w:tcPr>
            <w:tcW w:w="20" w:type="dxa"/>
            <w:vAlign w:val="bottom"/>
          </w:tcPr>
          <w:p>
            <w:pPr>
              <w:spacing w:after="0"/>
              <w:rPr>
                <w:sz w:val="12"/>
                <w:szCs w:val="12"/>
                <w:color w:val="auto"/>
              </w:rPr>
            </w:pPr>
          </w:p>
        </w:tc>
        <w:tc>
          <w:tcPr>
            <w:tcW w:w="6400" w:type="dxa"/>
            <w:vAlign w:val="bottom"/>
          </w:tcPr>
          <w:p>
            <w:pPr>
              <w:spacing w:after="0" w:line="140" w:lineRule="exact"/>
              <w:rPr>
                <w:sz w:val="20"/>
                <w:szCs w:val="20"/>
                <w:color w:val="auto"/>
              </w:rPr>
            </w:pPr>
            <w:r>
              <w:rPr>
                <w:rFonts w:ascii="Arial" w:cs="Arial" w:eastAsia="Arial" w:hAnsi="Arial"/>
                <w:sz w:val="14"/>
                <w:szCs w:val="14"/>
                <w:b w:val="1"/>
                <w:bCs w:val="1"/>
                <w:color w:val="auto"/>
              </w:rPr>
              <w:t>Current assets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Trade and other receivables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36,223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28,595</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Dividends receivable and other amounts due from related parties</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21</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1,259</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18</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Derivative financial instruments, current portion</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26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596</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Inventories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7,564</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8,327</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Prepayments and other current assets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10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24,685</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5,798</w:t>
            </w:r>
          </w:p>
        </w:tc>
      </w:tr>
      <w:tr>
        <w:trPr>
          <w:trHeight w:val="147"/>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line="147" w:lineRule="exact"/>
              <w:rPr>
                <w:sz w:val="20"/>
                <w:szCs w:val="20"/>
                <w:color w:val="auto"/>
              </w:rPr>
            </w:pPr>
            <w:r>
              <w:rPr>
                <w:rFonts w:ascii="Arial" w:cs="Arial" w:eastAsia="Arial" w:hAnsi="Arial"/>
                <w:sz w:val="14"/>
                <w:szCs w:val="14"/>
                <w:color w:val="auto"/>
              </w:rPr>
              <w:t>Cash and cash equivalents</w:t>
            </w:r>
          </w:p>
        </w:tc>
        <w:tc>
          <w:tcPr>
            <w:tcW w:w="780" w:type="dxa"/>
            <w:vAlign w:val="bottom"/>
            <w:tcBorders>
              <w:bottom w:val="single" w:sz="8" w:color="CCEEFF"/>
            </w:tcBorders>
          </w:tcPr>
          <w:p>
            <w:pPr>
              <w:jc w:val="center"/>
              <w:spacing w:after="0" w:line="147" w:lineRule="exact"/>
              <w:rPr>
                <w:sz w:val="20"/>
                <w:szCs w:val="20"/>
                <w:color w:val="auto"/>
              </w:rPr>
            </w:pPr>
            <w:r>
              <w:rPr>
                <w:rFonts w:ascii="Arial" w:cs="Arial" w:eastAsia="Arial" w:hAnsi="Arial"/>
                <w:sz w:val="14"/>
                <w:szCs w:val="14"/>
                <w:color w:val="auto"/>
              </w:rPr>
              <w:t>8</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367,269</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282,246</w:t>
            </w:r>
          </w:p>
        </w:tc>
      </w:tr>
      <w:tr>
        <w:trPr>
          <w:trHeight w:val="140"/>
        </w:trPr>
        <w:tc>
          <w:tcPr>
            <w:tcW w:w="20" w:type="dxa"/>
            <w:vAlign w:val="bottom"/>
          </w:tcPr>
          <w:p>
            <w:pPr>
              <w:spacing w:after="0"/>
              <w:rPr>
                <w:sz w:val="12"/>
                <w:szCs w:val="12"/>
                <w:color w:val="auto"/>
              </w:rPr>
            </w:pPr>
          </w:p>
        </w:tc>
        <w:tc>
          <w:tcPr>
            <w:tcW w:w="64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Total current assets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437,534</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325,580</w:t>
            </w:r>
          </w:p>
        </w:tc>
      </w:tr>
      <w:tr>
        <w:trPr>
          <w:trHeight w:val="180"/>
        </w:trPr>
        <w:tc>
          <w:tcPr>
            <w:tcW w:w="642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Total assets</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5,856,763</w:t>
            </w: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5,759,745</w:t>
            </w:r>
          </w:p>
        </w:tc>
      </w:tr>
      <w:tr>
        <w:trPr>
          <w:trHeight w:val="127"/>
        </w:trPr>
        <w:tc>
          <w:tcPr>
            <w:tcW w:w="20" w:type="dxa"/>
            <w:vAlign w:val="bottom"/>
          </w:tcPr>
          <w:p>
            <w:pPr>
              <w:spacing w:after="0"/>
              <w:rPr>
                <w:sz w:val="11"/>
                <w:szCs w:val="11"/>
                <w:color w:val="auto"/>
              </w:rPr>
            </w:pPr>
          </w:p>
        </w:tc>
        <w:tc>
          <w:tcPr>
            <w:tcW w:w="640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Equity and liabilities</w:t>
            </w: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b w:val="1"/>
                <w:bCs w:val="1"/>
                <w:color w:val="auto"/>
              </w:rPr>
              <w:t>Equity</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Preference shares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11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Share capital</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11</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954</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954</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Contributed surplus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11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759,822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692,536</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Reserves</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12</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18,667</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15,322</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Treasury shares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11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(1,340)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r>
      <w:tr>
        <w:trPr>
          <w:trHeight w:val="147"/>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line="147" w:lineRule="exact"/>
              <w:rPr>
                <w:sz w:val="20"/>
                <w:szCs w:val="20"/>
                <w:color w:val="auto"/>
              </w:rPr>
            </w:pPr>
            <w:r>
              <w:rPr>
                <w:rFonts w:ascii="Arial" w:cs="Arial" w:eastAsia="Arial" w:hAnsi="Arial"/>
                <w:sz w:val="14"/>
                <w:szCs w:val="14"/>
                <w:color w:val="auto"/>
              </w:rPr>
              <w:t>Accumulated deficit</w:t>
            </w: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(132,780)</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(65,117)</w:t>
            </w:r>
          </w:p>
        </w:tc>
      </w:tr>
      <w:tr>
        <w:trPr>
          <w:trHeight w:val="140"/>
        </w:trPr>
        <w:tc>
          <w:tcPr>
            <w:tcW w:w="20" w:type="dxa"/>
            <w:vAlign w:val="bottom"/>
          </w:tcPr>
          <w:p>
            <w:pPr>
              <w:spacing w:after="0"/>
              <w:rPr>
                <w:sz w:val="12"/>
                <w:szCs w:val="12"/>
                <w:color w:val="auto"/>
              </w:rPr>
            </w:pPr>
          </w:p>
        </w:tc>
        <w:tc>
          <w:tcPr>
            <w:tcW w:w="64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Equity attributable to owners of the Group</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645,369</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643,741</w:t>
            </w:r>
          </w:p>
        </w:tc>
      </w:tr>
      <w:tr>
        <w:trPr>
          <w:trHeight w:val="147"/>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line="147" w:lineRule="exact"/>
              <w:rPr>
                <w:sz w:val="20"/>
                <w:szCs w:val="20"/>
                <w:color w:val="auto"/>
              </w:rPr>
            </w:pPr>
            <w:r>
              <w:rPr>
                <w:rFonts w:ascii="Arial" w:cs="Arial" w:eastAsia="Arial" w:hAnsi="Arial"/>
                <w:sz w:val="14"/>
                <w:szCs w:val="14"/>
                <w:color w:val="auto"/>
              </w:rPr>
              <w:t>Non-controlling interests</w:t>
            </w:r>
          </w:p>
        </w:tc>
        <w:tc>
          <w:tcPr>
            <w:tcW w:w="780" w:type="dxa"/>
            <w:vAlign w:val="bottom"/>
            <w:tcBorders>
              <w:bottom w:val="single" w:sz="8" w:color="CCEEFF"/>
            </w:tcBorders>
          </w:tcPr>
          <w:p>
            <w:pPr>
              <w:jc w:val="center"/>
              <w:spacing w:after="0" w:line="147" w:lineRule="exact"/>
              <w:rPr>
                <w:sz w:val="20"/>
                <w:szCs w:val="20"/>
                <w:color w:val="auto"/>
              </w:rPr>
            </w:pPr>
            <w:r>
              <w:rPr>
                <w:rFonts w:ascii="Arial" w:cs="Arial" w:eastAsia="Arial" w:hAnsi="Arial"/>
                <w:sz w:val="14"/>
                <w:szCs w:val="14"/>
                <w:color w:val="auto"/>
              </w:rPr>
              <w:t>4</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951,768</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924,630</w:t>
            </w:r>
          </w:p>
        </w:tc>
      </w:tr>
      <w:tr>
        <w:trPr>
          <w:trHeight w:val="140"/>
        </w:trPr>
        <w:tc>
          <w:tcPr>
            <w:tcW w:w="20" w:type="dxa"/>
            <w:vAlign w:val="bottom"/>
          </w:tcPr>
          <w:p>
            <w:pPr>
              <w:spacing w:after="0"/>
              <w:rPr>
                <w:sz w:val="12"/>
                <w:szCs w:val="12"/>
                <w:color w:val="auto"/>
              </w:rPr>
            </w:pPr>
          </w:p>
        </w:tc>
        <w:tc>
          <w:tcPr>
            <w:tcW w:w="64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Total equity</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1,597,137</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1,568,371</w:t>
            </w:r>
          </w:p>
        </w:tc>
      </w:tr>
      <w:tr>
        <w:trPr>
          <w:trHeight w:val="140"/>
        </w:trPr>
        <w:tc>
          <w:tcPr>
            <w:tcW w:w="20" w:type="dxa"/>
            <w:vAlign w:val="bottom"/>
          </w:tcPr>
          <w:p>
            <w:pPr>
              <w:spacing w:after="0"/>
              <w:rPr>
                <w:sz w:val="12"/>
                <w:szCs w:val="12"/>
                <w:color w:val="auto"/>
              </w:rPr>
            </w:pPr>
          </w:p>
        </w:tc>
        <w:tc>
          <w:tcPr>
            <w:tcW w:w="6400" w:type="dxa"/>
            <w:vAlign w:val="bottom"/>
          </w:tcPr>
          <w:p>
            <w:pPr>
              <w:spacing w:after="0" w:line="140" w:lineRule="exact"/>
              <w:rPr>
                <w:sz w:val="20"/>
                <w:szCs w:val="20"/>
                <w:color w:val="auto"/>
              </w:rPr>
            </w:pPr>
            <w:r>
              <w:rPr>
                <w:rFonts w:ascii="Arial" w:cs="Arial" w:eastAsia="Arial" w:hAnsi="Arial"/>
                <w:sz w:val="14"/>
                <w:szCs w:val="14"/>
                <w:b w:val="1"/>
                <w:bCs w:val="1"/>
                <w:color w:val="auto"/>
              </w:rPr>
              <w:t>Current liabilities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Trade accounts payable</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25,046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15,892</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Ship management creditors</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397</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119</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Amounts due to related parties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21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27</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Derivative financial instruments, current portion</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26</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35,415</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25,518</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payables and accruals</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14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143,057</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153,501</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Borrowings, current portion</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13</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245,626</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553,161</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Lease liabilities, current portion</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9,644</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30,905</w:t>
            </w:r>
          </w:p>
        </w:tc>
      </w:tr>
      <w:tr>
        <w:trPr>
          <w:trHeight w:val="140"/>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line="140" w:lineRule="exact"/>
              <w:rPr>
                <w:sz w:val="20"/>
                <w:szCs w:val="20"/>
                <w:color w:val="auto"/>
              </w:rPr>
            </w:pPr>
            <w:r>
              <w:rPr>
                <w:rFonts w:ascii="Arial" w:cs="Arial" w:eastAsia="Arial" w:hAnsi="Arial"/>
                <w:sz w:val="14"/>
                <w:szCs w:val="14"/>
                <w:b w:val="1"/>
                <w:bCs w:val="1"/>
                <w:color w:val="auto"/>
              </w:rPr>
              <w:t>Total current liabilities</w:t>
            </w: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459,349</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779,123</w:t>
            </w:r>
          </w:p>
        </w:tc>
      </w:tr>
      <w:tr>
        <w:trPr>
          <w:trHeight w:val="140"/>
        </w:trPr>
        <w:tc>
          <w:tcPr>
            <w:tcW w:w="20" w:type="dxa"/>
            <w:vAlign w:val="bottom"/>
          </w:tcPr>
          <w:p>
            <w:pPr>
              <w:spacing w:after="0"/>
              <w:rPr>
                <w:sz w:val="12"/>
                <w:szCs w:val="12"/>
                <w:color w:val="auto"/>
              </w:rPr>
            </w:pPr>
          </w:p>
        </w:tc>
        <w:tc>
          <w:tcPr>
            <w:tcW w:w="64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Non-current liabilities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Derivative financial instruments, non-current portion</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w w:val="89"/>
              </w:rPr>
              <w:t>26</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78,440</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28,694</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Borrowings, non-current portion</w:t>
            </w:r>
          </w:p>
        </w:tc>
        <w:tc>
          <w:tcPr>
            <w:tcW w:w="7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9"/>
              </w:rPr>
              <w:t>13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3,527,595</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3,105,059</w:t>
            </w: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4"/>
                <w:szCs w:val="14"/>
                <w:color w:val="auto"/>
              </w:rPr>
              <w:t>Lease liabilities, non-current portion</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186,526</w:t>
            </w:r>
          </w:p>
        </w:tc>
        <w:tc>
          <w:tcPr>
            <w:tcW w:w="1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271,945</w:t>
            </w:r>
          </w:p>
        </w:tc>
      </w:tr>
      <w:tr>
        <w:trPr>
          <w:trHeight w:val="147"/>
        </w:trPr>
        <w:tc>
          <w:tcPr>
            <w:tcW w:w="20" w:type="dxa"/>
            <w:vAlign w:val="bottom"/>
          </w:tcPr>
          <w:p>
            <w:pPr>
              <w:spacing w:after="0"/>
              <w:rPr>
                <w:sz w:val="12"/>
                <w:szCs w:val="12"/>
                <w:color w:val="auto"/>
              </w:rPr>
            </w:pPr>
          </w:p>
        </w:tc>
        <w:tc>
          <w:tcPr>
            <w:tcW w:w="6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non-current liabilities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7,716</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6,553</w:t>
            </w:r>
          </w:p>
        </w:tc>
      </w:tr>
      <w:tr>
        <w:trPr>
          <w:trHeight w:val="140"/>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line="140" w:lineRule="exact"/>
              <w:rPr>
                <w:sz w:val="20"/>
                <w:szCs w:val="20"/>
                <w:color w:val="auto"/>
              </w:rPr>
            </w:pPr>
            <w:r>
              <w:rPr>
                <w:rFonts w:ascii="Arial" w:cs="Arial" w:eastAsia="Arial" w:hAnsi="Arial"/>
                <w:sz w:val="14"/>
                <w:szCs w:val="14"/>
                <w:b w:val="1"/>
                <w:bCs w:val="1"/>
                <w:color w:val="auto"/>
              </w:rPr>
              <w:t>Total non-current liabilities</w:t>
            </w: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3,800,277</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3,412,251</w:t>
            </w:r>
          </w:p>
        </w:tc>
      </w:tr>
      <w:tr>
        <w:trPr>
          <w:trHeight w:val="140"/>
        </w:trPr>
        <w:tc>
          <w:tcPr>
            <w:tcW w:w="20" w:type="dxa"/>
            <w:vAlign w:val="bottom"/>
          </w:tcPr>
          <w:p>
            <w:pPr>
              <w:spacing w:after="0"/>
              <w:rPr>
                <w:sz w:val="12"/>
                <w:szCs w:val="12"/>
                <w:color w:val="auto"/>
              </w:rPr>
            </w:pPr>
          </w:p>
        </w:tc>
        <w:tc>
          <w:tcPr>
            <w:tcW w:w="640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Total equity and liabilities</w:t>
            </w:r>
          </w:p>
        </w:tc>
        <w:tc>
          <w:tcPr>
            <w:tcW w:w="7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5,856,763</w:t>
            </w:r>
          </w:p>
        </w:tc>
        <w:tc>
          <w:tcPr>
            <w:tcW w:w="1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5,759,745</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Notes</w:t>
            </w: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668,637</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674,089</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pool allocation</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w:t>
            </w: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(139,662)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(148,235)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(166,432)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Impairment loss</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(162,149)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(28,627)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non-current assets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17</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(47,249)</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250,310</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Financial costs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(190,481)</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(165,281)</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(55,441)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(238,977)</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(247,021)</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(142,164)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(Loss)/profit for the year</w:t>
            </w: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(115,613)</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80,516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Owners of the Group</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48,237</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(115,613)</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Note</w:t>
            </w: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(Loss)/profit for the year</w:t>
            </w: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(115,613)</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not be reclassified subsequently to profit or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Actuarial gain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spacing w:after="0" w:line="199" w:lineRule="exact"/>
              <w:rPr>
                <w:sz w:val="20"/>
                <w:szCs w:val="20"/>
                <w:color w:val="auto"/>
              </w:rPr>
            </w:pPr>
            <w:r>
              <w:rPr>
                <w:rFonts w:ascii="Arial" w:cs="Arial" w:eastAsia="Arial" w:hAnsi="Arial"/>
                <w:sz w:val="18"/>
                <w:szCs w:val="18"/>
                <w:color w:val="auto"/>
                <w:w w:val="94"/>
              </w:rPr>
              <w:t>Effective portion of changes in fair value of cash flow hedges, net of amounts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00" w:type="dxa"/>
            <w:vAlign w:val="bottom"/>
            <w:gridSpan w:val="2"/>
          </w:tcPr>
          <w:p>
            <w:pPr>
              <w:spacing w:after="0"/>
              <w:rPr>
                <w:sz w:val="20"/>
                <w:szCs w:val="20"/>
                <w:color w:val="auto"/>
              </w:rPr>
            </w:pPr>
            <w:r>
              <w:rPr>
                <w:rFonts w:ascii="Arial" w:cs="Arial" w:eastAsia="Arial" w:hAnsi="Arial"/>
                <w:sz w:val="18"/>
                <w:szCs w:val="18"/>
                <w:color w:val="auto"/>
              </w:rPr>
              <w:t>recycled to profit or loss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comprehensive loss for the year</w:t>
            </w: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2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2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(loss)/income for the year</w:t>
            </w: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(117,849)</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80,355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Owners of the Group</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48,237</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(117,849)</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Retained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Non -</w:t>
            </w:r>
          </w:p>
        </w:tc>
        <w:tc>
          <w:tcPr>
            <w:tcW w:w="64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5"/>
              </w:rPr>
              <w:t>Share</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Preference</w:t>
            </w:r>
          </w:p>
        </w:tc>
        <w:tc>
          <w:tcPr>
            <w:tcW w:w="9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6"/>
              </w:rPr>
              <w:t>Contributed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4"/>
              </w:rPr>
              <w:t>Treasury</w:t>
            </w:r>
          </w:p>
        </w:tc>
        <w:tc>
          <w:tcPr>
            <w:tcW w:w="9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9"/>
              </w:rPr>
              <w:t>earnings/</w:t>
            </w:r>
          </w:p>
        </w:tc>
        <w:tc>
          <w:tcPr>
            <w:tcW w:w="8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7"/>
              </w:rPr>
              <w:t>Attributable</w:t>
            </w:r>
          </w:p>
        </w:tc>
        <w:tc>
          <w:tcPr>
            <w:tcW w:w="76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3"/>
              </w:rPr>
              <w:t>controlling</w:t>
            </w:r>
          </w:p>
        </w:tc>
        <w:tc>
          <w:tcPr>
            <w:tcW w:w="64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4"/>
              </w:rPr>
              <w:t>capital</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2"/>
              </w:rPr>
              <w:t>surplus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Reserves</w:t>
            </w:r>
          </w:p>
        </w:tc>
        <w:tc>
          <w:tcPr>
            <w:tcW w:w="76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7"/>
              </w:rPr>
              <w:t>shares</w:t>
            </w:r>
          </w:p>
        </w:tc>
        <w:tc>
          <w:tcPr>
            <w:tcW w:w="9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5"/>
              </w:rPr>
              <w:t>(Accumulated</w:t>
            </w:r>
          </w:p>
        </w:tc>
        <w:tc>
          <w:tcPr>
            <w:tcW w:w="8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2"/>
              </w:rPr>
              <w:t>to owners of</w:t>
            </w:r>
          </w:p>
        </w:tc>
        <w:tc>
          <w:tcPr>
            <w:tcW w:w="76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1"/>
              </w:rPr>
              <w:t>interests</w:t>
            </w:r>
          </w:p>
        </w:tc>
        <w:tc>
          <w:tcPr>
            <w:tcW w:w="64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(Note 11)</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3"/>
              </w:rPr>
              <w:t>(Note 11)</w:t>
            </w:r>
          </w:p>
        </w:tc>
        <w:tc>
          <w:tcPr>
            <w:tcW w:w="14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(Note 11)</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(Note 12)</w:t>
            </w: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(Note 11)</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deficit)</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the Group</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(Note 4)</w:t>
            </w:r>
          </w:p>
        </w:tc>
        <w:tc>
          <w:tcPr>
            <w:tcW w:w="640" w:type="dxa"/>
            <w:vAlign w:val="bottom"/>
          </w:tcPr>
          <w:p>
            <w:pPr>
              <w:jc w:val="right"/>
              <w:ind w:right="118"/>
              <w:spacing w:after="0"/>
              <w:rPr>
                <w:sz w:val="20"/>
                <w:szCs w:val="20"/>
                <w:color w:val="auto"/>
              </w:rPr>
            </w:pPr>
            <w:r>
              <w:rPr>
                <w:rFonts w:ascii="Arial" w:cs="Arial" w:eastAsia="Arial" w:hAnsi="Arial"/>
                <w:sz w:val="12"/>
                <w:szCs w:val="12"/>
                <w:b w:val="1"/>
                <w:bCs w:val="1"/>
                <w:color w:val="auto"/>
              </w:rPr>
              <w:t>Total</w:t>
            </w:r>
          </w:p>
        </w:tc>
      </w:tr>
      <w:tr>
        <w:trPr>
          <w:trHeight w:val="127"/>
        </w:trPr>
        <w:tc>
          <w:tcPr>
            <w:tcW w:w="20" w:type="dxa"/>
            <w:vAlign w:val="bottom"/>
          </w:tcPr>
          <w:p>
            <w:pPr>
              <w:spacing w:after="0"/>
              <w:rPr>
                <w:sz w:val="11"/>
                <w:szCs w:val="11"/>
                <w:color w:val="auto"/>
              </w:rPr>
            </w:pPr>
          </w:p>
        </w:tc>
        <w:tc>
          <w:tcPr>
            <w:tcW w:w="2920" w:type="dxa"/>
            <w:vAlign w:val="bottom"/>
            <w:tcBorders>
              <w:top w:val="single" w:sz="8" w:color="CCEEFF"/>
            </w:tcBorders>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Balance as of December 31, 2018</w:t>
            </w: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810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850,576</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18,962</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(3,266)</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12,614</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879,742</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1,103,380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1,983,122</w:t>
            </w:r>
          </w:p>
        </w:tc>
      </w:tr>
      <w:tr>
        <w:trPr>
          <w:trHeight w:val="127"/>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0"/>
                <w:szCs w:val="10"/>
                <w:color w:val="auto"/>
              </w:rPr>
              <w:t>Opening adjustment</w:t>
            </w:r>
            <w:r>
              <w:rPr>
                <w:rFonts w:ascii="Arial" w:cs="Arial" w:eastAsia="Arial" w:hAnsi="Arial"/>
                <w:sz w:val="14"/>
                <w:szCs w:val="14"/>
                <w:color w:val="auto"/>
                <w:vertAlign w:val="superscript"/>
              </w:rPr>
              <w:t>(1)</w:t>
            </w: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215</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215</w:t>
            </w: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343</w:t>
            </w:r>
          </w:p>
        </w:tc>
      </w:tr>
      <w:tr>
        <w:trPr>
          <w:trHeight w:val="127"/>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Balance as of January 1, 2019</w:t>
            </w: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810</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850,576</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18,962</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(3,266)</w:t>
            </w: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12,829</w:t>
            </w:r>
          </w:p>
        </w:tc>
        <w:tc>
          <w:tcPr>
            <w:tcW w:w="1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879,957</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1,103,508</w:t>
            </w:r>
          </w:p>
        </w:tc>
        <w:tc>
          <w:tcPr>
            <w:tcW w:w="12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1,983,465</w:t>
            </w:r>
          </w:p>
        </w:tc>
      </w:tr>
      <w:tr>
        <w:trPr>
          <w:trHeight w:val="127"/>
        </w:trPr>
        <w:tc>
          <w:tcPr>
            <w:tcW w:w="20" w:type="dxa"/>
            <w:vAlign w:val="bottom"/>
          </w:tcPr>
          <w:p>
            <w:pPr>
              <w:spacing w:after="0"/>
              <w:rPr>
                <w:sz w:val="11"/>
                <w:szCs w:val="11"/>
                <w:color w:val="auto"/>
              </w:rPr>
            </w:pPr>
          </w:p>
        </w:tc>
        <w:tc>
          <w:tcPr>
            <w:tcW w:w="2920" w:type="dxa"/>
            <w:vAlign w:val="bottom"/>
            <w:gridSpan w:val="2"/>
          </w:tcPr>
          <w:p>
            <w:pPr>
              <w:spacing w:after="0" w:line="127" w:lineRule="exact"/>
              <w:rPr>
                <w:sz w:val="20"/>
                <w:szCs w:val="20"/>
                <w:color w:val="auto"/>
              </w:rPr>
            </w:pPr>
            <w:r>
              <w:rPr>
                <w:rFonts w:ascii="Arial" w:cs="Arial" w:eastAsia="Arial" w:hAnsi="Arial"/>
                <w:sz w:val="12"/>
                <w:szCs w:val="12"/>
                <w:color w:val="auto"/>
              </w:rPr>
              <w:t>Other equity related costs</w:t>
            </w: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auto"/>
              </w:rPr>
              <w:t>(595)</w:t>
            </w:r>
          </w:p>
        </w:tc>
        <w:tc>
          <w:tcPr>
            <w:tcW w:w="14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tcPr>
          <w:p>
            <w:pPr>
              <w:jc w:val="right"/>
              <w:spacing w:after="0" w:line="127" w:lineRule="exact"/>
              <w:rPr>
                <w:sz w:val="20"/>
                <w:szCs w:val="20"/>
                <w:color w:val="auto"/>
              </w:rPr>
            </w:pPr>
            <w:r>
              <w:rPr>
                <w:rFonts w:ascii="Arial" w:cs="Arial" w:eastAsia="Arial" w:hAnsi="Arial"/>
                <w:sz w:val="12"/>
                <w:szCs w:val="12"/>
                <w:color w:val="auto"/>
              </w:rPr>
              <w:t>(595)</w:t>
            </w:r>
          </w:p>
        </w:tc>
        <w:tc>
          <w:tcPr>
            <w:tcW w:w="14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(22)</w:t>
            </w:r>
          </w:p>
        </w:tc>
        <w:tc>
          <w:tcPr>
            <w:tcW w:w="1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(617)</w:t>
            </w:r>
          </w:p>
        </w:tc>
      </w:tr>
      <w:tr>
        <w:trPr>
          <w:trHeight w:val="119"/>
        </w:trPr>
        <w:tc>
          <w:tcPr>
            <w:tcW w:w="20" w:type="dxa"/>
            <w:vAlign w:val="bottom"/>
          </w:tcPr>
          <w:p>
            <w:pPr>
              <w:spacing w:after="0"/>
              <w:rPr>
                <w:sz w:val="10"/>
                <w:szCs w:val="10"/>
                <w:color w:val="auto"/>
              </w:rPr>
            </w:pPr>
          </w:p>
        </w:tc>
        <w:tc>
          <w:tcPr>
            <w:tcW w:w="29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Dividend paid (common and preference shares) (Note</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12)</w:t>
            </w:r>
          </w:p>
        </w:tc>
        <w:tc>
          <w:tcPr>
            <w:tcW w:w="4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(89,310)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(89,310)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(104,126)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(193,436)</w:t>
            </w:r>
          </w:p>
        </w:tc>
      </w:tr>
      <w:tr>
        <w:trPr>
          <w:trHeight w:val="119"/>
        </w:trPr>
        <w:tc>
          <w:tcPr>
            <w:tcW w:w="20" w:type="dxa"/>
            <w:vAlign w:val="bottom"/>
          </w:tcPr>
          <w:p>
            <w:pPr>
              <w:spacing w:after="0"/>
              <w:rPr>
                <w:sz w:val="10"/>
                <w:szCs w:val="10"/>
                <w:color w:val="auto"/>
              </w:rPr>
            </w:pPr>
          </w:p>
        </w:tc>
        <w:tc>
          <w:tcPr>
            <w:tcW w:w="2920" w:type="dxa"/>
            <w:vAlign w:val="bottom"/>
            <w:gridSpan w:val="2"/>
          </w:tcPr>
          <w:p>
            <w:pPr>
              <w:spacing w:after="0" w:line="120" w:lineRule="exact"/>
              <w:rPr>
                <w:sz w:val="20"/>
                <w:szCs w:val="20"/>
                <w:color w:val="auto"/>
              </w:rPr>
            </w:pPr>
            <w:r>
              <w:rPr>
                <w:rFonts w:ascii="Arial" w:cs="Arial" w:eastAsia="Arial" w:hAnsi="Arial"/>
                <w:sz w:val="12"/>
                <w:szCs w:val="12"/>
                <w:color w:val="auto"/>
              </w:rPr>
              <w:t>Share-based compensation, net of accrued dividend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(Note 22)</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4,794</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4,794</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4,794</w:t>
            </w:r>
          </w:p>
        </w:tc>
      </w:tr>
      <w:tr>
        <w:trPr>
          <w:trHeight w:val="133"/>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Settlement of share-based compensation</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(4,721)</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4,859</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138</w:t>
            </w:r>
          </w:p>
        </w:tc>
      </w:tr>
      <w:tr>
        <w:trPr>
          <w:trHeight w:val="133"/>
        </w:trPr>
        <w:tc>
          <w:tcPr>
            <w:tcW w:w="20" w:type="dxa"/>
            <w:vAlign w:val="bottom"/>
          </w:tcPr>
          <w:p>
            <w:pPr>
              <w:spacing w:after="0"/>
              <w:rPr>
                <w:sz w:val="11"/>
                <w:szCs w:val="11"/>
                <w:color w:val="auto"/>
              </w:rPr>
            </w:pPr>
          </w:p>
        </w:tc>
        <w:tc>
          <w:tcPr>
            <w:tcW w:w="2920" w:type="dxa"/>
            <w:vAlign w:val="bottom"/>
            <w:gridSpan w:val="2"/>
          </w:tcPr>
          <w:p>
            <w:pPr>
              <w:spacing w:after="0" w:line="134" w:lineRule="exact"/>
              <w:rPr>
                <w:sz w:val="20"/>
                <w:szCs w:val="20"/>
                <w:color w:val="auto"/>
              </w:rPr>
            </w:pPr>
            <w:r>
              <w:rPr>
                <w:rFonts w:ascii="Arial" w:cs="Arial" w:eastAsia="Arial" w:hAnsi="Arial"/>
                <w:sz w:val="12"/>
                <w:szCs w:val="12"/>
                <w:color w:val="auto"/>
                <w:w w:val="97"/>
              </w:rPr>
              <w:t>Treasury shares, net or GasLog Partners’ common units</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(3,752)</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(3,752)</w:t>
            </w:r>
          </w:p>
        </w:tc>
        <w:tc>
          <w:tcPr>
            <w:tcW w:w="14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(22,890)</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(26,642)</w:t>
            </w:r>
          </w:p>
        </w:tc>
      </w:tr>
      <w:tr>
        <w:trPr>
          <w:trHeight w:val="133"/>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Loss for the year</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(100,661)</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(100,661)</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(14,952)</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(115,613)</w:t>
            </w:r>
          </w:p>
        </w:tc>
      </w:tr>
      <w:tr>
        <w:trPr>
          <w:trHeight w:val="133"/>
        </w:trPr>
        <w:tc>
          <w:tcPr>
            <w:tcW w:w="20" w:type="dxa"/>
            <w:vAlign w:val="bottom"/>
          </w:tcPr>
          <w:p>
            <w:pPr>
              <w:spacing w:after="0"/>
              <w:rPr>
                <w:sz w:val="11"/>
                <w:szCs w:val="11"/>
                <w:color w:val="auto"/>
              </w:rPr>
            </w:pPr>
          </w:p>
        </w:tc>
        <w:tc>
          <w:tcPr>
            <w:tcW w:w="2920" w:type="dxa"/>
            <w:vAlign w:val="bottom"/>
            <w:gridSpan w:val="2"/>
          </w:tcPr>
          <w:p>
            <w:pPr>
              <w:spacing w:after="0" w:line="134" w:lineRule="exact"/>
              <w:rPr>
                <w:sz w:val="20"/>
                <w:szCs w:val="20"/>
                <w:color w:val="auto"/>
              </w:rPr>
            </w:pPr>
            <w:r>
              <w:rPr>
                <w:rFonts w:ascii="Arial" w:cs="Arial" w:eastAsia="Arial" w:hAnsi="Arial"/>
                <w:sz w:val="12"/>
                <w:szCs w:val="12"/>
                <w:color w:val="auto"/>
              </w:rPr>
              <w:t>Other comprehensive loss for the year</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(2,236)</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(2,236)</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(2,236)</w:t>
            </w:r>
          </w:p>
        </w:tc>
      </w:tr>
      <w:tr>
        <w:trPr>
          <w:trHeight w:val="127"/>
        </w:trPr>
        <w:tc>
          <w:tcPr>
            <w:tcW w:w="20" w:type="dxa"/>
            <w:vAlign w:val="bottom"/>
          </w:tcPr>
          <w:p>
            <w:pPr>
              <w:spacing w:after="0"/>
              <w:rPr>
                <w:sz w:val="11"/>
                <w:szCs w:val="11"/>
                <w:color w:val="auto"/>
              </w:rPr>
            </w:pPr>
          </w:p>
        </w:tc>
        <w:tc>
          <w:tcPr>
            <w:tcW w:w="2920" w:type="dxa"/>
            <w:vAlign w:val="bottom"/>
            <w:tcBorders>
              <w:top w:val="single" w:sz="8" w:color="CCEEFF"/>
            </w:tcBorders>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Total comprehensive loss for the year</w:t>
            </w: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(2,236)</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(100,661)</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(102,897)</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(14,952)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(117,849)</w:t>
            </w:r>
          </w:p>
        </w:tc>
      </w:tr>
      <w:tr>
        <w:trPr>
          <w:trHeight w:val="127"/>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2"/>
                <w:szCs w:val="12"/>
                <w:b w:val="1"/>
                <w:bCs w:val="1"/>
                <w:color w:val="auto"/>
              </w:rPr>
              <w:t>Balance as of December 31, 2019</w:t>
            </w: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810</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760,671</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16,799</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(2,159)</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(87,832)</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688,335</w:t>
            </w: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961,518</w:t>
            </w:r>
          </w:p>
        </w:tc>
        <w:tc>
          <w:tcPr>
            <w:tcW w:w="1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1,649,853</w:t>
            </w:r>
          </w:p>
        </w:tc>
      </w:tr>
      <w:tr>
        <w:trPr>
          <w:trHeight w:val="99"/>
        </w:trPr>
        <w:tc>
          <w:tcPr>
            <w:tcW w:w="20" w:type="dxa"/>
            <w:vAlign w:val="bottom"/>
          </w:tcPr>
          <w:p>
            <w:pPr>
              <w:spacing w:after="0"/>
              <w:rPr>
                <w:sz w:val="8"/>
                <w:szCs w:val="8"/>
                <w:color w:val="auto"/>
              </w:rPr>
            </w:pPr>
          </w:p>
        </w:tc>
        <w:tc>
          <w:tcPr>
            <w:tcW w:w="2920" w:type="dxa"/>
            <w:vAlign w:val="bottom"/>
            <w:gridSpan w:val="2"/>
            <w:shd w:val="clear" w:color="auto" w:fill="CCEEFF"/>
          </w:tcPr>
          <w:p>
            <w:pPr>
              <w:spacing w:after="0" w:line="100" w:lineRule="exact"/>
              <w:rPr>
                <w:sz w:val="20"/>
                <w:szCs w:val="20"/>
                <w:color w:val="auto"/>
              </w:rPr>
            </w:pPr>
            <w:r>
              <w:rPr>
                <w:rFonts w:ascii="Arial" w:cs="Arial" w:eastAsia="Arial" w:hAnsi="Arial"/>
                <w:sz w:val="11"/>
                <w:szCs w:val="11"/>
                <w:color w:val="auto"/>
              </w:rPr>
              <w:t>Proceeds from private placement, net of offering costs</w:t>
            </w: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11)</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34,849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34,993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34,993</w:t>
            </w:r>
          </w:p>
        </w:tc>
      </w:tr>
      <w:tr>
        <w:trPr>
          <w:trHeight w:val="133"/>
        </w:trPr>
        <w:tc>
          <w:tcPr>
            <w:tcW w:w="20" w:type="dxa"/>
            <w:vAlign w:val="bottom"/>
          </w:tcPr>
          <w:p>
            <w:pPr>
              <w:spacing w:after="0"/>
              <w:rPr>
                <w:sz w:val="11"/>
                <w:szCs w:val="11"/>
                <w:color w:val="auto"/>
              </w:rPr>
            </w:pPr>
          </w:p>
        </w:tc>
        <w:tc>
          <w:tcPr>
            <w:tcW w:w="2920" w:type="dxa"/>
            <w:vAlign w:val="bottom"/>
            <w:gridSpan w:val="2"/>
          </w:tcPr>
          <w:p>
            <w:pPr>
              <w:spacing w:after="0" w:line="134" w:lineRule="exact"/>
              <w:rPr>
                <w:sz w:val="20"/>
                <w:szCs w:val="20"/>
                <w:color w:val="auto"/>
              </w:rPr>
            </w:pPr>
            <w:r>
              <w:rPr>
                <w:rFonts w:ascii="Arial" w:cs="Arial" w:eastAsia="Arial" w:hAnsi="Arial"/>
                <w:sz w:val="12"/>
                <w:szCs w:val="12"/>
                <w:color w:val="auto"/>
              </w:rPr>
              <w:t>Equity offering costs</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(132)</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(132)</w:t>
            </w:r>
          </w:p>
        </w:tc>
      </w:tr>
      <w:tr>
        <w:trPr>
          <w:trHeight w:val="119"/>
        </w:trPr>
        <w:tc>
          <w:tcPr>
            <w:tcW w:w="20" w:type="dxa"/>
            <w:vAlign w:val="bottom"/>
          </w:tcPr>
          <w:p>
            <w:pPr>
              <w:spacing w:after="0"/>
              <w:rPr>
                <w:sz w:val="10"/>
                <w:szCs w:val="10"/>
                <w:color w:val="auto"/>
              </w:rPr>
            </w:pPr>
          </w:p>
        </w:tc>
        <w:tc>
          <w:tcPr>
            <w:tcW w:w="29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Dividend declared (common and preference shares)</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12)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(35,698)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(35,698)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(56,859)</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(92,557)</w:t>
            </w:r>
          </w:p>
        </w:tc>
      </w:tr>
      <w:tr>
        <w:trPr>
          <w:trHeight w:val="119"/>
        </w:trPr>
        <w:tc>
          <w:tcPr>
            <w:tcW w:w="20" w:type="dxa"/>
            <w:vAlign w:val="bottom"/>
          </w:tcPr>
          <w:p>
            <w:pPr>
              <w:spacing w:after="0"/>
              <w:rPr>
                <w:sz w:val="10"/>
                <w:szCs w:val="10"/>
                <w:color w:val="auto"/>
              </w:rPr>
            </w:pPr>
          </w:p>
        </w:tc>
        <w:tc>
          <w:tcPr>
            <w:tcW w:w="2920" w:type="dxa"/>
            <w:vAlign w:val="bottom"/>
            <w:gridSpan w:val="2"/>
          </w:tcPr>
          <w:p>
            <w:pPr>
              <w:spacing w:after="0" w:line="120" w:lineRule="exact"/>
              <w:rPr>
                <w:sz w:val="20"/>
                <w:szCs w:val="20"/>
                <w:color w:val="auto"/>
              </w:rPr>
            </w:pPr>
            <w:r>
              <w:rPr>
                <w:rFonts w:ascii="Arial" w:cs="Arial" w:eastAsia="Arial" w:hAnsi="Arial"/>
                <w:sz w:val="12"/>
                <w:szCs w:val="12"/>
                <w:color w:val="auto"/>
              </w:rPr>
              <w:t>Share-based compensation, net of accrued dividend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(Note 22)</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5,385</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5,385</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5,385</w:t>
            </w:r>
          </w:p>
        </w:tc>
      </w:tr>
      <w:tr>
        <w:trPr>
          <w:trHeight w:val="133"/>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Settlement of share-based compensation</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(2,824)</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2,819</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w:t>
            </w:r>
          </w:p>
        </w:tc>
      </w:tr>
      <w:tr>
        <w:trPr>
          <w:trHeight w:val="133"/>
        </w:trPr>
        <w:tc>
          <w:tcPr>
            <w:tcW w:w="20" w:type="dxa"/>
            <w:vAlign w:val="bottom"/>
          </w:tcPr>
          <w:p>
            <w:pPr>
              <w:spacing w:after="0"/>
              <w:rPr>
                <w:sz w:val="11"/>
                <w:szCs w:val="11"/>
                <w:color w:val="auto"/>
              </w:rPr>
            </w:pPr>
          </w:p>
        </w:tc>
        <w:tc>
          <w:tcPr>
            <w:tcW w:w="2920" w:type="dxa"/>
            <w:vAlign w:val="bottom"/>
            <w:gridSpan w:val="2"/>
          </w:tcPr>
          <w:p>
            <w:pPr>
              <w:spacing w:after="0" w:line="134" w:lineRule="exact"/>
              <w:rPr>
                <w:sz w:val="20"/>
                <w:szCs w:val="20"/>
                <w:color w:val="auto"/>
              </w:rPr>
            </w:pPr>
            <w:r>
              <w:rPr>
                <w:rFonts w:ascii="Arial" w:cs="Arial" w:eastAsia="Arial" w:hAnsi="Arial"/>
                <w:sz w:val="12"/>
                <w:szCs w:val="12"/>
                <w:color w:val="auto"/>
                <w:w w:val="97"/>
              </w:rPr>
              <w:t>Treasury shares, net or GasLog Partners’ common units</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(2,000)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(2,000)</w:t>
            </w:r>
          </w:p>
        </w:tc>
        <w:tc>
          <w:tcPr>
            <w:tcW w:w="14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(996)</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(2,996)</w:t>
            </w:r>
          </w:p>
        </w:tc>
      </w:tr>
      <w:tr>
        <w:trPr>
          <w:trHeight w:val="133"/>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(Loss)/profit for the year</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(44,948)</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(44,948)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48,237</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3,289</w:t>
            </w:r>
          </w:p>
        </w:tc>
      </w:tr>
      <w:tr>
        <w:trPr>
          <w:trHeight w:val="133"/>
        </w:trPr>
        <w:tc>
          <w:tcPr>
            <w:tcW w:w="20" w:type="dxa"/>
            <w:vAlign w:val="bottom"/>
          </w:tcPr>
          <w:p>
            <w:pPr>
              <w:spacing w:after="0"/>
              <w:rPr>
                <w:sz w:val="11"/>
                <w:szCs w:val="11"/>
                <w:color w:val="auto"/>
              </w:rPr>
            </w:pPr>
          </w:p>
        </w:tc>
        <w:tc>
          <w:tcPr>
            <w:tcW w:w="2920" w:type="dxa"/>
            <w:vAlign w:val="bottom"/>
            <w:gridSpan w:val="2"/>
          </w:tcPr>
          <w:p>
            <w:pPr>
              <w:spacing w:after="0" w:line="134" w:lineRule="exact"/>
              <w:rPr>
                <w:sz w:val="20"/>
                <w:szCs w:val="20"/>
                <w:color w:val="auto"/>
              </w:rPr>
            </w:pPr>
            <w:r>
              <w:rPr>
                <w:rFonts w:ascii="Arial" w:cs="Arial" w:eastAsia="Arial" w:hAnsi="Arial"/>
                <w:sz w:val="12"/>
                <w:szCs w:val="12"/>
                <w:color w:val="auto"/>
              </w:rPr>
              <w:t>Other comprehensive loss for the year</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(693)</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(693)</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(693)</w:t>
            </w:r>
          </w:p>
        </w:tc>
      </w:tr>
      <w:tr>
        <w:trPr>
          <w:trHeight w:val="95"/>
        </w:trPr>
        <w:tc>
          <w:tcPr>
            <w:tcW w:w="20" w:type="dxa"/>
            <w:vAlign w:val="bottom"/>
          </w:tcPr>
          <w:p>
            <w:pPr>
              <w:spacing w:after="0"/>
              <w:rPr>
                <w:sz w:val="8"/>
                <w:szCs w:val="8"/>
                <w:color w:val="auto"/>
              </w:rPr>
            </w:pPr>
          </w:p>
        </w:tc>
        <w:tc>
          <w:tcPr>
            <w:tcW w:w="2920" w:type="dxa"/>
            <w:vAlign w:val="bottom"/>
            <w:tcBorders>
              <w:top w:val="single" w:sz="8" w:color="CCEEFF"/>
            </w:tcBorders>
            <w:gridSpan w:val="2"/>
            <w:shd w:val="clear" w:color="auto" w:fill="CCEEFF"/>
          </w:tcPr>
          <w:p>
            <w:pPr>
              <w:spacing w:after="0" w:line="95" w:lineRule="exact"/>
              <w:rPr>
                <w:sz w:val="20"/>
                <w:szCs w:val="20"/>
                <w:color w:val="auto"/>
              </w:rPr>
            </w:pPr>
            <w:r>
              <w:rPr>
                <w:rFonts w:ascii="Arial" w:cs="Arial" w:eastAsia="Arial" w:hAnsi="Arial"/>
                <w:sz w:val="11"/>
                <w:szCs w:val="11"/>
                <w:b w:val="1"/>
                <w:bCs w:val="1"/>
                <w:color w:val="auto"/>
              </w:rPr>
              <w:t>Total comprehensive (loss)/income for</w:t>
            </w: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52"/>
        </w:trPr>
        <w:tc>
          <w:tcPr>
            <w:tcW w:w="20" w:type="dxa"/>
            <w:vAlign w:val="bottom"/>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the year</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(44,948)</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(45,641)</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48,237</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2,596</w:t>
            </w:r>
          </w:p>
        </w:tc>
      </w:tr>
      <w:tr>
        <w:trPr>
          <w:trHeight w:val="127"/>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2"/>
                <w:szCs w:val="12"/>
                <w:b w:val="1"/>
                <w:bCs w:val="1"/>
                <w:color w:val="auto"/>
              </w:rPr>
              <w:t>Balance as of December 31, 2020</w:t>
            </w: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954</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759,822</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18,667</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(1,340)</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(132,780)</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645,369</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951,768</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1,597,137</w:t>
            </w:r>
          </w:p>
        </w:tc>
      </w:tr>
      <w:tr>
        <w:trPr>
          <w:trHeight w:val="99"/>
        </w:trPr>
        <w:tc>
          <w:tcPr>
            <w:tcW w:w="20" w:type="dxa"/>
            <w:vAlign w:val="bottom"/>
          </w:tcPr>
          <w:p>
            <w:pPr>
              <w:spacing w:after="0"/>
              <w:rPr>
                <w:sz w:val="8"/>
                <w:szCs w:val="8"/>
                <w:color w:val="auto"/>
              </w:rPr>
            </w:pPr>
          </w:p>
        </w:tc>
        <w:tc>
          <w:tcPr>
            <w:tcW w:w="2920" w:type="dxa"/>
            <w:vAlign w:val="bottom"/>
            <w:gridSpan w:val="2"/>
            <w:shd w:val="clear" w:color="auto" w:fill="CCEEFF"/>
          </w:tcPr>
          <w:p>
            <w:pPr>
              <w:spacing w:after="0" w:line="100" w:lineRule="exact"/>
              <w:rPr>
                <w:sz w:val="20"/>
                <w:szCs w:val="20"/>
                <w:color w:val="auto"/>
              </w:rPr>
            </w:pPr>
            <w:r>
              <w:rPr>
                <w:rFonts w:ascii="Arial" w:cs="Arial" w:eastAsia="Arial" w:hAnsi="Arial"/>
                <w:sz w:val="11"/>
                <w:szCs w:val="11"/>
                <w:color w:val="auto"/>
              </w:rPr>
              <w:t>Net proceeds from GasLog Partners’ public offerings of</w:t>
            </w: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common units (Note 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9,633</w:t>
            </w:r>
          </w:p>
        </w:tc>
      </w:tr>
      <w:tr>
        <w:trPr>
          <w:trHeight w:val="119"/>
        </w:trPr>
        <w:tc>
          <w:tcPr>
            <w:tcW w:w="20" w:type="dxa"/>
            <w:vAlign w:val="bottom"/>
          </w:tcPr>
          <w:p>
            <w:pPr>
              <w:spacing w:after="0"/>
              <w:rPr>
                <w:sz w:val="10"/>
                <w:szCs w:val="10"/>
                <w:color w:val="auto"/>
              </w:rPr>
            </w:pPr>
          </w:p>
        </w:tc>
        <w:tc>
          <w:tcPr>
            <w:tcW w:w="2920" w:type="dxa"/>
            <w:vAlign w:val="bottom"/>
            <w:gridSpan w:val="2"/>
          </w:tcPr>
          <w:p>
            <w:pPr>
              <w:spacing w:after="0" w:line="120" w:lineRule="exact"/>
              <w:rPr>
                <w:sz w:val="20"/>
                <w:szCs w:val="20"/>
                <w:color w:val="auto"/>
              </w:rPr>
            </w:pPr>
            <w:r>
              <w:rPr>
                <w:rFonts w:ascii="Arial" w:cs="Arial" w:eastAsia="Arial" w:hAnsi="Arial"/>
                <w:sz w:val="12"/>
                <w:szCs w:val="12"/>
                <w:color w:val="auto"/>
              </w:rPr>
              <w:t>Repurchases of GasLog Partners' preference units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(Note 4)</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(18,388)</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(18,388)</w:t>
            </w:r>
          </w:p>
        </w:tc>
      </w:tr>
      <w:tr>
        <w:trPr>
          <w:trHeight w:val="119"/>
        </w:trPr>
        <w:tc>
          <w:tcPr>
            <w:tcW w:w="20" w:type="dxa"/>
            <w:vAlign w:val="bottom"/>
          </w:tcPr>
          <w:p>
            <w:pPr>
              <w:spacing w:after="0"/>
              <w:rPr>
                <w:sz w:val="10"/>
                <w:szCs w:val="10"/>
                <w:color w:val="auto"/>
              </w:rPr>
            </w:pPr>
          </w:p>
        </w:tc>
        <w:tc>
          <w:tcPr>
            <w:tcW w:w="29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Dividend declared (common and preference shares)</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4 and 12)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(67,286)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(67,286)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(31,236)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(98,522)</w:t>
            </w:r>
          </w:p>
        </w:tc>
      </w:tr>
      <w:tr>
        <w:trPr>
          <w:trHeight w:val="119"/>
        </w:trPr>
        <w:tc>
          <w:tcPr>
            <w:tcW w:w="20" w:type="dxa"/>
            <w:vAlign w:val="bottom"/>
          </w:tcPr>
          <w:p>
            <w:pPr>
              <w:spacing w:after="0"/>
              <w:rPr>
                <w:sz w:val="10"/>
                <w:szCs w:val="10"/>
                <w:color w:val="auto"/>
              </w:rPr>
            </w:pPr>
          </w:p>
        </w:tc>
        <w:tc>
          <w:tcPr>
            <w:tcW w:w="2920" w:type="dxa"/>
            <w:vAlign w:val="bottom"/>
            <w:gridSpan w:val="2"/>
          </w:tcPr>
          <w:p>
            <w:pPr>
              <w:spacing w:after="0" w:line="120" w:lineRule="exact"/>
              <w:rPr>
                <w:sz w:val="20"/>
                <w:szCs w:val="20"/>
                <w:color w:val="auto"/>
              </w:rPr>
            </w:pPr>
            <w:r>
              <w:rPr>
                <w:rFonts w:ascii="Arial" w:cs="Arial" w:eastAsia="Arial" w:hAnsi="Arial"/>
                <w:sz w:val="12"/>
                <w:szCs w:val="12"/>
                <w:color w:val="auto"/>
              </w:rPr>
              <w:t>Share-based compensation, net of accrued dividend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(Note 22)</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3,351</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3,351</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3,351</w:t>
            </w:r>
          </w:p>
        </w:tc>
      </w:tr>
      <w:tr>
        <w:trPr>
          <w:trHeight w:val="133"/>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Settlement of share-based compensation</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(6,535)</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1,340</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(5,195)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(5,195)</w:t>
            </w:r>
          </w:p>
        </w:tc>
      </w:tr>
      <w:tr>
        <w:trPr>
          <w:trHeight w:val="133"/>
        </w:trPr>
        <w:tc>
          <w:tcPr>
            <w:tcW w:w="20" w:type="dxa"/>
            <w:vAlign w:val="bottom"/>
          </w:tcPr>
          <w:p>
            <w:pPr>
              <w:spacing w:after="0"/>
              <w:rPr>
                <w:sz w:val="11"/>
                <w:szCs w:val="11"/>
                <w:color w:val="auto"/>
              </w:rPr>
            </w:pPr>
          </w:p>
        </w:tc>
        <w:tc>
          <w:tcPr>
            <w:tcW w:w="2920" w:type="dxa"/>
            <w:vAlign w:val="bottom"/>
            <w:gridSpan w:val="2"/>
          </w:tcPr>
          <w:p>
            <w:pPr>
              <w:spacing w:after="0" w:line="134" w:lineRule="exact"/>
              <w:rPr>
                <w:sz w:val="20"/>
                <w:szCs w:val="20"/>
                <w:color w:val="auto"/>
              </w:rPr>
            </w:pPr>
            <w:r>
              <w:rPr>
                <w:rFonts w:ascii="Arial" w:cs="Arial" w:eastAsia="Arial" w:hAnsi="Arial"/>
                <w:sz w:val="12"/>
                <w:szCs w:val="12"/>
                <w:color w:val="auto"/>
              </w:rPr>
              <w:t>Profit for the year</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67,663</w:t>
            </w: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67,663</w:t>
            </w:r>
          </w:p>
        </w:tc>
        <w:tc>
          <w:tcPr>
            <w:tcW w:w="14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12,853</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80,516</w:t>
            </w:r>
          </w:p>
        </w:tc>
      </w:tr>
      <w:tr>
        <w:trPr>
          <w:trHeight w:val="133"/>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Other comprehensive loss for the year</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(161)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(161)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(161)</w:t>
            </w:r>
          </w:p>
        </w:tc>
      </w:tr>
      <w:tr>
        <w:trPr>
          <w:trHeight w:val="127"/>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2"/>
                <w:szCs w:val="12"/>
                <w:b w:val="1"/>
                <w:bCs w:val="1"/>
                <w:color w:val="auto"/>
              </w:rPr>
              <w:t>Total comprehensive (loss)/income for the year</w:t>
            </w: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(161)</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67,663</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67,502</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12,853</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80,355</w:t>
            </w:r>
          </w:p>
        </w:tc>
      </w:tr>
      <w:tr>
        <w:trPr>
          <w:trHeight w:val="127"/>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Balance as of December 31, 2021</w:t>
            </w: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954</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692,536</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15,322</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(65,117)</w:t>
            </w:r>
          </w:p>
        </w:tc>
        <w:tc>
          <w:tcPr>
            <w:tcW w:w="1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643,741</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924,630</w:t>
            </w:r>
          </w:p>
        </w:tc>
        <w:tc>
          <w:tcPr>
            <w:tcW w:w="12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1,568,371</w:t>
            </w:r>
          </w:p>
        </w:tc>
      </w:tr>
      <w:tr>
        <w:trPr>
          <w:trHeight w:val="100"/>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79" w:lineRule="exact"/>
        <w:rPr>
          <w:sz w:val="20"/>
          <w:szCs w:val="20"/>
          <w:color w:val="auto"/>
        </w:rPr>
      </w:pPr>
    </w:p>
    <w:p>
      <w:pPr>
        <w:ind w:left="320" w:right="440" w:hanging="313"/>
        <w:spacing w:after="0" w:line="270" w:lineRule="auto"/>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Restated so as to reflect an adjustment introduced due to the adoption of International Financial Reporting Standard (“IFRS”) 16 </w:t>
      </w:r>
      <w:r>
        <w:rPr>
          <w:rFonts w:ascii="Arial" w:cs="Arial" w:eastAsia="Arial" w:hAnsi="Arial"/>
          <w:sz w:val="18"/>
          <w:szCs w:val="18"/>
          <w:i w:val="1"/>
          <w:iCs w:val="1"/>
          <w:color w:val="auto"/>
        </w:rPr>
        <w:t xml:space="preserve">Leases </w:t>
      </w:r>
      <w:r>
        <w:rPr>
          <w:rFonts w:ascii="Arial" w:cs="Arial" w:eastAsia="Arial" w:hAnsi="Arial"/>
          <w:sz w:val="18"/>
          <w:szCs w:val="18"/>
          <w:color w:val="auto"/>
        </w:rPr>
        <w:t>on January 1, 2019.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w:t>
            </w: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140"/>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
              <w:spacing w:after="0" w:line="140" w:lineRule="exact"/>
              <w:rPr>
                <w:sz w:val="20"/>
                <w:szCs w:val="20"/>
                <w:color w:val="auto"/>
              </w:rPr>
            </w:pPr>
            <w:r>
              <w:rPr>
                <w:rFonts w:ascii="Arial" w:cs="Arial" w:eastAsia="Arial" w:hAnsi="Arial"/>
                <w:sz w:val="11"/>
                <w:szCs w:val="11"/>
                <w:i w:val="1"/>
                <w:iCs w:val="1"/>
                <w:color w:val="auto"/>
              </w:rPr>
              <w:t>(restated)</w:t>
            </w:r>
            <w:r>
              <w:rPr>
                <w:rFonts w:ascii="Arial" w:cs="Arial" w:eastAsia="Arial" w:hAnsi="Arial"/>
                <w:sz w:val="16"/>
                <w:szCs w:val="16"/>
                <w:i w:val="1"/>
                <w:iCs w:val="1"/>
                <w:color w:val="auto"/>
                <w:vertAlign w:val="superscript"/>
              </w:rPr>
              <w:t>(1)</w:t>
            </w:r>
          </w:p>
        </w:tc>
        <w:tc>
          <w:tcPr>
            <w:tcW w:w="2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
              <w:spacing w:after="0" w:line="140" w:lineRule="exact"/>
              <w:rPr>
                <w:sz w:val="20"/>
                <w:szCs w:val="20"/>
                <w:color w:val="auto"/>
              </w:rPr>
            </w:pPr>
            <w:r>
              <w:rPr>
                <w:rFonts w:ascii="Arial" w:cs="Arial" w:eastAsia="Arial" w:hAnsi="Arial"/>
                <w:sz w:val="11"/>
                <w:szCs w:val="11"/>
                <w:i w:val="1"/>
                <w:iCs w:val="1"/>
                <w:color w:val="auto"/>
              </w:rPr>
              <w:t>(restated)</w:t>
            </w:r>
            <w:r>
              <w:rPr>
                <w:rFonts w:ascii="Arial" w:cs="Arial" w:eastAsia="Arial" w:hAnsi="Arial"/>
                <w:sz w:val="16"/>
                <w:szCs w:val="16"/>
                <w:i w:val="1"/>
                <w:iCs w:val="1"/>
                <w:color w:val="auto"/>
                <w:vertAlign w:val="superscript"/>
              </w:rPr>
              <w:t>(1)</w:t>
            </w:r>
          </w:p>
        </w:tc>
        <w:tc>
          <w:tcPr>
            <w:tcW w:w="2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(Loss)/profit for the year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(115,613)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80,516</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168,041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177,213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202,953</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153,669</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Financial income</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190,481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165,281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166,955</w:t>
            </w:r>
          </w:p>
        </w:tc>
      </w:tr>
      <w:tr>
        <w:trPr>
          <w:trHeight w:val="199"/>
        </w:trPr>
        <w:tc>
          <w:tcPr>
            <w:tcW w:w="20" w:type="dxa"/>
            <w:vAlign w:val="bottom"/>
          </w:tcPr>
          <w:p>
            <w:pPr>
              <w:spacing w:after="0"/>
              <w:rPr>
                <w:sz w:val="17"/>
                <w:szCs w:val="17"/>
                <w:color w:val="auto"/>
              </w:rPr>
            </w:pPr>
          </w:p>
        </w:tc>
        <w:tc>
          <w:tcPr>
            <w:tcW w:w="5920" w:type="dxa"/>
            <w:vAlign w:val="bottom"/>
          </w:tcPr>
          <w:p>
            <w:pPr>
              <w:spacing w:after="0" w:line="199" w:lineRule="exact"/>
              <w:rPr>
                <w:sz w:val="20"/>
                <w:szCs w:val="20"/>
                <w:color w:val="auto"/>
              </w:rPr>
            </w:pPr>
            <w:r>
              <w:rPr>
                <w:rFonts w:ascii="Arial" w:cs="Arial" w:eastAsia="Arial" w:hAnsi="Arial"/>
                <w:sz w:val="18"/>
                <w:szCs w:val="18"/>
                <w:color w:val="auto"/>
                <w:w w:val="93"/>
              </w:rPr>
              <w:t>Loss/(gain) on derivatives (excluding realized loss on forward foreign exchange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6"/>
        </w:trPr>
        <w:tc>
          <w:tcPr>
            <w:tcW w:w="5940" w:type="dxa"/>
            <w:vAlign w:val="bottom"/>
            <w:gridSpan w:val="2"/>
          </w:tcPr>
          <w:p>
            <w:pPr>
              <w:spacing w:after="0"/>
              <w:rPr>
                <w:sz w:val="20"/>
                <w:szCs w:val="20"/>
                <w:color w:val="auto"/>
              </w:rPr>
            </w:pPr>
            <w:r>
              <w:rPr>
                <w:rFonts w:ascii="Arial" w:cs="Arial" w:eastAsia="Arial" w:hAnsi="Arial"/>
                <w:sz w:val="18"/>
                <w:szCs w:val="18"/>
                <w:color w:val="auto"/>
              </w:rPr>
              <w:t>contracts held for trading)</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51,734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85,222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(23,817)</w:t>
            </w: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Realized foreign exchange losses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Non-cash defined benefit obligations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456,067</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463,192</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582,713</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Movements in operating assets and liabilities: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3"/>
              </w:rPr>
              <w:t>Decrease/(increase) in trade and other receivables including related parties,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27,609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7,482</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prepayments and other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(Increase)/decrease in inventories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other non-current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Increase/(decrease) in other non-current liabilities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and other current liabilities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7"/>
        </w:trPr>
        <w:tc>
          <w:tcPr>
            <w:tcW w:w="20" w:type="dxa"/>
            <w:vAlign w:val="bottom"/>
          </w:tcPr>
          <w:p>
            <w:pPr>
              <w:spacing w:after="0"/>
              <w:rPr>
                <w:sz w:val="17"/>
                <w:szCs w:val="17"/>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507,425</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459,482</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592,107</w:t>
            </w:r>
          </w:p>
        </w:tc>
      </w:tr>
      <w:tr>
        <w:trPr>
          <w:trHeight w:val="20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(479,618)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(732,385)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(506,641)</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tangible fixed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Proceeds from sale and leaseback, net of commissions</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242,979</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 expenditures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investments</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Payments for right-of-use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Dividends received from associate</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5, 21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3"/>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3"/>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Financial income received</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(442,978)</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(729,569)</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(262,050)</w:t>
            </w:r>
          </w:p>
        </w:tc>
      </w:tr>
    </w:tbl>
    <w:p>
      <w:pPr>
        <w:spacing w:after="0" w:line="19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w:t>
            </w: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1"/>
                <w:szCs w:val="11"/>
                <w:i w:val="1"/>
                <w:iCs w:val="1"/>
                <w:color w:val="auto"/>
              </w:rPr>
              <w:t>(restated)</w:t>
            </w:r>
            <w:r>
              <w:rPr>
                <w:rFonts w:ascii="Arial" w:cs="Arial" w:eastAsia="Arial" w:hAnsi="Arial"/>
                <w:sz w:val="16"/>
                <w:szCs w:val="16"/>
                <w:i w:val="1"/>
                <w:iCs w:val="1"/>
                <w:color w:val="auto"/>
                <w:vertAlign w:val="superscript"/>
              </w:rPr>
              <w:t>(1)</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33"/>
              <w:spacing w:after="0" w:line="140" w:lineRule="exact"/>
              <w:rPr>
                <w:sz w:val="20"/>
                <w:szCs w:val="20"/>
                <w:color w:val="auto"/>
              </w:rPr>
            </w:pPr>
            <w:r>
              <w:rPr>
                <w:rFonts w:ascii="Arial" w:cs="Arial" w:eastAsia="Arial" w:hAnsi="Arial"/>
                <w:sz w:val="11"/>
                <w:szCs w:val="11"/>
                <w:i w:val="1"/>
                <w:iCs w:val="1"/>
                <w:color w:val="auto"/>
              </w:rPr>
              <w:t>(restated)</w:t>
            </w:r>
            <w:r>
              <w:rPr>
                <w:rFonts w:ascii="Arial" w:cs="Arial" w:eastAsia="Arial" w:hAnsi="Arial"/>
                <w:sz w:val="16"/>
                <w:szCs w:val="16"/>
                <w:i w:val="1"/>
                <w:iCs w:val="1"/>
                <w:color w:val="auto"/>
                <w:vertAlign w:val="superscript"/>
              </w:rPr>
              <w:t>(1)</w:t>
            </w: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Proceeds from loans and bonds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905,730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2,138,035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471,867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bond repayments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(547,751)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(1,481,709)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(592,463)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Payment of loan and bond issuance costs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(25,912)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(35,795)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issuance costs received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60" w:type="dxa"/>
            <w:vAlign w:val="bottom"/>
            <w:gridSpan w:val="2"/>
          </w:tcPr>
          <w:p>
            <w:pPr>
              <w:spacing w:after="0" w:line="199" w:lineRule="exact"/>
              <w:rPr>
                <w:sz w:val="20"/>
                <w:szCs w:val="20"/>
                <w:color w:val="auto"/>
              </w:rPr>
            </w:pPr>
            <w:r>
              <w:rPr>
                <w:rFonts w:ascii="Arial" w:cs="Arial" w:eastAsia="Arial" w:hAnsi="Arial"/>
                <w:sz w:val="18"/>
                <w:szCs w:val="18"/>
                <w:color w:val="auto"/>
              </w:rPr>
              <w:t>Proceeds from GasLog Partners’ common unit offerings (net of underwriting</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180" w:type="dxa"/>
            <w:vAlign w:val="bottom"/>
            <w:gridSpan w:val="3"/>
          </w:tcPr>
          <w:p>
            <w:pPr>
              <w:spacing w:after="0"/>
              <w:rPr>
                <w:sz w:val="20"/>
                <w:szCs w:val="20"/>
                <w:color w:val="auto"/>
              </w:rPr>
            </w:pPr>
            <w:r>
              <w:rPr>
                <w:rFonts w:ascii="Arial" w:cs="Arial" w:eastAsia="Arial" w:hAnsi="Arial"/>
                <w:sz w:val="18"/>
                <w:szCs w:val="18"/>
                <w:color w:val="auto"/>
              </w:rPr>
              <w:t>discounts and commissions)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equity raising costs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Proceeds from private placement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cross currency swaps’ (“CCSs”) termination/modification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Payment for bond repurchase at a premium</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(46,721)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interest rate swaps termination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Proceeds from entering into interest rate swaps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31,622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(167,782)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(172,772)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9"/>
              </w:rPr>
              <w:t>Loan/bond modification costs related to the Transaction (as defined in Note 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cash collaterals for swaps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Release of cash collaterals for swaps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57,910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95,067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Purchase of treasury shares or GasLog Partners’ common and preference units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Proceeds from stock options’ exercise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(193,436)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Payments for lease liabilities</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7, 27</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in)/provided by financing activities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(139,936)</w:t>
            </w:r>
          </w:p>
        </w:tc>
        <w:tc>
          <w:tcPr>
            <w:tcW w:w="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375,423</w:t>
            </w: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(414,744)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(78,847)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103,522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beginning of the year</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342,594</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263,747</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263,747</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367,269</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282,246</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included in liabilities at the end of the year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60" w:type="dxa"/>
            <w:vAlign w:val="bottom"/>
            <w:gridSpan w:val="2"/>
          </w:tcPr>
          <w:p>
            <w:pPr>
              <w:spacing w:after="0" w:line="199" w:lineRule="exact"/>
              <w:rPr>
                <w:sz w:val="20"/>
                <w:szCs w:val="20"/>
                <w:color w:val="auto"/>
              </w:rPr>
            </w:pPr>
            <w:r>
              <w:rPr>
                <w:rFonts w:ascii="Arial" w:cs="Arial" w:eastAsia="Arial" w:hAnsi="Arial"/>
                <w:sz w:val="18"/>
                <w:szCs w:val="18"/>
                <w:color w:val="auto"/>
                <w:w w:val="98"/>
              </w:rPr>
              <w:t>Capital expenditures included in liabilities at the end of the year – Right-of-use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180" w:type="dxa"/>
            <w:vAlign w:val="bottom"/>
            <w:gridSpan w:val="3"/>
          </w:tcPr>
          <w:p>
            <w:pPr>
              <w:spacing w:after="0"/>
              <w:rPr>
                <w:sz w:val="20"/>
                <w:szCs w:val="20"/>
                <w:color w:val="auto"/>
              </w:rPr>
            </w:pPr>
            <w:r>
              <w:rPr>
                <w:rFonts w:ascii="Arial" w:cs="Arial" w:eastAsia="Arial" w:hAnsi="Arial"/>
                <w:sz w:val="18"/>
                <w:szCs w:val="18"/>
                <w:color w:val="auto"/>
              </w:rPr>
              <w:t>assets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raising costs included in liabilities at the end of the year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Loan issuance costs included in liabilities at the end of the year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declared included in liabilities at the end of the year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Liabilities related to leases at the end of the year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prepayment of lease payments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60" w:firstLine="7"/>
        <w:spacing w:after="0" w:line="270" w:lineRule="auto"/>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Restated so as to reflect a change in accounting policy introduced on January 1, 2021, with respect to the reclassification of interest paid and movements of cash collaterals for swaps (Note 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4" w:lineRule="exact"/>
        <w:rPr>
          <w:sz w:val="20"/>
          <w:szCs w:val="20"/>
          <w:color w:val="auto"/>
        </w:rPr>
      </w:pPr>
    </w:p>
    <w:p>
      <w:pPr>
        <w:ind w:right="80" w:firstLine="320"/>
        <w:spacing w:after="0" w:line="292"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and Singapore. The registered office of GasLog is Clarendon House, 2 Church Street, Hamilton HM 11, Bermuda.</w:t>
      </w:r>
    </w:p>
    <w:p>
      <w:pPr>
        <w:spacing w:after="0" w:line="162" w:lineRule="exact"/>
        <w:rPr>
          <w:sz w:val="20"/>
          <w:szCs w:val="20"/>
          <w:color w:val="auto"/>
        </w:rPr>
      </w:pPr>
    </w:p>
    <w:p>
      <w:pPr>
        <w:ind w:right="60" w:firstLine="320"/>
        <w:spacing w:after="0" w:line="323" w:lineRule="auto"/>
        <w:rPr>
          <w:sz w:val="20"/>
          <w:szCs w:val="20"/>
          <w:color w:val="auto"/>
        </w:rPr>
      </w:pPr>
      <w:r>
        <w:rPr>
          <w:rFonts w:ascii="Arial" w:cs="Arial" w:eastAsia="Arial" w:hAnsi="Arial"/>
          <w:sz w:val="14"/>
          <w:szCs w:val="14"/>
          <w:color w:val="auto"/>
        </w:rPr>
        <w:t>On February 21, 2021, GasLog entered into an agreement and plan of merger (the ''Merger Agreement'') with BlackRock's Global Energy &amp; Power Infrastructure Team (collectively, ''GEPIF''), pursuant to which GEPIF acquired all of the outstanding common shares of GasLog Ltd. that were not held by certain existing shareholders of GasLog Ltd. for a purchase price of $5.80 in cash per share (the ''Transaction''). On June 4, 2021, the special general meeting of shareholders (the "Special Meeting") was held, and shareholders approved</w:t>
      </w:r>
    </w:p>
    <w:p>
      <w:pPr>
        <w:ind w:right="220" w:firstLine="7"/>
        <w:spacing w:after="0" w:line="291" w:lineRule="auto"/>
        <w:tabs>
          <w:tab w:leader="none" w:pos="21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previously announced Merger Agreement, (ii) the merger and (iii) the statutory merger agreement contemplated by the Merger Agreement. Trading in GasLog's common shares on the New York Stock Exchange ("NYSE") was suspended and the delisting of the common shares from the NYSE became effective on June 21, 2021. GasLog's 8.75% Series A Cumulative Redeemable Perpetual Preference Shares ("Preference Shares") remain outstanding and continue to trade in the NYSE under the ticker symbol "GLOG PR A".</w:t>
      </w:r>
    </w:p>
    <w:p>
      <w:pPr>
        <w:spacing w:after="0" w:line="162" w:lineRule="exact"/>
        <w:rPr>
          <w:sz w:val="20"/>
          <w:szCs w:val="20"/>
          <w:color w:val="auto"/>
        </w:rPr>
      </w:pPr>
    </w:p>
    <w:p>
      <w:pPr>
        <w:ind w:right="40" w:firstLine="320"/>
        <w:spacing w:after="0" w:line="267" w:lineRule="auto"/>
        <w:rPr>
          <w:sz w:val="20"/>
          <w:szCs w:val="20"/>
          <w:color w:val="auto"/>
        </w:rPr>
      </w:pPr>
      <w:r>
        <w:rPr>
          <w:rFonts w:ascii="Arial" w:cs="Arial" w:eastAsia="Arial" w:hAnsi="Arial"/>
          <w:sz w:val="17"/>
          <w:szCs w:val="17"/>
          <w:color w:val="auto"/>
        </w:rPr>
        <w:t>Following the consummation of the Transaction on June 9, 2021, the Company, Blenheim Holdings Ltd., Blenheim Special Investments Holding Ltd. and Olympic LNG Investments Ltd. (collectively, the "Rolling Shareholders") and GEPIF entered into a shareholders' agreement with respect to the governance of the Company (the "Shareholders' Agreement"). Pursuant to the Shareholders' Agreement, the board of directors of the Company were reduced to five persons, and the Rolling Shareholders that are party to the Shareholders' Agreement will appoint a majority of the Company's board of directors in accordance with the terms of the Shareholders' Agreement.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182"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color w:val="auto"/>
        </w:rPr>
        <w:t xml:space="preserve">On May 12, 2014, GasLog Partners LP ("GasLog Partners" or the "Partnership"), a subsidiary of GasLog, completed its initial public offering (the "GasLog Partners' IPO") with the sale and issuance of 9,660,000 common units (including 1,260,000 units in relation to the overallotment option exercised in full by the underwriters), resulting in net proceeds of $186,029 and representing a 48.2% ownership interest. Concurrently with the GasLog Partners' IPO, the Partnership acquired from GasLog a 100% ownership interest in GAS-three Ltd., GAS-four Ltd. and GAS-five Ltd., the entities that own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in exchange for (i) 162,358 common units and 9,822,358 subordinated units issued to GasLog representing a 49.8% ownership interest and all of the incentive distribution rights that entitle GasLog to increasing percentages of the cash that the Partnership distributes in excess of $0.43125 per unit per quarter, (ii) 400,913 general partner units issued to GasLog Partners GP LLC (the "general partner"), a wholly owned subsidiary of GasLog, representing a 2.0% general partner interest and(iii) $65,695 of cash consideration paid directly to GasLog from the GasLog Partners' IPO proceeds.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20" w:firstLine="320"/>
        <w:spacing w:after="0" w:line="270" w:lineRule="auto"/>
        <w:rPr>
          <w:sz w:val="20"/>
          <w:szCs w:val="20"/>
          <w:color w:val="auto"/>
        </w:rPr>
      </w:pPr>
      <w:r>
        <w:rPr>
          <w:rFonts w:ascii="Arial" w:cs="Arial" w:eastAsia="Arial" w:hAnsi="Arial"/>
          <w:sz w:val="18"/>
          <w:szCs w:val="18"/>
          <w:color w:val="auto"/>
        </w:rPr>
        <w:t>Since GasLog Partners' IPO, the Partnership acquired 100% of the ownership interests in the following GasLog subsidiaries that own the vessels listed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Date Acquisition Completed</w:t>
            </w:r>
          </w:p>
        </w:tc>
        <w:tc>
          <w:tcPr>
            <w:tcW w:w="3920" w:type="dxa"/>
            <w:vAlign w:val="bottom"/>
            <w:gridSpan w:val="2"/>
          </w:tcPr>
          <w:p>
            <w:pPr>
              <w:ind w:left="260"/>
              <w:spacing w:after="0"/>
              <w:rPr>
                <w:sz w:val="20"/>
                <w:szCs w:val="20"/>
                <w:color w:val="auto"/>
              </w:rPr>
            </w:pPr>
            <w:r>
              <w:rPr>
                <w:rFonts w:ascii="Arial" w:cs="Arial" w:eastAsia="Arial" w:hAnsi="Arial"/>
                <w:sz w:val="14"/>
                <w:szCs w:val="14"/>
                <w:b w:val="1"/>
                <w:bCs w:val="1"/>
                <w:color w:val="auto"/>
              </w:rPr>
              <w:t>Subsidiaries Acquired</w:t>
            </w:r>
          </w:p>
        </w:tc>
        <w:tc>
          <w:tcPr>
            <w:tcW w:w="2860" w:type="dxa"/>
            <w:vAlign w:val="bottom"/>
            <w:gridSpan w:val="2"/>
          </w:tcPr>
          <w:p>
            <w:pPr>
              <w:ind w:left="260"/>
              <w:spacing w:after="0"/>
              <w:rPr>
                <w:sz w:val="20"/>
                <w:szCs w:val="20"/>
                <w:color w:val="auto"/>
              </w:rPr>
            </w:pPr>
            <w:r>
              <w:rPr>
                <w:rFonts w:ascii="Arial" w:cs="Arial" w:eastAsia="Arial" w:hAnsi="Arial"/>
                <w:sz w:val="14"/>
                <w:szCs w:val="14"/>
                <w:b w:val="1"/>
                <w:bCs w:val="1"/>
                <w:color w:val="auto"/>
              </w:rPr>
              <w:t>Vessels Purchased</w:t>
            </w:r>
          </w:p>
        </w:tc>
      </w:tr>
      <w:tr>
        <w:trPr>
          <w:trHeight w:val="192"/>
        </w:trPr>
        <w:tc>
          <w:tcPr>
            <w:tcW w:w="20" w:type="dxa"/>
            <w:vAlign w:val="bottom"/>
          </w:tcPr>
          <w:p>
            <w:pPr>
              <w:spacing w:after="0"/>
              <w:rPr>
                <w:sz w:val="16"/>
                <w:szCs w:val="16"/>
                <w:color w:val="auto"/>
              </w:rPr>
            </w:pPr>
          </w:p>
        </w:tc>
        <w:tc>
          <w:tcPr>
            <w:tcW w:w="312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September 29, 2014</w:t>
            </w:r>
          </w:p>
        </w:tc>
        <w:tc>
          <w:tcPr>
            <w:tcW w:w="28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GAS-sixteen Ltd. and</w:t>
            </w:r>
          </w:p>
        </w:tc>
        <w:tc>
          <w:tcPr>
            <w:tcW w:w="26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i w:val="1"/>
                <w:iCs w:val="1"/>
                <w:color w:val="auto"/>
              </w:rPr>
              <w:t xml:space="preserve">Methane Rita Andrea </w:t>
            </w:r>
            <w:r>
              <w:rPr>
                <w:rFonts w:ascii="Arial" w:cs="Arial" w:eastAsia="Arial" w:hAnsi="Arial"/>
                <w:sz w:val="18"/>
                <w:szCs w:val="18"/>
                <w:color w:val="auto"/>
              </w:rPr>
              <w:t>and</w:t>
            </w:r>
          </w:p>
        </w:tc>
      </w:tr>
      <w:tr>
        <w:trPr>
          <w:trHeight w:val="228"/>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GAS-seventeen Ltd.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Methane Jane Elizabeth</w:t>
            </w:r>
          </w:p>
        </w:tc>
      </w:tr>
      <w:tr>
        <w:trPr>
          <w:trHeight w:val="199"/>
        </w:trPr>
        <w:tc>
          <w:tcPr>
            <w:tcW w:w="20" w:type="dxa"/>
            <w:vAlign w:val="bottom"/>
          </w:tcPr>
          <w:p>
            <w:pPr>
              <w:spacing w:after="0"/>
              <w:rPr>
                <w:sz w:val="17"/>
                <w:szCs w:val="17"/>
                <w:color w:val="auto"/>
              </w:rPr>
            </w:pPr>
          </w:p>
        </w:tc>
        <w:tc>
          <w:tcPr>
            <w:tcW w:w="3120" w:type="dxa"/>
            <w:vAlign w:val="bottom"/>
          </w:tcPr>
          <w:p>
            <w:pPr>
              <w:spacing w:after="0" w:line="199" w:lineRule="exact"/>
              <w:rPr>
                <w:sz w:val="20"/>
                <w:szCs w:val="20"/>
                <w:color w:val="auto"/>
              </w:rPr>
            </w:pPr>
            <w:r>
              <w:rPr>
                <w:rFonts w:ascii="Arial" w:cs="Arial" w:eastAsia="Arial" w:hAnsi="Arial"/>
                <w:sz w:val="18"/>
                <w:szCs w:val="18"/>
                <w:color w:val="auto"/>
              </w:rPr>
              <w:t>July 1, 2015</w:t>
            </w:r>
          </w:p>
        </w:tc>
        <w:tc>
          <w:tcPr>
            <w:tcW w:w="3920" w:type="dxa"/>
            <w:vAlign w:val="bottom"/>
            <w:gridSpan w:val="2"/>
          </w:tcPr>
          <w:p>
            <w:pPr>
              <w:ind w:left="260"/>
              <w:spacing w:after="0" w:line="199" w:lineRule="exact"/>
              <w:rPr>
                <w:sz w:val="20"/>
                <w:szCs w:val="20"/>
                <w:color w:val="auto"/>
              </w:rPr>
            </w:pPr>
            <w:r>
              <w:rPr>
                <w:rFonts w:ascii="Arial" w:cs="Arial" w:eastAsia="Arial" w:hAnsi="Arial"/>
                <w:sz w:val="18"/>
                <w:szCs w:val="18"/>
                <w:color w:val="auto"/>
              </w:rPr>
              <w:t>GAS-nineteen Ltd.,</w:t>
            </w:r>
          </w:p>
        </w:tc>
        <w:tc>
          <w:tcPr>
            <w:tcW w:w="2860" w:type="dxa"/>
            <w:vAlign w:val="bottom"/>
            <w:gridSpan w:val="2"/>
          </w:tcPr>
          <w:p>
            <w:pPr>
              <w:ind w:left="260"/>
              <w:spacing w:after="0" w:line="199" w:lineRule="exact"/>
              <w:rPr>
                <w:sz w:val="20"/>
                <w:szCs w:val="20"/>
                <w:color w:val="auto"/>
              </w:rPr>
            </w:pPr>
            <w:r>
              <w:rPr>
                <w:rFonts w:ascii="Arial" w:cs="Arial" w:eastAsia="Arial" w:hAnsi="Arial"/>
                <w:sz w:val="18"/>
                <w:szCs w:val="18"/>
                <w:i w:val="1"/>
                <w:iCs w:val="1"/>
                <w:color w:val="auto"/>
                <w:w w:val="95"/>
              </w:rPr>
              <w:t>Methane Alison Victoria, Methane</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GAS-twenty Ltd. and</w:t>
            </w:r>
          </w:p>
        </w:tc>
        <w:tc>
          <w:tcPr>
            <w:tcW w:w="2860" w:type="dxa"/>
            <w:vAlign w:val="bottom"/>
            <w:gridSpan w:val="2"/>
          </w:tcPr>
          <w:p>
            <w:pPr>
              <w:ind w:left="260"/>
              <w:spacing w:after="0"/>
              <w:rPr>
                <w:sz w:val="20"/>
                <w:szCs w:val="20"/>
                <w:color w:val="auto"/>
              </w:rPr>
            </w:pPr>
            <w:r>
              <w:rPr>
                <w:rFonts w:ascii="Arial" w:cs="Arial" w:eastAsia="Arial" w:hAnsi="Arial"/>
                <w:sz w:val="18"/>
                <w:szCs w:val="18"/>
                <w:i w:val="1"/>
                <w:iCs w:val="1"/>
                <w:color w:val="auto"/>
              </w:rPr>
              <w:t>Shirley Elisabeth</w:t>
            </w:r>
          </w:p>
        </w:tc>
      </w:tr>
      <w:tr>
        <w:trPr>
          <w:trHeight w:val="226"/>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GAS-twenty one Ltd.</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Methane Heather Sally</w:t>
            </w: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November 1, 2016</w:t>
            </w:r>
          </w:p>
        </w:tc>
        <w:tc>
          <w:tcPr>
            <w:tcW w:w="3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GAS-seven Ltd.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GasLog Seattle</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May 3, 2017</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GAS-eleven Ltd.</w:t>
            </w:r>
          </w:p>
        </w:tc>
        <w:tc>
          <w:tcPr>
            <w:tcW w:w="2860" w:type="dxa"/>
            <w:vAlign w:val="bottom"/>
            <w:gridSpan w:val="2"/>
          </w:tcPr>
          <w:p>
            <w:pPr>
              <w:ind w:left="260"/>
              <w:spacing w:after="0"/>
              <w:rPr>
                <w:sz w:val="20"/>
                <w:szCs w:val="20"/>
                <w:color w:val="auto"/>
              </w:rPr>
            </w:pPr>
            <w:r>
              <w:rPr>
                <w:rFonts w:ascii="Arial" w:cs="Arial" w:eastAsia="Arial" w:hAnsi="Arial"/>
                <w:sz w:val="18"/>
                <w:szCs w:val="18"/>
                <w:i w:val="1"/>
                <w:iCs w:val="1"/>
                <w:color w:val="auto"/>
              </w:rPr>
              <w:t>GasLog Greece</w:t>
            </w:r>
          </w:p>
        </w:tc>
      </w:tr>
      <w:tr>
        <w:trPr>
          <w:trHeight w:val="213"/>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3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GAS-thirteen Ltd.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GasLog Geneva</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October 20, 2017</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GAS-eight Ltd.</w:t>
            </w:r>
          </w:p>
        </w:tc>
        <w:tc>
          <w:tcPr>
            <w:tcW w:w="2860" w:type="dxa"/>
            <w:vAlign w:val="bottom"/>
            <w:gridSpan w:val="2"/>
          </w:tcPr>
          <w:p>
            <w:pPr>
              <w:ind w:left="260"/>
              <w:spacing w:after="0"/>
              <w:rPr>
                <w:sz w:val="20"/>
                <w:szCs w:val="20"/>
                <w:color w:val="auto"/>
              </w:rPr>
            </w:pPr>
            <w:r>
              <w:rPr>
                <w:rFonts w:ascii="Arial" w:cs="Arial" w:eastAsia="Arial" w:hAnsi="Arial"/>
                <w:sz w:val="18"/>
                <w:szCs w:val="18"/>
                <w:i w:val="1"/>
                <w:iCs w:val="1"/>
                <w:color w:val="auto"/>
              </w:rPr>
              <w:t>Solaris</w:t>
            </w:r>
          </w:p>
        </w:tc>
      </w:tr>
      <w:tr>
        <w:trPr>
          <w:trHeight w:val="213"/>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April 26, 2018</w:t>
            </w:r>
          </w:p>
        </w:tc>
        <w:tc>
          <w:tcPr>
            <w:tcW w:w="3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GAS-fourteen Ltd.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GasLog Gibraltar</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November 14, 2018</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rPr>
              <w:t>GAS-twenty seven Ltd.</w:t>
            </w:r>
          </w:p>
        </w:tc>
        <w:tc>
          <w:tcPr>
            <w:tcW w:w="2860" w:type="dxa"/>
            <w:vAlign w:val="bottom"/>
            <w:gridSpan w:val="2"/>
          </w:tcPr>
          <w:p>
            <w:pPr>
              <w:ind w:left="260"/>
              <w:spacing w:after="0"/>
              <w:rPr>
                <w:sz w:val="20"/>
                <w:szCs w:val="20"/>
                <w:color w:val="auto"/>
              </w:rPr>
            </w:pPr>
            <w:r>
              <w:rPr>
                <w:rFonts w:ascii="Arial" w:cs="Arial" w:eastAsia="Arial" w:hAnsi="Arial"/>
                <w:sz w:val="18"/>
                <w:szCs w:val="18"/>
                <w:i w:val="1"/>
                <w:iCs w:val="1"/>
                <w:color w:val="auto"/>
              </w:rPr>
              <w:t>Methane Becki Anne</w:t>
            </w:r>
          </w:p>
        </w:tc>
      </w:tr>
      <w:tr>
        <w:trPr>
          <w:trHeight w:val="213"/>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3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GAS-twelve Ltd.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GasLog Glasgow</w:t>
            </w:r>
          </w:p>
        </w:tc>
      </w:tr>
    </w:tbl>
    <w:p>
      <w:pPr>
        <w:spacing w:after="0" w:line="199" w:lineRule="exact"/>
        <w:rPr>
          <w:sz w:val="20"/>
          <w:szCs w:val="20"/>
          <w:color w:val="auto"/>
        </w:rPr>
      </w:pPr>
    </w:p>
    <w:p>
      <w:pPr>
        <w:ind w:right="460" w:firstLine="320"/>
        <w:spacing w:after="0" w:line="274" w:lineRule="auto"/>
        <w:rPr>
          <w:sz w:val="20"/>
          <w:szCs w:val="20"/>
          <w:color w:val="auto"/>
        </w:rPr>
      </w:pPr>
      <w:r>
        <w:rPr>
          <w:rFonts w:ascii="Arial" w:cs="Arial" w:eastAsia="Arial" w:hAnsi="Arial"/>
          <w:sz w:val="17"/>
          <w:szCs w:val="17"/>
          <w:color w:val="auto"/>
        </w:rPr>
        <w:t>As of December 31, 2021, GasLog holds a 33.3% ownership interest (including the 2% interest through general partner units) in GasLog Partners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80" w:firstLine="320"/>
        <w:spacing w:after="0" w:line="258" w:lineRule="auto"/>
        <w:rPr>
          <w:sz w:val="20"/>
          <w:szCs w:val="20"/>
          <w:color w:val="auto"/>
        </w:rPr>
      </w:pPr>
      <w:r>
        <w:rPr>
          <w:rFonts w:ascii="Arial" w:cs="Arial" w:eastAsia="Arial" w:hAnsi="Arial"/>
          <w:sz w:val="18"/>
          <w:szCs w:val="18"/>
          <w:color w:val="auto"/>
        </w:rPr>
        <w:t>The accompanying consolidated financial statements include the financial statements of GasLog and its subsidiaries. Unless indicated otherwise, the subsidiaries listed below were 100% held (either directly or indirectly) by GasLog. As of December 31, 2021, the Group's structure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Cargo</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b w:val="1"/>
                <w:bCs w:val="1"/>
                <w:color w:val="auto"/>
                <w:w w:val="85"/>
              </w:rPr>
              <w:t>Place of</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b w:val="1"/>
                <w:bCs w:val="1"/>
                <w:color w:val="auto"/>
                <w:w w:val="91"/>
              </w:rPr>
              <w:t>Date of</w:t>
            </w: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auto"/>
                <w:w w:val="87"/>
              </w:rPr>
              <w:t>capacity Cubic</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8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incorporation</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incorporation</w:t>
            </w:r>
          </w:p>
        </w:tc>
        <w:tc>
          <w:tcPr>
            <w:tcW w:w="1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Principal activities</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meters (“cbm”)</w:t>
            </w:r>
          </w:p>
        </w:tc>
        <w:tc>
          <w:tcPr>
            <w:tcW w:w="13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0"/>
              </w:rPr>
              <w:t>Vessel</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Delivery date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4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1"/>
                <w:szCs w:val="11"/>
                <w:b w:val="1"/>
                <w:bCs w:val="1"/>
                <w:color w:val="auto"/>
              </w:rPr>
              <w:t>Subsidiaries:</w:t>
            </w:r>
          </w:p>
        </w:tc>
        <w:tc>
          <w:tcPr>
            <w:tcW w:w="1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GasLog Investments Ltd.</w:t>
            </w:r>
          </w:p>
        </w:tc>
        <w:tc>
          <w:tcPr>
            <w:tcW w:w="98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rPr>
              <w:t>BVI</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July 2003</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Carriers Ltd. (“GasLog Carriers”)</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February 2008</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GasLog Shipping Company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January 2006</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Partners GP LLC</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Marshall Islands</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January 2014</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GasLog Cyprus Investments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1"/>
              </w:rPr>
              <w:t>Cyprus</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2016</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Services UK Ltd.</w:t>
            </w:r>
          </w:p>
        </w:tc>
        <w:tc>
          <w:tcPr>
            <w:tcW w:w="98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5"/>
              </w:rPr>
              <w:t>England and Wales</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May 2014</w:t>
            </w:r>
          </w:p>
        </w:tc>
        <w:tc>
          <w:tcPr>
            <w:tcW w:w="15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7"/>
              </w:rPr>
              <w:t>Service company</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GasLog Services US Inc.</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Delaware</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May 2014</w:t>
            </w:r>
          </w:p>
        </w:tc>
        <w:tc>
          <w:tcPr>
            <w:tcW w:w="15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7"/>
              </w:rPr>
              <w:t>Service company</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Asia Pte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7"/>
              </w:rPr>
              <w:t>Singapore</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May 2015</w:t>
            </w:r>
          </w:p>
        </w:tc>
        <w:tc>
          <w:tcPr>
            <w:tcW w:w="15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7"/>
              </w:rPr>
              <w:t>Service company</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GasLog LNG Services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7"/>
              </w:rPr>
              <w:t>August 2004</w:t>
            </w:r>
          </w:p>
        </w:tc>
        <w:tc>
          <w:tcPr>
            <w:tcW w:w="15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4"/>
              </w:rPr>
              <w:t>Vessel management services</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Monaco S.A.M.</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1"/>
              </w:rPr>
              <w:t>Monaco</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February 2010</w:t>
            </w:r>
          </w:p>
        </w:tc>
        <w:tc>
          <w:tcPr>
            <w:tcW w:w="15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7"/>
              </w:rPr>
              <w:t>Service company</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GAS-Two Panama S.A.</w:t>
            </w:r>
          </w:p>
        </w:tc>
        <w:tc>
          <w:tcPr>
            <w:tcW w:w="98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2"/>
              </w:rPr>
              <w:t>Panama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November 2020</w:t>
            </w:r>
          </w:p>
        </w:tc>
        <w:tc>
          <w:tcPr>
            <w:tcW w:w="15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Dormant</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GAS-one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February 2008</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5"/>
              </w:rPr>
              <w:t>GasLog Savannah</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0"/>
              </w:rPr>
              <w:t>May 2010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GAS-two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February 2008</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7"/>
              </w:rPr>
              <w:t>GasLog Singapore</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4"/>
              </w:rPr>
              <w:t>July 2010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GAS-six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February 2011</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3"/>
              </w:rPr>
              <w:t>GasLog Skagen</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4"/>
              </w:rPr>
              <w:t>July 2013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GAS-nine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1"/>
              </w:rPr>
              <w:t>June 2011</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8"/>
              </w:rPr>
              <w:t>GasLog Saratoga</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6"/>
              </w:rPr>
              <w:t>December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GAS-ten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1"/>
              </w:rPr>
              <w:t>June 2011</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Right-of-use asset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5"/>
              </w:rPr>
              <w:t>GasLog Salem</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6"/>
              </w:rPr>
              <w:t>April 2015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GAS-fifteen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7"/>
              </w:rPr>
              <w:t>August 2013</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153,600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5"/>
              </w:rPr>
              <w:t>GasLog Chelsea</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9"/>
              </w:rPr>
              <w:t>October 2013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GAS-eighteen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January 2014</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7"/>
              </w:rPr>
              <w:t>Methane Lydon Volney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6"/>
              </w:rPr>
              <w:t>April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GAS-twenty two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May 2014</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8"/>
              </w:rPr>
              <w:t>GasLog Genoa</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9"/>
              </w:rPr>
              <w:t>March 2018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GAS-twenty three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May 2014</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i w:val="1"/>
                <w:iCs w:val="1"/>
                <w:color w:val="auto"/>
                <w:w w:val="87"/>
              </w:rPr>
              <w:t>GasLog Gladstone</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9"/>
              </w:rPr>
              <w:t>March 2019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GAS-twenty four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1"/>
              </w:rPr>
              <w:t>June 2014</w:t>
            </w:r>
          </w:p>
        </w:tc>
        <w:tc>
          <w:tcPr>
            <w:tcW w:w="15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4"/>
              </w:rPr>
              <w:t>Lease asset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9"/>
              </w:rPr>
              <w:t>GasLog Houston</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3"/>
              </w:rPr>
              <w:t>January 2018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GAS-twenty five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1"/>
              </w:rPr>
              <w:t>June 2014</w:t>
            </w:r>
          </w:p>
        </w:tc>
        <w:tc>
          <w:tcPr>
            <w:tcW w:w="15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4"/>
              </w:rPr>
              <w:t>Lease asset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8"/>
              </w:rPr>
              <w:t>GasLog Hong Kong</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9"/>
              </w:rPr>
              <w:t>March 2018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GAS-twenty six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January 2015</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Right-of-use asset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170,000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8"/>
              </w:rPr>
              <w:t>Methane Julia Louise</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9"/>
              </w:rPr>
              <w:t>March 2015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GAS-twenty eight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September 2016</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180,000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i w:val="1"/>
                <w:iCs w:val="1"/>
                <w:color w:val="auto"/>
                <w:w w:val="87"/>
              </w:rPr>
              <w:t>GasLog Windsor</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6"/>
              </w:rPr>
              <w:t>April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GAS-twenty nine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September 2016</w:t>
            </w:r>
          </w:p>
        </w:tc>
        <w:tc>
          <w:tcPr>
            <w:tcW w:w="1520" w:type="dxa"/>
            <w:vAlign w:val="bottom"/>
            <w:gridSpan w:val="2"/>
          </w:tcPr>
          <w:p>
            <w:pPr>
              <w:jc w:val="center"/>
              <w:ind w:right="140"/>
              <w:spacing w:after="0" w:line="120" w:lineRule="exact"/>
              <w:rPr>
                <w:sz w:val="20"/>
                <w:szCs w:val="20"/>
                <w:color w:val="auto"/>
              </w:rPr>
            </w:pPr>
            <w:r>
              <w:rPr>
                <w:rFonts w:ascii="Arial" w:cs="Arial" w:eastAsia="Arial" w:hAnsi="Arial"/>
                <w:sz w:val="9"/>
                <w:szCs w:val="9"/>
                <w:color w:val="auto"/>
              </w:rPr>
              <w:t xml:space="preserve">Dormant </w:t>
            </w:r>
            <w:r>
              <w:rPr>
                <w:rFonts w:ascii="Arial" w:cs="Arial" w:eastAsia="Arial" w:hAnsi="Arial"/>
                <w:sz w:val="13"/>
                <w:szCs w:val="13"/>
                <w:color w:val="auto"/>
                <w:vertAlign w:val="superscript"/>
              </w:rPr>
              <w:t>(1)</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GAS-thirty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86"/>
              </w:rPr>
              <w:t>December 2017</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180,000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i w:val="1"/>
                <w:iCs w:val="1"/>
                <w:color w:val="auto"/>
                <w:w w:val="85"/>
              </w:rPr>
              <w:t>GasLog Westminster</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4"/>
              </w:rPr>
              <w:t>July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GAS-thirty one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2017</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180,000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5"/>
              </w:rPr>
              <w:t>GasLog Wales</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90"/>
              </w:rPr>
              <w:t>May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GAS-thirty two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86"/>
              </w:rPr>
              <w:t>December 2017</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8"/>
              </w:rPr>
              <w:t>GasLog Georgetown</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6"/>
              </w:rPr>
              <w:t>November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GAS-thirty three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May 2018</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7"/>
              </w:rPr>
              <w:t>GasLog Galveston</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6"/>
              </w:rPr>
              <w:t>January 4, 2021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GAS-thirty four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May 2018</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180,000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8"/>
              </w:rPr>
              <w:t>GasLog Wellington</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June 15, 2021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GAS-thirty five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2018</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180,000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6"/>
              </w:rPr>
              <w:t>GasLog Winchester</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9"/>
              </w:rPr>
              <w:t>August 24, 2021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9"/>
                <w:szCs w:val="9"/>
                <w:color w:val="auto"/>
              </w:rPr>
              <w:t xml:space="preserve">GAS-thirty six Ltd. </w:t>
            </w:r>
            <w:r>
              <w:rPr>
                <w:rFonts w:ascii="Arial" w:cs="Arial" w:eastAsia="Arial" w:hAnsi="Arial"/>
                <w:sz w:val="13"/>
                <w:szCs w:val="13"/>
                <w:color w:val="auto"/>
                <w:vertAlign w:val="superscript"/>
              </w:rPr>
              <w:t>(3)</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86"/>
              </w:rPr>
              <w:t>December 2018</w:t>
            </w:r>
          </w:p>
        </w:tc>
        <w:tc>
          <w:tcPr>
            <w:tcW w:w="15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Dormant</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9"/>
                <w:szCs w:val="9"/>
                <w:color w:val="auto"/>
              </w:rPr>
              <w:t xml:space="preserve">GAS-thirty seven Ltd. </w:t>
            </w:r>
            <w:r>
              <w:rPr>
                <w:rFonts w:ascii="Arial" w:cs="Arial" w:eastAsia="Arial" w:hAnsi="Arial"/>
                <w:sz w:val="13"/>
                <w:szCs w:val="13"/>
                <w:color w:val="auto"/>
                <w:vertAlign w:val="superscript"/>
              </w:rPr>
              <w:t>(3)</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2018</w:t>
            </w:r>
          </w:p>
        </w:tc>
        <w:tc>
          <w:tcPr>
            <w:tcW w:w="15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Dormant</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GAS-thirty eight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86"/>
              </w:rPr>
              <w:t>December 2021</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2"/>
              </w:rPr>
              <w:t>Hull No. 2532</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9"/>
                <w:szCs w:val="9"/>
                <w:color w:val="auto"/>
              </w:rPr>
              <w:t>Q3 2024</w:t>
            </w:r>
            <w:r>
              <w:rPr>
                <w:rFonts w:ascii="Arial" w:cs="Arial" w:eastAsia="Arial" w:hAnsi="Arial"/>
                <w:sz w:val="13"/>
                <w:szCs w:val="13"/>
                <w:color w:val="auto"/>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GAS-thirty nine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2021</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2"/>
              </w:rPr>
              <w:t>Hull No. 2533</w:t>
            </w:r>
          </w:p>
        </w:tc>
        <w:tc>
          <w:tcPr>
            <w:tcW w:w="760" w:type="dxa"/>
            <w:vAlign w:val="bottom"/>
          </w:tcPr>
          <w:p>
            <w:pPr>
              <w:jc w:val="center"/>
              <w:spacing w:after="0" w:line="120" w:lineRule="exact"/>
              <w:rPr>
                <w:sz w:val="20"/>
                <w:szCs w:val="20"/>
                <w:color w:val="auto"/>
              </w:rPr>
            </w:pPr>
            <w:r>
              <w:rPr>
                <w:rFonts w:ascii="Arial" w:cs="Arial" w:eastAsia="Arial" w:hAnsi="Arial"/>
                <w:sz w:val="9"/>
                <w:szCs w:val="9"/>
                <w:color w:val="auto"/>
              </w:rPr>
              <w:t>Q3 2024</w:t>
            </w:r>
            <w:r>
              <w:rPr>
                <w:rFonts w:ascii="Arial" w:cs="Arial" w:eastAsia="Arial" w:hAnsi="Arial"/>
                <w:sz w:val="13"/>
                <w:szCs w:val="13"/>
                <w:color w:val="auto"/>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GAS-forty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86"/>
              </w:rPr>
              <w:t>December 2021</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2"/>
              </w:rPr>
              <w:t>Hull No. 2534</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9"/>
                <w:szCs w:val="9"/>
                <w:color w:val="auto"/>
              </w:rPr>
              <w:t>Q3 2025</w:t>
            </w:r>
            <w:r>
              <w:rPr>
                <w:rFonts w:ascii="Arial" w:cs="Arial" w:eastAsia="Arial" w:hAnsi="Arial"/>
                <w:sz w:val="13"/>
                <w:szCs w:val="13"/>
                <w:color w:val="auto"/>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GAS-forty one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2021</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2"/>
              </w:rPr>
              <w:t>Hull No. 2535</w:t>
            </w:r>
          </w:p>
        </w:tc>
        <w:tc>
          <w:tcPr>
            <w:tcW w:w="760" w:type="dxa"/>
            <w:vAlign w:val="bottom"/>
          </w:tcPr>
          <w:p>
            <w:pPr>
              <w:jc w:val="center"/>
              <w:spacing w:after="0" w:line="120" w:lineRule="exact"/>
              <w:rPr>
                <w:sz w:val="20"/>
                <w:szCs w:val="20"/>
                <w:color w:val="auto"/>
              </w:rPr>
            </w:pPr>
            <w:r>
              <w:rPr>
                <w:rFonts w:ascii="Arial" w:cs="Arial" w:eastAsia="Arial" w:hAnsi="Arial"/>
                <w:sz w:val="9"/>
                <w:szCs w:val="9"/>
                <w:color w:val="auto"/>
              </w:rPr>
              <w:t>Q4 2025</w:t>
            </w:r>
            <w:r>
              <w:rPr>
                <w:rFonts w:ascii="Arial" w:cs="Arial" w:eastAsia="Arial" w:hAnsi="Arial"/>
                <w:sz w:val="13"/>
                <w:szCs w:val="13"/>
                <w:color w:val="auto"/>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Hellas-1 Special Maritime Enterprise</w:t>
            </w:r>
          </w:p>
        </w:tc>
        <w:tc>
          <w:tcPr>
            <w:tcW w:w="98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3"/>
              </w:rPr>
              <w:t>Greece</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1"/>
              </w:rPr>
              <w:t>June 2019</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180,000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9"/>
                <w:szCs w:val="9"/>
                <w:i w:val="1"/>
                <w:iCs w:val="1"/>
                <w:color w:val="auto"/>
              </w:rPr>
              <w:t xml:space="preserve">GasLog Warsaw </w:t>
            </w:r>
            <w:r>
              <w:rPr>
                <w:rFonts w:ascii="Arial" w:cs="Arial" w:eastAsia="Arial" w:hAnsi="Arial"/>
                <w:sz w:val="13"/>
                <w:szCs w:val="13"/>
                <w:color w:val="auto"/>
                <w:vertAlign w:val="superscript"/>
              </w:rPr>
              <w:t>(1)</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4"/>
              </w:rPr>
              <w:t>July 2019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33.3% interest subsidiaries:</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GasLog Partners LP</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Marshall Islands</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January 2014</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GasLog Partners Holdings LLC</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Marshall Islands</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2"/>
              </w:rPr>
              <w:t>April 2014</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9"/>
              </w:rPr>
              <w:t>Holding company</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GAS-three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2"/>
              </w:rPr>
              <w:t>April 2010</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Right-of-use asset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8"/>
              </w:rPr>
              <w:t>GasLog Shanghai</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3"/>
              </w:rPr>
              <w:t>January 2013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GAS-four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2"/>
              </w:rPr>
              <w:t>April 2010</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7"/>
              </w:rPr>
              <w:t>GasLog Santiago</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9"/>
              </w:rPr>
              <w:t>March 2013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GAS-five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February 2011</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4"/>
              </w:rPr>
              <w:t>GasLog Sydney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0"/>
              </w:rPr>
              <w:t>May 2013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GAS-seven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March 2011</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6"/>
              </w:rPr>
              <w:t>GasLog Seattle</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6"/>
              </w:rPr>
              <w:t>December 2013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GAS-eight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March 2011</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155,000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9"/>
              </w:rPr>
              <w:t>Solaris</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June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GAS-eleven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20"/>
              <w:spacing w:after="0" w:line="120" w:lineRule="exact"/>
              <w:rPr>
                <w:sz w:val="20"/>
                <w:szCs w:val="20"/>
                <w:color w:val="auto"/>
              </w:rPr>
            </w:pPr>
            <w:r>
              <w:rPr>
                <w:rFonts w:ascii="Arial" w:cs="Arial" w:eastAsia="Arial" w:hAnsi="Arial"/>
                <w:sz w:val="11"/>
                <w:szCs w:val="11"/>
                <w:color w:val="auto"/>
                <w:w w:val="86"/>
              </w:rPr>
              <w:t>December 2012</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4"/>
              </w:rPr>
              <w:t>GasLog Greece</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9"/>
              </w:rPr>
              <w:t>March 2016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GAS-twelve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86"/>
              </w:rPr>
              <w:t>December 2012</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7"/>
              </w:rPr>
              <w:t>GasLog Glasgow</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June 2016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GAS-thirteen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July 2013</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7"/>
              </w:rPr>
              <w:t>GasLog Geneva</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3"/>
              </w:rPr>
              <w:t>September 2016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GAS-fourteen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July 2013</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174,000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93"/>
              </w:rPr>
              <w:t>GasLog Gibraltar</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9"/>
              </w:rPr>
              <w:t>October 2016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GAS-sixteen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6"/>
              </w:rPr>
              <w:t>January 2014</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8"/>
              </w:rPr>
              <w:t>Methane Rita Andrea</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96"/>
              </w:rPr>
              <w:t>April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GAS-seventeen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January 2014</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6"/>
              </w:rPr>
              <w:t>Methane Jane Elizabeth</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6"/>
              </w:rPr>
              <w:t>April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GAS-nineteen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2"/>
              </w:rPr>
              <w:t>April 2014</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1"/>
                <w:szCs w:val="11"/>
                <w:i w:val="1"/>
                <w:iCs w:val="1"/>
                <w:color w:val="auto"/>
                <w:w w:val="89"/>
              </w:rPr>
              <w:t>Methane Alison Victoria</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June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GAS-twenty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92"/>
              </w:rPr>
              <w:t>April 2014</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9"/>
              </w:rPr>
              <w:t>Methane Shirley Elisabeth</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June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color w:val="auto"/>
              </w:rPr>
              <w:t>GAS-twenty one Ltd.</w:t>
            </w:r>
          </w:p>
        </w:tc>
        <w:tc>
          <w:tcPr>
            <w:tcW w:w="9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tcPr>
          <w:p>
            <w:pPr>
              <w:jc w:val="center"/>
              <w:ind w:right="140"/>
              <w:spacing w:after="0" w:line="120" w:lineRule="exact"/>
              <w:rPr>
                <w:sz w:val="20"/>
                <w:szCs w:val="20"/>
                <w:color w:val="auto"/>
              </w:rPr>
            </w:pPr>
            <w:r>
              <w:rPr>
                <w:rFonts w:ascii="Arial" w:cs="Arial" w:eastAsia="Arial" w:hAnsi="Arial"/>
                <w:sz w:val="11"/>
                <w:szCs w:val="11"/>
                <w:color w:val="auto"/>
                <w:w w:val="92"/>
              </w:rPr>
              <w:t>April 2014</w:t>
            </w:r>
          </w:p>
        </w:tc>
        <w:tc>
          <w:tcPr>
            <w:tcW w:w="1520" w:type="dxa"/>
            <w:vAlign w:val="bottom"/>
            <w:gridSpan w:val="2"/>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0" w:lineRule="exact"/>
              <w:rPr>
                <w:sz w:val="20"/>
                <w:szCs w:val="20"/>
                <w:color w:val="auto"/>
              </w:rPr>
            </w:pPr>
            <w:r>
              <w:rPr>
                <w:rFonts w:ascii="Arial" w:cs="Arial" w:eastAsia="Arial" w:hAnsi="Arial"/>
                <w:sz w:val="11"/>
                <w:szCs w:val="11"/>
                <w:i w:val="1"/>
                <w:iCs w:val="1"/>
                <w:color w:val="auto"/>
                <w:w w:val="87"/>
              </w:rPr>
              <w:t>Methane Heather Sally</w:t>
            </w:r>
          </w:p>
        </w:tc>
        <w:tc>
          <w:tcPr>
            <w:tcW w:w="760" w:type="dxa"/>
            <w:vAlign w:val="bottom"/>
          </w:tcPr>
          <w:p>
            <w:pPr>
              <w:jc w:val="center"/>
              <w:spacing w:after="0" w:line="120" w:lineRule="exact"/>
              <w:rPr>
                <w:sz w:val="20"/>
                <w:szCs w:val="20"/>
                <w:color w:val="auto"/>
              </w:rPr>
            </w:pPr>
            <w:r>
              <w:rPr>
                <w:rFonts w:ascii="Arial" w:cs="Arial" w:eastAsia="Arial" w:hAnsi="Arial"/>
                <w:sz w:val="11"/>
                <w:szCs w:val="11"/>
                <w:color w:val="auto"/>
                <w:w w:val="85"/>
              </w:rPr>
              <w:t>June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GAS-twenty seven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January 2015</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170,000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i w:val="1"/>
                <w:iCs w:val="1"/>
                <w:color w:val="auto"/>
                <w:w w:val="86"/>
              </w:rPr>
              <w:t>Methane Becki Anne</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9"/>
              </w:rPr>
              <w:t>March 2015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25% interest associate:</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Egypt LNG Shipping Ltd.</w:t>
            </w:r>
          </w:p>
        </w:tc>
        <w:tc>
          <w:tcPr>
            <w:tcW w:w="9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9"/>
              </w:rPr>
              <w:t>Bermuda</w:t>
            </w:r>
          </w:p>
        </w:tc>
        <w:tc>
          <w:tcPr>
            <w:tcW w:w="88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color w:val="auto"/>
                <w:w w:val="86"/>
              </w:rPr>
              <w:t>May 2010</w:t>
            </w:r>
          </w:p>
        </w:tc>
        <w:tc>
          <w:tcPr>
            <w:tcW w:w="1520" w:type="dxa"/>
            <w:vAlign w:val="bottom"/>
            <w:gridSpan w:val="2"/>
            <w:shd w:val="clear" w:color="auto" w:fill="CCEEFF"/>
          </w:tcPr>
          <w:p>
            <w:pPr>
              <w:jc w:val="center"/>
              <w:ind w:right="160"/>
              <w:spacing w:after="0" w:line="120" w:lineRule="exact"/>
              <w:rPr>
                <w:sz w:val="20"/>
                <w:szCs w:val="20"/>
                <w:color w:val="auto"/>
              </w:rPr>
            </w:pPr>
            <w:r>
              <w:rPr>
                <w:rFonts w:ascii="Arial" w:cs="Arial" w:eastAsia="Arial" w:hAnsi="Arial"/>
                <w:sz w:val="11"/>
                <w:szCs w:val="11"/>
                <w:color w:val="auto"/>
                <w:w w:val="87"/>
              </w:rPr>
              <w:t>Vessel-owning company</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5"/>
              </w:rPr>
              <w:t>145,000</w:t>
            </w:r>
          </w:p>
        </w:tc>
        <w:tc>
          <w:tcPr>
            <w:tcW w:w="1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1"/>
                <w:szCs w:val="11"/>
                <w:i w:val="1"/>
                <w:iCs w:val="1"/>
                <w:color w:val="auto"/>
                <w:w w:val="89"/>
              </w:rPr>
              <w:t>Methane Nile Eagle</w:t>
            </w:r>
          </w:p>
        </w:tc>
        <w:tc>
          <w:tcPr>
            <w:tcW w:w="7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6"/>
              </w:rPr>
              <w:t>December 2007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356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b w:val="1"/>
                <w:bCs w:val="1"/>
                <w:color w:val="auto"/>
              </w:rPr>
              <w:t>20% interest associate:</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2"/>
          </w:tcPr>
          <w:p>
            <w:pPr>
              <w:spacing w:after="0"/>
              <w:rPr>
                <w:sz w:val="20"/>
                <w:szCs w:val="20"/>
                <w:color w:val="auto"/>
              </w:rPr>
            </w:pPr>
            <w:r>
              <w:rPr>
                <w:rFonts w:ascii="Arial" w:cs="Arial" w:eastAsia="Arial" w:hAnsi="Arial"/>
                <w:sz w:val="11"/>
                <w:szCs w:val="11"/>
                <w:color w:val="auto"/>
              </w:rPr>
              <w:t>Gastrade S.A. (“Gastrade”)</w:t>
            </w:r>
          </w:p>
        </w:tc>
        <w:tc>
          <w:tcPr>
            <w:tcW w:w="980" w:type="dxa"/>
            <w:vAlign w:val="bottom"/>
            <w:gridSpan w:val="2"/>
          </w:tcPr>
          <w:p>
            <w:pPr>
              <w:jc w:val="center"/>
              <w:ind w:right="160"/>
              <w:spacing w:after="0"/>
              <w:rPr>
                <w:sz w:val="20"/>
                <w:szCs w:val="20"/>
                <w:color w:val="auto"/>
              </w:rPr>
            </w:pPr>
            <w:r>
              <w:rPr>
                <w:rFonts w:ascii="Arial" w:cs="Arial" w:eastAsia="Arial" w:hAnsi="Arial"/>
                <w:sz w:val="11"/>
                <w:szCs w:val="11"/>
                <w:color w:val="auto"/>
                <w:w w:val="83"/>
              </w:rPr>
              <w:t>Greece</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color w:val="auto"/>
                <w:w w:val="81"/>
              </w:rPr>
              <w:t>June 2010</w:t>
            </w:r>
          </w:p>
        </w:tc>
        <w:tc>
          <w:tcPr>
            <w:tcW w:w="15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Service company</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w:t>
            </w:r>
          </w:p>
        </w:tc>
        <w:tc>
          <w:tcPr>
            <w:tcW w:w="132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1567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line="160" w:lineRule="exact"/>
        <w:rPr>
          <w:sz w:val="20"/>
          <w:szCs w:val="20"/>
          <w:color w:val="auto"/>
        </w:rPr>
      </w:pPr>
    </w:p>
    <w:p>
      <w:pPr>
        <w:ind w:left="320" w:right="320" w:hanging="313"/>
        <w:spacing w:after="0" w:line="182" w:lineRule="auto"/>
        <w:tabs>
          <w:tab w:leader="none" w:pos="320" w:val="left"/>
        </w:tabs>
        <w:numPr>
          <w:ilvl w:val="0"/>
          <w:numId w:val="108"/>
        </w:numPr>
        <w:rPr>
          <w:rFonts w:ascii="Arial" w:cs="Arial" w:eastAsia="Arial" w:hAnsi="Arial"/>
          <w:sz w:val="21"/>
          <w:szCs w:val="21"/>
          <w:color w:val="auto"/>
          <w:vertAlign w:val="superscript"/>
        </w:rPr>
      </w:pPr>
      <w:r>
        <w:rPr>
          <w:rFonts w:ascii="Arial" w:cs="Arial" w:eastAsia="Arial" w:hAnsi="Arial"/>
          <w:sz w:val="14"/>
          <w:szCs w:val="14"/>
          <w:color w:val="auto"/>
        </w:rPr>
        <w:t xml:space="preserve">In June 2019, the newbuilding </w:t>
      </w:r>
      <w:r>
        <w:rPr>
          <w:rFonts w:ascii="Arial" w:cs="Arial" w:eastAsia="Arial" w:hAnsi="Arial"/>
          <w:sz w:val="14"/>
          <w:szCs w:val="14"/>
          <w:i w:val="1"/>
          <w:iCs w:val="1"/>
          <w:color w:val="auto"/>
        </w:rPr>
        <w:t>GasLog Warsaw</w:t>
      </w:r>
      <w:r>
        <w:rPr>
          <w:rFonts w:ascii="Arial" w:cs="Arial" w:eastAsia="Arial" w:hAnsi="Arial"/>
          <w:sz w:val="14"/>
          <w:szCs w:val="14"/>
          <w:color w:val="auto"/>
        </w:rPr>
        <w:t>, delivered on July 31, 2019, was transferred from GAS-twenty nine Ltd. to the subsidiary GasLog Hellas-1 Special Maritime Enterprise.</w:t>
      </w:r>
    </w:p>
    <w:p>
      <w:pPr>
        <w:ind w:left="320" w:hanging="313"/>
        <w:spacing w:after="0" w:line="180" w:lineRule="auto"/>
        <w:tabs>
          <w:tab w:leader="none" w:pos="320" w:val="left"/>
        </w:tabs>
        <w:numPr>
          <w:ilvl w:val="0"/>
          <w:numId w:val="108"/>
        </w:numPr>
        <w:rPr>
          <w:rFonts w:ascii="Arial" w:cs="Arial" w:eastAsia="Arial" w:hAnsi="Arial"/>
          <w:sz w:val="17"/>
          <w:szCs w:val="17"/>
          <w:color w:val="auto"/>
          <w:vertAlign w:val="superscript"/>
        </w:rPr>
      </w:pPr>
      <w:r>
        <w:rPr>
          <w:rFonts w:ascii="Arial" w:cs="Arial" w:eastAsia="Arial" w:hAnsi="Arial"/>
          <w:sz w:val="12"/>
          <w:szCs w:val="12"/>
          <w:color w:val="auto"/>
        </w:rPr>
        <w:t>For newbuildings, expected delivery quarters as of December 31, 2021 are presented.</w:t>
      </w:r>
    </w:p>
    <w:p>
      <w:pPr>
        <w:ind w:left="320" w:hanging="313"/>
        <w:spacing w:after="0" w:line="185" w:lineRule="auto"/>
        <w:tabs>
          <w:tab w:leader="none" w:pos="320" w:val="left"/>
        </w:tabs>
        <w:numPr>
          <w:ilvl w:val="0"/>
          <w:numId w:val="108"/>
        </w:numPr>
        <w:rPr>
          <w:rFonts w:ascii="Arial" w:cs="Arial" w:eastAsia="Arial" w:hAnsi="Arial"/>
          <w:sz w:val="19"/>
          <w:szCs w:val="19"/>
          <w:color w:val="auto"/>
          <w:vertAlign w:val="superscript"/>
        </w:rPr>
      </w:pPr>
      <w:r>
        <w:rPr>
          <w:rFonts w:ascii="Arial" w:cs="Arial" w:eastAsia="Arial" w:hAnsi="Arial"/>
          <w:sz w:val="13"/>
          <w:szCs w:val="13"/>
          <w:color w:val="auto"/>
        </w:rPr>
        <w:t>On January 7, 2022, GAS-thirty six Ltd. was renamed to GAS-FFA Trading Ltd. and GAS-thirty seven Ltd. was renamed to GAS-FFA Partnership Trading Ltd.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On October 1, 2015, GasLog Carriers, Dynagas Ltd. ("Dynagas") and Golar LNG Ltd. ("Golar") ("Pool Owners") and The Cool Pool Limited signed an LNG carrier pooling agreement (the "LNG Carrier Pool" or "Pool Agreement" or "Cool Pool") to market their vessels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90"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Following expiry of their commitments, GasLog vessels were withdrawn from the Cool Pool in June and July 2019.</w:t>
      </w:r>
    </w:p>
    <w:p>
      <w:pPr>
        <w:spacing w:after="0" w:line="188" w:lineRule="exact"/>
        <w:rPr>
          <w:sz w:val="20"/>
          <w:szCs w:val="20"/>
          <w:color w:val="auto"/>
        </w:rPr>
      </w:pPr>
    </w:p>
    <w:p>
      <w:pPr>
        <w:ind w:firstLine="320"/>
        <w:spacing w:after="0" w:line="306" w:lineRule="auto"/>
        <w:rPr>
          <w:sz w:val="20"/>
          <w:szCs w:val="20"/>
          <w:color w:val="auto"/>
        </w:rPr>
      </w:pPr>
      <w:r>
        <w:rPr>
          <w:rFonts w:ascii="Arial" w:cs="Arial" w:eastAsia="Arial" w:hAnsi="Arial"/>
          <w:sz w:val="16"/>
          <w:szCs w:val="16"/>
          <w:color w:val="auto"/>
        </w:rPr>
        <w:t xml:space="preserve">On October 26, 2021, GasLog Partners and GasLog completed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respectively, with a wholly-owned subsidiary of China Development Bank Financial Leasing Co., Ltd. ("CDBL"). The vessels were sold and leased back under bareboat charters with CDBL for a period of five years with no repurchase option or obligation.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entities in the Group have a December 31st year end. During 2021, the Group employed an average of 159 employees (2020: 176</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and 2019: 163).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0" w:lineRule="exact"/>
        <w:rPr>
          <w:sz w:val="20"/>
          <w:szCs w:val="20"/>
          <w:color w:val="auto"/>
        </w:rPr>
      </w:pPr>
    </w:p>
    <w:p>
      <w:pPr>
        <w:ind w:right="300" w:firstLine="320"/>
        <w:spacing w:after="0" w:line="270" w:lineRule="auto"/>
        <w:rPr>
          <w:sz w:val="20"/>
          <w:szCs w:val="20"/>
          <w:color w:val="auto"/>
        </w:rPr>
      </w:pPr>
      <w:r>
        <w:rPr>
          <w:rFonts w:ascii="Arial" w:cs="Arial" w:eastAsia="Arial" w:hAnsi="Arial"/>
          <w:sz w:val="18"/>
          <w:szCs w:val="18"/>
          <w:color w:val="auto"/>
        </w:rPr>
        <w:t>The consolidated financial statements of GasLog and its subsidiaries have been prepared in accordance with IFRS as issued by the International Accounting Standards Board (the "IASB").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approval</w:t>
      </w:r>
    </w:p>
    <w:p>
      <w:pPr>
        <w:spacing w:after="0" w:line="220" w:lineRule="exact"/>
        <w:rPr>
          <w:sz w:val="20"/>
          <w:szCs w:val="20"/>
          <w:color w:val="auto"/>
        </w:rPr>
      </w:pPr>
    </w:p>
    <w:p>
      <w:pPr>
        <w:ind w:right="20" w:firstLine="320"/>
        <w:spacing w:after="0" w:line="281" w:lineRule="auto"/>
        <w:rPr>
          <w:sz w:val="20"/>
          <w:szCs w:val="20"/>
          <w:color w:val="auto"/>
        </w:rPr>
      </w:pPr>
      <w:r>
        <w:rPr>
          <w:rFonts w:ascii="Arial" w:cs="Arial" w:eastAsia="Arial" w:hAnsi="Arial"/>
          <w:sz w:val="17"/>
          <w:szCs w:val="17"/>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0" w:lineRule="exact"/>
        <w:rPr>
          <w:sz w:val="20"/>
          <w:szCs w:val="20"/>
          <w:color w:val="auto"/>
        </w:rPr>
      </w:pPr>
    </w:p>
    <w:p>
      <w:pPr>
        <w:ind w:right="40" w:firstLine="320"/>
        <w:spacing w:after="0" w:line="289" w:lineRule="auto"/>
        <w:rPr>
          <w:sz w:val="20"/>
          <w:szCs w:val="20"/>
          <w:color w:val="auto"/>
        </w:rPr>
      </w:pPr>
      <w:r>
        <w:rPr>
          <w:rFonts w:ascii="Arial" w:cs="Arial" w:eastAsia="Arial" w:hAnsi="Arial"/>
          <w:sz w:val="16"/>
          <w:szCs w:val="16"/>
          <w:color w:val="auto"/>
        </w:rPr>
        <w:t>In considering going concern management has reviewed the Group’s future cash requirements, covenant compliance and earnings projections. As of December 31, 2021, the Group's current assets totaled $325,580, while current liabilities totaled $779,123, resulting in a negative working capital position of $453,543. Current liabilities include $315,000 relating to the 8.875% senior unsecured notes due in 2022 (the "8.875% Senior Notes"), that mature on March 22, 2022 and which we have successfully refinanced with the Note Purchase Agreement defined in Note 13, and $69,768 of unearned revenue in relation to hires received in advance of December 31, 2021 (which represents a non-cash liability that will be recognized as revenue in January as the services are rendered).</w:t>
      </w:r>
    </w:p>
    <w:p>
      <w:pPr>
        <w:spacing w:after="0" w:line="165"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Management anticipates that our primary sources of funds over the next twelve months will be available cash, cash from operations, existing and new borrowings, the refinancing of the 8.875% Senior Notes we concluded in September 2021 and future sale and leaseback transactions. Management believes that these anticipated sources of funds will be sufficient for the Company to meet its liquidity needs and to comply with its financial covenants for at least twelve months from the date of this report and therefore it is appropriate to prepare the financial statements on a going concern basis.</w:t>
      </w:r>
    </w:p>
    <w:p>
      <w:pPr>
        <w:spacing w:after="0" w:line="168" w:lineRule="exact"/>
        <w:rPr>
          <w:sz w:val="20"/>
          <w:szCs w:val="20"/>
          <w:color w:val="auto"/>
        </w:rPr>
      </w:pPr>
    </w:p>
    <w:p>
      <w:pPr>
        <w:jc w:val="both"/>
        <w:ind w:right="80" w:firstLine="320"/>
        <w:spacing w:after="0" w:line="258" w:lineRule="auto"/>
        <w:rPr>
          <w:sz w:val="20"/>
          <w:szCs w:val="20"/>
          <w:color w:val="auto"/>
        </w:rPr>
      </w:pPr>
      <w:r>
        <w:rPr>
          <w:rFonts w:ascii="Arial" w:cs="Arial" w:eastAsia="Arial" w:hAnsi="Arial"/>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ectPr>
          <w:pgSz w:w="11900" w:h="16838" w:orient="portrait"/>
          <w:cols w:equalWidth="0" w:num="1">
            <w:col w:w="9900"/>
          </w:cols>
          <w:pgMar w:left="980" w:top="659"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March 9, 2022, the financial statements were authorized on behalf of GasLog's board of directors for issuance and filing.</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accounting policies are set out below.</w:t>
      </w:r>
    </w:p>
    <w:p>
      <w:pPr>
        <w:spacing w:after="0" w:line="220" w:lineRule="exact"/>
        <w:rPr>
          <w:sz w:val="20"/>
          <w:szCs w:val="20"/>
          <w:color w:val="auto"/>
        </w:rPr>
      </w:pPr>
    </w:p>
    <w:p>
      <w:pPr>
        <w:ind w:right="20" w:firstLine="320"/>
        <w:spacing w:after="0" w:line="266" w:lineRule="auto"/>
        <w:rPr>
          <w:sz w:val="20"/>
          <w:szCs w:val="20"/>
          <w:color w:val="auto"/>
        </w:rPr>
      </w:pPr>
      <w:r>
        <w:rPr>
          <w:rFonts w:ascii="Arial" w:cs="Arial" w:eastAsia="Arial" w:hAnsi="Arial"/>
          <w:sz w:val="17"/>
          <w:szCs w:val="17"/>
          <w:color w:val="auto"/>
        </w:rPr>
        <w:t xml:space="preserve">Until December 31, 2020, interest paid and movements of cash collaterals for swaps were presented in the consolidated statement of cash flows under cash provided by operating activities. IAS 7 </w:t>
      </w:r>
      <w:r>
        <w:rPr>
          <w:rFonts w:ascii="Arial" w:cs="Arial" w:eastAsia="Arial" w:hAnsi="Arial"/>
          <w:sz w:val="17"/>
          <w:szCs w:val="17"/>
          <w:i w:val="1"/>
          <w:iCs w:val="1"/>
          <w:color w:val="auto"/>
        </w:rPr>
        <w:t>Cash Flow Statement</w:t>
      </w:r>
      <w:r>
        <w:rPr>
          <w:rFonts w:ascii="Arial" w:cs="Arial" w:eastAsia="Arial" w:hAnsi="Arial"/>
          <w:sz w:val="17"/>
          <w:szCs w:val="17"/>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elected to reclassify interest paid including cash paid for interest rate swaps held for trading and the movements of cash collateral related to the Group’s swaps under cash used in financing activities. Management believes that the revised classification provides a more comprehensive view on the cost of financing the Group’s operations and it better reflects management’s view of the financing nature of these transactions. Comparative figures have been retrospectively adjusted to reflect this change in policy in the statement of cash flows,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w w:val="92"/>
              </w:rPr>
              <w:t>Year ended December 31, 2019</w:t>
            </w: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As previously reported</w:t>
            </w: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317,423</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(442,978)</w:t>
            </w:r>
          </w:p>
        </w:tc>
        <w:tc>
          <w:tcPr>
            <w:tcW w:w="1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(442,978)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420" w:type="dxa"/>
            <w:vAlign w:val="bottom"/>
          </w:tcPr>
          <w:p>
            <w:pPr>
              <w:jc w:val="right"/>
              <w:spacing w:after="0"/>
              <w:rPr>
                <w:sz w:val="20"/>
                <w:szCs w:val="20"/>
                <w:color w:val="auto"/>
              </w:rPr>
            </w:pPr>
            <w:r>
              <w:rPr>
                <w:rFonts w:ascii="Arial" w:cs="Arial" w:eastAsia="Arial" w:hAnsi="Arial"/>
                <w:sz w:val="18"/>
                <w:szCs w:val="18"/>
                <w:color w:val="auto"/>
              </w:rPr>
              <w:t>(3,358)</w:t>
            </w:r>
          </w:p>
        </w:tc>
        <w:tc>
          <w:tcPr>
            <w:tcW w:w="1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(78,847)</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(78,847)</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w w:val="92"/>
              </w:rPr>
              <w:t>Year ended December 31, 2020</w:t>
            </w: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As previously reported</w:t>
            </w: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288,951</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Pr>
          <w:p>
            <w:pPr>
              <w:jc w:val="right"/>
              <w:spacing w:after="0"/>
              <w:rPr>
                <w:sz w:val="20"/>
                <w:szCs w:val="20"/>
                <w:color w:val="auto"/>
              </w:rPr>
            </w:pPr>
            <w:r>
              <w:rPr>
                <w:rFonts w:ascii="Arial" w:cs="Arial" w:eastAsia="Arial" w:hAnsi="Arial"/>
                <w:sz w:val="18"/>
                <w:szCs w:val="18"/>
                <w:color w:val="auto"/>
              </w:rPr>
              <w:t>(729,569)</w:t>
            </w:r>
          </w:p>
        </w:tc>
        <w:tc>
          <w:tcPr>
            <w:tcW w:w="1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(729,569)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545,954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42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103,522</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103,522</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0" w:lineRule="exact"/>
        <w:rPr>
          <w:sz w:val="20"/>
          <w:szCs w:val="20"/>
          <w:color w:val="auto"/>
        </w:rPr>
      </w:pPr>
    </w:p>
    <w:p>
      <w:pPr>
        <w:ind w:right="800" w:firstLine="320"/>
        <w:spacing w:after="0" w:line="270" w:lineRule="auto"/>
        <w:rPr>
          <w:sz w:val="20"/>
          <w:szCs w:val="20"/>
          <w:color w:val="auto"/>
        </w:rPr>
      </w:pPr>
      <w:r>
        <w:rPr>
          <w:rFonts w:ascii="Arial" w:cs="Arial" w:eastAsia="Arial" w:hAnsi="Arial"/>
          <w:sz w:val="18"/>
          <w:szCs w:val="18"/>
          <w:color w:val="auto"/>
        </w:rPr>
        <w:t>The consolidated financial statements incorporate the financial statements of GasLog and entities controlled by GasLog (its subsidiaries). Control is achieved where GasLog:</w:t>
      </w:r>
    </w:p>
    <w:p>
      <w:pPr>
        <w:spacing w:after="0" w:line="175" w:lineRule="exact"/>
        <w:rPr>
          <w:sz w:val="20"/>
          <w:szCs w:val="20"/>
          <w:color w:val="auto"/>
        </w:rPr>
      </w:pPr>
    </w:p>
    <w:p>
      <w:pPr>
        <w:ind w:left="680" w:hanging="32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19" w:lineRule="exact"/>
        <w:rPr>
          <w:rFonts w:ascii="Arial" w:cs="Arial" w:eastAsia="Arial" w:hAnsi="Arial"/>
          <w:sz w:val="18"/>
          <w:szCs w:val="18"/>
          <w:color w:val="auto"/>
        </w:rPr>
      </w:pPr>
    </w:p>
    <w:p>
      <w:pPr>
        <w:ind w:left="680" w:hanging="32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the ability to use its power to affect its returns.</w:t>
      </w:r>
    </w:p>
    <w:p>
      <w:pPr>
        <w:spacing w:after="0" w:line="220" w:lineRule="exact"/>
        <w:rPr>
          <w:sz w:val="20"/>
          <w:szCs w:val="20"/>
          <w:color w:val="auto"/>
        </w:rPr>
      </w:pPr>
    </w:p>
    <w:p>
      <w:pPr>
        <w:ind w:firstLine="320"/>
        <w:spacing w:after="0" w:line="333" w:lineRule="auto"/>
        <w:rPr>
          <w:sz w:val="20"/>
          <w:szCs w:val="20"/>
          <w:color w:val="auto"/>
        </w:rPr>
      </w:pPr>
      <w:r>
        <w:rPr>
          <w:rFonts w:ascii="Arial" w:cs="Arial" w:eastAsia="Arial" w:hAnsi="Arial"/>
          <w:sz w:val="16"/>
          <w:szCs w:val="16"/>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intra-group transactions, balances, income and expenses are eliminated in full on consolidation.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80" w:firstLine="320"/>
        <w:spacing w:after="0" w:line="296" w:lineRule="auto"/>
        <w:rPr>
          <w:sz w:val="20"/>
          <w:szCs w:val="20"/>
          <w:color w:val="auto"/>
        </w:rPr>
      </w:pPr>
      <w:r>
        <w:rPr>
          <w:rFonts w:ascii="Arial" w:cs="Arial" w:eastAsia="Arial" w:hAnsi="Arial"/>
          <w:sz w:val="16"/>
          <w:szCs w:val="16"/>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 such subsidiaries.</w:t>
      </w:r>
    </w:p>
    <w:p>
      <w:pPr>
        <w:spacing w:after="0" w:line="160" w:lineRule="exact"/>
        <w:rPr>
          <w:sz w:val="20"/>
          <w:szCs w:val="20"/>
          <w:color w:val="auto"/>
        </w:rPr>
      </w:pPr>
    </w:p>
    <w:p>
      <w:pPr>
        <w:ind w:right="440" w:firstLine="320"/>
        <w:spacing w:after="0" w:line="270" w:lineRule="auto"/>
        <w:rPr>
          <w:sz w:val="20"/>
          <w:szCs w:val="20"/>
          <w:color w:val="auto"/>
        </w:rPr>
      </w:pPr>
      <w:r>
        <w:rPr>
          <w:rFonts w:ascii="Arial" w:cs="Arial" w:eastAsia="Arial" w:hAnsi="Arial"/>
          <w:sz w:val="18"/>
          <w:szCs w:val="18"/>
          <w:color w:val="auto"/>
        </w:rPr>
        <w:t>Total comprehensive income is attributed to a non-controlling interest even if this results in the non-controlling interest having a deficit balance.</w:t>
      </w:r>
    </w:p>
    <w:p>
      <w:pPr>
        <w:spacing w:after="0" w:line="175" w:lineRule="exact"/>
        <w:rPr>
          <w:sz w:val="20"/>
          <w:szCs w:val="20"/>
          <w:color w:val="auto"/>
        </w:rPr>
      </w:pPr>
    </w:p>
    <w:p>
      <w:pPr>
        <w:ind w:right="80" w:firstLine="320"/>
        <w:spacing w:after="0" w:line="296" w:lineRule="auto"/>
        <w:rPr>
          <w:sz w:val="20"/>
          <w:szCs w:val="20"/>
          <w:color w:val="auto"/>
        </w:rPr>
      </w:pPr>
      <w:r>
        <w:rPr>
          <w:rFonts w:ascii="Arial" w:cs="Arial" w:eastAsia="Arial" w:hAnsi="Arial"/>
          <w:sz w:val="16"/>
          <w:szCs w:val="16"/>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180" w:lineRule="exact"/>
        <w:rPr>
          <w:sz w:val="20"/>
          <w:szCs w:val="20"/>
          <w:color w:val="auto"/>
        </w:rPr>
      </w:pPr>
    </w:p>
    <w:p>
      <w:pPr>
        <w:ind w:firstLine="320"/>
        <w:spacing w:after="0" w:line="289" w:lineRule="auto"/>
        <w:rPr>
          <w:sz w:val="20"/>
          <w:szCs w:val="20"/>
          <w:color w:val="auto"/>
        </w:rPr>
      </w:pPr>
      <w:r>
        <w:rPr>
          <w:rFonts w:ascii="Arial" w:cs="Arial" w:eastAsia="Arial" w:hAnsi="Arial"/>
          <w:sz w:val="16"/>
          <w:szCs w:val="16"/>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disposal of a subsidiary, the attributable amount of goodwill is included in the determination of the profit or loss on disposal.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associates</w:t>
      </w:r>
    </w:p>
    <w:p>
      <w:pPr>
        <w:spacing w:after="0" w:line="220"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86" w:lineRule="exact"/>
        <w:rPr>
          <w:sz w:val="20"/>
          <w:szCs w:val="20"/>
          <w:color w:val="auto"/>
        </w:rPr>
      </w:pPr>
    </w:p>
    <w:p>
      <w:pPr>
        <w:ind w:right="20" w:firstLine="320"/>
        <w:spacing w:after="0" w:line="274" w:lineRule="auto"/>
        <w:rPr>
          <w:sz w:val="20"/>
          <w:szCs w:val="20"/>
          <w:color w:val="auto"/>
        </w:rPr>
      </w:pPr>
      <w:r>
        <w:rPr>
          <w:rFonts w:ascii="Arial" w:cs="Arial" w:eastAsia="Arial" w:hAnsi="Arial"/>
          <w:sz w:val="17"/>
          <w:szCs w:val="17"/>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Arial" w:cs="Arial" w:eastAsia="Arial" w:hAnsi="Arial"/>
          <w:sz w:val="17"/>
          <w:szCs w:val="17"/>
          <w:i w:val="1"/>
          <w:iCs w:val="1"/>
          <w:color w:val="auto"/>
        </w:rPr>
        <w:t>Non-current Assets Held for Sale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An impairment assessment of investments in associates is performed when there is an indication that the asset</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impaired or the impairment losses recognized in prior years no longer exist.</w:t>
      </w:r>
    </w:p>
    <w:p>
      <w:pPr>
        <w:spacing w:after="0" w:line="175" w:lineRule="exact"/>
        <w:rPr>
          <w:sz w:val="20"/>
          <w:szCs w:val="20"/>
          <w:color w:val="auto"/>
        </w:rPr>
      </w:pPr>
    </w:p>
    <w:p>
      <w:pPr>
        <w:ind w:right="780" w:firstLine="320"/>
        <w:spacing w:after="0" w:line="270" w:lineRule="auto"/>
        <w:rPr>
          <w:sz w:val="20"/>
          <w:szCs w:val="20"/>
          <w:color w:val="auto"/>
        </w:rPr>
      </w:pPr>
      <w:r>
        <w:rPr>
          <w:rFonts w:ascii="Arial" w:cs="Arial" w:eastAsia="Arial" w:hAnsi="Arial"/>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joint ventures</w:t>
      </w:r>
    </w:p>
    <w:p>
      <w:pPr>
        <w:spacing w:after="0" w:line="220" w:lineRule="exact"/>
        <w:rPr>
          <w:sz w:val="20"/>
          <w:szCs w:val="20"/>
          <w:color w:val="auto"/>
        </w:rPr>
      </w:pPr>
    </w:p>
    <w:p>
      <w:pPr>
        <w:jc w:val="both"/>
        <w:ind w:right="460" w:firstLine="320"/>
        <w:spacing w:after="0" w:line="258" w:lineRule="auto"/>
        <w:rPr>
          <w:sz w:val="20"/>
          <w:szCs w:val="20"/>
          <w:color w:val="auto"/>
        </w:rPr>
      </w:pPr>
      <w:r>
        <w:rPr>
          <w:rFonts w:ascii="Arial" w:cs="Arial" w:eastAsia="Arial" w:hAnsi="Arial"/>
          <w:sz w:val="18"/>
          <w:szCs w:val="18"/>
          <w:color w:val="auto"/>
        </w:rPr>
        <w:t>A joint arrangement is an arrangement where two or more parties have joint control. Joint control is established by a contractual arrangement that requires unanimous agreement on decisions made on relevant activities. Without the presence of joint control, joint arrangements do not exist.</w:t>
      </w:r>
    </w:p>
    <w:p>
      <w:pPr>
        <w:spacing w:after="0" w:line="186" w:lineRule="exact"/>
        <w:rPr>
          <w:sz w:val="20"/>
          <w:szCs w:val="20"/>
          <w:color w:val="auto"/>
        </w:rPr>
      </w:pPr>
    </w:p>
    <w:p>
      <w:pPr>
        <w:ind w:right="20" w:firstLine="320"/>
        <w:spacing w:after="0" w:line="268" w:lineRule="auto"/>
        <w:rPr>
          <w:sz w:val="20"/>
          <w:szCs w:val="20"/>
          <w:color w:val="auto"/>
        </w:rPr>
      </w:pPr>
      <w:r>
        <w:rPr>
          <w:rFonts w:ascii="Arial" w:cs="Arial" w:eastAsia="Arial" w:hAnsi="Arial"/>
          <w:sz w:val="17"/>
          <w:szCs w:val="17"/>
          <w:color w:val="auto"/>
        </w:rPr>
        <w:t xml:space="preserve">Under IFRS 11 </w:t>
      </w:r>
      <w:r>
        <w:rPr>
          <w:rFonts w:ascii="Arial" w:cs="Arial" w:eastAsia="Arial" w:hAnsi="Arial"/>
          <w:sz w:val="17"/>
          <w:szCs w:val="17"/>
          <w:i w:val="1"/>
          <w:iCs w:val="1"/>
          <w:color w:val="auto"/>
        </w:rPr>
        <w:t>Joint Arrangements,</w:t>
      </w:r>
      <w:r>
        <w:rPr>
          <w:rFonts w:ascii="Arial" w:cs="Arial" w:eastAsia="Arial" w:hAnsi="Arial"/>
          <w:sz w:val="17"/>
          <w:szCs w:val="17"/>
          <w:color w:val="auto"/>
        </w:rPr>
        <w:t xml:space="preserve"> investments in joint arrangements are classified as either joint operations or joint ventures. The classification depends on the contractual rights and obligations of each investor, rather than the legal structure of the joint arrangement. The arrangement is a joint operation when the contractual agreement provides rights to assets and obligations for liabilities for those parties sharing joint control. The joint arrangement is a joint venture when the agreement grants rights to the arrangement's net assets. The Cool Pool was a joint venture until June 2019 when a termination agreement was entered between GasLog and the Cool Pool. Interests in joint ventures are accounted for using the equity method (see Investment in associates above), after initially being recognized at cost in the consolidated statement of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0"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Lease income from operating leases of vessels where the Group is a lessor is recognized in the consolidated statement of profit or loss on a straight-line basis over the lease term. The respective leased assets are included in the statement of financial position based on their nature under "Tangible fixed assets".</w:t>
      </w:r>
    </w:p>
    <w:p>
      <w:pPr>
        <w:spacing w:after="0" w:line="186"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The Group is a lessee under vessel sale and leaseback arrangements and also leases various properties, vessel and office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at the date at which the leased asset is available for use by the Group.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31" w:lineRule="exact"/>
        <w:rPr>
          <w:sz w:val="20"/>
          <w:szCs w:val="20"/>
          <w:color w:val="auto"/>
        </w:rPr>
      </w:pPr>
    </w:p>
    <w:p>
      <w:pPr>
        <w:ind w:right="60" w:firstLine="320"/>
        <w:spacing w:after="0" w:line="283"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 (b) 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which is the Group's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The right-of-use asset is depreciated over its useful life or over the shorter of its useful life and the lease term if there is no reasonable certainty that the Group will obtain ownership at the end of the lease term. Payments associated with short-term leases and leases of low-value assets are recognized on a straight-line basis as an expense in the consolidated statement of profit or loss. Short-term leases are leases with a lease term of 12 months or less. Low-value items comprise of low value vessel or office equipment.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and presentation of government grants</w:t>
      </w:r>
    </w:p>
    <w:p>
      <w:pPr>
        <w:spacing w:after="0" w:line="220" w:lineRule="exact"/>
        <w:rPr>
          <w:sz w:val="20"/>
          <w:szCs w:val="20"/>
          <w:color w:val="auto"/>
        </w:rPr>
      </w:pPr>
    </w:p>
    <w:p>
      <w:pPr>
        <w:ind w:right="580" w:firstLine="320"/>
        <w:spacing w:after="0" w:line="415" w:lineRule="auto"/>
        <w:rPr>
          <w:sz w:val="20"/>
          <w:szCs w:val="20"/>
          <w:color w:val="auto"/>
        </w:rPr>
      </w:pPr>
      <w:r>
        <w:rPr>
          <w:rFonts w:ascii="Arial" w:cs="Arial" w:eastAsia="Arial" w:hAnsi="Arial"/>
          <w:sz w:val="14"/>
          <w:szCs w:val="14"/>
          <w:color w:val="auto"/>
        </w:rPr>
        <w:t>Government grants relating to costs are deferred and recognized in the consolidated statement of profit or loss over the period necessary to match them with the costs that they are intended to compensate. Government grants relating to income are included in</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non-current liabilities as deferred income and are credited to the consolidated statement of profit or loss on a straight-line basis as costs are incurred over the duration of the specific project.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0" w:lineRule="exact"/>
        <w:rPr>
          <w:sz w:val="20"/>
          <w:szCs w:val="20"/>
          <w:color w:val="auto"/>
        </w:rPr>
      </w:pPr>
    </w:p>
    <w:p>
      <w:pPr>
        <w:ind w:right="180" w:firstLine="320"/>
        <w:spacing w:after="0" w:line="333" w:lineRule="auto"/>
        <w:rPr>
          <w:sz w:val="20"/>
          <w:szCs w:val="20"/>
          <w:color w:val="auto"/>
        </w:rPr>
      </w:pPr>
      <w:r>
        <w:rPr>
          <w:rFonts w:ascii="Arial" w:cs="Arial" w:eastAsia="Arial" w:hAnsi="Arial"/>
          <w:sz w:val="16"/>
          <w:szCs w:val="16"/>
          <w:color w:val="auto"/>
        </w:rPr>
        <w:t>The Group’s revenues comprise revenues from time charters for the charter hire of its vessels, gross pool revenues (until July 2019), management fees, project supervision income and other income earned during the period in accordance with existing contracts.</w:t>
      </w:r>
    </w:p>
    <w:p>
      <w:pPr>
        <w:spacing w:after="0" w:line="130" w:lineRule="exact"/>
        <w:rPr>
          <w:sz w:val="20"/>
          <w:szCs w:val="20"/>
          <w:color w:val="auto"/>
        </w:rPr>
      </w:pPr>
    </w:p>
    <w:p>
      <w:pPr>
        <w:ind w:right="100" w:firstLine="320"/>
        <w:spacing w:after="0" w:line="337" w:lineRule="auto"/>
        <w:rPr>
          <w:sz w:val="20"/>
          <w:szCs w:val="20"/>
          <w:color w:val="auto"/>
        </w:rPr>
      </w:pPr>
      <w:r>
        <w:rPr>
          <w:rFonts w:ascii="Arial" w:cs="Arial" w:eastAsia="Arial" w:hAnsi="Arial"/>
          <w:sz w:val="14"/>
          <w:szCs w:val="14"/>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71" w:lineRule="exact"/>
        <w:rPr>
          <w:sz w:val="20"/>
          <w:szCs w:val="20"/>
          <w:color w:val="auto"/>
        </w:rPr>
      </w:pPr>
    </w:p>
    <w:p>
      <w:pPr>
        <w:ind w:firstLine="320"/>
        <w:spacing w:after="0" w:line="337" w:lineRule="auto"/>
        <w:rPr>
          <w:sz w:val="20"/>
          <w:szCs w:val="20"/>
          <w:color w:val="auto"/>
        </w:rPr>
      </w:pPr>
      <w:r>
        <w:rPr>
          <w:rFonts w:ascii="Arial" w:cs="Arial" w:eastAsia="Arial" w:hAnsi="Arial"/>
          <w:sz w:val="14"/>
          <w:szCs w:val="14"/>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w:t>
      </w:r>
    </w:p>
    <w:p>
      <w:pPr>
        <w:spacing w:after="0" w:line="58" w:lineRule="exact"/>
        <w:rPr>
          <w:sz w:val="20"/>
          <w:szCs w:val="20"/>
          <w:color w:val="auto"/>
        </w:rPr>
      </w:pPr>
    </w:p>
    <w:p>
      <w:pPr>
        <w:jc w:val="both"/>
        <w:ind w:right="60" w:firstLine="320"/>
        <w:spacing w:after="0" w:line="255" w:lineRule="auto"/>
        <w:rPr>
          <w:sz w:val="20"/>
          <w:szCs w:val="20"/>
          <w:color w:val="auto"/>
        </w:rPr>
      </w:pPr>
      <w:r>
        <w:rPr>
          <w:rFonts w:ascii="Arial" w:cs="Arial" w:eastAsia="Arial" w:hAnsi="Arial"/>
          <w:sz w:val="18"/>
          <w:szCs w:val="18"/>
          <w:color w:val="auto"/>
        </w:rPr>
        <w:t>Pool revenues were recognized on a gross basis representing time charter revenues earned by GasLog vessels participating in the pool under charter agreements where GasLog contracts directly with charterers. Revenues were recognized on a monthly basis, when the vessel was made available and services were provided to the charterer during the period, the amount could be estimated reliably and collection of the related revenue was reasonably assured.</w:t>
      </w:r>
    </w:p>
    <w:p>
      <w:pPr>
        <w:spacing w:after="0" w:line="121" w:lineRule="exact"/>
        <w:rPr>
          <w:sz w:val="20"/>
          <w:szCs w:val="20"/>
          <w:color w:val="auto"/>
        </w:rPr>
      </w:pPr>
    </w:p>
    <w:p>
      <w:pPr>
        <w:ind w:right="380" w:firstLine="320"/>
        <w:spacing w:after="0" w:line="300" w:lineRule="auto"/>
        <w:rPr>
          <w:sz w:val="20"/>
          <w:szCs w:val="20"/>
          <w:color w:val="auto"/>
        </w:rPr>
      </w:pPr>
      <w:r>
        <w:rPr>
          <w:rFonts w:ascii="Arial" w:cs="Arial" w:eastAsia="Arial" w:hAnsi="Arial"/>
          <w:sz w:val="17"/>
          <w:szCs w:val="17"/>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Time charter hires received in advance are classified as liabilities until the criteria for recognizing the revenue as earned are met.</w:t>
      </w:r>
    </w:p>
    <w:p>
      <w:pPr>
        <w:spacing w:after="0" w:line="243" w:lineRule="exact"/>
        <w:rPr>
          <w:sz w:val="20"/>
          <w:szCs w:val="20"/>
          <w:color w:val="auto"/>
        </w:rPr>
      </w:pPr>
    </w:p>
    <w:p>
      <w:pPr>
        <w:ind w:right="200" w:firstLine="320"/>
        <w:spacing w:after="0" w:line="281" w:lineRule="auto"/>
        <w:rPr>
          <w:sz w:val="20"/>
          <w:szCs w:val="20"/>
          <w:color w:val="auto"/>
        </w:rPr>
      </w:pPr>
      <w:r>
        <w:rPr>
          <w:rFonts w:ascii="Arial" w:cs="Arial" w:eastAsia="Arial" w:hAnsi="Arial"/>
          <w:sz w:val="17"/>
          <w:szCs w:val="17"/>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87" w:lineRule="exact"/>
        <w:rPr>
          <w:sz w:val="20"/>
          <w:szCs w:val="20"/>
          <w:color w:val="auto"/>
        </w:rPr>
      </w:pPr>
    </w:p>
    <w:p>
      <w:pPr>
        <w:ind w:right="60" w:firstLine="320"/>
        <w:spacing w:after="0" w:line="267" w:lineRule="auto"/>
        <w:rPr>
          <w:sz w:val="20"/>
          <w:szCs w:val="20"/>
          <w:color w:val="auto"/>
        </w:rPr>
      </w:pPr>
      <w:r>
        <w:rPr>
          <w:rFonts w:ascii="Arial" w:cs="Arial" w:eastAsia="Arial" w:hAnsi="Arial"/>
          <w:sz w:val="17"/>
          <w:szCs w:val="17"/>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to match the recognition of the respective hire revenues realized, and not at a certain point in time following the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0" w:lineRule="exact"/>
        <w:rPr>
          <w:sz w:val="20"/>
          <w:szCs w:val="20"/>
          <w:color w:val="auto"/>
        </w:rPr>
      </w:pPr>
    </w:p>
    <w:p>
      <w:pPr>
        <w:ind w:right="160" w:firstLine="320"/>
        <w:spacing w:after="0" w:line="255" w:lineRule="auto"/>
        <w:rPr>
          <w:sz w:val="20"/>
          <w:szCs w:val="20"/>
          <w:color w:val="auto"/>
        </w:rPr>
      </w:pPr>
      <w:r>
        <w:rPr>
          <w:rFonts w:ascii="Arial" w:cs="Arial" w:eastAsia="Arial" w:hAnsi="Arial"/>
          <w:sz w:val="18"/>
          <w:szCs w:val="18"/>
          <w:color w:val="auto"/>
        </w:rPr>
        <w:t>In relation to the vessels' participation in the Cool Pool (until July 2019),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Interest income is recognized on an accrual basis. Dividend income is recognized when the right to receive payment is established.</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other borrowing costs and realized loss on CCSs are recognized on an accrual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0" w:lineRule="exact"/>
        <w:rPr>
          <w:sz w:val="20"/>
          <w:szCs w:val="20"/>
          <w:color w:val="auto"/>
        </w:rPr>
      </w:pPr>
    </w:p>
    <w:p>
      <w:pPr>
        <w:ind w:right="20" w:firstLine="320"/>
        <w:spacing w:after="0" w:line="271" w:lineRule="auto"/>
        <w:rPr>
          <w:sz w:val="20"/>
          <w:szCs w:val="20"/>
          <w:color w:val="auto"/>
        </w:rPr>
      </w:pPr>
      <w:r>
        <w:rPr>
          <w:rFonts w:ascii="Arial" w:cs="Arial" w:eastAsia="Arial" w:hAnsi="Arial"/>
          <w:sz w:val="17"/>
          <w:szCs w:val="17"/>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and bonds are classified in Financial costs, while all other foreign exchange differences are classified in General and administrative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for undrawn facilities</w:t>
      </w:r>
    </w:p>
    <w:p>
      <w:pPr>
        <w:spacing w:after="0" w:line="220" w:lineRule="exact"/>
        <w:rPr>
          <w:sz w:val="20"/>
          <w:szCs w:val="20"/>
          <w:color w:val="auto"/>
        </w:rPr>
      </w:pPr>
    </w:p>
    <w:p>
      <w:pPr>
        <w:ind w:right="40" w:firstLine="320"/>
        <w:spacing w:after="0" w:line="281" w:lineRule="auto"/>
        <w:rPr>
          <w:sz w:val="20"/>
          <w:szCs w:val="20"/>
          <w:color w:val="auto"/>
        </w:rPr>
      </w:pPr>
      <w:r>
        <w:rPr>
          <w:rFonts w:ascii="Arial" w:cs="Arial" w:eastAsia="Arial" w:hAnsi="Arial"/>
          <w:sz w:val="17"/>
          <w:szCs w:val="17"/>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167" w:lineRule="exact"/>
        <w:rPr>
          <w:sz w:val="20"/>
          <w:szCs w:val="20"/>
          <w:color w:val="auto"/>
        </w:rPr>
      </w:pPr>
    </w:p>
    <w:p>
      <w:pPr>
        <w:jc w:val="both"/>
        <w:ind w:right="220" w:firstLine="320"/>
        <w:spacing w:after="0" w:line="258" w:lineRule="auto"/>
        <w:rPr>
          <w:sz w:val="20"/>
          <w:szCs w:val="20"/>
          <w:color w:val="auto"/>
        </w:rPr>
      </w:pPr>
      <w:r>
        <w:rPr>
          <w:rFonts w:ascii="Arial" w:cs="Arial" w:eastAsia="Arial" w:hAnsi="Arial"/>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assets held for sale</w:t>
      </w:r>
    </w:p>
    <w:p>
      <w:pPr>
        <w:spacing w:after="0" w:line="220" w:lineRule="exact"/>
        <w:rPr>
          <w:sz w:val="20"/>
          <w:szCs w:val="20"/>
          <w:color w:val="auto"/>
        </w:rPr>
      </w:pPr>
    </w:p>
    <w:p>
      <w:pPr>
        <w:ind w:firstLine="320"/>
        <w:spacing w:after="0" w:line="287" w:lineRule="auto"/>
        <w:rPr>
          <w:sz w:val="20"/>
          <w:szCs w:val="20"/>
          <w:color w:val="auto"/>
        </w:rPr>
      </w:pPr>
      <w:r>
        <w:rPr>
          <w:rFonts w:ascii="Arial" w:cs="Arial" w:eastAsia="Arial" w:hAnsi="Arial"/>
          <w:sz w:val="16"/>
          <w:szCs w:val="16"/>
          <w:color w:val="auto"/>
        </w:rPr>
        <w:t>Non-current assets (such as vessels)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0" w:lineRule="exact"/>
        <w:rPr>
          <w:sz w:val="20"/>
          <w:szCs w:val="20"/>
          <w:color w:val="auto"/>
        </w:rPr>
      </w:pPr>
    </w:p>
    <w:p>
      <w:pPr>
        <w:ind w:right="260" w:firstLine="320"/>
        <w:spacing w:after="0" w:line="258" w:lineRule="auto"/>
        <w:rPr>
          <w:sz w:val="20"/>
          <w:szCs w:val="20"/>
          <w:color w:val="auto"/>
        </w:rPr>
      </w:pPr>
      <w:r>
        <w:rPr>
          <w:rFonts w:ascii="Arial" w:cs="Arial" w:eastAsia="Arial" w:hAnsi="Arial"/>
          <w:sz w:val="18"/>
          <w:szCs w:val="18"/>
          <w:color w:val="auto"/>
        </w:rPr>
        <w:t>Vessels under construction are presented at cost less identified impairment losses, if any. Costs include scheduled advance shipyard installment payments and other vessel costs incurred during the construction period that are directly attributable to the acquisition or construction of the vessels.</w:t>
      </w:r>
    </w:p>
    <w:p>
      <w:pPr>
        <w:spacing w:after="0" w:line="186" w:lineRule="exact"/>
        <w:rPr>
          <w:sz w:val="20"/>
          <w:szCs w:val="20"/>
          <w:color w:val="auto"/>
        </w:rPr>
      </w:pPr>
    </w:p>
    <w:p>
      <w:pPr>
        <w:ind w:right="60" w:firstLine="320"/>
        <w:spacing w:after="0" w:line="270" w:lineRule="auto"/>
        <w:rPr>
          <w:sz w:val="20"/>
          <w:szCs w:val="20"/>
          <w:color w:val="auto"/>
        </w:rPr>
      </w:pPr>
      <w:r>
        <w:rPr>
          <w:rFonts w:ascii="Arial" w:cs="Arial" w:eastAsia="Arial" w:hAnsi="Arial"/>
          <w:sz w:val="18"/>
          <w:szCs w:val="18"/>
          <w:color w:val="auto"/>
        </w:rPr>
        <w:t>Upon completion of the construction, the vessels are presented on the statement of financial position in accordance with the "Tangible fixed assets: Property, plant and equipment" policy as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fixed assets: Property, plant and equipment</w:t>
      </w:r>
    </w:p>
    <w:p>
      <w:pPr>
        <w:spacing w:after="0" w:line="220" w:lineRule="exact"/>
        <w:rPr>
          <w:sz w:val="20"/>
          <w:szCs w:val="20"/>
          <w:color w:val="auto"/>
        </w:rPr>
      </w:pPr>
    </w:p>
    <w:p>
      <w:pPr>
        <w:ind w:right="20" w:firstLine="320"/>
        <w:spacing w:after="0" w:line="292" w:lineRule="auto"/>
        <w:rPr>
          <w:sz w:val="20"/>
          <w:szCs w:val="20"/>
          <w:color w:val="auto"/>
        </w:rPr>
      </w:pPr>
      <w:r>
        <w:rPr>
          <w:rFonts w:ascii="Arial" w:cs="Arial" w:eastAsia="Arial" w:hAnsi="Arial"/>
          <w:sz w:val="16"/>
          <w:szCs w:val="16"/>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color w:val="auto"/>
        </w:rPr>
        <w:t>obtain from disposal of its vessels, after deducting the estimated costs of disposal, if the vessels were already of the age and in the condition expected at the end of their useful life.</w:t>
      </w:r>
    </w:p>
    <w:p>
      <w:pPr>
        <w:spacing w:after="0" w:line="175" w:lineRule="exact"/>
        <w:rPr>
          <w:sz w:val="20"/>
          <w:szCs w:val="20"/>
          <w:color w:val="auto"/>
        </w:rPr>
      </w:pPr>
    </w:p>
    <w:p>
      <w:pPr>
        <w:ind w:right="140" w:firstLine="320"/>
        <w:spacing w:after="0" w:line="296" w:lineRule="auto"/>
        <w:rPr>
          <w:sz w:val="20"/>
          <w:szCs w:val="20"/>
          <w:color w:val="auto"/>
        </w:rPr>
      </w:pPr>
      <w:r>
        <w:rPr>
          <w:rFonts w:ascii="Arial" w:cs="Arial" w:eastAsia="Arial" w:hAnsi="Arial"/>
          <w:sz w:val="16"/>
          <w:szCs w:val="16"/>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 similar types of vessels.</w:t>
      </w:r>
    </w:p>
    <w:p>
      <w:pPr>
        <w:spacing w:after="0" w:line="93" w:lineRule="exact"/>
        <w:rPr>
          <w:sz w:val="20"/>
          <w:szCs w:val="20"/>
          <w:color w:val="auto"/>
        </w:rPr>
      </w:pPr>
    </w:p>
    <w:p>
      <w:pPr>
        <w:ind w:right="20" w:firstLine="320"/>
        <w:spacing w:after="0" w:line="258" w:lineRule="auto"/>
        <w:rPr>
          <w:sz w:val="20"/>
          <w:szCs w:val="20"/>
          <w:color w:val="auto"/>
        </w:rPr>
      </w:pPr>
      <w:r>
        <w:rPr>
          <w:rFonts w:ascii="Arial" w:cs="Arial" w:eastAsia="Arial" w:hAnsi="Arial"/>
          <w:sz w:val="18"/>
          <w:szCs w:val="18"/>
          <w:color w:val="auto"/>
        </w:rPr>
        <w:t>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06" w:lineRule="exact"/>
        <w:rPr>
          <w:sz w:val="20"/>
          <w:szCs w:val="20"/>
          <w:color w:val="auto"/>
        </w:rPr>
      </w:pPr>
    </w:p>
    <w:p>
      <w:pPr>
        <w:ind w:right="120" w:firstLine="320"/>
        <w:spacing w:after="0" w:line="267" w:lineRule="auto"/>
        <w:rPr>
          <w:sz w:val="20"/>
          <w:szCs w:val="20"/>
          <w:color w:val="auto"/>
        </w:rPr>
      </w:pPr>
      <w:r>
        <w:rPr>
          <w:rFonts w:ascii="Arial" w:cs="Arial" w:eastAsia="Arial" w:hAnsi="Arial"/>
          <w:sz w:val="17"/>
          <w:szCs w:val="17"/>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115" w:lineRule="exact"/>
        <w:rPr>
          <w:sz w:val="20"/>
          <w:szCs w:val="20"/>
          <w:color w:val="auto"/>
        </w:rPr>
      </w:pPr>
    </w:p>
    <w:p>
      <w:pPr>
        <w:ind w:firstLine="320"/>
        <w:spacing w:after="0" w:line="289" w:lineRule="auto"/>
        <w:rPr>
          <w:sz w:val="20"/>
          <w:szCs w:val="20"/>
          <w:color w:val="auto"/>
        </w:rPr>
      </w:pPr>
      <w:r>
        <w:rPr>
          <w:rFonts w:ascii="Arial" w:cs="Arial" w:eastAsia="Arial" w:hAnsi="Arial"/>
          <w:sz w:val="16"/>
          <w:szCs w:val="16"/>
          <w:color w:val="auto"/>
        </w:rPr>
        <w:t>The LNG vessels are also required to undergo an underwater survey in lieu of dry-docking ("intermediate survey") in order to meet certain classification requirements. The intermediate survey component is recognized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expected useful lives of all long-lived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Vessel</w:t>
            </w:r>
          </w:p>
        </w:tc>
        <w:tc>
          <w:tcPr>
            <w:tcW w:w="3960" w:type="dxa"/>
            <w:vAlign w:val="bottom"/>
          </w:tcPr>
          <w:p>
            <w:pPr>
              <w:spacing w:after="0"/>
              <w:rPr>
                <w:sz w:val="14"/>
                <w:szCs w:val="14"/>
                <w:color w:val="auto"/>
              </w:rPr>
            </w:pPr>
          </w:p>
        </w:tc>
      </w:tr>
      <w:tr>
        <w:trPr>
          <w:trHeight w:val="207"/>
        </w:trPr>
        <w:tc>
          <w:tcPr>
            <w:tcW w:w="20" w:type="dxa"/>
            <w:vAlign w:val="bottom"/>
          </w:tcPr>
          <w:p>
            <w:pPr>
              <w:spacing w:after="0"/>
              <w:rPr>
                <w:sz w:val="17"/>
                <w:szCs w:val="17"/>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3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35 years</w:t>
            </w:r>
          </w:p>
        </w:tc>
      </w:tr>
      <w:tr>
        <w:trPr>
          <w:trHeight w:val="213"/>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Dry-docking component</w:t>
            </w:r>
          </w:p>
        </w:tc>
        <w:tc>
          <w:tcPr>
            <w:tcW w:w="3960" w:type="dxa"/>
            <w:vAlign w:val="bottom"/>
          </w:tcPr>
          <w:p>
            <w:pPr>
              <w:ind w:left="140"/>
              <w:spacing w:after="0"/>
              <w:rPr>
                <w:sz w:val="20"/>
                <w:szCs w:val="20"/>
                <w:color w:val="auto"/>
              </w:rPr>
            </w:pPr>
            <w:r>
              <w:rPr>
                <w:rFonts w:ascii="Arial" w:cs="Arial" w:eastAsia="Arial" w:hAnsi="Arial"/>
                <w:sz w:val="18"/>
                <w:szCs w:val="18"/>
                <w:color w:val="auto"/>
              </w:rPr>
              <w:t>5 years</w:t>
            </w: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Intermediate survey component</w:t>
            </w: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the period until the next dry-docking (i.e. 1-3 years)</w:t>
            </w:r>
          </w:p>
        </w:tc>
      </w:tr>
      <w:tr>
        <w:trPr>
          <w:trHeight w:val="213"/>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Furniture, computer, software and other office equipment</w:t>
            </w:r>
          </w:p>
        </w:tc>
        <w:tc>
          <w:tcPr>
            <w:tcW w:w="3960" w:type="dxa"/>
            <w:vAlign w:val="bottom"/>
          </w:tcPr>
          <w:p>
            <w:pPr>
              <w:ind w:left="140"/>
              <w:spacing w:after="0"/>
              <w:rPr>
                <w:sz w:val="20"/>
                <w:szCs w:val="20"/>
                <w:color w:val="auto"/>
              </w:rPr>
            </w:pPr>
            <w:r>
              <w:rPr>
                <w:rFonts w:ascii="Arial" w:cs="Arial" w:eastAsia="Arial" w:hAnsi="Arial"/>
                <w:sz w:val="18"/>
                <w:szCs w:val="18"/>
                <w:color w:val="auto"/>
              </w:rPr>
              <w:t>3-5 years</w:t>
            </w: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 years (or remaining term of the lease)</w:t>
            </w:r>
          </w:p>
        </w:tc>
      </w:tr>
    </w:tbl>
    <w:p>
      <w:pPr>
        <w:spacing w:after="0" w:line="199" w:lineRule="exact"/>
        <w:rPr>
          <w:sz w:val="20"/>
          <w:szCs w:val="20"/>
          <w:color w:val="auto"/>
        </w:rPr>
      </w:pPr>
    </w:p>
    <w:p>
      <w:pPr>
        <w:ind w:right="400" w:firstLine="320"/>
        <w:spacing w:after="0" w:line="270"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08" w:lineRule="exact"/>
        <w:rPr>
          <w:sz w:val="20"/>
          <w:szCs w:val="20"/>
          <w:color w:val="auto"/>
        </w:rPr>
      </w:pPr>
    </w:p>
    <w:p>
      <w:pPr>
        <w:ind w:right="140" w:firstLine="320"/>
        <w:spacing w:after="0" w:line="274" w:lineRule="auto"/>
        <w:rPr>
          <w:sz w:val="20"/>
          <w:szCs w:val="20"/>
          <w:color w:val="auto"/>
        </w:rPr>
      </w:pPr>
      <w:r>
        <w:rPr>
          <w:rFonts w:ascii="Arial" w:cs="Arial" w:eastAsia="Arial" w:hAnsi="Arial"/>
          <w:sz w:val="17"/>
          <w:szCs w:val="17"/>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the consolidated statement of profit or loss in the period of the change and future periods.</w:t>
      </w:r>
    </w:p>
    <w:p>
      <w:pPr>
        <w:spacing w:after="0" w:line="95" w:lineRule="exact"/>
        <w:rPr>
          <w:sz w:val="20"/>
          <w:szCs w:val="20"/>
          <w:color w:val="auto"/>
        </w:rPr>
      </w:pPr>
    </w:p>
    <w:p>
      <w:pPr>
        <w:ind w:right="40" w:firstLine="320"/>
        <w:spacing w:after="0" w:line="292" w:lineRule="auto"/>
        <w:rPr>
          <w:sz w:val="20"/>
          <w:szCs w:val="20"/>
          <w:color w:val="auto"/>
        </w:rPr>
      </w:pPr>
      <w:r>
        <w:rPr>
          <w:rFonts w:ascii="Arial" w:cs="Arial" w:eastAsia="Arial" w:hAnsi="Arial"/>
          <w:sz w:val="16"/>
          <w:szCs w:val="16"/>
          <w:color w:val="auto"/>
        </w:rPr>
        <w:t>Management estimates the residual value of its vessels to be equal to the product of their lightweight tonnage ("LWT") and an estimated scrap rate per LWT. Effective December 31, 2021, following management's annual reassessment, the estimated scrap rate per LWT was increased. This change in estimate is expected to decrease the future annual depreciation by $968. The estimated residual value of the vessels may not represent the fair market value at any time partly because market prices of scrap values tend to fluctuate. The Group might revise the estimate of the residual values of the vessels in the future in response to changing market conditions.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When assets are sold, they are derecognized and any gain or loss resulting from their disposal is included in the consolidated statement of profit or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tangible fixed assets, vessels under construction and right-of-use assets</w:t>
      </w:r>
    </w:p>
    <w:p>
      <w:pPr>
        <w:spacing w:after="0" w:line="220" w:lineRule="exact"/>
        <w:rPr>
          <w:sz w:val="20"/>
          <w:szCs w:val="20"/>
          <w:color w:val="auto"/>
        </w:rPr>
      </w:pPr>
    </w:p>
    <w:p>
      <w:pPr>
        <w:ind w:right="20" w:firstLine="320"/>
        <w:spacing w:after="0" w:line="286" w:lineRule="auto"/>
        <w:rPr>
          <w:sz w:val="20"/>
          <w:szCs w:val="20"/>
          <w:color w:val="auto"/>
        </w:rPr>
      </w:pPr>
      <w:r>
        <w:rPr>
          <w:rFonts w:ascii="Arial" w:cs="Arial" w:eastAsia="Arial" w:hAnsi="Arial"/>
          <w:sz w:val="16"/>
          <w:szCs w:val="16"/>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0" w:lineRule="exact"/>
        <w:rPr>
          <w:sz w:val="20"/>
          <w:szCs w:val="20"/>
          <w:color w:val="auto"/>
        </w:rPr>
      </w:pPr>
    </w:p>
    <w:p>
      <w:pPr>
        <w:ind w:right="160" w:firstLine="320"/>
        <w:spacing w:after="0" w:line="258" w:lineRule="auto"/>
        <w:rPr>
          <w:sz w:val="20"/>
          <w:szCs w:val="20"/>
          <w:color w:val="auto"/>
        </w:rPr>
      </w:pPr>
      <w:r>
        <w:rPr>
          <w:rFonts w:ascii="Arial" w:cs="Arial" w:eastAsia="Arial" w:hAnsi="Arial"/>
          <w:sz w:val="18"/>
          <w:szCs w:val="18"/>
          <w:color w:val="auto"/>
        </w:rPr>
        <w:t>Costs eligible for capitalization that are contractually reimbursable by our charterers are recognized on a gross basis in the period incurred under "Vessels". Concurrently, an equal amount is deferred as a liability and amortized to the consolidated statement of profit or loss as revenue over the remaining tenure of the charter party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0" w:lineRule="exact"/>
        <w:rPr>
          <w:sz w:val="20"/>
          <w:szCs w:val="20"/>
          <w:color w:val="auto"/>
        </w:rPr>
      </w:pPr>
    </w:p>
    <w:p>
      <w:pPr>
        <w:ind w:right="60" w:firstLine="320"/>
        <w:spacing w:after="0" w:line="287"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0" w:lineRule="exact"/>
        <w:rPr>
          <w:sz w:val="20"/>
          <w:szCs w:val="20"/>
          <w:color w:val="auto"/>
        </w:rPr>
      </w:pPr>
    </w:p>
    <w:p>
      <w:pPr>
        <w:ind w:right="220" w:firstLine="320"/>
        <w:spacing w:after="0" w:line="333" w:lineRule="auto"/>
        <w:rPr>
          <w:sz w:val="20"/>
          <w:szCs w:val="20"/>
          <w:color w:val="auto"/>
        </w:rPr>
      </w:pPr>
      <w:r>
        <w:rPr>
          <w:rFonts w:ascii="Arial" w:cs="Arial" w:eastAsia="Arial" w:hAnsi="Arial"/>
          <w:sz w:val="16"/>
          <w:szCs w:val="16"/>
          <w:color w:val="auto"/>
        </w:rPr>
        <w:t>Inventories represent lubricants on board the vessel and, in the event of a vessel not being employed under a charter, the bunkers on board the vessel. Inventories are stated at the lower of cost calculated on a first in, first out basis, and net realizable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0" w:lineRule="exact"/>
        <w:rPr>
          <w:sz w:val="20"/>
          <w:szCs w:val="20"/>
          <w:color w:val="auto"/>
        </w:rPr>
      </w:pPr>
    </w:p>
    <w:p>
      <w:pPr>
        <w:ind w:right="120" w:firstLine="320"/>
        <w:spacing w:after="0" w:line="296" w:lineRule="auto"/>
        <w:rPr>
          <w:sz w:val="20"/>
          <w:szCs w:val="20"/>
          <w:color w:val="auto"/>
        </w:rPr>
      </w:pPr>
      <w:r>
        <w:rPr>
          <w:rFonts w:ascii="Arial" w:cs="Arial" w:eastAsia="Arial" w:hAnsi="Arial"/>
          <w:sz w:val="16"/>
          <w:szCs w:val="16"/>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56" w:lineRule="exact"/>
        <w:rPr>
          <w:sz w:val="20"/>
          <w:szCs w:val="20"/>
          <w:color w:val="auto"/>
        </w:rPr>
      </w:pPr>
    </w:p>
    <w:p>
      <w:pPr>
        <w:ind w:left="680" w:hanging="326"/>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24" w:lineRule="exact"/>
        <w:rPr>
          <w:sz w:val="20"/>
          <w:szCs w:val="20"/>
          <w:color w:val="auto"/>
        </w:rPr>
      </w:pPr>
    </w:p>
    <w:p>
      <w:pPr>
        <w:jc w:val="both"/>
        <w:ind w:left="320" w:right="200"/>
        <w:spacing w:after="0" w:line="258" w:lineRule="auto"/>
        <w:rPr>
          <w:sz w:val="20"/>
          <w:szCs w:val="20"/>
          <w:color w:val="auto"/>
        </w:rPr>
      </w:pPr>
      <w:r>
        <w:rPr>
          <w:rFonts w:ascii="Arial" w:cs="Arial" w:eastAsia="Arial" w:hAnsi="Arial"/>
          <w:sz w:val="18"/>
          <w:szCs w:val="18"/>
          <w:color w:val="auto"/>
        </w:rPr>
        <w:t>Cash and cash equivalents includes cash on hand, deposits held at call with financial institutions and other short-term, highly liquid investments which are readily convertible into known amounts of cash with original maturities of three months or less at the time of purchase that are subject to an insignificant risk of change in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ind w:left="680" w:hanging="326"/>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224" w:lineRule="exact"/>
        <w:rPr>
          <w:sz w:val="20"/>
          <w:szCs w:val="20"/>
          <w:color w:val="auto"/>
        </w:rPr>
      </w:pPr>
    </w:p>
    <w:p>
      <w:pPr>
        <w:jc w:val="both"/>
        <w:ind w:left="320" w:right="420"/>
        <w:spacing w:after="0" w:line="333" w:lineRule="auto"/>
        <w:rPr>
          <w:sz w:val="20"/>
          <w:szCs w:val="20"/>
          <w:color w:val="auto"/>
        </w:rPr>
      </w:pPr>
      <w:r>
        <w:rPr>
          <w:rFonts w:ascii="Arial" w:cs="Arial" w:eastAsia="Arial" w:hAnsi="Arial"/>
          <w:sz w:val="16"/>
          <w:szCs w:val="16"/>
          <w:color w:val="auto"/>
        </w:rPr>
        <w:t>Restricted cash comprises cash held that is not available for use by the Group including cash held in blocked accounts in order to comply with the covenants under the Group’s credit facilities and amounts held as guarantees as part of stand-by letters of credit.</w:t>
      </w:r>
    </w:p>
    <w:p>
      <w:pPr>
        <w:spacing w:after="0" w:line="126" w:lineRule="exact"/>
        <w:rPr>
          <w:sz w:val="20"/>
          <w:szCs w:val="20"/>
          <w:color w:val="auto"/>
        </w:rPr>
      </w:pPr>
    </w:p>
    <w:p>
      <w:pPr>
        <w:ind w:left="680" w:hanging="326"/>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24" w:lineRule="exact"/>
        <w:rPr>
          <w:sz w:val="20"/>
          <w:szCs w:val="20"/>
          <w:color w:val="auto"/>
        </w:rPr>
      </w:pPr>
    </w:p>
    <w:p>
      <w:pPr>
        <w:ind w:left="320" w:right="400"/>
        <w:spacing w:after="0" w:line="258"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82" w:lineRule="exact"/>
        <w:rPr>
          <w:sz w:val="20"/>
          <w:szCs w:val="20"/>
          <w:color w:val="auto"/>
        </w:rPr>
      </w:pPr>
    </w:p>
    <w:p>
      <w:pPr>
        <w:ind w:left="680" w:hanging="326"/>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24" w:lineRule="exact"/>
        <w:rPr>
          <w:sz w:val="20"/>
          <w:szCs w:val="20"/>
          <w:color w:val="auto"/>
        </w:rPr>
      </w:pPr>
    </w:p>
    <w:p>
      <w:pPr>
        <w:ind w:left="320" w:right="20"/>
        <w:spacing w:after="0" w:line="271" w:lineRule="auto"/>
        <w:rPr>
          <w:sz w:val="20"/>
          <w:szCs w:val="20"/>
          <w:color w:val="auto"/>
        </w:rPr>
      </w:pPr>
      <w:r>
        <w:rPr>
          <w:rFonts w:ascii="Arial" w:cs="Arial" w:eastAsia="Arial" w:hAnsi="Arial"/>
          <w:sz w:val="17"/>
          <w:szCs w:val="17"/>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9 for further information about the Group's accounting for trade receivables.</w:t>
      </w:r>
    </w:p>
    <w:p>
      <w:pPr>
        <w:spacing w:after="0" w:line="177" w:lineRule="exact"/>
        <w:rPr>
          <w:sz w:val="20"/>
          <w:szCs w:val="20"/>
          <w:color w:val="auto"/>
        </w:rPr>
      </w:pPr>
    </w:p>
    <w:p>
      <w:pPr>
        <w:ind w:left="320" w:right="220"/>
        <w:spacing w:after="0" w:line="270" w:lineRule="auto"/>
        <w:rPr>
          <w:sz w:val="20"/>
          <w:szCs w:val="20"/>
          <w:color w:val="auto"/>
        </w:rPr>
      </w:pPr>
      <w:r>
        <w:rPr>
          <w:rFonts w:ascii="Arial" w:cs="Arial" w:eastAsia="Arial" w:hAnsi="Arial"/>
          <w:sz w:val="18"/>
          <w:szCs w:val="18"/>
          <w:color w:val="auto"/>
        </w:rPr>
        <w:t>The simplified approach is applied to trade and other receivables and the Group recognizes lifetime expected credit losses ("ECLs") on trade receivables. Under the simplified approach, the loss allowance is always equal to ECLs.</w:t>
      </w:r>
    </w:p>
    <w:p>
      <w:pPr>
        <w:spacing w:after="0" w:line="171" w:lineRule="exact"/>
        <w:rPr>
          <w:sz w:val="20"/>
          <w:szCs w:val="20"/>
          <w:color w:val="auto"/>
        </w:rPr>
      </w:pPr>
    </w:p>
    <w:p>
      <w:pPr>
        <w:ind w:left="680" w:hanging="326"/>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24" w:lineRule="exact"/>
        <w:rPr>
          <w:sz w:val="20"/>
          <w:szCs w:val="20"/>
          <w:color w:val="auto"/>
        </w:rPr>
      </w:pPr>
    </w:p>
    <w:p>
      <w:pPr>
        <w:ind w:left="320" w:right="180"/>
        <w:spacing w:after="0" w:line="281" w:lineRule="auto"/>
        <w:rPr>
          <w:sz w:val="20"/>
          <w:szCs w:val="20"/>
          <w:color w:val="auto"/>
        </w:rPr>
      </w:pPr>
      <w:r>
        <w:rPr>
          <w:rFonts w:ascii="Arial" w:cs="Arial" w:eastAsia="Arial" w:hAnsi="Arial"/>
          <w:sz w:val="17"/>
          <w:szCs w:val="17"/>
          <w:color w:val="auto"/>
        </w:rPr>
        <w:t>Borrowings are initially recognized at fair value (net of transaction costs). Borrowings are subsequently measured at amortized cost, using the effective interest rate method. Any difference between the proceeds (net of transaction costs) and the settlement of the borrowings is recognized in the consolidated statement of profit or loss over the term of the borrowings.</w:t>
      </w:r>
    </w:p>
    <w:p>
      <w:pPr>
        <w:spacing w:after="0" w:line="167" w:lineRule="exact"/>
        <w:rPr>
          <w:sz w:val="20"/>
          <w:szCs w:val="20"/>
          <w:color w:val="auto"/>
        </w:rPr>
      </w:pPr>
    </w:p>
    <w:p>
      <w:pPr>
        <w:ind w:left="320" w:right="340"/>
        <w:spacing w:after="0" w:line="270"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reporting period.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Borrowings also include arrangements such as sale and leaseback transactions with an option or obligation to repurchase the asset.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Group continues to recognize the asset and a financial liability for the amount of the consideration received from the customer.</w:t>
      </w:r>
    </w:p>
    <w:p>
      <w:pPr>
        <w:spacing w:after="0" w:line="226" w:lineRule="exact"/>
        <w:rPr>
          <w:sz w:val="20"/>
          <w:szCs w:val="20"/>
          <w:color w:val="auto"/>
        </w:rPr>
      </w:pPr>
    </w:p>
    <w:p>
      <w:pPr>
        <w:ind w:left="680" w:hanging="326"/>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24" w:lineRule="exact"/>
        <w:rPr>
          <w:sz w:val="20"/>
          <w:szCs w:val="20"/>
          <w:color w:val="auto"/>
        </w:rPr>
      </w:pPr>
    </w:p>
    <w:p>
      <w:pPr>
        <w:ind w:left="320" w:right="400"/>
        <w:spacing w:after="0" w:line="270" w:lineRule="auto"/>
        <w:rPr>
          <w:sz w:val="20"/>
          <w:szCs w:val="20"/>
          <w:color w:val="auto"/>
        </w:rPr>
      </w:pPr>
      <w:r>
        <w:rPr>
          <w:rFonts w:ascii="Arial" w:cs="Arial" w:eastAsia="Arial" w:hAnsi="Arial"/>
          <w:sz w:val="18"/>
          <w:szCs w:val="18"/>
          <w:color w:val="auto"/>
        </w:rPr>
        <w:t>The Group enters into a variety of derivative financial instruments to economically hedge its exposure to interest rate and foreign exchange rate risks, including interest rate swaps, CCSs and forward foreign exchange contracts.</w:t>
      </w:r>
    </w:p>
    <w:p>
      <w:pPr>
        <w:spacing w:after="0" w:line="175" w:lineRule="exact"/>
        <w:rPr>
          <w:sz w:val="20"/>
          <w:szCs w:val="20"/>
          <w:color w:val="auto"/>
        </w:rPr>
      </w:pPr>
    </w:p>
    <w:p>
      <w:pPr>
        <w:ind w:left="320"/>
        <w:spacing w:after="0" w:line="292" w:lineRule="auto"/>
        <w:rPr>
          <w:sz w:val="20"/>
          <w:szCs w:val="20"/>
          <w:color w:val="auto"/>
        </w:rPr>
      </w:pPr>
      <w:r>
        <w:rPr>
          <w:rFonts w:ascii="Arial" w:cs="Arial" w:eastAsia="Arial" w:hAnsi="Arial"/>
          <w:sz w:val="16"/>
          <w:szCs w:val="16"/>
          <w:color w:val="auto"/>
        </w:rPr>
        <w:t>Derivative financial instruments are initially recognized at fair value on the date the derivative contracts are entered into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162" w:lineRule="exact"/>
        <w:rPr>
          <w:sz w:val="20"/>
          <w:szCs w:val="20"/>
          <w:color w:val="auto"/>
        </w:rPr>
      </w:pPr>
    </w:p>
    <w:p>
      <w:pPr>
        <w:ind w:left="320" w:right="200"/>
        <w:spacing w:after="0" w:line="296" w:lineRule="auto"/>
        <w:rPr>
          <w:sz w:val="20"/>
          <w:szCs w:val="20"/>
          <w:color w:val="auto"/>
        </w:rPr>
      </w:pPr>
      <w:r>
        <w:rPr>
          <w:rFonts w:ascii="Arial" w:cs="Arial" w:eastAsia="Arial" w:hAnsi="Arial"/>
          <w:sz w:val="16"/>
          <w:szCs w:val="16"/>
          <w:color w:val="auto"/>
        </w:rPr>
        <w:t>The Group's criteria for classifying a derivative instrument in a hedging relationship include: (1) the existence of an economic relationship between the hedged item and the hedging instrument (i.e., the hedging instrument and hedged item must, based on an economic rationale, be expected to move in opposite directions as a result of a change in the hedged risk); (2) the effect of the credit risk should not dominate the value changes of either the hedged item or the hedging instrument (i.e., credit risk can arise 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spacing w:after="0" w:line="258" w:lineRule="auto"/>
        <w:rPr>
          <w:sz w:val="20"/>
          <w:szCs w:val="20"/>
          <w:color w:val="auto"/>
        </w:rPr>
      </w:pPr>
      <w:r>
        <w:rPr>
          <w:rFonts w:ascii="Arial" w:cs="Arial" w:eastAsia="Arial" w:hAnsi="Arial"/>
          <w:sz w:val="18"/>
          <w:szCs w:val="18"/>
          <w:color w:val="auto"/>
        </w:rPr>
        <w:t>both the hedging instrument and the hedged item in the form of the counterparty's credit risk or the entity's own credit risk); and (3) the hedge ratio (i.e., the ratio between the amount of hedged item and the amount of hedging instrument) of the hedging relationship is the same as that actually used in the economic hedge.</w:t>
      </w:r>
    </w:p>
    <w:p>
      <w:pPr>
        <w:spacing w:after="0" w:line="186" w:lineRule="exact"/>
        <w:rPr>
          <w:sz w:val="20"/>
          <w:szCs w:val="20"/>
          <w:color w:val="auto"/>
        </w:rPr>
      </w:pPr>
    </w:p>
    <w:p>
      <w:pPr>
        <w:jc w:val="both"/>
        <w:ind w:left="320" w:right="380"/>
        <w:spacing w:after="0" w:line="306" w:lineRule="auto"/>
        <w:rPr>
          <w:sz w:val="20"/>
          <w:szCs w:val="20"/>
          <w:color w:val="auto"/>
        </w:rPr>
      </w:pPr>
      <w:r>
        <w:rPr>
          <w:rFonts w:ascii="Arial" w:cs="Arial" w:eastAsia="Arial" w:hAnsi="Arial"/>
          <w:sz w:val="16"/>
          <w:szCs w:val="16"/>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flow hedges that qualify for hedge accounting</w:t>
      </w:r>
    </w:p>
    <w:p>
      <w:pPr>
        <w:spacing w:after="0" w:line="220" w:lineRule="exact"/>
        <w:rPr>
          <w:sz w:val="20"/>
          <w:szCs w:val="20"/>
          <w:color w:val="auto"/>
        </w:rPr>
      </w:pPr>
    </w:p>
    <w:p>
      <w:pPr>
        <w:ind w:left="320" w:right="80"/>
        <w:spacing w:after="0" w:line="266" w:lineRule="auto"/>
        <w:rPr>
          <w:sz w:val="20"/>
          <w:szCs w:val="20"/>
          <w:color w:val="auto"/>
        </w:rPr>
      </w:pPr>
      <w:r>
        <w:rPr>
          <w:rFonts w:ascii="Arial" w:cs="Arial" w:eastAsia="Arial" w:hAnsi="Arial"/>
          <w:sz w:val="17"/>
          <w:szCs w:val="17"/>
          <w:color w:val="auto"/>
        </w:rPr>
        <w:t>The effective portion of changes in the fair value of derivatives that are designated and qualify as cash flow hedges is recognized in other comprehensive income/loss. The gain or loss relating to the ineffective portion is recognized immediately in the consolidated statement of profit or loss. Amounts previously recognized in other comprehensive income/loss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 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82"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 xml:space="preserve">In accordance with the transition provisions, in December 2019 the Group adopted the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IFRS 7 </w:t>
      </w:r>
      <w:r>
        <w:rPr>
          <w:rFonts w:ascii="Arial" w:cs="Arial" w:eastAsia="Arial" w:hAnsi="Arial"/>
          <w:sz w:val="16"/>
          <w:szCs w:val="16"/>
          <w:i w:val="1"/>
          <w:iCs w:val="1"/>
          <w:color w:val="auto"/>
        </w:rPr>
        <w:t>Financial Instruments: Disclosures which provide certain reliefs in connection with interest rate benchmark reform</w:t>
      </w:r>
      <w:r>
        <w:rPr>
          <w:rFonts w:ascii="Arial" w:cs="Arial" w:eastAsia="Arial" w:hAnsi="Arial"/>
          <w:sz w:val="16"/>
          <w:szCs w:val="16"/>
          <w:color w:val="auto"/>
        </w:rPr>
        <w:t>, retrospectively to hedging relationships that existed at the start of the reporting period or were designated thereafter. The amendments provide temporary relief from applying specific hedge accounting requirements to hedging relationships directly affected by interbank offered rate ("IBOR") reform. The reliefs have the effect that IBOR reform should not generally cause hedge accounting to terminate. However, any hedge ineffectiveness should continue to be recorded in the income statement. The reliefs will cease to apply when the uncertainty arising from interest rate benchmark reform is no longer present. The Group uses CCSs in order to hedge the Group's exposure to fluctuations deriving from its bonds (Note 26). The amendments permit continuation of hedge accounting even though there is uncertainty about the replacement of the floating interest rates included in its CCSs (Note 24).</w:t>
      </w:r>
    </w:p>
    <w:p>
      <w:pPr>
        <w:spacing w:after="0" w:line="164" w:lineRule="exact"/>
        <w:rPr>
          <w:sz w:val="20"/>
          <w:szCs w:val="20"/>
          <w:color w:val="auto"/>
        </w:rPr>
      </w:pPr>
    </w:p>
    <w:p>
      <w:pPr>
        <w:ind w:left="680" w:hanging="326"/>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Lease liabilities</w:t>
      </w:r>
    </w:p>
    <w:p>
      <w:pPr>
        <w:spacing w:after="0" w:line="224" w:lineRule="exact"/>
        <w:rPr>
          <w:sz w:val="20"/>
          <w:szCs w:val="20"/>
          <w:color w:val="auto"/>
        </w:rPr>
      </w:pPr>
    </w:p>
    <w:p>
      <w:pPr>
        <w:ind w:left="320" w:right="160"/>
        <w:spacing w:after="0" w:line="274" w:lineRule="auto"/>
        <w:rPr>
          <w:sz w:val="20"/>
          <w:szCs w:val="20"/>
          <w:color w:val="auto"/>
        </w:rPr>
      </w:pPr>
      <w:r>
        <w:rPr>
          <w:rFonts w:ascii="Arial" w:cs="Arial" w:eastAsia="Arial" w:hAnsi="Arial"/>
          <w:sz w:val="17"/>
          <w:szCs w:val="17"/>
          <w:color w:val="auto"/>
        </w:rPr>
        <w:t>Lease liabilities are initially measured at the fair value of the leased property or, if lower, the present value of the minimum lease payments—discounted at the interest rate implicit in the lease, if practicable, or else at the Group's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0"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The information provided to the Group's chief operating decision maker,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16" w:lineRule="exact"/>
        <w:rPr>
          <w:sz w:val="20"/>
          <w:szCs w:val="20"/>
          <w:color w:val="auto"/>
        </w:rPr>
      </w:pPr>
    </w:p>
    <w:p>
      <w:pPr>
        <w:ind w:left="600" w:hanging="246"/>
        <w:spacing w:after="0"/>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Short-term employee benefits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right="160"/>
        <w:spacing w:after="0" w:line="255" w:lineRule="auto"/>
        <w:rPr>
          <w:sz w:val="20"/>
          <w:szCs w:val="20"/>
          <w:color w:val="auto"/>
        </w:rPr>
      </w:pPr>
      <w:r>
        <w:rPr>
          <w:rFonts w:ascii="Arial" w:cs="Arial" w:eastAsia="Arial" w:hAnsi="Arial"/>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84" w:lineRule="exact"/>
        <w:rPr>
          <w:sz w:val="20"/>
          <w:szCs w:val="20"/>
          <w:color w:val="auto"/>
        </w:rPr>
      </w:pPr>
    </w:p>
    <w:p>
      <w:pPr>
        <w:ind w:left="600" w:hanging="246"/>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Long-term employee benefits</w:t>
      </w:r>
    </w:p>
    <w:p>
      <w:pPr>
        <w:spacing w:after="0" w:line="224" w:lineRule="exact"/>
        <w:rPr>
          <w:sz w:val="20"/>
          <w:szCs w:val="20"/>
          <w:color w:val="auto"/>
        </w:rPr>
      </w:pPr>
    </w:p>
    <w:p>
      <w:pPr>
        <w:ind w:left="320" w:right="160"/>
        <w:spacing w:after="0" w:line="255" w:lineRule="auto"/>
        <w:rPr>
          <w:sz w:val="20"/>
          <w:szCs w:val="20"/>
          <w:color w:val="auto"/>
        </w:rPr>
      </w:pPr>
      <w:r>
        <w:rPr>
          <w:rFonts w:ascii="Arial" w:cs="Arial" w:eastAsia="Arial" w:hAnsi="Arial"/>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classified as Long-term liabilities and are measured as the present value of expected future payments to be made with any unwind in the discount reflected in the consolidated statement of profit or loss.</w:t>
      </w:r>
    </w:p>
    <w:p>
      <w:pPr>
        <w:spacing w:after="0" w:line="184" w:lineRule="exact"/>
        <w:rPr>
          <w:sz w:val="20"/>
          <w:szCs w:val="20"/>
          <w:color w:val="auto"/>
        </w:rPr>
      </w:pPr>
    </w:p>
    <w:p>
      <w:pPr>
        <w:ind w:left="600" w:hanging="246"/>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224" w:lineRule="exact"/>
        <w:rPr>
          <w:sz w:val="20"/>
          <w:szCs w:val="20"/>
          <w:color w:val="auto"/>
        </w:rPr>
      </w:pPr>
    </w:p>
    <w:p>
      <w:pPr>
        <w:ind w:left="320" w:right="60"/>
        <w:spacing w:after="0" w:line="333" w:lineRule="auto"/>
        <w:rPr>
          <w:sz w:val="20"/>
          <w:szCs w:val="20"/>
          <w:color w:val="auto"/>
        </w:rPr>
      </w:pPr>
      <w:r>
        <w:rPr>
          <w:rFonts w:ascii="Arial" w:cs="Arial" w:eastAsia="Arial" w:hAnsi="Arial"/>
          <w:sz w:val="16"/>
          <w:szCs w:val="16"/>
          <w:color w:val="auto"/>
        </w:rPr>
        <w:t>Share-based compensation to employees and others providing similar services are measured at the fair value of the equity instruments on the grant date. Details regarding the determination of the fair value of share-based transactions are set out in Note 22.</w:t>
      </w:r>
    </w:p>
    <w:p>
      <w:pPr>
        <w:spacing w:after="0" w:line="130" w:lineRule="exact"/>
        <w:rPr>
          <w:sz w:val="20"/>
          <w:szCs w:val="20"/>
          <w:color w:val="auto"/>
        </w:rPr>
      </w:pPr>
    </w:p>
    <w:p>
      <w:pPr>
        <w:ind w:left="320"/>
        <w:spacing w:after="0" w:line="292" w:lineRule="auto"/>
        <w:rPr>
          <w:sz w:val="20"/>
          <w:szCs w:val="20"/>
          <w:color w:val="auto"/>
        </w:rPr>
      </w:pPr>
      <w:r>
        <w:rPr>
          <w:rFonts w:ascii="Arial" w:cs="Arial" w:eastAsia="Arial" w:hAnsi="Arial"/>
          <w:sz w:val="16"/>
          <w:szCs w:val="16"/>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62" w:lineRule="exact"/>
        <w:rPr>
          <w:sz w:val="20"/>
          <w:szCs w:val="20"/>
          <w:color w:val="auto"/>
        </w:rPr>
      </w:pPr>
    </w:p>
    <w:p>
      <w:pPr>
        <w:ind w:left="320" w:right="20"/>
        <w:spacing w:after="0" w:line="289" w:lineRule="auto"/>
        <w:rPr>
          <w:sz w:val="20"/>
          <w:szCs w:val="20"/>
          <w:color w:val="auto"/>
        </w:rPr>
      </w:pPr>
      <w:r>
        <w:rPr>
          <w:rFonts w:ascii="Arial" w:cs="Arial" w:eastAsia="Arial" w:hAnsi="Arial"/>
          <w:sz w:val="16"/>
          <w:szCs w:val="16"/>
          <w:color w:val="auto"/>
        </w:rPr>
        <w:t>If a grant of equity instruments is cancelled or settled during the vesting period (other than a grant cancelled by forfeiture when the vesting conditions are not satisfied) (a) the Group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161" w:lineRule="exact"/>
        <w:rPr>
          <w:sz w:val="20"/>
          <w:szCs w:val="20"/>
          <w:color w:val="auto"/>
        </w:rPr>
      </w:pPr>
    </w:p>
    <w:p>
      <w:pPr>
        <w:ind w:left="600" w:hanging="246"/>
        <w:spacing w:after="0"/>
        <w:tabs>
          <w:tab w:leader="none" w:pos="6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Termination benefits</w:t>
      </w:r>
    </w:p>
    <w:p>
      <w:pPr>
        <w:spacing w:after="0" w:line="224" w:lineRule="exact"/>
        <w:rPr>
          <w:sz w:val="20"/>
          <w:szCs w:val="20"/>
          <w:color w:val="auto"/>
        </w:rPr>
      </w:pPr>
    </w:p>
    <w:p>
      <w:pPr>
        <w:ind w:left="320" w:right="20"/>
        <w:spacing w:after="0" w:line="268" w:lineRule="auto"/>
        <w:rPr>
          <w:sz w:val="20"/>
          <w:szCs w:val="20"/>
          <w:color w:val="auto"/>
        </w:rPr>
      </w:pPr>
      <w:r>
        <w:rPr>
          <w:rFonts w:ascii="Arial" w:cs="Arial" w:eastAsia="Arial" w:hAnsi="Arial"/>
          <w:sz w:val="17"/>
          <w:szCs w:val="17"/>
          <w:color w:val="auto"/>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Group recognizes costs for a restructuring that is within the scope of IAS 37 </w:t>
      </w:r>
      <w:r>
        <w:rPr>
          <w:rFonts w:ascii="Arial" w:cs="Arial" w:eastAsia="Arial" w:hAnsi="Arial"/>
          <w:sz w:val="17"/>
          <w:szCs w:val="17"/>
          <w:i w:val="1"/>
          <w:iCs w:val="1"/>
          <w:color w:val="auto"/>
        </w:rPr>
        <w:t>Provisions, Contingent Liabilities and Contingent Assets</w:t>
      </w:r>
      <w:r>
        <w:rPr>
          <w:rFonts w:ascii="Arial" w:cs="Arial" w:eastAsia="Arial" w:hAnsi="Arial"/>
          <w:sz w:val="17"/>
          <w:szCs w:val="17"/>
          <w:color w:val="auto"/>
        </w:rPr>
        <w:t xml:space="preserve"> and involves the payment of termination benefits. In the case of an offer made to encourage voluntary redundancy, the termination benefits are measured based on the number of employees expected to accept the offer. Benefits falling due more than 12 months after the end of the reporting period are discounted to present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0"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w:t>
      </w:r>
    </w:p>
    <w:p>
      <w:pPr>
        <w:spacing w:after="0" w:line="220" w:lineRule="exact"/>
        <w:rPr>
          <w:sz w:val="20"/>
          <w:szCs w:val="20"/>
          <w:color w:val="auto"/>
        </w:rPr>
      </w:pPr>
    </w:p>
    <w:p>
      <w:pPr>
        <w:ind w:right="140" w:firstLine="320"/>
        <w:spacing w:after="0" w:line="300" w:lineRule="auto"/>
        <w:rPr>
          <w:sz w:val="20"/>
          <w:szCs w:val="20"/>
          <w:color w:val="auto"/>
        </w:rPr>
      </w:pPr>
      <w:r>
        <w:rPr>
          <w:rFonts w:ascii="Arial" w:cs="Arial" w:eastAsia="Arial" w:hAnsi="Arial"/>
          <w:sz w:val="17"/>
          <w:szCs w:val="17"/>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152" w:lineRule="exact"/>
        <w:rPr>
          <w:sz w:val="20"/>
          <w:szCs w:val="20"/>
          <w:color w:val="auto"/>
        </w:rPr>
      </w:pPr>
    </w:p>
    <w:p>
      <w:pPr>
        <w:ind w:right="100" w:firstLine="320"/>
        <w:spacing w:after="0" w:line="266" w:lineRule="auto"/>
        <w:rPr>
          <w:sz w:val="20"/>
          <w:szCs w:val="20"/>
          <w:color w:val="auto"/>
        </w:rPr>
      </w:pPr>
      <w:r>
        <w:rPr>
          <w:rFonts w:ascii="Arial" w:cs="Arial" w:eastAsia="Arial" w:hAnsi="Arial"/>
          <w:sz w:val="17"/>
          <w:szCs w:val="17"/>
          <w:b w:val="1"/>
          <w:bCs w:val="1"/>
          <w:i w:val="1"/>
          <w:iCs w:val="1"/>
          <w:color w:val="auto"/>
        </w:rPr>
        <w:t xml:space="preserve">Classification of the non-controlling interests: </w:t>
      </w:r>
      <w:r>
        <w:rPr>
          <w:rFonts w:ascii="Arial" w:cs="Arial" w:eastAsia="Arial" w:hAnsi="Arial"/>
          <w:sz w:val="17"/>
          <w:szCs w:val="17"/>
          <w:color w:val="auto"/>
        </w:rPr>
        <w:t>The non-controlling interests in the Partnership comprise the portion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Partnership's common units that are not directly or indirectly held by GasLog (35,930,599 units as of December 31, 2021).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85"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24" w:lineRule="exact"/>
        <w:rPr>
          <w:sz w:val="20"/>
          <w:szCs w:val="20"/>
          <w:color w:val="auto"/>
        </w:rPr>
      </w:pPr>
    </w:p>
    <w:p>
      <w:pPr>
        <w:ind w:right="100" w:firstLine="320"/>
        <w:spacing w:after="0" w:line="289"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The Group evaluates the carrying amounts of each of its vessels and vessels under construction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 With respect to vessels, their total carrying amount as of December 31, 2021, was $4,972,283 (December 31, 2020: $5,001,174). Recoverable amount is the higher of fair value less costs to sell and value in use. The Group’s estimates of recoverable value assume that the vessels are all in seaworthy condition without need for repair and certified in class without notations of any kind.</w:t>
      </w:r>
    </w:p>
    <w:p>
      <w:pPr>
        <w:spacing w:after="0" w:line="165"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In assessing the fair value less cost to sell of the vessel, the Group obtains charter free market values for each vessel from independent and internationally recognized ship brokers on a semi-annual basis, which are also commonly used and accepted by the Group’s lenders for determining compliance with the relevant covenants in its credit facilities. Vessel values can be highly volatile, so the charter-free market values may not be indicative of the current or future market value of the Group’s vessels, or prices that could be achieved if it were to sell them.</w:t>
      </w:r>
    </w:p>
    <w:p>
      <w:pPr>
        <w:spacing w:after="0" w:line="190" w:lineRule="exact"/>
        <w:rPr>
          <w:sz w:val="20"/>
          <w:szCs w:val="20"/>
          <w:color w:val="auto"/>
        </w:rPr>
      </w:pPr>
    </w:p>
    <w:p>
      <w:pPr>
        <w:ind w:right="160" w:firstLine="320"/>
        <w:spacing w:after="0" w:line="306" w:lineRule="auto"/>
        <w:rPr>
          <w:sz w:val="20"/>
          <w:szCs w:val="20"/>
          <w:color w:val="auto"/>
        </w:rPr>
      </w:pPr>
      <w:r>
        <w:rPr>
          <w:rFonts w:ascii="Arial" w:cs="Arial" w:eastAsia="Arial" w:hAnsi="Arial"/>
          <w:sz w:val="16"/>
          <w:szCs w:val="16"/>
          <w:color w:val="auto"/>
        </w:rPr>
        <w:t>As of December 31, 2021, a number of negative indicators such as differences between the charter-free market values of the Group's Steam vessels, as estimated by ship brokers, and their respective carrying amounts, combined with reduced expectations of the rates at which the Group could expect to secure term employment for the remaining economic lives of the Steam vessels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significant uncertainties regarding future demand for such vessels in light of the continued addition of modern, larger and more fuel efficient LNG carriers to the global fleet, influenced management's strategic decisions and prompted the Group to conclude that events and circumstances triggered the existence of potential impairment of Steam vessels, with no impairment indicators identified with respect to the owned and bareboat TFDE fleet and the owned X-DF fleet as of December 31, 2021.</w:t>
      </w:r>
    </w:p>
    <w:p>
      <w:pPr>
        <w:spacing w:after="0" w:line="175" w:lineRule="exact"/>
        <w:rPr>
          <w:sz w:val="20"/>
          <w:szCs w:val="20"/>
          <w:color w:val="auto"/>
        </w:rPr>
      </w:pPr>
    </w:p>
    <w:p>
      <w:pPr>
        <w:ind w:firstLine="320"/>
        <w:spacing w:after="0" w:line="282" w:lineRule="auto"/>
        <w:rPr>
          <w:sz w:val="20"/>
          <w:szCs w:val="20"/>
          <w:color w:val="auto"/>
        </w:rPr>
      </w:pPr>
      <w:r>
        <w:rPr>
          <w:rFonts w:ascii="Arial" w:cs="Arial" w:eastAsia="Arial" w:hAnsi="Arial"/>
          <w:sz w:val="16"/>
          <w:szCs w:val="16"/>
          <w:color w:val="auto"/>
        </w:rPr>
        <w:t>The Group performed an impairment assessment for the Steam vessels by comparing each vessel's value in use applying the "expected cash flow" approach, i.e. using all expectations about possible cash flows instead of the single most likely cash flow known as the "traditional approach". The expected cash flow approach was considered more appropriate in light of the increasing uncertainty pertaining to the business outlook for our Steam vessels. As of December 31, 2021, the Group's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Group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2021,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82" w:lineRule="exact"/>
        <w:rPr>
          <w:sz w:val="20"/>
          <w:szCs w:val="20"/>
          <w:color w:val="auto"/>
        </w:rPr>
      </w:pPr>
    </w:p>
    <w:p>
      <w:pPr>
        <w:ind w:right="100" w:firstLine="320"/>
        <w:spacing w:after="0" w:line="296" w:lineRule="auto"/>
        <w:rPr>
          <w:sz w:val="20"/>
          <w:szCs w:val="20"/>
          <w:color w:val="auto"/>
        </w:rPr>
      </w:pPr>
      <w:r>
        <w:rPr>
          <w:rFonts w:ascii="Arial" w:cs="Arial" w:eastAsia="Arial" w:hAnsi="Arial"/>
          <w:sz w:val="16"/>
          <w:szCs w:val="16"/>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and the latest available maritime research publications from ship brokers for short-term (less than 12 months) employment of a vessel operating in the spot market on less than one-year time charter contracts.</w:t>
      </w:r>
    </w:p>
    <w:p>
      <w:pPr>
        <w:spacing w:after="0" w:line="160" w:lineRule="exact"/>
        <w:rPr>
          <w:sz w:val="20"/>
          <w:szCs w:val="20"/>
          <w:color w:val="auto"/>
        </w:rPr>
      </w:pPr>
    </w:p>
    <w:p>
      <w:pPr>
        <w:ind w:right="40" w:firstLine="320"/>
        <w:spacing w:after="0" w:line="267" w:lineRule="auto"/>
        <w:rPr>
          <w:sz w:val="20"/>
          <w:szCs w:val="20"/>
          <w:color w:val="auto"/>
        </w:rPr>
      </w:pPr>
      <w:r>
        <w:rPr>
          <w:rFonts w:ascii="Arial" w:cs="Arial" w:eastAsia="Arial" w:hAnsi="Arial"/>
          <w:sz w:val="17"/>
          <w:szCs w:val="17"/>
          <w:color w:val="auto"/>
        </w:rPr>
        <w:t>For non-contracted periods starting on the second year for already expired charters or upon the expiration of the firm charter period of a vessel through the end of each vessel’s useful life, the estimated average time charter rates for Steam vessels were based on analysis of future supply and demand for LNG, internally estimated and market-derived costs of building and financing newbuild LNG vessels, the technical characteristics of each vessel and an assessment of the appropriate discount for Steam vessels' charter rates compared to modern newbuild LNG carriers, which is driven largely by unit freight cost differentials and utilization of such vessels. The Group also considered estimated future time charter rates taking into account the significant uncertainties regarding future demand for such vessels in light of the continued addition of modern, larger and more fuel-efficient LNG carriers to the global fleet and the anticipated developments in terms of environmental regulations.</w:t>
      </w:r>
    </w:p>
    <w:p>
      <w:pPr>
        <w:spacing w:after="0" w:line="182" w:lineRule="exact"/>
        <w:rPr>
          <w:sz w:val="20"/>
          <w:szCs w:val="20"/>
          <w:color w:val="auto"/>
        </w:rPr>
      </w:pPr>
    </w:p>
    <w:p>
      <w:pPr>
        <w:ind w:right="120" w:firstLine="320"/>
        <w:spacing w:after="0" w:line="296" w:lineRule="auto"/>
        <w:rPr>
          <w:sz w:val="20"/>
          <w:szCs w:val="20"/>
          <w:color w:val="auto"/>
        </w:rPr>
      </w:pPr>
      <w:r>
        <w:rPr>
          <w:rFonts w:ascii="Arial" w:cs="Arial" w:eastAsia="Arial" w:hAnsi="Arial"/>
          <w:sz w:val="16"/>
          <w:szCs w:val="16"/>
          <w:color w:val="auto"/>
        </w:rPr>
        <w:t>Recognizing that the LNG industry is cyclical and subject to significant volatility based on factors beyond the Group’s control, management believes that the use of the revenue estimates discussed above to be reasonable as of the reporting date. The Group has assumed no inflation 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60" w:firstLine="320"/>
        <w:spacing w:after="0" w:line="274" w:lineRule="auto"/>
        <w:rPr>
          <w:sz w:val="20"/>
          <w:szCs w:val="20"/>
          <w:color w:val="auto"/>
        </w:rPr>
      </w:pPr>
      <w:r>
        <w:rPr>
          <w:rFonts w:ascii="Arial" w:cs="Arial" w:eastAsia="Arial" w:hAnsi="Arial"/>
          <w:sz w:val="17"/>
          <w:szCs w:val="17"/>
          <w:color w:val="auto"/>
        </w:rPr>
        <w:t>The Group used an annual operating expenses escalation factor equal to 1% based on its historical data and experience, as well as its expectations on future inflation and operating and dry-docking costs. Estimates for the remaining useful lives of the current fleet and residual and scrap values are the same as those used for the Group’s depreciation policy. All estimates used and assumptions made were in accordance with the Group’s internal budgets and historical experience of the shipping industry.</w:t>
      </w:r>
    </w:p>
    <w:p>
      <w:pPr>
        <w:spacing w:after="0" w:line="175" w:lineRule="exact"/>
        <w:rPr>
          <w:sz w:val="20"/>
          <w:szCs w:val="20"/>
          <w:color w:val="auto"/>
        </w:rPr>
      </w:pPr>
    </w:p>
    <w:p>
      <w:pPr>
        <w:jc w:val="both"/>
        <w:ind w:right="120" w:firstLine="320"/>
        <w:spacing w:after="0" w:line="367" w:lineRule="auto"/>
        <w:rPr>
          <w:sz w:val="20"/>
          <w:szCs w:val="20"/>
          <w:color w:val="auto"/>
        </w:rPr>
      </w:pPr>
      <w:r>
        <w:rPr>
          <w:rFonts w:ascii="Arial" w:cs="Arial" w:eastAsia="Arial" w:hAnsi="Arial"/>
          <w:sz w:val="14"/>
          <w:szCs w:val="14"/>
          <w:color w:val="auto"/>
        </w:rPr>
        <w:t>In the Group’s impairment assessment as of December 31, 2021, the rate used to discount future estimated cash flows to their present values was 7.5% (6.4% as of December 31, 2020). This was based on an estimated weighted average cost of capital calculated using cost of equity and cost of debt components, adjusted also for vessel-specific risks and uncertainties, as applicable to each probable outcome.</w:t>
      </w:r>
    </w:p>
    <w:p>
      <w:pPr>
        <w:spacing w:after="0" w:line="115" w:lineRule="exact"/>
        <w:rPr>
          <w:sz w:val="20"/>
          <w:szCs w:val="20"/>
          <w:color w:val="auto"/>
        </w:rPr>
      </w:pPr>
    </w:p>
    <w:p>
      <w:pPr>
        <w:ind w:right="180" w:firstLine="320"/>
        <w:spacing w:after="0" w:line="258" w:lineRule="auto"/>
        <w:rPr>
          <w:sz w:val="20"/>
          <w:szCs w:val="20"/>
          <w:color w:val="auto"/>
        </w:rPr>
      </w:pPr>
      <w:r>
        <w:rPr>
          <w:rFonts w:ascii="Arial" w:cs="Arial" w:eastAsia="Arial" w:hAnsi="Arial"/>
          <w:sz w:val="18"/>
          <w:szCs w:val="18"/>
          <w:color w:val="auto"/>
        </w:rPr>
        <w:t>The recoverable amounts (values in use) for the six Steam vessels calculated as per above were lower than the respective carrying amounts of those vessels and, consequently, an impairment loss of $125,839 was recognized in the year ended December 31, 2021 (Note 6).</w:t>
      </w:r>
    </w:p>
    <w:p>
      <w:pPr>
        <w:spacing w:after="0" w:line="186" w:lineRule="exact"/>
        <w:rPr>
          <w:sz w:val="20"/>
          <w:szCs w:val="20"/>
          <w:color w:val="auto"/>
        </w:rPr>
      </w:pPr>
    </w:p>
    <w:p>
      <w:pPr>
        <w:ind w:right="220" w:firstLine="320"/>
        <w:spacing w:after="0" w:line="271" w:lineRule="auto"/>
        <w:rPr>
          <w:sz w:val="20"/>
          <w:szCs w:val="20"/>
          <w:color w:val="auto"/>
        </w:rPr>
      </w:pPr>
      <w:r>
        <w:rPr>
          <w:rFonts w:ascii="Arial" w:cs="Arial" w:eastAsia="Arial" w:hAnsi="Arial"/>
          <w:sz w:val="17"/>
          <w:szCs w:val="17"/>
          <w:color w:val="auto"/>
        </w:rPr>
        <w:t>In connection with the impairment testing of our vessels as of December 31, 2021, we performed a sensitivity analysis on the most difficult, subjective or complex assumptions that have the potential to affect the outcome of the impairment assessment, which are the projected charter hire rate used to forecast future cash flows for non-contracted revenue days and the discount rate used, in particular for the Steam vessels (Note 6). It is reasonably possible that changes to these assumptions within the next financial year could require a material adjustment of the carrying amount of the Group’s Steam vessels.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16" w:lineRule="exact"/>
        <w:rPr>
          <w:sz w:val="20"/>
          <w:szCs w:val="20"/>
          <w:color w:val="auto"/>
        </w:rPr>
      </w:pPr>
    </w:p>
    <w:p>
      <w:pPr>
        <w:ind w:left="640" w:hanging="633"/>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standards and amendments relevant to the Group were effective in the current year:</w:t>
      </w:r>
    </w:p>
    <w:p>
      <w:pPr>
        <w:spacing w:after="0" w:line="220"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 xml:space="preserve">In August 2020, the IASB issued the Phase 2 amendments to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IFRS 7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IFRS 4 and IFRS 16 in connection with the Phase 2 of the interest rate benchmark reform. The amendments address the issues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the implementation of the reforms, including the replacement of one benchmark with an alternative one. The amendment is effective for annual periods beginning on or after January 1, 2021 and did not have a material impact on the Group’s consolidated financial statements.</w:t>
      </w:r>
    </w:p>
    <w:p>
      <w:pPr>
        <w:spacing w:after="0" w:line="190"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All other IFRS standards and amendments that became effective in the current year are not relevant to the Group or are not material with respect to the Group’s financial statements.</w:t>
      </w:r>
    </w:p>
    <w:p>
      <w:pPr>
        <w:spacing w:after="0" w:line="171" w:lineRule="exact"/>
        <w:rPr>
          <w:sz w:val="20"/>
          <w:szCs w:val="20"/>
          <w:color w:val="auto"/>
        </w:rPr>
      </w:pPr>
    </w:p>
    <w:p>
      <w:pPr>
        <w:ind w:left="640" w:hanging="633"/>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24" w:lineRule="exact"/>
        <w:rPr>
          <w:sz w:val="20"/>
          <w:szCs w:val="20"/>
          <w:color w:val="auto"/>
        </w:rPr>
      </w:pPr>
    </w:p>
    <w:p>
      <w:pPr>
        <w:ind w:right="60" w:firstLine="320"/>
        <w:spacing w:after="0" w:line="270" w:lineRule="auto"/>
        <w:rPr>
          <w:sz w:val="20"/>
          <w:szCs w:val="20"/>
          <w:color w:val="auto"/>
        </w:rPr>
      </w:pPr>
      <w:r>
        <w:rPr>
          <w:rFonts w:ascii="Arial" w:cs="Arial" w:eastAsia="Arial" w:hAnsi="Arial"/>
          <w:sz w:val="18"/>
          <w:szCs w:val="18"/>
          <w:color w:val="auto"/>
        </w:rPr>
        <w:t>At the date of authorization of these consolidated financial statements, the following standards and amendments relevant to the Group were in issue but not yet effective:</w:t>
      </w:r>
    </w:p>
    <w:p>
      <w:pPr>
        <w:spacing w:after="0" w:line="175" w:lineRule="exact"/>
        <w:rPr>
          <w:sz w:val="20"/>
          <w:szCs w:val="20"/>
          <w:color w:val="auto"/>
        </w:rPr>
      </w:pPr>
    </w:p>
    <w:p>
      <w:pPr>
        <w:ind w:right="40" w:firstLine="320"/>
        <w:spacing w:after="0" w:line="267" w:lineRule="auto"/>
        <w:rPr>
          <w:sz w:val="20"/>
          <w:szCs w:val="20"/>
          <w:color w:val="auto"/>
        </w:rPr>
      </w:pPr>
      <w:r>
        <w:rPr>
          <w:rFonts w:ascii="Arial" w:cs="Arial" w:eastAsia="Arial" w:hAnsi="Arial"/>
          <w:sz w:val="17"/>
          <w:szCs w:val="17"/>
          <w:color w:val="auto"/>
        </w:rPr>
        <w:t xml:space="preserve">In January 2020, the IASB issued a narrow-scope amendment to IAS 1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Arial" w:cs="Arial" w:eastAsia="Arial" w:hAnsi="Arial"/>
          <w:sz w:val="17"/>
          <w:szCs w:val="17"/>
          <w:i w:val="1"/>
          <w:iCs w:val="1"/>
          <w:color w:val="auto"/>
        </w:rPr>
        <w:t>Accounting Policies, Changes in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Estimates and Errors</w:t>
      </w:r>
      <w:r>
        <w:rPr>
          <w:rFonts w:ascii="Arial" w:cs="Arial" w:eastAsia="Arial" w:hAnsi="Arial"/>
          <w:sz w:val="17"/>
          <w:szCs w:val="17"/>
          <w:color w:val="auto"/>
        </w:rPr>
        <w:t>. Earlier application is permitted. Management anticipates that this amendment will not have a material impact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Group's financial statements.</w:t>
      </w:r>
    </w:p>
    <w:p>
      <w:pPr>
        <w:spacing w:after="0" w:line="182" w:lineRule="exact"/>
        <w:rPr>
          <w:sz w:val="20"/>
          <w:szCs w:val="20"/>
          <w:color w:val="auto"/>
        </w:rPr>
      </w:pPr>
    </w:p>
    <w:p>
      <w:pPr>
        <w:ind w:right="180" w:firstLine="320"/>
        <w:spacing w:after="0" w:line="333" w:lineRule="auto"/>
        <w:rPr>
          <w:sz w:val="20"/>
          <w:szCs w:val="20"/>
          <w:color w:val="auto"/>
        </w:rPr>
      </w:pPr>
      <w:r>
        <w:rPr>
          <w:rFonts w:ascii="Arial" w:cs="Arial" w:eastAsia="Arial" w:hAnsi="Arial"/>
          <w:sz w:val="16"/>
          <w:szCs w:val="16"/>
          <w:color w:val="auto"/>
        </w:rPr>
        <w:t xml:space="preserve">In February 2021, the IASB amended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IFRS Practice Statement 2 and IAS 8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Changes in Accounting Estimates and Errors </w:t>
      </w:r>
      <w:r>
        <w:rPr>
          <w:rFonts w:ascii="Arial" w:cs="Arial" w:eastAsia="Arial" w:hAnsi="Arial"/>
          <w:sz w:val="16"/>
          <w:szCs w:val="16"/>
          <w:color w:val="auto"/>
        </w:rPr>
        <w:t>to improve accounting policy disclosures and to help the users of</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financial statements to distinguish between changes in accounting estimates and changes in accounting policies. The amendments will be effective for annual periods beginning on or after January 1, 2023. Management anticipates that these amendments will not have a material impact on the Group’s financial statements.</w:t>
      </w:r>
    </w:p>
    <w:p>
      <w:pPr>
        <w:spacing w:after="0" w:line="186" w:lineRule="exact"/>
        <w:rPr>
          <w:sz w:val="20"/>
          <w:szCs w:val="20"/>
          <w:color w:val="auto"/>
        </w:rPr>
      </w:pPr>
    </w:p>
    <w:p>
      <w:pPr>
        <w:ind w:right="200" w:firstLine="320"/>
        <w:spacing w:after="0" w:line="270"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with respect to the Group’s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24"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2021, the Group assessed the recoverable amount of goodwill and concluded that goodwill associated with the Group's vessel management company was not impaired. The recoverable amount of the vessel management operations is determined based on discounted future cash flows based on the financial budget approved by management for the year-ending December 31, 2022 and management forecasts until 2025.</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assumptions used in the value-in-use calculations (2022 and beyond) are as follows:</w:t>
      </w:r>
    </w:p>
    <w:p>
      <w:pPr>
        <w:spacing w:after="0" w:line="220" w:lineRule="exact"/>
        <w:rPr>
          <w:sz w:val="20"/>
          <w:szCs w:val="20"/>
          <w:color w:val="auto"/>
        </w:rPr>
      </w:pPr>
    </w:p>
    <w:p>
      <w:pPr>
        <w:ind w:left="1000" w:hanging="646"/>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Average inflation of 1.0% per annum based on historical data and performance;</w:t>
      </w:r>
    </w:p>
    <w:p>
      <w:pPr>
        <w:spacing w:after="0" w:line="219" w:lineRule="exact"/>
        <w:rPr>
          <w:rFonts w:ascii="Arial" w:cs="Arial" w:eastAsia="Arial" w:hAnsi="Arial"/>
          <w:sz w:val="18"/>
          <w:szCs w:val="18"/>
          <w:color w:val="auto"/>
        </w:rPr>
      </w:pPr>
    </w:p>
    <w:p>
      <w:pPr>
        <w:ind w:left="1000" w:hanging="646"/>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pre-tax discount rate of 7.4% per annum based on cost of equity;</w:t>
      </w:r>
    </w:p>
    <w:p>
      <w:pPr>
        <w:spacing w:after="0" w:line="219" w:lineRule="exact"/>
        <w:rPr>
          <w:rFonts w:ascii="Arial" w:cs="Arial" w:eastAsia="Arial" w:hAnsi="Arial"/>
          <w:sz w:val="18"/>
          <w:szCs w:val="18"/>
          <w:color w:val="auto"/>
        </w:rPr>
      </w:pPr>
    </w:p>
    <w:p>
      <w:pPr>
        <w:ind w:left="1000" w:hanging="646"/>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Annual growth rate of 1.0%; and</w:t>
      </w:r>
    </w:p>
    <w:p>
      <w:pPr>
        <w:spacing w:after="0" w:line="219" w:lineRule="exact"/>
        <w:rPr>
          <w:rFonts w:ascii="Arial" w:cs="Arial" w:eastAsia="Arial" w:hAnsi="Arial"/>
          <w:sz w:val="18"/>
          <w:szCs w:val="18"/>
          <w:color w:val="auto"/>
        </w:rPr>
      </w:pPr>
    </w:p>
    <w:p>
      <w:pPr>
        <w:ind w:left="1000" w:hanging="646"/>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Euro (“EUR”) = USD 1.19 based on the 2022 budget.</w:t>
      </w:r>
    </w:p>
    <w:p>
      <w:pPr>
        <w:spacing w:after="0" w:line="220" w:lineRule="exact"/>
        <w:rPr>
          <w:sz w:val="20"/>
          <w:szCs w:val="20"/>
          <w:color w:val="auto"/>
        </w:rPr>
      </w:pPr>
    </w:p>
    <w:p>
      <w:pPr>
        <w:jc w:val="both"/>
        <w:ind w:right="40" w:firstLine="320"/>
        <w:spacing w:after="0" w:line="367" w:lineRule="auto"/>
        <w:rPr>
          <w:sz w:val="20"/>
          <w:szCs w:val="20"/>
          <w:color w:val="auto"/>
        </w:rPr>
      </w:pPr>
      <w:r>
        <w:rPr>
          <w:rFonts w:ascii="Arial" w:cs="Arial" w:eastAsia="Arial" w:hAnsi="Arial"/>
          <w:sz w:val="14"/>
          <w:szCs w:val="14"/>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GasLog Partners' offerings</w:t>
      </w:r>
    </w:p>
    <w:p>
      <w:pPr>
        <w:spacing w:after="0" w:line="220"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year ended December 31, 2019, GasLog Partners repurchased and cancelled 1,171,572 common units at a weighted average price of $19.52 per common unit, for a total cost of $22,890 including commissions.</w:t>
      </w:r>
    </w:p>
    <w:p>
      <w:pPr>
        <w:spacing w:after="0" w:line="190" w:lineRule="exact"/>
        <w:rPr>
          <w:sz w:val="20"/>
          <w:szCs w:val="20"/>
          <w:color w:val="auto"/>
        </w:rPr>
      </w:pPr>
    </w:p>
    <w:p>
      <w:pPr>
        <w:ind w:right="120" w:firstLine="320"/>
        <w:spacing w:after="0" w:line="300" w:lineRule="auto"/>
        <w:rPr>
          <w:sz w:val="20"/>
          <w:szCs w:val="20"/>
          <w:color w:val="auto"/>
        </w:rPr>
      </w:pPr>
      <w:r>
        <w:rPr>
          <w:rFonts w:ascii="Arial" w:cs="Arial" w:eastAsia="Arial" w:hAnsi="Arial"/>
          <w:sz w:val="17"/>
          <w:szCs w:val="17"/>
          <w:color w:val="auto"/>
        </w:rPr>
        <w:t>On February 26, 2019, the Partnership entered into a Third Amended and Restated Equity Distribution Agreement to further increase the size of the Partnership’s "at-the-market" common equity offering programme (" ATM Programme") to $250,000.</w:t>
      </w:r>
    </w:p>
    <w:p>
      <w:pPr>
        <w:spacing w:after="0" w:line="152" w:lineRule="exact"/>
        <w:rPr>
          <w:sz w:val="20"/>
          <w:szCs w:val="20"/>
          <w:color w:val="auto"/>
        </w:rPr>
      </w:pPr>
    </w:p>
    <w:p>
      <w:pPr>
        <w:ind w:right="20" w:firstLine="320"/>
        <w:spacing w:after="0" w:line="258" w:lineRule="auto"/>
        <w:rPr>
          <w:sz w:val="20"/>
          <w:szCs w:val="20"/>
          <w:color w:val="auto"/>
        </w:rPr>
      </w:pPr>
      <w:r>
        <w:rPr>
          <w:rFonts w:ascii="Arial" w:cs="Arial" w:eastAsia="Arial" w:hAnsi="Arial"/>
          <w:sz w:val="18"/>
          <w:szCs w:val="18"/>
          <w:color w:val="auto"/>
        </w:rPr>
        <w:t>On April 1, 2019, GasLog Partners issued 49,850 common units in connection with the vesting of 24,925 Restricted Common Units (" RCUs") and 24,925 Performance Common Units (" PCUs") under its 2015 Long-Term Incentive Plan (the "GasLog Partners' Plan") at a price of $22.99 per unit.</w:t>
      </w:r>
    </w:p>
    <w:p>
      <w:pPr>
        <w:spacing w:after="0" w:line="186" w:lineRule="exact"/>
        <w:rPr>
          <w:sz w:val="20"/>
          <w:szCs w:val="20"/>
          <w:color w:val="auto"/>
        </w:rPr>
      </w:pPr>
    </w:p>
    <w:p>
      <w:pPr>
        <w:ind w:right="60" w:firstLine="320"/>
        <w:spacing w:after="0" w:line="306" w:lineRule="auto"/>
        <w:rPr>
          <w:sz w:val="20"/>
          <w:szCs w:val="20"/>
          <w:color w:val="auto"/>
        </w:rPr>
      </w:pPr>
      <w:r>
        <w:rPr>
          <w:rFonts w:ascii="Arial" w:cs="Arial" w:eastAsia="Arial" w:hAnsi="Arial"/>
          <w:sz w:val="16"/>
          <w:szCs w:val="16"/>
          <w:color w:val="auto"/>
        </w:rPr>
        <w:t>On June 24, 2019, the Partnership Agreement was amended, effective June 30, 2019, to eliminate the incentive distribution rights (the "IDRs") in exchange for the issuance by the Partnership to GasLog of 2,532,911 common units and 2,490,000 Class B units (of which 415,000 are Class B-1 units, 415,000 are Class B-2 units, 415,000 are Class B-3 units, 415,000 are Class B-4 units, 415,000 are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w:t>
      </w:r>
    </w:p>
    <w:p>
      <w:pPr>
        <w:spacing w:after="0" w:line="186" w:lineRule="exact"/>
        <w:rPr>
          <w:sz w:val="20"/>
          <w:szCs w:val="20"/>
          <w:color w:val="auto"/>
        </w:rPr>
      </w:pPr>
    </w:p>
    <w:p>
      <w:pPr>
        <w:ind w:right="260" w:firstLine="320"/>
        <w:spacing w:after="0" w:line="255" w:lineRule="auto"/>
        <w:rPr>
          <w:sz w:val="20"/>
          <w:szCs w:val="20"/>
          <w:color w:val="auto"/>
        </w:rPr>
      </w:pPr>
      <w:r>
        <w:rPr>
          <w:rFonts w:ascii="Arial" w:cs="Arial" w:eastAsia="Arial" w:hAnsi="Arial"/>
          <w:sz w:val="18"/>
          <w:szCs w:val="18"/>
          <w:color w:val="auto"/>
        </w:rPr>
        <w:t>On February 5, 2020, the board of directors of GasLog Partners authorized a renewal of the unit repurchase programme taking the total authority outstanding under the programme to $25,000, to be utilized from February 10, 2020 to December 31, 2021. In the year ended December 31, 2020, GasLog Partners repurchased and cancelled a total of 191,490 units at a weighted average price of $5.18 per common unit for a total amount of $996, including commissions.</w:t>
      </w:r>
    </w:p>
    <w:p>
      <w:pPr>
        <w:spacing w:after="0" w:line="188" w:lineRule="exact"/>
        <w:rPr>
          <w:sz w:val="20"/>
          <w:szCs w:val="20"/>
          <w:color w:val="auto"/>
        </w:rPr>
      </w:pPr>
    </w:p>
    <w:p>
      <w:pPr>
        <w:jc w:val="both"/>
        <w:ind w:right="320" w:firstLine="320"/>
        <w:spacing w:after="0" w:line="258" w:lineRule="auto"/>
        <w:rPr>
          <w:sz w:val="20"/>
          <w:szCs w:val="20"/>
          <w:color w:val="auto"/>
        </w:rPr>
      </w:pPr>
      <w:r>
        <w:rPr>
          <w:rFonts w:ascii="Arial" w:cs="Arial" w:eastAsia="Arial" w:hAnsi="Arial"/>
          <w:sz w:val="18"/>
          <w:szCs w:val="18"/>
          <w:color w:val="auto"/>
        </w:rPr>
        <w:t>On April 3, 2020, GasLog Partners issued 46,843 common units in connection with the vesting of 25,551 RCUs and 21,292 PCUs under the GasLog Partners' Plan. On June 30, 2020, GasLog Partners issued an additional 21,589 common units in connection with the vesting of 11,776 RCUs and 9,813 PCUs under the GasLog Partners' Plan.</w:t>
      </w:r>
    </w:p>
    <w:p>
      <w:pPr>
        <w:spacing w:after="0" w:line="186" w:lineRule="exact"/>
        <w:rPr>
          <w:sz w:val="20"/>
          <w:szCs w:val="20"/>
          <w:color w:val="auto"/>
        </w:rPr>
      </w:pPr>
    </w:p>
    <w:p>
      <w:pPr>
        <w:ind w:right="80" w:firstLine="320"/>
        <w:spacing w:after="0" w:line="270" w:lineRule="auto"/>
        <w:rPr>
          <w:sz w:val="20"/>
          <w:szCs w:val="20"/>
          <w:color w:val="auto"/>
        </w:rPr>
      </w:pPr>
      <w:r>
        <w:rPr>
          <w:rFonts w:ascii="Arial" w:cs="Arial" w:eastAsia="Arial" w:hAnsi="Arial"/>
          <w:sz w:val="18"/>
          <w:szCs w:val="18"/>
          <w:color w:val="auto"/>
        </w:rPr>
        <w:t>On July 1, 2020, GasLog Partners issued 415,000 common units in connection with GasLog’s option to convert the first tranche of its Class B units issued upon the elimination of IDRs in June 2019.</w:t>
      </w:r>
    </w:p>
    <w:p>
      <w:pPr>
        <w:spacing w:after="0" w:line="175" w:lineRule="exact"/>
        <w:rPr>
          <w:sz w:val="20"/>
          <w:szCs w:val="20"/>
          <w:color w:val="auto"/>
        </w:rPr>
      </w:pPr>
    </w:p>
    <w:p>
      <w:pPr>
        <w:ind w:right="140" w:firstLine="320"/>
        <w:spacing w:after="0" w:line="270" w:lineRule="auto"/>
        <w:rPr>
          <w:sz w:val="20"/>
          <w:szCs w:val="20"/>
          <w:color w:val="auto"/>
        </w:rPr>
      </w:pPr>
      <w:r>
        <w:rPr>
          <w:rFonts w:ascii="Arial" w:cs="Arial" w:eastAsia="Arial" w:hAnsi="Arial"/>
          <w:sz w:val="18"/>
          <w:szCs w:val="18"/>
          <w:color w:val="auto"/>
        </w:rPr>
        <w:t>Finally, on September 25, 2020, GasLog Partners issued 365,700 common units in connection with the vesting of 182,850 RCUs and 182,850 PCUs under the GasLog Partners' Plan.</w:t>
      </w:r>
    </w:p>
    <w:p>
      <w:pPr>
        <w:spacing w:after="0" w:line="175" w:lineRule="exact"/>
        <w:rPr>
          <w:sz w:val="20"/>
          <w:szCs w:val="20"/>
          <w:color w:val="auto"/>
        </w:rPr>
      </w:pPr>
    </w:p>
    <w:p>
      <w:pPr>
        <w:ind w:right="100" w:firstLine="320"/>
        <w:spacing w:after="0" w:line="274" w:lineRule="auto"/>
        <w:rPr>
          <w:sz w:val="20"/>
          <w:szCs w:val="20"/>
          <w:color w:val="auto"/>
        </w:rPr>
      </w:pPr>
      <w:r>
        <w:rPr>
          <w:rFonts w:ascii="Arial" w:cs="Arial" w:eastAsia="Arial" w:hAnsi="Arial"/>
          <w:sz w:val="17"/>
          <w:szCs w:val="17"/>
          <w:color w:val="auto"/>
        </w:rPr>
        <w:t>On March 31, 2021, GasLog Partners entered into a Fourth Amended and Restated Equity Distribution Agreement to renew the ATM Programme. Under the ATM Programme, in the year ended December 31, 2021, GasLog Partners issued and received payment for 3,195,401 common units at a weighted average price of $3.19 per common unit for total net proceeds, after deducting fees and other expenses, of $9,633. As of December 31, 2021, the unutilized portion of the ATM Programme was $116,351.</w:t>
      </w:r>
    </w:p>
    <w:p>
      <w:pPr>
        <w:spacing w:after="0" w:line="175" w:lineRule="exact"/>
        <w:rPr>
          <w:sz w:val="20"/>
          <w:szCs w:val="20"/>
          <w:color w:val="auto"/>
        </w:rPr>
      </w:pPr>
    </w:p>
    <w:p>
      <w:pPr>
        <w:ind w:right="140" w:firstLine="320"/>
        <w:spacing w:after="0" w:line="270" w:lineRule="auto"/>
        <w:rPr>
          <w:sz w:val="20"/>
          <w:szCs w:val="20"/>
          <w:color w:val="auto"/>
        </w:rPr>
      </w:pPr>
      <w:r>
        <w:rPr>
          <w:rFonts w:ascii="Arial" w:cs="Arial" w:eastAsia="Arial" w:hAnsi="Arial"/>
          <w:sz w:val="18"/>
          <w:szCs w:val="18"/>
          <w:color w:val="auto"/>
        </w:rPr>
        <w:t>On April 6, 2021, GasLog Partners issued 8,976 common units in connection with the vesting of 5,984 RCUs and 2,992 PCUs under the GasLog Partners' Plan.</w:t>
      </w:r>
    </w:p>
    <w:p>
      <w:pPr>
        <w:spacing w:after="0" w:line="175" w:lineRule="exact"/>
        <w:rPr>
          <w:sz w:val="20"/>
          <w:szCs w:val="20"/>
          <w:color w:val="auto"/>
        </w:rPr>
      </w:pPr>
    </w:p>
    <w:p>
      <w:pPr>
        <w:ind w:firstLine="320"/>
        <w:spacing w:after="0" w:line="271" w:lineRule="auto"/>
        <w:rPr>
          <w:sz w:val="20"/>
          <w:szCs w:val="20"/>
          <w:color w:val="auto"/>
        </w:rPr>
      </w:pPr>
      <w:r>
        <w:rPr>
          <w:rFonts w:ascii="Arial" w:cs="Arial" w:eastAsia="Arial" w:hAnsi="Arial"/>
          <w:sz w:val="17"/>
          <w:szCs w:val="17"/>
          <w:color w:val="auto"/>
        </w:rPr>
        <w:t>On July 1, 2021, GasLog Partners issued 415,000 common units in connection with GasLog’s option to convert the second tranche of its Class B units issued upon the elimination of IDRs in June 2019. After the conversion of the first two tranches of 415,000 Class B units to common units on July 1, 2020 and July 1, 2021, the remaining 1,660,000 Class B units will become eligible for conversion on a one-for-one basis into common units at GasLog's option on July 1, 2022, July 1, 2023, July 1, 2024 and July 1, 2025 for the Class B-3 units, Class B-4 units, Class B-5 units and the Class B-6 units, respectively.</w:t>
      </w:r>
    </w:p>
    <w:p>
      <w:pPr>
        <w:spacing w:after="0" w:line="177" w:lineRule="exact"/>
        <w:rPr>
          <w:sz w:val="20"/>
          <w:szCs w:val="20"/>
          <w:color w:val="auto"/>
        </w:rPr>
      </w:pPr>
    </w:p>
    <w:p>
      <w:pPr>
        <w:ind w:right="20" w:firstLine="320"/>
        <w:spacing w:after="0" w:line="252" w:lineRule="auto"/>
        <w:rPr>
          <w:sz w:val="20"/>
          <w:szCs w:val="20"/>
          <w:color w:val="auto"/>
        </w:rPr>
      </w:pPr>
      <w:r>
        <w:rPr>
          <w:rFonts w:ascii="Arial" w:cs="Arial" w:eastAsia="Arial" w:hAnsi="Arial"/>
          <w:sz w:val="18"/>
          <w:szCs w:val="18"/>
          <w:color w:val="auto"/>
        </w:rPr>
        <w:t>Under the Partnership’s preference unit repurchase programme established in March 2021 and covering the period March 11, 2021 to March 31, 2023, GasLog Partners repurchased and cancelled a total of 464,429 8.200% Series B Cumulative Redeemable Perpetual Fixed to Floating Rate Preference Units (the ''Partnership’s Series B Preference Units'') and 269,549 8.500% Series C Cumulative Redeemable Perpetual Fixed to Floating Rate Preference Units (the ''Partnership’s Series C Preference Units'') at a weighted average price of $25.00 per preference unit for both Series. The aggregate amount paid during the period for repurchases of preference units was $18,388, including commissions.</w:t>
      </w:r>
    </w:p>
    <w:p>
      <w:pPr>
        <w:spacing w:after="0" w:line="190" w:lineRule="exact"/>
        <w:rPr>
          <w:sz w:val="20"/>
          <w:szCs w:val="20"/>
          <w:color w:val="auto"/>
        </w:rPr>
      </w:pPr>
    </w:p>
    <w:p>
      <w:pPr>
        <w:ind w:right="80" w:firstLine="320"/>
        <w:spacing w:after="0" w:line="270" w:lineRule="auto"/>
        <w:rPr>
          <w:sz w:val="20"/>
          <w:szCs w:val="20"/>
          <w:color w:val="auto"/>
        </w:rPr>
      </w:pPr>
      <w:r>
        <w:rPr>
          <w:rFonts w:ascii="Arial" w:cs="Arial" w:eastAsia="Arial" w:hAnsi="Arial"/>
          <w:sz w:val="18"/>
          <w:szCs w:val="18"/>
          <w:color w:val="auto"/>
        </w:rPr>
        <w:t>Dividends declared attributable to non-controlling interests included in the consolidated statement of changes in equity represent cash distributions to holders of common and preference units.</w:t>
      </w:r>
    </w:p>
    <w:p>
      <w:pPr>
        <w:spacing w:after="0" w:line="175" w:lineRule="exact"/>
        <w:rPr>
          <w:sz w:val="20"/>
          <w:szCs w:val="20"/>
          <w:color w:val="auto"/>
        </w:rPr>
      </w:pPr>
    </w:p>
    <w:p>
      <w:pPr>
        <w:ind w:right="20" w:firstLine="320"/>
        <w:spacing w:after="0" w:line="300" w:lineRule="auto"/>
        <w:rPr>
          <w:sz w:val="20"/>
          <w:szCs w:val="20"/>
          <w:color w:val="auto"/>
        </w:rPr>
      </w:pPr>
      <w:r>
        <w:rPr>
          <w:rFonts w:ascii="Arial" w:cs="Arial" w:eastAsia="Arial" w:hAnsi="Arial"/>
          <w:sz w:val="17"/>
          <w:szCs w:val="17"/>
          <w:color w:val="auto"/>
        </w:rPr>
        <w:t>In the year ended December 31, 2021, the board of directors of the Partnership approved and declared cash distributions of $1,373 and of $29,863 for the common units and preference units, respectively, held by non-controlling interests.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0" w:firstLine="320"/>
        <w:spacing w:after="0" w:line="258" w:lineRule="auto"/>
        <w:rPr>
          <w:sz w:val="20"/>
          <w:szCs w:val="20"/>
          <w:color w:val="auto"/>
        </w:rPr>
      </w:pPr>
      <w:r>
        <w:rPr>
          <w:rFonts w:ascii="Arial" w:cs="Arial" w:eastAsia="Arial" w:hAnsi="Arial"/>
          <w:sz w:val="18"/>
          <w:szCs w:val="18"/>
          <w:color w:val="auto"/>
        </w:rPr>
        <w:t>Following the IDRs' elimination, 98% of the available cash (after deducting the earnings attributable to preference unitholders) is distributed to the common unitholders and 2% is distributed to the general partner. The updated earnings allocation applies to the Partnership's earnings from June 30, 2019 and onwards.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Allocation of GasLog Partners’ profit/(loss)</w:t>
            </w: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Partnership’s profit/(loss) attributable to:</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Common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25,970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Preference unitholders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30,328</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56,859</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5,726</w:t>
            </w: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8"/>
                <w:szCs w:val="18"/>
                <w:color w:val="auto"/>
              </w:rPr>
              <w:t>Partnership’s profit/(loss) allocated to GasLog</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40" w:type="dxa"/>
            <w:vAlign w:val="bottom"/>
            <w:gridSpan w:val="3"/>
            <w:vMerge w:val="continue"/>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8"/>
                <w:szCs w:val="18"/>
                <w:color w:val="auto"/>
              </w:rPr>
              <w:t>8,622</w:t>
            </w:r>
          </w:p>
        </w:tc>
        <w:tc>
          <w:tcPr>
            <w:tcW w:w="24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Partnership’s profit allocated to non-controlling interests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07"/>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56,859</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Group participates in the following associates and joint venture: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 of</w:t>
            </w:r>
          </w:p>
        </w:tc>
        <w:tc>
          <w:tcPr>
            <w:tcW w:w="140" w:type="dxa"/>
            <w:vAlign w:val="bottom"/>
          </w:tcPr>
          <w:p>
            <w:pPr>
              <w:spacing w:after="0"/>
              <w:rPr>
                <w:sz w:val="12"/>
                <w:szCs w:val="12"/>
                <w:color w:val="auto"/>
              </w:rPr>
            </w:pPr>
          </w:p>
        </w:tc>
        <w:tc>
          <w:tcPr>
            <w:tcW w:w="82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88"/>
              </w:rPr>
              <w:t>ownership</w:t>
            </w:r>
          </w:p>
        </w:tc>
        <w:tc>
          <w:tcPr>
            <w:tcW w:w="2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Nature of</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Measurement</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8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2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3"/>
              </w:rPr>
              <w:t>incorporation</w:t>
            </w:r>
          </w:p>
        </w:tc>
        <w:tc>
          <w:tcPr>
            <w:tcW w:w="14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4"/>
                <w:szCs w:val="14"/>
                <w:b w:val="1"/>
                <w:bCs w:val="1"/>
                <w:color w:val="auto"/>
                <w:w w:val="83"/>
              </w:rPr>
              <w:t>2020</w:t>
            </w:r>
          </w:p>
        </w:tc>
        <w:tc>
          <w:tcPr>
            <w:tcW w:w="180" w:type="dxa"/>
            <w:vAlign w:val="bottom"/>
          </w:tcPr>
          <w:p>
            <w:pPr>
              <w:spacing w:after="0"/>
              <w:rPr>
                <w:sz w:val="12"/>
                <w:szCs w:val="12"/>
                <w:color w:val="auto"/>
              </w:rPr>
            </w:pPr>
          </w:p>
        </w:tc>
        <w:tc>
          <w:tcPr>
            <w:tcW w:w="3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3"/>
              </w:rPr>
              <w:t>relationship</w:t>
            </w:r>
          </w:p>
        </w:tc>
        <w:tc>
          <w:tcPr>
            <w:tcW w:w="14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method</w:t>
            </w:r>
          </w:p>
        </w:tc>
        <w:tc>
          <w:tcPr>
            <w:tcW w:w="140" w:type="dxa"/>
            <w:vAlign w:val="bottom"/>
          </w:tcPr>
          <w:p>
            <w:pPr>
              <w:spacing w:after="0"/>
              <w:rPr>
                <w:sz w:val="12"/>
                <w:szCs w:val="12"/>
                <w:color w:val="auto"/>
              </w:rPr>
            </w:pPr>
          </w:p>
        </w:tc>
        <w:tc>
          <w:tcPr>
            <w:tcW w:w="1820" w:type="dxa"/>
            <w:vAlign w:val="bottom"/>
          </w:tcPr>
          <w:p>
            <w:pPr>
              <w:ind w:left="380"/>
              <w:spacing w:after="0" w:line="140" w:lineRule="exact"/>
              <w:rPr>
                <w:sz w:val="20"/>
                <w:szCs w:val="20"/>
                <w:color w:val="auto"/>
              </w:rPr>
            </w:pPr>
            <w:r>
              <w:rPr>
                <w:rFonts w:ascii="Arial" w:cs="Arial" w:eastAsia="Arial" w:hAnsi="Arial"/>
                <w:sz w:val="14"/>
                <w:szCs w:val="14"/>
                <w:b w:val="1"/>
                <w:bCs w:val="1"/>
                <w:color w:val="auto"/>
              </w:rPr>
              <w:t>Principal activity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60" w:type="dxa"/>
            <w:vAlign w:val="bottom"/>
            <w:tcBorders>
              <w:top w:val="single" w:sz="8" w:color="auto"/>
            </w:tcBorders>
            <w:gridSpan w:val="2"/>
            <w:shd w:val="clear" w:color="auto" w:fill="CCEEFF"/>
          </w:tcPr>
          <w:p>
            <w:pPr>
              <w:spacing w:after="0" w:line="207" w:lineRule="exact"/>
              <w:rPr>
                <w:sz w:val="20"/>
                <w:szCs w:val="20"/>
                <w:color w:val="auto"/>
              </w:rPr>
            </w:pPr>
            <w:r>
              <w:rPr>
                <w:rFonts w:ascii="Arial" w:cs="Arial" w:eastAsia="Arial" w:hAnsi="Arial"/>
                <w:sz w:val="16"/>
                <w:szCs w:val="16"/>
                <w:color w:val="auto"/>
              </w:rPr>
              <w:t>Egypt LNG Shipping Ltd.</w:t>
            </w:r>
            <w:r>
              <w:rPr>
                <w:rFonts w:ascii="Arial" w:cs="Arial" w:eastAsia="Arial" w:hAnsi="Arial"/>
                <w:sz w:val="23"/>
                <w:szCs w:val="23"/>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Bermuda</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Associate</w:t>
            </w: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Equity method</w:t>
            </w:r>
          </w:p>
        </w:tc>
        <w:tc>
          <w:tcPr>
            <w:tcW w:w="1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Vessel-owning company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spacing w:after="0" w:line="213" w:lineRule="exact"/>
              <w:rPr>
                <w:sz w:val="20"/>
                <w:szCs w:val="20"/>
                <w:color w:val="auto"/>
              </w:rPr>
            </w:pPr>
            <w:r>
              <w:rPr>
                <w:rFonts w:ascii="Arial" w:cs="Arial" w:eastAsia="Arial" w:hAnsi="Arial"/>
                <w:sz w:val="17"/>
                <w:szCs w:val="17"/>
                <w:color w:val="auto"/>
              </w:rPr>
              <w:t>Gastrade</w:t>
            </w:r>
            <w:r>
              <w:rPr>
                <w:rFonts w:ascii="Arial" w:cs="Arial" w:eastAsia="Arial" w:hAnsi="Arial"/>
                <w:sz w:val="24"/>
                <w:szCs w:val="24"/>
                <w:color w:val="auto"/>
                <w:vertAlign w:val="superscript"/>
              </w:rPr>
              <w:t>(2)</w:t>
            </w: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Greece</w:t>
            </w:r>
          </w:p>
        </w:tc>
        <w:tc>
          <w:tcPr>
            <w:tcW w:w="620" w:type="dxa"/>
            <w:vAlign w:val="bottom"/>
            <w:gridSpan w:val="3"/>
          </w:tcPr>
          <w:p>
            <w:pPr>
              <w:ind w:left="200"/>
              <w:spacing w:after="0"/>
              <w:rPr>
                <w:sz w:val="20"/>
                <w:szCs w:val="20"/>
                <w:color w:val="auto"/>
              </w:rPr>
            </w:pPr>
            <w:r>
              <w:rPr>
                <w:rFonts w:ascii="Arial" w:cs="Arial" w:eastAsia="Arial" w:hAnsi="Arial"/>
                <w:sz w:val="18"/>
                <w:szCs w:val="18"/>
                <w:color w:val="auto"/>
                <w:w w:val="97"/>
              </w:rPr>
              <w:t>20 %</w:t>
            </w:r>
          </w:p>
        </w:tc>
        <w:tc>
          <w:tcPr>
            <w:tcW w:w="6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color w:val="auto"/>
              </w:rPr>
              <w:t>20 % Associate</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Equity method</w:t>
            </w:r>
          </w:p>
        </w:tc>
        <w:tc>
          <w:tcPr>
            <w:tcW w:w="1960" w:type="dxa"/>
            <w:vAlign w:val="bottom"/>
            <w:gridSpan w:val="2"/>
          </w:tcPr>
          <w:p>
            <w:pPr>
              <w:ind w:left="140"/>
              <w:spacing w:after="0"/>
              <w:rPr>
                <w:sz w:val="20"/>
                <w:szCs w:val="20"/>
                <w:color w:val="auto"/>
              </w:rPr>
            </w:pPr>
            <w:r>
              <w:rPr>
                <w:rFonts w:ascii="Arial" w:cs="Arial" w:eastAsia="Arial" w:hAnsi="Arial"/>
                <w:sz w:val="18"/>
                <w:szCs w:val="18"/>
                <w:color w:val="auto"/>
              </w:rPr>
              <w:t>Service company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color w:val="auto"/>
              </w:rPr>
              <w:t>The Cool Pool Limited</w:t>
            </w:r>
            <w:r>
              <w:rPr>
                <w:rFonts w:ascii="Arial" w:cs="Arial" w:eastAsia="Arial" w:hAnsi="Arial"/>
                <w:sz w:val="24"/>
                <w:szCs w:val="24"/>
                <w:color w:val="auto"/>
                <w:vertAlign w:val="superscript"/>
              </w:rPr>
              <w:t>(3)</w:t>
            </w: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Marshall Islands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Joint venture</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Equity method</w:t>
            </w: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company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hanging="633"/>
        <w:spacing w:after="0"/>
        <w:tabs>
          <w:tab w:leader="none" w:pos="640" w:val="left"/>
        </w:tabs>
        <w:numPr>
          <w:ilvl w:val="0"/>
          <w:numId w:val="124"/>
        </w:numPr>
        <w:rPr>
          <w:rFonts w:ascii="Arial" w:cs="Arial" w:eastAsia="Arial" w:hAnsi="Arial"/>
          <w:sz w:val="11"/>
          <w:szCs w:val="11"/>
          <w:color w:val="auto"/>
        </w:rPr>
      </w:pPr>
      <w:r>
        <w:rPr>
          <w:rFonts w:ascii="Arial" w:cs="Arial" w:eastAsia="Arial" w:hAnsi="Arial"/>
          <w:sz w:val="14"/>
          <w:szCs w:val="14"/>
          <w:color w:val="auto"/>
        </w:rPr>
        <w:t>Egypt LNG Shipping Ltd. owns and operates a 145,000 cbm LNG vessel built in 2007.</w:t>
      </w:r>
    </w:p>
    <w:p>
      <w:pPr>
        <w:spacing w:after="0" w:line="199" w:lineRule="exact"/>
        <w:rPr>
          <w:rFonts w:ascii="Arial" w:cs="Arial" w:eastAsia="Arial" w:hAnsi="Arial"/>
          <w:sz w:val="11"/>
          <w:szCs w:val="11"/>
          <w:color w:val="auto"/>
        </w:rPr>
      </w:pPr>
    </w:p>
    <w:p>
      <w:pPr>
        <w:ind w:left="640" w:right="280" w:hanging="633"/>
        <w:spacing w:after="0" w:line="248" w:lineRule="auto"/>
        <w:tabs>
          <w:tab w:leader="none" w:pos="640" w:val="left"/>
        </w:tabs>
        <w:numPr>
          <w:ilvl w:val="0"/>
          <w:numId w:val="124"/>
        </w:numPr>
        <w:rPr>
          <w:rFonts w:ascii="Arial" w:cs="Arial" w:eastAsia="Arial" w:hAnsi="Arial"/>
          <w:sz w:val="11"/>
          <w:szCs w:val="11"/>
          <w:color w:val="auto"/>
        </w:rPr>
      </w:pPr>
      <w:r>
        <w:rPr>
          <w:rFonts w:ascii="Arial" w:cs="Arial" w:eastAsia="Arial" w:hAnsi="Arial"/>
          <w:sz w:val="14"/>
          <w:szCs w:val="14"/>
          <w:color w:val="auto"/>
        </w:rPr>
        <w:t>Gastrade is a private limited company licensed to develop an independent natural gas system offshore Alexandroupolis in Northern Greece utilizing a floating storage and regasification unit ("FSRU") along with other fixed infrastructure.</w:t>
      </w:r>
    </w:p>
    <w:p>
      <w:pPr>
        <w:spacing w:after="0" w:line="174" w:lineRule="exact"/>
        <w:rPr>
          <w:rFonts w:ascii="Arial" w:cs="Arial" w:eastAsia="Arial" w:hAnsi="Arial"/>
          <w:sz w:val="11"/>
          <w:szCs w:val="11"/>
          <w:color w:val="auto"/>
        </w:rPr>
      </w:pPr>
    </w:p>
    <w:p>
      <w:pPr>
        <w:ind w:left="640" w:hanging="633"/>
        <w:spacing w:after="0"/>
        <w:tabs>
          <w:tab w:leader="none" w:pos="640" w:val="left"/>
        </w:tabs>
        <w:numPr>
          <w:ilvl w:val="0"/>
          <w:numId w:val="124"/>
        </w:numPr>
        <w:rPr>
          <w:rFonts w:ascii="Arial" w:cs="Arial" w:eastAsia="Arial" w:hAnsi="Arial"/>
          <w:sz w:val="11"/>
          <w:szCs w:val="11"/>
          <w:color w:val="auto"/>
        </w:rPr>
      </w:pPr>
      <w:r>
        <w:rPr>
          <w:rFonts w:ascii="Arial" w:cs="Arial" w:eastAsia="Arial" w:hAnsi="Arial"/>
          <w:sz w:val="14"/>
          <w:szCs w:val="14"/>
          <w:color w:val="auto"/>
        </w:rPr>
        <w:t>The Cool Pool Limited is the commercial manager of the Cool Pool acting as an agent (Note 1).</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 associates consist of the following:</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Associates</w:t>
            </w:r>
          </w:p>
        </w:tc>
      </w:tr>
      <w:tr>
        <w:trPr>
          <w:trHeight w:val="140"/>
        </w:trPr>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21,759</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Additions</w:t>
            </w:r>
          </w:p>
        </w:tc>
        <w:tc>
          <w:tcPr>
            <w:tcW w:w="76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Dividend declared</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(2,525)</w:t>
            </w:r>
          </w:p>
        </w:tc>
        <w:tc>
          <w:tcPr>
            <w:tcW w:w="7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07"/>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23,508</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320"/>
        <w:spacing w:after="0" w:line="296" w:lineRule="auto"/>
        <w:rPr>
          <w:sz w:val="20"/>
          <w:szCs w:val="20"/>
          <w:color w:val="auto"/>
        </w:rPr>
      </w:pPr>
      <w:r>
        <w:rPr>
          <w:rFonts w:ascii="Arial" w:cs="Arial" w:eastAsia="Arial" w:hAnsi="Arial"/>
          <w:sz w:val="16"/>
          <w:szCs w:val="16"/>
          <w:color w:val="auto"/>
        </w:rPr>
        <w:t>The additions of $230 relate to the investment in Gastrade (December 31, 2020: $472). On February 9, 2017, GasLog acquired a 20% shareholding in Gastrade, a private limited company licensed to develop an independent natural gas system offshore Alexandroupolis in Northern Greece utilizing an FSRU along with other fixed infrastructure. GasLog, as well as being a shareholder, will provide operations and maintenance (" O&amp;M") services for the FSRU through an O&amp;M agreement which was signed on February 23, 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financial information in respect of the associates and the joint venture is set out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7"/>
          </w:tcPr>
          <w:p>
            <w:pPr>
              <w:ind w:left="300"/>
              <w:spacing w:after="0"/>
              <w:rPr>
                <w:sz w:val="20"/>
                <w:szCs w:val="20"/>
                <w:color w:val="auto"/>
              </w:rPr>
            </w:pPr>
            <w:r>
              <w:rPr>
                <w:rFonts w:ascii="Arial" w:cs="Arial" w:eastAsia="Arial" w:hAnsi="Arial"/>
                <w:sz w:val="14"/>
                <w:szCs w:val="14"/>
                <w:b w:val="1"/>
                <w:bCs w:val="1"/>
                <w:color w:val="auto"/>
              </w:rPr>
              <w:t>Associates</w:t>
            </w:r>
          </w:p>
        </w:tc>
        <w:tc>
          <w:tcPr>
            <w:tcW w:w="160" w:type="dxa"/>
            <w:vAlign w:val="bottom"/>
          </w:tcPr>
          <w:p>
            <w:pPr>
              <w:spacing w:after="0"/>
              <w:rPr>
                <w:sz w:val="14"/>
                <w:szCs w:val="14"/>
                <w:color w:val="auto"/>
              </w:rPr>
            </w:pPr>
          </w:p>
        </w:tc>
        <w:tc>
          <w:tcPr>
            <w:tcW w:w="1760" w:type="dxa"/>
            <w:vAlign w:val="bottom"/>
            <w:gridSpan w:val="7"/>
          </w:tcPr>
          <w:p>
            <w:pPr>
              <w:ind w:left="220"/>
              <w:spacing w:after="0"/>
              <w:rPr>
                <w:sz w:val="20"/>
                <w:szCs w:val="20"/>
                <w:color w:val="auto"/>
              </w:rPr>
            </w:pPr>
            <w:r>
              <w:rPr>
                <w:rFonts w:ascii="Arial" w:cs="Arial" w:eastAsia="Arial" w:hAnsi="Arial"/>
                <w:sz w:val="14"/>
                <w:szCs w:val="14"/>
                <w:b w:val="1"/>
                <w:bCs w:val="1"/>
                <w:color w:val="auto"/>
              </w:rPr>
              <w:t>Joint Venture</w:t>
            </w:r>
          </w:p>
        </w:tc>
        <w:tc>
          <w:tcPr>
            <w:tcW w:w="68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200"/>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31"/>
              <w:spacing w:after="0" w:line="140"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33"/>
              <w:spacing w:after="0" w:line="140"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31"/>
              <w:spacing w:after="0" w:line="140"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25,861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25,174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(18,393)</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(18,670)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(73,571)</w:t>
            </w:r>
          </w:p>
        </w:tc>
        <w:tc>
          <w:tcPr>
            <w:tcW w:w="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(59,168)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32,823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38,405</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7"/>
        </w:trPr>
        <w:tc>
          <w:tcPr>
            <w:tcW w:w="20" w:type="dxa"/>
            <w:vAlign w:val="bottom"/>
          </w:tcPr>
          <w:p>
            <w:pPr>
              <w:spacing w:after="0"/>
              <w:rPr>
                <w:sz w:val="21"/>
                <w:szCs w:val="21"/>
                <w:color w:val="auto"/>
              </w:rPr>
            </w:pPr>
          </w:p>
        </w:tc>
        <w:tc>
          <w:tcPr>
            <w:tcW w:w="4480" w:type="dxa"/>
            <w:vAlign w:val="bottom"/>
            <w:gridSpan w:val="2"/>
          </w:tcPr>
          <w:p>
            <w:pPr>
              <w:ind w:left="980"/>
              <w:spacing w:after="0"/>
              <w:rPr>
                <w:sz w:val="20"/>
                <w:szCs w:val="20"/>
                <w:color w:val="auto"/>
              </w:rPr>
            </w:pPr>
            <w:r>
              <w:rPr>
                <w:rFonts w:ascii="Arial" w:cs="Arial" w:eastAsia="Arial" w:hAnsi="Arial"/>
                <w:sz w:val="18"/>
                <w:szCs w:val="18"/>
                <w:b w:val="1"/>
                <w:bCs w:val="1"/>
                <w:color w:val="auto"/>
              </w:rPr>
              <w:t>Group’s share</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8,025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9,536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Effect from translation</w:t>
            </w: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151</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320"/>
              <w:spacing w:after="0" w:line="19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Investment in associates and joint venture</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Associates</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Joint Venture</w:t>
            </w:r>
          </w:p>
        </w:tc>
        <w:tc>
          <w:tcPr>
            <w:tcW w:w="680" w:type="dxa"/>
            <w:vAlign w:val="bottom"/>
            <w:tcBorders>
              <w:bottom w:val="single" w:sz="8" w:color="auto"/>
            </w:tcBorders>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right"/>
              <w:ind w:right="135"/>
              <w:spacing w:after="0" w:line="140" w:lineRule="exact"/>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ind w:left="200"/>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26,294</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27,807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28,234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121,434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Profit for the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6,429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8,593</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7,417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8,593</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47"/>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Group’s share in profit</w:t>
            </w:r>
          </w:p>
        </w:tc>
        <w:tc>
          <w:tcPr>
            <w:tcW w:w="38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c>
          <w:tcPr>
            <w:tcW w:w="180" w:type="dxa"/>
            <w:vAlign w:val="bottom"/>
          </w:tcPr>
          <w:p>
            <w:pPr>
              <w:spacing w:after="0"/>
              <w:rPr>
                <w:sz w:val="21"/>
                <w:szCs w:val="21"/>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2,192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1,969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r>
      <w:tr>
        <w:trPr>
          <w:trHeight w:val="194"/>
        </w:trPr>
        <w:tc>
          <w:tcPr>
            <w:tcW w:w="20" w:type="dxa"/>
            <w:vAlign w:val="bottom"/>
          </w:tcPr>
          <w:p>
            <w:pPr>
              <w:spacing w:after="0"/>
              <w:rPr>
                <w:sz w:val="16"/>
                <w:szCs w:val="16"/>
                <w:color w:val="auto"/>
              </w:rPr>
            </w:pPr>
          </w:p>
        </w:tc>
        <w:tc>
          <w:tcPr>
            <w:tcW w:w="448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Dividend declared</w:t>
            </w: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(3,510)</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w w:val="98"/>
              </w:rPr>
              <w:t>(10,100)</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(1,800)</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ind w:left="440"/>
              <w:spacing w:after="0" w:line="194"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440"/>
              <w:spacing w:after="0" w:line="194" w:lineRule="exact"/>
              <w:rPr>
                <w:sz w:val="20"/>
                <w:szCs w:val="20"/>
                <w:color w:val="auto"/>
              </w:rPr>
            </w:pPr>
            <w:r>
              <w:rPr>
                <w:rFonts w:ascii="Arial" w:cs="Arial" w:eastAsia="Arial" w:hAnsi="Arial"/>
                <w:sz w:val="18"/>
                <w:szCs w:val="18"/>
                <w:color w:val="auto"/>
              </w:rPr>
              <w:t>—</w:t>
            </w:r>
          </w:p>
        </w:tc>
      </w:tr>
      <w:tr>
        <w:trPr>
          <w:trHeight w:val="207"/>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Group’s share in dividend</w:t>
            </w:r>
          </w:p>
        </w:tc>
        <w:tc>
          <w:tcPr>
            <w:tcW w:w="3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w:t>
            </w:r>
          </w:p>
        </w:tc>
        <w:tc>
          <w:tcPr>
            <w:tcW w:w="180" w:type="dxa"/>
            <w:vAlign w:val="bottom"/>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2,525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450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4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60" w:type="dxa"/>
            <w:vAlign w:val="bottom"/>
            <w:gridSpan w:val="2"/>
          </w:tcPr>
          <w:p>
            <w:pPr>
              <w:jc w:val="right"/>
              <w:ind w:right="335"/>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55"/>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9" w:right="999" w:bottom="1440" w:gutter="0" w:footer="0" w:header="0"/>
        </w:sectPr>
      </w:pPr>
    </w:p>
    <w:bookmarkStart w:id="154" w:name="page155"/>
    <w:bookmarkEnd w:id="154"/>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Tangible Fixed Assets and Vessels Under Construction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tangible fixed assets and vessels under construction are reported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Office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property</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and other</w:t>
            </w: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Total tangible</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Vessels under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Vessels</w:t>
            </w:r>
          </w:p>
        </w:tc>
        <w:tc>
          <w:tcPr>
            <w:tcW w:w="11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tangible</w:t>
            </w:r>
          </w:p>
        </w:tc>
        <w:tc>
          <w:tcPr>
            <w:tcW w:w="11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7"/>
              </w:rPr>
              <w:t>assets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fixed assets</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construction</w:t>
            </w:r>
          </w:p>
        </w:tc>
        <w:tc>
          <w:tcPr>
            <w:tcW w:w="0" w:type="dxa"/>
            <w:vAlign w:val="bottom"/>
          </w:tcPr>
          <w:p>
            <w:pPr>
              <w:spacing w:after="0"/>
              <w:rPr>
                <w:sz w:val="1"/>
                <w:szCs w:val="1"/>
                <w:color w:val="auto"/>
              </w:rPr>
            </w:pPr>
          </w:p>
        </w:tc>
      </w:tr>
      <w:tr>
        <w:trPr>
          <w:trHeight w:val="167"/>
        </w:trPr>
        <w:tc>
          <w:tcPr>
            <w:tcW w:w="5540" w:type="dxa"/>
            <w:vAlign w:val="bottom"/>
            <w:tcBorders>
              <w:top w:val="single" w:sz="8" w:color="CCEEFF"/>
            </w:tcBorders>
            <w:gridSpan w:val="5"/>
            <w:shd w:val="clear" w:color="auto" w:fill="CCEEFF"/>
          </w:tcPr>
          <w:p>
            <w:pPr>
              <w:ind w:left="20"/>
              <w:spacing w:after="0" w:line="167" w:lineRule="exact"/>
              <w:rPr>
                <w:sz w:val="20"/>
                <w:szCs w:val="20"/>
                <w:color w:val="auto"/>
              </w:rPr>
            </w:pPr>
            <w:r>
              <w:rPr>
                <w:rFonts w:ascii="Arial" w:cs="Arial" w:eastAsia="Arial" w:hAnsi="Arial"/>
                <w:sz w:val="18"/>
                <w:szCs w:val="18"/>
                <w:b w:val="1"/>
                <w:bCs w:val="1"/>
                <w:color w:val="auto"/>
              </w:rPr>
              <w:t>Cost</w:t>
            </w: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January 1, 2020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5,314,348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25,164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5,339,512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Disposals</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(3,029)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(3,029)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Transfer from vessels under construction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Fully amortized fixed assets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(24,363)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(24,363)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6,078,041</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33,380</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6,111,421</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Additions</w:t>
            </w:r>
          </w:p>
        </w:tc>
        <w:tc>
          <w:tcPr>
            <w:tcW w:w="940" w:type="dxa"/>
            <w:vAlign w:val="bottom"/>
          </w:tcPr>
          <w:p>
            <w:pPr>
              <w:jc w:val="right"/>
              <w:spacing w:after="0"/>
              <w:rPr>
                <w:sz w:val="20"/>
                <w:szCs w:val="20"/>
                <w:color w:val="auto"/>
              </w:rPr>
            </w:pPr>
            <w:r>
              <w:rPr>
                <w:rFonts w:ascii="Arial" w:cs="Arial" w:eastAsia="Arial" w:hAnsi="Arial"/>
                <w:sz w:val="18"/>
                <w:szCs w:val="18"/>
                <w:color w:val="auto"/>
              </w:rPr>
              <w:t>16,337</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3,839</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(396,271)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(396,271)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Transfer from vessels under construction</w:t>
            </w:r>
          </w:p>
        </w:tc>
        <w:tc>
          <w:tcPr>
            <w:tcW w:w="940" w:type="dxa"/>
            <w:vAlign w:val="bottom"/>
          </w:tcPr>
          <w:p>
            <w:pPr>
              <w:jc w:val="right"/>
              <w:spacing w:after="0"/>
              <w:rPr>
                <w:sz w:val="20"/>
                <w:szCs w:val="20"/>
                <w:color w:val="auto"/>
              </w:rPr>
            </w:pPr>
            <w:r>
              <w:rPr>
                <w:rFonts w:ascii="Arial" w:cs="Arial" w:eastAsia="Arial" w:hAnsi="Arial"/>
                <w:sz w:val="18"/>
                <w:szCs w:val="18"/>
                <w:color w:val="auto"/>
              </w:rPr>
              <w:t>581,952</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581,952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Fully amortized fixed assets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6,265,547</w:t>
            </w:r>
          </w:p>
        </w:tc>
        <w:tc>
          <w:tcPr>
            <w:tcW w:w="2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37,219</w:t>
            </w:r>
          </w:p>
        </w:tc>
        <w:tc>
          <w:tcPr>
            <w:tcW w:w="2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6,302,766</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540" w:type="dxa"/>
            <w:vAlign w:val="bottom"/>
            <w:gridSpan w:val="5"/>
            <w:shd w:val="clear" w:color="auto" w:fill="CCEEFF"/>
          </w:tcPr>
          <w:p>
            <w:pPr>
              <w:ind w:left="20"/>
              <w:spacing w:after="0" w:line="167" w:lineRule="exact"/>
              <w:rPr>
                <w:sz w:val="20"/>
                <w:szCs w:val="20"/>
                <w:color w:val="auto"/>
              </w:rPr>
            </w:pPr>
            <w:r>
              <w:rPr>
                <w:rFonts w:ascii="Arial" w:cs="Arial" w:eastAsia="Arial" w:hAnsi="Arial"/>
                <w:sz w:val="18"/>
                <w:szCs w:val="18"/>
                <w:b w:val="1"/>
                <w:bCs w:val="1"/>
                <w:color w:val="auto"/>
              </w:rPr>
              <w:t>Accumulated depreciation</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January 1, 2020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907,192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5,255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912,447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Impairment loss</w:t>
            </w:r>
          </w:p>
        </w:tc>
        <w:tc>
          <w:tcPr>
            <w:tcW w:w="940" w:type="dxa"/>
            <w:vAlign w:val="bottom"/>
          </w:tcPr>
          <w:p>
            <w:pPr>
              <w:jc w:val="right"/>
              <w:spacing w:after="0"/>
              <w:rPr>
                <w:sz w:val="20"/>
                <w:szCs w:val="20"/>
                <w:color w:val="auto"/>
              </w:rPr>
            </w:pPr>
            <w:r>
              <w:rPr>
                <w:rFonts w:ascii="Arial" w:cs="Arial" w:eastAsia="Arial" w:hAnsi="Arial"/>
                <w:sz w:val="18"/>
                <w:szCs w:val="18"/>
                <w:color w:val="auto"/>
              </w:rPr>
              <w:t>28,627</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28,627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Fully amortized fixed assets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(24,363)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1,076,867</w:t>
            </w:r>
          </w:p>
        </w:tc>
        <w:tc>
          <w:tcPr>
            <w:tcW w:w="2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w:t>
            </w:r>
          </w:p>
        </w:tc>
        <w:tc>
          <w:tcPr>
            <w:tcW w:w="2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1,082,912</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185,035</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185,663</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Disposals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(96,818)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(96,818)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5"/>
          </w:tcPr>
          <w:p>
            <w:pPr>
              <w:ind w:left="20"/>
              <w:spacing w:after="0"/>
              <w:rPr>
                <w:sz w:val="20"/>
                <w:szCs w:val="20"/>
                <w:color w:val="auto"/>
              </w:rPr>
            </w:pPr>
            <w:r>
              <w:rPr>
                <w:rFonts w:ascii="Arial" w:cs="Arial" w:eastAsia="Arial" w:hAnsi="Arial"/>
                <w:sz w:val="18"/>
                <w:szCs w:val="18"/>
                <w:color w:val="auto"/>
              </w:rPr>
              <w:t>Fully amortized fixed assets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(14,512)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(14,512)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1,293,264</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6,673</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1,299,937</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540" w:type="dxa"/>
            <w:vAlign w:val="bottom"/>
            <w:gridSpan w:val="5"/>
          </w:tcPr>
          <w:p>
            <w:pPr>
              <w:ind w:left="20"/>
              <w:spacing w:after="0" w:line="167" w:lineRule="exact"/>
              <w:rPr>
                <w:sz w:val="20"/>
                <w:szCs w:val="20"/>
                <w:color w:val="auto"/>
              </w:rPr>
            </w:pPr>
            <w:r>
              <w:rPr>
                <w:rFonts w:ascii="Arial" w:cs="Arial" w:eastAsia="Arial" w:hAnsi="Arial"/>
                <w:sz w:val="18"/>
                <w:szCs w:val="18"/>
                <w:b w:val="1"/>
                <w:bCs w:val="1"/>
                <w:color w:val="auto"/>
              </w:rPr>
              <w:t>Net book value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5,001,174</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5,028,509</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4,972,283</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30,546</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5,002,829</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 w:right="480" w:firstLine="320"/>
        <w:spacing w:after="0" w:line="270" w:lineRule="auto"/>
        <w:rPr>
          <w:sz w:val="20"/>
          <w:szCs w:val="20"/>
          <w:color w:val="auto"/>
        </w:rPr>
      </w:pPr>
      <w:r>
        <w:rPr>
          <w:rFonts w:ascii="Arial" w:cs="Arial" w:eastAsia="Arial" w:hAnsi="Arial"/>
          <w:sz w:val="18"/>
          <w:szCs w:val="18"/>
          <w:color w:val="auto"/>
        </w:rPr>
        <w:t>Vessels with an aggregate carrying amount of $4,972,283 as of December 31, 2021 (December 31, 2020: $5,001,174) have been pledged as collateral under the terms of the Group’s credit facilities (Note 13).</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352425</wp:posOffset>
            </wp:positionV>
            <wp:extent cx="628650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60"/>
          </w:cols>
          <w:pgMar w:left="960" w:top="659" w:right="9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0"/>
        <w:spacing w:after="0" w:line="253" w:lineRule="auto"/>
        <w:rPr>
          <w:sz w:val="20"/>
          <w:szCs w:val="20"/>
          <w:color w:val="auto"/>
        </w:rPr>
      </w:pPr>
      <w:r>
        <w:rPr>
          <w:rFonts w:ascii="Arial" w:cs="Arial" w:eastAsia="Arial" w:hAnsi="Arial"/>
          <w:sz w:val="18"/>
          <w:szCs w:val="18"/>
          <w:color w:val="auto"/>
        </w:rPr>
        <w:t xml:space="preserve">On October 26, 2021, GAS-three Ltd. and GAS-ten Ltd. completed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Salem</w:t>
      </w:r>
      <w:r>
        <w:rPr>
          <w:rFonts w:ascii="Arial" w:cs="Arial" w:eastAsia="Arial" w:hAnsi="Arial"/>
          <w:sz w:val="18"/>
          <w:szCs w:val="18"/>
          <w:color w:val="auto"/>
        </w:rPr>
        <w:t>, respectively, with a wholly-owned subsidiary of CDBL (Note 7). During the year ended December 31, 2021, both vessels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initially remeasured at the lower of their carrying amount and fair value less costs to sell and a non-cash impairment loss of $16,853 was recorded for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subsequently, upon sale, a loss of $1,100 arising from both sale and leaseback transactions was recorded in the consolidated statement of profit or loss.</w:t>
      </w:r>
    </w:p>
    <w:p>
      <w:pPr>
        <w:spacing w:after="0" w:line="190" w:lineRule="exact"/>
        <w:rPr>
          <w:sz w:val="20"/>
          <w:szCs w:val="20"/>
          <w:color w:val="auto"/>
        </w:rPr>
      </w:pPr>
    </w:p>
    <w:p>
      <w:pPr>
        <w:ind w:firstLine="320"/>
        <w:spacing w:after="0" w:line="337" w:lineRule="auto"/>
        <w:rPr>
          <w:sz w:val="20"/>
          <w:szCs w:val="20"/>
          <w:color w:val="auto"/>
        </w:rPr>
      </w:pPr>
      <w:r>
        <w:rPr>
          <w:rFonts w:ascii="Arial" w:cs="Arial" w:eastAsia="Arial" w:hAnsi="Arial"/>
          <w:sz w:val="14"/>
          <w:szCs w:val="14"/>
          <w:color w:val="auto"/>
        </w:rPr>
        <w:t>As of December 31, 2021, a number of negative indicators such as differences between the charter-free market values of the Group’s Steam vessels, as estimated by ship brokers, and their respective carrying amounts, combined with reduced expectations of the rates at which the Group could expect to secure term employment for the remaining economic lives of the Steam vessels and significant uncertainties regarding future demand for such vessels in light of the continued addition of modern, larger and more fuel efficient LNG carriers to the global fleet, influenced management’s strategic decisions and prompted the Group to conclude that events and circumstances triggered the existence of potential impairment of Steam vessels, in accordance with the Group’s accounting policy (Note 2), with no impairment indicators identified with respect to the owned and bareboat TFDE fleet and the owned X-DF fleet as of December 31, 2021.</w:t>
      </w:r>
    </w:p>
    <w:p>
      <w:pPr>
        <w:spacing w:after="0" w:line="351" w:lineRule="exact"/>
        <w:rPr>
          <w:sz w:val="20"/>
          <w:szCs w:val="20"/>
          <w:color w:val="auto"/>
        </w:rPr>
      </w:pPr>
    </w:p>
    <w:p>
      <w:pPr>
        <w:ind w:right="100" w:firstLine="320"/>
        <w:spacing w:after="0" w:line="306" w:lineRule="auto"/>
        <w:rPr>
          <w:sz w:val="20"/>
          <w:szCs w:val="20"/>
          <w:color w:val="auto"/>
        </w:rPr>
      </w:pPr>
      <w:r>
        <w:rPr>
          <w:rFonts w:ascii="Arial" w:cs="Arial" w:eastAsia="Arial" w:hAnsi="Arial"/>
          <w:sz w:val="16"/>
          <w:szCs w:val="16"/>
          <w:color w:val="auto"/>
        </w:rPr>
        <w:t>The recoverable amounts (values in use) for the five Steam vessels owned by the Partnership and the one Steam vessel owned by GasLog (in the table below) were lower than the respective carrying amounts of these vessels and, consequently, an aggregate impairment loss of $125,839 was recognized in the consolidated statement of profit or loss in the year ended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As of and for the year ended</w:t>
            </w:r>
          </w:p>
        </w:tc>
        <w:tc>
          <w:tcPr>
            <w:tcW w:w="0" w:type="dxa"/>
            <w:vAlign w:val="bottom"/>
          </w:tcPr>
          <w:p>
            <w:pPr>
              <w:spacing w:after="0"/>
              <w:rPr>
                <w:sz w:val="1"/>
                <w:szCs w:val="1"/>
                <w:color w:val="auto"/>
              </w:rPr>
            </w:pPr>
          </w:p>
        </w:tc>
      </w:tr>
      <w:tr>
        <w:trPr>
          <w:trHeight w:val="16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w:t>
            </w:r>
          </w:p>
        </w:tc>
        <w:tc>
          <w:tcPr>
            <w:tcW w:w="274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0"/>
        </w:trPr>
        <w:tc>
          <w:tcPr>
            <w:tcW w:w="7180" w:type="dxa"/>
            <w:vAlign w:val="bottom"/>
            <w:gridSpan w:val="3"/>
            <w:vMerge w:val="continue"/>
          </w:tcPr>
          <w:p>
            <w:pPr>
              <w:spacing w:after="0"/>
              <w:rPr>
                <w:sz w:val="12"/>
                <w:szCs w:val="12"/>
                <w:color w:val="auto"/>
              </w:rPr>
            </w:pPr>
          </w:p>
        </w:tc>
        <w:tc>
          <w:tcPr>
            <w:tcW w:w="1460" w:type="dxa"/>
            <w:vAlign w:val="bottom"/>
            <w:gridSpan w:val="2"/>
          </w:tcPr>
          <w:p>
            <w:pPr>
              <w:ind w:left="120"/>
              <w:spacing w:after="0" w:line="140" w:lineRule="exact"/>
              <w:rPr>
                <w:sz w:val="20"/>
                <w:szCs w:val="20"/>
                <w:color w:val="auto"/>
              </w:rPr>
            </w:pPr>
            <w:r>
              <w:rPr>
                <w:rFonts w:ascii="Arial" w:cs="Arial" w:eastAsia="Arial" w:hAnsi="Arial"/>
                <w:sz w:val="14"/>
                <w:szCs w:val="14"/>
                <w:b w:val="1"/>
                <w:bCs w:val="1"/>
                <w:color w:val="auto"/>
              </w:rPr>
              <w:t>Impairment loss</w:t>
            </w:r>
          </w:p>
        </w:tc>
        <w:tc>
          <w:tcPr>
            <w:tcW w:w="1280" w:type="dxa"/>
            <w:vAlign w:val="bottom"/>
          </w:tcPr>
          <w:p>
            <w:pPr>
              <w:jc w:val="right"/>
              <w:spacing w:after="0" w:line="140" w:lineRule="exact"/>
              <w:rPr>
                <w:sz w:val="20"/>
                <w:szCs w:val="20"/>
                <w:color w:val="auto"/>
              </w:rPr>
            </w:pPr>
            <w:r>
              <w:rPr>
                <w:rFonts w:ascii="Arial" w:cs="Arial" w:eastAsia="Arial" w:hAnsi="Arial"/>
                <w:sz w:val="14"/>
                <w:szCs w:val="14"/>
                <w:b w:val="1"/>
                <w:bCs w:val="1"/>
                <w:color w:val="auto"/>
                <w:w w:val="90"/>
              </w:rPr>
              <w:t>Recoverable 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260" w:type="dxa"/>
            <w:vAlign w:val="bottom"/>
          </w:tcPr>
          <w:p>
            <w:pPr>
              <w:jc w:val="right"/>
              <w:spacing w:after="0"/>
              <w:rPr>
                <w:sz w:val="20"/>
                <w:szCs w:val="20"/>
                <w:color w:val="auto"/>
              </w:rPr>
            </w:pPr>
            <w:r>
              <w:rPr>
                <w:rFonts w:ascii="Arial" w:cs="Arial" w:eastAsia="Arial" w:hAnsi="Arial"/>
                <w:sz w:val="18"/>
                <w:szCs w:val="18"/>
                <w:color w:val="auto"/>
              </w:rPr>
              <w:t>(22,573)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Lydon Volney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1260" w:type="dxa"/>
            <w:vAlign w:val="bottom"/>
          </w:tcPr>
          <w:p>
            <w:pPr>
              <w:jc w:val="right"/>
              <w:spacing w:after="0"/>
              <w:rPr>
                <w:sz w:val="20"/>
                <w:szCs w:val="20"/>
                <w:color w:val="auto"/>
              </w:rPr>
            </w:pPr>
            <w:r>
              <w:rPr>
                <w:rFonts w:ascii="Arial" w:cs="Arial" w:eastAsia="Arial" w:hAnsi="Arial"/>
                <w:sz w:val="18"/>
                <w:szCs w:val="18"/>
                <w:color w:val="auto"/>
              </w:rPr>
              <w:t>(20,118)</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71,587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(21,183)</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(125,839)</w:t>
            </w:r>
          </w:p>
        </w:tc>
        <w:tc>
          <w:tcPr>
            <w:tcW w:w="2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427,150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40" w:firstLine="320"/>
        <w:spacing w:after="0" w:line="287" w:lineRule="auto"/>
        <w:rPr>
          <w:sz w:val="20"/>
          <w:szCs w:val="20"/>
          <w:color w:val="auto"/>
        </w:rPr>
      </w:pPr>
      <w:r>
        <w:rPr>
          <w:rFonts w:ascii="Arial" w:cs="Arial" w:eastAsia="Arial" w:hAnsi="Arial"/>
          <w:sz w:val="16"/>
          <w:szCs w:val="16"/>
          <w:color w:val="auto"/>
        </w:rPr>
        <w:t>As of December 31, 2021, 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long-term re-chartering rate over the remaining useful life of the vessels used in our impairment exercise for the Steam vessels was $35 per day ($40 per day as of December 31, 2020). Increasing/decreasing the average re-chartering rate used by $5 per day would decrease/increase the impairment loss by $50,070. The discount rate used for the Steam vessels was 7.5% (6.4% as of December 31, 2020). Increasing/decreasing the discount rate by 0.5% would increase/(decrease) the impairment loss by $9,798/($10,451), respectively.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the Group's last newbuilding delivery in August 2021, the amounts recognized under "Vessels under construction" mainly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comprise construction costs for the purpose of converting one of its owned vessels into an FSRU, including costs of engineering studies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and acquired long lead items that enabled the Group to participate in tenders for various FSRU projects. Towards the end of 2021, GasLog</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was selected to provide a vessel to be acquired by Gastrade after its conversion to an FSRU. As of December 31, 2021, the Group</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performed an impairment assessment of the historical costs by estimating their recoverable amount. As a result, an impairment loss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$10,977 was recognized for the Group's FSRU conversion costs recognized under "Vessels under construction", with respect to historical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costs as of December 31, 2021, from which future economic benefits are no longer expected to flow to the Group.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0"/>
        <w:spacing w:after="0" w:line="269" w:lineRule="auto"/>
        <w:rPr>
          <w:sz w:val="20"/>
          <w:szCs w:val="20"/>
          <w:color w:val="auto"/>
        </w:rPr>
      </w:pPr>
      <w:r>
        <w:rPr>
          <w:rFonts w:ascii="Arial" w:cs="Arial" w:eastAsia="Arial" w:hAnsi="Arial"/>
          <w:sz w:val="17"/>
          <w:szCs w:val="17"/>
          <w:color w:val="auto"/>
        </w:rPr>
        <w:t>On October 11, 2016, GasLog LNG Services Ltd. entered into an arrangement whereby it would have access to all long lead items ("LLIs") necessary for the conversion of a GasLog LNG carrier vessel into FSRUs whereby such conversion work would be undertaken by Keppel Shipyard Limited ("Keppel"). GasLog was only obligated to pay for such LLIs if utilized for a GasLog vessel conversion or, if the LLIs had not been utilized in a GasLog vessel conversion within three years from November 2016, the items might be put to GasLog at 85% of the original cost, or GasLog might call for the purchase of such LLIs at 115% of the original cost. On February 7, 2020, GasLog paid $17,625 for the acquisition of such LLIs, following the expiration of the arrangement.</w:t>
      </w:r>
    </w:p>
    <w:p>
      <w:pPr>
        <w:spacing w:after="0" w:line="180" w:lineRule="exact"/>
        <w:rPr>
          <w:sz w:val="20"/>
          <w:szCs w:val="20"/>
          <w:color w:val="auto"/>
        </w:rPr>
      </w:pPr>
    </w:p>
    <w:p>
      <w:pPr>
        <w:ind w:right="200" w:firstLine="320"/>
        <w:spacing w:after="0" w:line="258" w:lineRule="auto"/>
        <w:rPr>
          <w:sz w:val="20"/>
          <w:szCs w:val="20"/>
          <w:color w:val="auto"/>
        </w:rPr>
      </w:pPr>
      <w:r>
        <w:rPr>
          <w:rFonts w:ascii="Arial" w:cs="Arial" w:eastAsia="Arial" w:hAnsi="Arial"/>
          <w:sz w:val="18"/>
          <w:szCs w:val="18"/>
          <w:color w:val="auto"/>
        </w:rPr>
        <w:t>Related to the acquisition of six vessels from a subsidiary of Methane Services Limited ("MSL") in 2014 and another two vessels in 2015, the Group was committed to purchase depot spares from MSL with an aggregate initial value of $8,000 which had all been purchased and paid by June 2020.</w:t>
      </w:r>
    </w:p>
    <w:p>
      <w:pPr>
        <w:spacing w:after="0" w:line="186" w:lineRule="exact"/>
        <w:rPr>
          <w:sz w:val="20"/>
          <w:szCs w:val="20"/>
          <w:color w:val="auto"/>
        </w:rPr>
      </w:pPr>
    </w:p>
    <w:p>
      <w:pPr>
        <w:ind w:right="160" w:firstLine="320"/>
        <w:spacing w:after="0" w:line="258" w:lineRule="auto"/>
        <w:rPr>
          <w:sz w:val="20"/>
          <w:szCs w:val="20"/>
          <w:color w:val="auto"/>
        </w:rPr>
      </w:pPr>
      <w:r>
        <w:rPr>
          <w:rFonts w:ascii="Arial" w:cs="Arial" w:eastAsia="Arial" w:hAnsi="Arial"/>
          <w:sz w:val="18"/>
          <w:szCs w:val="18"/>
          <w:color w:val="auto"/>
        </w:rPr>
        <w:t xml:space="preserve">In June 2020, GasLog LNG Services Ltd. agreed to sell a low-pressure turbine which was included in Office property and other tangible assets to Egypt LNG Shipping Ltd. to be installed on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at a price of $2,457. The disposal resulted in a loss of $572.</w:t>
      </w:r>
    </w:p>
    <w:p>
      <w:pPr>
        <w:spacing w:after="0" w:line="186" w:lineRule="exact"/>
        <w:rPr>
          <w:sz w:val="20"/>
          <w:szCs w:val="20"/>
          <w:color w:val="auto"/>
        </w:rPr>
      </w:pPr>
    </w:p>
    <w:p>
      <w:pPr>
        <w:ind w:right="40" w:firstLine="320"/>
        <w:spacing w:after="0" w:line="269" w:lineRule="auto"/>
        <w:rPr>
          <w:sz w:val="20"/>
          <w:szCs w:val="20"/>
          <w:color w:val="auto"/>
        </w:rPr>
      </w:pPr>
      <w:r>
        <w:rPr>
          <w:rFonts w:ascii="Arial" w:cs="Arial" w:eastAsia="Arial" w:hAnsi="Arial"/>
          <w:sz w:val="17"/>
          <w:szCs w:val="17"/>
          <w:color w:val="auto"/>
        </w:rPr>
        <w:t>In April and May 2017, GasLog LNG Services Ltd. entered into agreements in relation to investments in certain of the Partnership’s and GasLog’s vessels, with the aim of enhancing their operational performance. On March 7, 2019, GasLog LNG Services Ltd. and one of the suppliers signed an interim agreement regarding the reimbursement of amounts already paid by the Group in respect of the aforementioned enhancements which were not timely delivered or in the correct contractual condition. In accordance with the terms of the interim agreement, $10,451 has been reimbursed to the Group with realized foreign exchange losses of $773 recorded in consolidated statement of profit or loss in the year ended December 31, 2019.</w:t>
      </w:r>
    </w:p>
    <w:p>
      <w:pPr>
        <w:spacing w:after="0" w:line="180" w:lineRule="exact"/>
        <w:rPr>
          <w:sz w:val="20"/>
          <w:szCs w:val="20"/>
          <w:color w:val="auto"/>
        </w:rPr>
      </w:pPr>
    </w:p>
    <w:p>
      <w:pPr>
        <w:ind w:right="260" w:firstLine="320"/>
        <w:spacing w:after="0" w:line="270" w:lineRule="auto"/>
        <w:rPr>
          <w:sz w:val="20"/>
          <w:szCs w:val="20"/>
          <w:color w:val="auto"/>
        </w:rPr>
      </w:pPr>
      <w:r>
        <w:rPr>
          <w:rFonts w:ascii="Arial" w:cs="Arial" w:eastAsia="Arial" w:hAnsi="Arial"/>
          <w:sz w:val="18"/>
          <w:szCs w:val="18"/>
          <w:color w:val="auto"/>
        </w:rPr>
        <w:t xml:space="preserve">In January 2018, GAS-twenty eight Ltd. entered into a shipbuilding contract with Samsung for the construction of one LNG carrier (180,000 cbm). The vessel (the </w:t>
      </w:r>
      <w:r>
        <w:rPr>
          <w:rFonts w:ascii="Arial" w:cs="Arial" w:eastAsia="Arial" w:hAnsi="Arial"/>
          <w:sz w:val="18"/>
          <w:szCs w:val="18"/>
          <w:i w:val="1"/>
          <w:iCs w:val="1"/>
          <w:color w:val="auto"/>
        </w:rPr>
        <w:t>GasLog Windsor</w:t>
      </w:r>
      <w:r>
        <w:rPr>
          <w:rFonts w:ascii="Arial" w:cs="Arial" w:eastAsia="Arial" w:hAnsi="Arial"/>
          <w:sz w:val="18"/>
          <w:szCs w:val="18"/>
          <w:color w:val="auto"/>
        </w:rPr>
        <w:t>) was delivered on April 1, 2020.</w:t>
      </w:r>
    </w:p>
    <w:p>
      <w:pPr>
        <w:spacing w:after="0" w:line="175" w:lineRule="exact"/>
        <w:rPr>
          <w:sz w:val="20"/>
          <w:szCs w:val="20"/>
          <w:color w:val="auto"/>
        </w:rPr>
      </w:pPr>
    </w:p>
    <w:p>
      <w:pPr>
        <w:ind w:right="540" w:firstLine="320"/>
        <w:spacing w:after="0" w:line="270" w:lineRule="auto"/>
        <w:rPr>
          <w:sz w:val="20"/>
          <w:szCs w:val="20"/>
          <w:color w:val="auto"/>
        </w:rPr>
      </w:pPr>
      <w:r>
        <w:rPr>
          <w:rFonts w:ascii="Arial" w:cs="Arial" w:eastAsia="Arial" w:hAnsi="Arial"/>
          <w:sz w:val="18"/>
          <w:szCs w:val="18"/>
          <w:color w:val="auto"/>
        </w:rPr>
        <w:t xml:space="preserve">In March 2018, GAS-thirty one Ltd. entered into a shipbuilding contract with Samsung for the construction of one LNG carrier (180,000 cbm). The vessel (the </w:t>
      </w:r>
      <w:r>
        <w:rPr>
          <w:rFonts w:ascii="Arial" w:cs="Arial" w:eastAsia="Arial" w:hAnsi="Arial"/>
          <w:sz w:val="18"/>
          <w:szCs w:val="18"/>
          <w:i w:val="1"/>
          <w:iCs w:val="1"/>
          <w:color w:val="auto"/>
        </w:rPr>
        <w:t>GasLog Wales</w:t>
      </w:r>
      <w:r>
        <w:rPr>
          <w:rFonts w:ascii="Arial" w:cs="Arial" w:eastAsia="Arial" w:hAnsi="Arial"/>
          <w:sz w:val="18"/>
          <w:szCs w:val="18"/>
          <w:color w:val="auto"/>
        </w:rPr>
        <w:t>) was delivered on May 11, 2020.</w:t>
      </w:r>
    </w:p>
    <w:p>
      <w:pPr>
        <w:spacing w:after="0" w:line="175" w:lineRule="exact"/>
        <w:rPr>
          <w:sz w:val="20"/>
          <w:szCs w:val="20"/>
          <w:color w:val="auto"/>
        </w:rPr>
      </w:pPr>
    </w:p>
    <w:p>
      <w:pPr>
        <w:ind w:right="300" w:firstLine="320"/>
        <w:spacing w:after="0" w:line="270" w:lineRule="auto"/>
        <w:rPr>
          <w:sz w:val="20"/>
          <w:szCs w:val="20"/>
          <w:color w:val="auto"/>
        </w:rPr>
      </w:pPr>
      <w:r>
        <w:rPr>
          <w:rFonts w:ascii="Arial" w:cs="Arial" w:eastAsia="Arial" w:hAnsi="Arial"/>
          <w:sz w:val="18"/>
          <w:szCs w:val="18"/>
          <w:color w:val="auto"/>
        </w:rPr>
        <w:t xml:space="preserve">In May 2018, GAS-thirty Ltd. entered into a shipbuilding contract with Samsung for the construction of one LNG carrier (180,000 cbm). The vessel (the </w:t>
      </w:r>
      <w:r>
        <w:rPr>
          <w:rFonts w:ascii="Arial" w:cs="Arial" w:eastAsia="Arial" w:hAnsi="Arial"/>
          <w:sz w:val="18"/>
          <w:szCs w:val="18"/>
          <w:i w:val="1"/>
          <w:iCs w:val="1"/>
          <w:color w:val="auto"/>
        </w:rPr>
        <w:t>GasLog Westminster</w:t>
      </w:r>
      <w:r>
        <w:rPr>
          <w:rFonts w:ascii="Arial" w:cs="Arial" w:eastAsia="Arial" w:hAnsi="Arial"/>
          <w:sz w:val="18"/>
          <w:szCs w:val="18"/>
          <w:color w:val="auto"/>
        </w:rPr>
        <w:t>) was delivered on July 15, 2020.</w:t>
      </w:r>
    </w:p>
    <w:p>
      <w:pPr>
        <w:spacing w:after="0" w:line="175" w:lineRule="exact"/>
        <w:rPr>
          <w:sz w:val="20"/>
          <w:szCs w:val="20"/>
          <w:color w:val="auto"/>
        </w:rPr>
      </w:pPr>
    </w:p>
    <w:p>
      <w:pPr>
        <w:ind w:right="480" w:firstLine="320"/>
        <w:spacing w:after="0" w:line="270" w:lineRule="auto"/>
        <w:rPr>
          <w:sz w:val="20"/>
          <w:szCs w:val="20"/>
          <w:color w:val="auto"/>
        </w:rPr>
      </w:pPr>
      <w:r>
        <w:rPr>
          <w:rFonts w:ascii="Arial" w:cs="Arial" w:eastAsia="Arial" w:hAnsi="Arial"/>
          <w:sz w:val="18"/>
          <w:szCs w:val="18"/>
          <w:color w:val="auto"/>
        </w:rPr>
        <w:t xml:space="preserve">In August 2018, GAS-thirty two Ltd. entered into a shipbuilding contract with Samsung for the construction of one LNG carrier (174,000 cbm). The vessel (the </w:t>
      </w:r>
      <w:r>
        <w:rPr>
          <w:rFonts w:ascii="Arial" w:cs="Arial" w:eastAsia="Arial" w:hAnsi="Arial"/>
          <w:sz w:val="18"/>
          <w:szCs w:val="18"/>
          <w:i w:val="1"/>
          <w:iCs w:val="1"/>
          <w:color w:val="auto"/>
        </w:rPr>
        <w:t>GasLog Georgetown</w:t>
      </w:r>
      <w:r>
        <w:rPr>
          <w:rFonts w:ascii="Arial" w:cs="Arial" w:eastAsia="Arial" w:hAnsi="Arial"/>
          <w:sz w:val="18"/>
          <w:szCs w:val="18"/>
          <w:color w:val="auto"/>
        </w:rPr>
        <w:t>) was delivered on November 16, 2020.</w:t>
      </w:r>
    </w:p>
    <w:p>
      <w:pPr>
        <w:spacing w:after="0" w:line="175" w:lineRule="exact"/>
        <w:rPr>
          <w:sz w:val="20"/>
          <w:szCs w:val="20"/>
          <w:color w:val="auto"/>
        </w:rPr>
      </w:pPr>
    </w:p>
    <w:p>
      <w:pPr>
        <w:ind w:right="400" w:firstLine="320"/>
        <w:spacing w:after="0" w:line="270" w:lineRule="auto"/>
        <w:rPr>
          <w:sz w:val="20"/>
          <w:szCs w:val="20"/>
          <w:color w:val="auto"/>
        </w:rPr>
      </w:pPr>
      <w:r>
        <w:rPr>
          <w:rFonts w:ascii="Arial" w:cs="Arial" w:eastAsia="Arial" w:hAnsi="Arial"/>
          <w:sz w:val="18"/>
          <w:szCs w:val="18"/>
          <w:color w:val="auto"/>
        </w:rPr>
        <w:t xml:space="preserve">In August 2018, GAS-thirty three Ltd. entered into a shipbuilding contract with Samsung for the construction of one LNG carrier (174,000 cbm). The vessel (the </w:t>
      </w:r>
      <w:r>
        <w:rPr>
          <w:rFonts w:ascii="Arial" w:cs="Arial" w:eastAsia="Arial" w:hAnsi="Arial"/>
          <w:sz w:val="18"/>
          <w:szCs w:val="18"/>
          <w:i w:val="1"/>
          <w:iCs w:val="1"/>
          <w:color w:val="auto"/>
        </w:rPr>
        <w:t>GasLog Galveston</w:t>
      </w:r>
      <w:r>
        <w:rPr>
          <w:rFonts w:ascii="Arial" w:cs="Arial" w:eastAsia="Arial" w:hAnsi="Arial"/>
          <w:sz w:val="18"/>
          <w:szCs w:val="18"/>
          <w:color w:val="auto"/>
        </w:rPr>
        <w:t>) was delivered on January 4, 2021.</w:t>
      </w:r>
    </w:p>
    <w:p>
      <w:pPr>
        <w:spacing w:after="0" w:line="175" w:lineRule="exact"/>
        <w:rPr>
          <w:sz w:val="20"/>
          <w:szCs w:val="20"/>
          <w:color w:val="auto"/>
        </w:rPr>
      </w:pPr>
    </w:p>
    <w:p>
      <w:pPr>
        <w:ind w:right="240" w:firstLine="320"/>
        <w:spacing w:after="0" w:line="270" w:lineRule="auto"/>
        <w:rPr>
          <w:sz w:val="20"/>
          <w:szCs w:val="20"/>
          <w:color w:val="auto"/>
        </w:rPr>
      </w:pPr>
      <w:r>
        <w:rPr>
          <w:rFonts w:ascii="Arial" w:cs="Arial" w:eastAsia="Arial" w:hAnsi="Arial"/>
          <w:sz w:val="18"/>
          <w:szCs w:val="18"/>
          <w:color w:val="auto"/>
        </w:rPr>
        <w:t xml:space="preserve">In December 2018, GAS-thirty four Ltd. entered into a shipbuilding contract with Samsung for the construction of one LNG carrier (180,000 cbm). The vessel (the </w:t>
      </w:r>
      <w:r>
        <w:rPr>
          <w:rFonts w:ascii="Arial" w:cs="Arial" w:eastAsia="Arial" w:hAnsi="Arial"/>
          <w:sz w:val="18"/>
          <w:szCs w:val="18"/>
          <w:i w:val="1"/>
          <w:iCs w:val="1"/>
          <w:color w:val="auto"/>
        </w:rPr>
        <w:t>GasLog Wellington</w:t>
      </w:r>
      <w:r>
        <w:rPr>
          <w:rFonts w:ascii="Arial" w:cs="Arial" w:eastAsia="Arial" w:hAnsi="Arial"/>
          <w:sz w:val="18"/>
          <w:szCs w:val="18"/>
          <w:color w:val="auto"/>
        </w:rPr>
        <w:t>) was delivered on June 15, 2021.</w:t>
      </w:r>
    </w:p>
    <w:p>
      <w:pPr>
        <w:spacing w:after="0" w:line="175" w:lineRule="exact"/>
        <w:rPr>
          <w:sz w:val="20"/>
          <w:szCs w:val="20"/>
          <w:color w:val="auto"/>
        </w:rPr>
      </w:pPr>
    </w:p>
    <w:p>
      <w:pPr>
        <w:ind w:right="260" w:firstLine="320"/>
        <w:spacing w:after="0" w:line="270" w:lineRule="auto"/>
        <w:rPr>
          <w:sz w:val="20"/>
          <w:szCs w:val="20"/>
          <w:color w:val="auto"/>
        </w:rPr>
      </w:pPr>
      <w:r>
        <w:rPr>
          <w:rFonts w:ascii="Arial" w:cs="Arial" w:eastAsia="Arial" w:hAnsi="Arial"/>
          <w:sz w:val="18"/>
          <w:szCs w:val="18"/>
          <w:color w:val="auto"/>
        </w:rPr>
        <w:t xml:space="preserve">In December 2018, GAS-thirty five Ltd. entered into a shipbuilding contract with Samsung for the construction of one LNG carrier (180,000 cbm). The vessel (the </w:t>
      </w:r>
      <w:r>
        <w:rPr>
          <w:rFonts w:ascii="Arial" w:cs="Arial" w:eastAsia="Arial" w:hAnsi="Arial"/>
          <w:sz w:val="18"/>
          <w:szCs w:val="18"/>
          <w:i w:val="1"/>
          <w:iCs w:val="1"/>
          <w:color w:val="auto"/>
        </w:rPr>
        <w:t>GasLog Winchester</w:t>
      </w:r>
      <w:r>
        <w:rPr>
          <w:rFonts w:ascii="Arial" w:cs="Arial" w:eastAsia="Arial" w:hAnsi="Arial"/>
          <w:sz w:val="18"/>
          <w:szCs w:val="18"/>
          <w:color w:val="auto"/>
        </w:rPr>
        <w:t>) was delivered on August 24, 2021.</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0" w:lineRule="exact"/>
        <w:rPr>
          <w:sz w:val="20"/>
          <w:szCs w:val="20"/>
          <w:color w:val="auto"/>
        </w:rPr>
      </w:pPr>
    </w:p>
    <w:p>
      <w:pPr>
        <w:ind w:right="240" w:firstLine="320"/>
        <w:spacing w:after="0" w:line="270" w:lineRule="auto"/>
        <w:rPr>
          <w:sz w:val="20"/>
          <w:szCs w:val="20"/>
          <w:color w:val="auto"/>
        </w:rPr>
      </w:pPr>
      <w:r>
        <w:rPr>
          <w:rFonts w:ascii="Arial" w:cs="Arial" w:eastAsia="Arial" w:hAnsi="Arial"/>
          <w:sz w:val="18"/>
          <w:szCs w:val="18"/>
          <w:color w:val="auto"/>
        </w:rPr>
        <w:t>As of December 31, 2021, GasLog has the following newbuildings on order at Daewoo Shipbuilding and Marine Engineering Co., Ltd. (“Daewoo”):</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 of</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3"/>
              </w:rPr>
              <w:t>Cargo Capacity</w:t>
            </w:r>
          </w:p>
        </w:tc>
      </w:tr>
      <w:tr>
        <w:trPr>
          <w:trHeight w:val="198"/>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LNG Carrier</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agreement</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delivery</w:t>
            </w: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(Cbm)</w:t>
            </w:r>
          </w:p>
        </w:tc>
      </w:tr>
      <w:tr>
        <w:trPr>
          <w:trHeight w:val="207"/>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Hull No. 2532</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2021</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Q3 2024</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w:t>
            </w:r>
          </w:p>
        </w:tc>
      </w:tr>
      <w:tr>
        <w:trPr>
          <w:trHeight w:val="213"/>
        </w:trPr>
        <w:tc>
          <w:tcPr>
            <w:tcW w:w="4760" w:type="dxa"/>
            <w:vAlign w:val="bottom"/>
            <w:gridSpan w:val="2"/>
          </w:tcPr>
          <w:p>
            <w:pPr>
              <w:spacing w:after="0"/>
              <w:rPr>
                <w:sz w:val="20"/>
                <w:szCs w:val="20"/>
                <w:color w:val="auto"/>
              </w:rPr>
            </w:pPr>
            <w:r>
              <w:rPr>
                <w:rFonts w:ascii="Arial" w:cs="Arial" w:eastAsia="Arial" w:hAnsi="Arial"/>
                <w:sz w:val="18"/>
                <w:szCs w:val="18"/>
                <w:color w:val="auto"/>
              </w:rPr>
              <w:t>Hull No. 2533</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November 2021</w:t>
            </w: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Q3 2024</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r>
      <w:tr>
        <w:trPr>
          <w:trHeight w:val="213"/>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2534</w:t>
            </w: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November 2021</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Q3 2025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r>
      <w:tr>
        <w:trPr>
          <w:trHeight w:val="226"/>
        </w:trPr>
        <w:tc>
          <w:tcPr>
            <w:tcW w:w="4760" w:type="dxa"/>
            <w:vAlign w:val="bottom"/>
            <w:gridSpan w:val="2"/>
          </w:tcPr>
          <w:p>
            <w:pPr>
              <w:spacing w:after="0"/>
              <w:rPr>
                <w:sz w:val="20"/>
                <w:szCs w:val="20"/>
                <w:color w:val="auto"/>
              </w:rPr>
            </w:pPr>
            <w:r>
              <w:rPr>
                <w:rFonts w:ascii="Arial" w:cs="Arial" w:eastAsia="Arial" w:hAnsi="Arial"/>
                <w:sz w:val="18"/>
                <w:szCs w:val="18"/>
                <w:color w:val="auto"/>
              </w:rPr>
              <w:t>Hull No. 2535</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November 2021</w:t>
            </w: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Q4 2025</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vessels under construction costs as of December 31, 2020 and 2021 are comprised of:</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As of</w:t>
      </w:r>
    </w:p>
    <w:tbl>
      <w:tblPr>
        <w:tblLayout w:type="fixed"/>
        <w:tblInd w:w="1000" w:type="dxa"/>
        <w:tblCellMar>
          <w:top w:w="0" w:type="dxa"/>
          <w:left w:w="0" w:type="dxa"/>
          <w:bottom w:w="0" w:type="dxa"/>
          <w:right w:w="0" w:type="dxa"/>
        </w:tblCellMar>
      </w:tblPr>
      <w:tr>
        <w:trPr>
          <w:trHeight w:val="155"/>
        </w:trPr>
        <w:tc>
          <w:tcPr>
            <w:tcW w:w="6240" w:type="dxa"/>
            <w:vAlign w:val="bottom"/>
          </w:tcPr>
          <w:p>
            <w:pPr>
              <w:spacing w:after="0"/>
              <w:rPr>
                <w:sz w:val="13"/>
                <w:szCs w:val="13"/>
                <w:color w:val="auto"/>
              </w:rPr>
            </w:pPr>
          </w:p>
        </w:tc>
        <w:tc>
          <w:tcPr>
            <w:tcW w:w="1680" w:type="dxa"/>
            <w:vAlign w:val="bottom"/>
            <w:tcBorders>
              <w:bottom w:val="single" w:sz="8" w:color="auto"/>
            </w:tcBorders>
            <w:gridSpan w:val="3"/>
          </w:tcPr>
          <w:p>
            <w:pPr>
              <w:jc w:val="right"/>
              <w:ind w:right="355"/>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40"/>
        </w:trPr>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7"/>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5"/>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Progress shipyard installments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760" w:type="dxa"/>
            <w:vAlign w:val="bottom"/>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22,939</w:t>
            </w:r>
          </w:p>
        </w:tc>
      </w:tr>
      <w:tr>
        <w:trPr>
          <w:trHeight w:val="207"/>
        </w:trPr>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132,839</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22,939</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4"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Arial" w:cs="Arial" w:eastAsia="Arial" w:hAnsi="Arial"/>
          <w:sz w:val="18"/>
          <w:szCs w:val="18"/>
          <w:i w:val="1"/>
          <w:iCs w:val="1"/>
          <w:color w:val="auto"/>
        </w:rPr>
        <w:t>Leases</w:t>
      </w:r>
      <w:r>
        <w:rPr>
          <w:rFonts w:ascii="Arial" w:cs="Arial" w:eastAsia="Arial" w:hAnsi="Arial"/>
          <w:sz w:val="18"/>
          <w:szCs w:val="18"/>
          <w:color w:val="auto"/>
        </w:rPr>
        <w:t>. As of January 1, 2019, these liabilities were measured at the present value of the remaining lease payments, discounted using the current weighted average incremental borrowing rate.</w:t>
      </w:r>
    </w:p>
    <w:p>
      <w:pPr>
        <w:spacing w:after="0" w:line="188"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&amp; Co., Ltd. (“Mitsui”). Mitsui has the right to on-sell and lease back the vessel. The vessel was sold to Mitsui for a cash consideration of $217,000. GasLog leased back the vessel under a bareboat charter from Mitsui for a period of up to 20 years.</w:t>
      </w:r>
    </w:p>
    <w:p>
      <w:pPr>
        <w:jc w:val="both"/>
        <w:ind w:right="20"/>
        <w:spacing w:after="0" w:line="251" w:lineRule="auto"/>
        <w:rPr>
          <w:sz w:val="20"/>
          <w:szCs w:val="20"/>
          <w:color w:val="auto"/>
        </w:rPr>
      </w:pPr>
      <w:r>
        <w:rPr>
          <w:rFonts w:ascii="Arial" w:cs="Arial" w:eastAsia="Arial" w:hAnsi="Arial"/>
          <w:sz w:val="18"/>
          <w:szCs w:val="18"/>
          <w:color w:val="auto"/>
        </w:rPr>
        <w:t xml:space="preserve">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IAS 17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92" w:lineRule="exact"/>
        <w:rPr>
          <w:sz w:val="20"/>
          <w:szCs w:val="20"/>
          <w:color w:val="auto"/>
        </w:rPr>
      </w:pPr>
    </w:p>
    <w:p>
      <w:pPr>
        <w:ind w:right="40" w:firstLine="320"/>
        <w:spacing w:after="0" w:line="252" w:lineRule="auto"/>
        <w:rPr>
          <w:sz w:val="20"/>
          <w:szCs w:val="20"/>
          <w:color w:val="auto"/>
        </w:rPr>
      </w:pPr>
      <w:r>
        <w:rPr>
          <w:rFonts w:ascii="Arial" w:cs="Arial" w:eastAsia="Arial" w:hAnsi="Arial"/>
          <w:sz w:val="18"/>
          <w:szCs w:val="18"/>
          <w:color w:val="auto"/>
        </w:rPr>
        <w:t xml:space="preserve">On October 26, 2021, GasLog Partners’ subsidiary, GAS-three Ltd., and GasLog’s subsidiary, GAS-ten Ltd. completed the sale and leaseback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respectively, with a wholly-owned subsidiary of CDBL. CDBL has the right to sell the vessels to third parties. The vessels were sold to CDBL for net proceeds of $242,979. GasLog leased back the vessels under bareboat charters from CDBL for a period of five years with no repurchase option or obligation. These sale and leasebacks meet the definition of a lease under IFRS 16 </w:t>
      </w:r>
      <w:r>
        <w:rPr>
          <w:rFonts w:ascii="Arial" w:cs="Arial" w:eastAsia="Arial" w:hAnsi="Arial"/>
          <w:sz w:val="18"/>
          <w:szCs w:val="18"/>
          <w:i w:val="1"/>
          <w:iCs w:val="1"/>
          <w:color w:val="auto"/>
        </w:rPr>
        <w:t>Leases</w:t>
      </w:r>
      <w:r>
        <w:rPr>
          <w:rFonts w:ascii="Arial" w:cs="Arial" w:eastAsia="Arial" w:hAnsi="Arial"/>
          <w:sz w:val="18"/>
          <w:szCs w:val="18"/>
          <w:color w:val="auto"/>
        </w:rPr>
        <w:t>, resulting in the recognition of a right-of-use asset of $173,550 and a corresponding lease liability of $118,176.</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60"/>
          </w:cols>
          <w:pgMar w:left="980" w:top="659" w:right="10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movements in right-of-use assets are reported in the following table: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Right-of-Use Assets</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Vessels</w:t>
            </w:r>
          </w:p>
        </w:tc>
        <w:tc>
          <w:tcPr>
            <w:tcW w:w="9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Vessels’</w:t>
            </w:r>
          </w:p>
        </w:tc>
        <w:tc>
          <w:tcPr>
            <w:tcW w:w="160" w:type="dxa"/>
            <w:vAlign w:val="bottom"/>
          </w:tcPr>
          <w:p>
            <w:pPr>
              <w:spacing w:after="0"/>
              <w:rPr>
                <w:sz w:val="14"/>
                <w:szCs w:val="14"/>
                <w:color w:val="auto"/>
              </w:rPr>
            </w:pP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9"/>
              </w:rPr>
              <w:t>Properties</w:t>
            </w:r>
          </w:p>
        </w:tc>
        <w:tc>
          <w:tcPr>
            <w:tcW w:w="160" w:type="dxa"/>
            <w:vAlign w:val="bottom"/>
          </w:tcPr>
          <w:p>
            <w:pPr>
              <w:spacing w:after="0"/>
              <w:rPr>
                <w:sz w:val="14"/>
                <w:szCs w:val="14"/>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600" w:type="dxa"/>
            <w:vAlign w:val="bottom"/>
            <w:gridSpan w:val="4"/>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200,032</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1,857</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4,550</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206,495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Additions, net</w:t>
            </w:r>
          </w:p>
        </w:tc>
        <w:tc>
          <w:tcPr>
            <w:tcW w:w="700" w:type="dxa"/>
            <w:vAlign w:val="bottom"/>
          </w:tcPr>
          <w:p>
            <w:pPr>
              <w:jc w:val="right"/>
              <w:spacing w:after="0"/>
              <w:rPr>
                <w:sz w:val="20"/>
                <w:szCs w:val="20"/>
                <w:color w:val="auto"/>
              </w:rPr>
            </w:pPr>
            <w:r>
              <w:rPr>
                <w:rFonts w:ascii="Arial" w:cs="Arial" w:eastAsia="Arial" w:hAnsi="Arial"/>
                <w:sz w:val="18"/>
                <w:szCs w:val="18"/>
                <w:color w:val="auto"/>
              </w:rPr>
              <w:t>5,799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1,255</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0" w:type="dxa"/>
            <w:vAlign w:val="bottom"/>
          </w:tcPr>
          <w:p>
            <w:pPr>
              <w:spacing w:after="0"/>
              <w:rPr>
                <w:sz w:val="1"/>
                <w:szCs w:val="1"/>
                <w:color w:val="auto"/>
              </w:rPr>
            </w:pPr>
          </w:p>
        </w:tc>
      </w:tr>
      <w:tr>
        <w:trPr>
          <w:trHeight w:val="247"/>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197,668</w:t>
            </w:r>
          </w:p>
        </w:tc>
        <w:tc>
          <w:tcPr>
            <w:tcW w:w="160" w:type="dxa"/>
            <w:vAlign w:val="bottom"/>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1,437</w:t>
            </w:r>
          </w:p>
        </w:tc>
        <w:tc>
          <w:tcPr>
            <w:tcW w:w="160" w:type="dxa"/>
            <w:vAlign w:val="bottom"/>
          </w:tcPr>
          <w:p>
            <w:pPr>
              <w:spacing w:after="0"/>
              <w:rPr>
                <w:sz w:val="21"/>
                <w:szCs w:val="21"/>
                <w:color w:val="auto"/>
              </w:rPr>
            </w:pPr>
          </w:p>
        </w:tc>
        <w:tc>
          <w:tcPr>
            <w:tcW w:w="6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4,258</w:t>
            </w:r>
          </w:p>
        </w:tc>
        <w:tc>
          <w:tcPr>
            <w:tcW w:w="160" w:type="dxa"/>
            <w:vAlign w:val="bottom"/>
          </w:tcPr>
          <w:p>
            <w:pPr>
              <w:spacing w:after="0"/>
              <w:rPr>
                <w:sz w:val="21"/>
                <w:szCs w:val="21"/>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74</w:t>
            </w:r>
          </w:p>
        </w:tc>
        <w:tc>
          <w:tcPr>
            <w:tcW w:w="16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203,437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tcBorders>
              <w:top w:val="single" w:sz="8" w:color="CCEEFF"/>
            </w:tcBorders>
            <w:gridSpan w:val="3"/>
            <w:shd w:val="clear" w:color="auto" w:fill="CCEEFF"/>
          </w:tcPr>
          <w:p>
            <w:pPr>
              <w:spacing w:after="0" w:line="192" w:lineRule="exact"/>
              <w:rPr>
                <w:sz w:val="20"/>
                <w:szCs w:val="20"/>
                <w:color w:val="auto"/>
              </w:rPr>
            </w:pPr>
            <w:r>
              <w:rPr>
                <w:rFonts w:ascii="Arial" w:cs="Arial" w:eastAsia="Arial" w:hAnsi="Arial"/>
                <w:sz w:val="18"/>
                <w:szCs w:val="18"/>
                <w:color w:val="auto"/>
              </w:rPr>
              <w:t>Additions, net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5"/>
              </w:rPr>
              <w:t>173,542</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1,426</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1,961</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8"/>
              </w:rPr>
              <w:t>176,888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(14,655)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(1,396)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356,555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4,823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363,035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3"/>
            <w:vMerge w:val="restart"/>
          </w:tcPr>
          <w:p>
            <w:pPr>
              <w:ind w:left="300"/>
              <w:spacing w:after="0"/>
              <w:rPr>
                <w:sz w:val="20"/>
                <w:szCs w:val="20"/>
                <w:color w:val="auto"/>
              </w:rPr>
            </w:pPr>
            <w:r>
              <w:rPr>
                <w:rFonts w:ascii="Arial" w:cs="Arial" w:eastAsia="Arial" w:hAnsi="Arial"/>
                <w:sz w:val="18"/>
                <w:szCs w:val="18"/>
                <w:color w:val="auto"/>
              </w:rPr>
              <w:t>An analysis of the lease liabilities is as follows: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558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8"/>
          </w:tcPr>
          <w:p>
            <w:pPr>
              <w:ind w:left="60"/>
              <w:spacing w:after="0"/>
              <w:rPr>
                <w:sz w:val="20"/>
                <w:szCs w:val="20"/>
                <w:color w:val="auto"/>
              </w:rPr>
            </w:pPr>
            <w:r>
              <w:rPr>
                <w:rFonts w:ascii="Arial" w:cs="Arial" w:eastAsia="Arial" w:hAnsi="Arial"/>
                <w:sz w:val="14"/>
                <w:szCs w:val="14"/>
                <w:b w:val="1"/>
                <w:bCs w:val="1"/>
                <w:color w:val="auto"/>
              </w:rPr>
              <w:t>Lease Liabilities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35"/>
              <w:spacing w:after="0" w:line="140"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January 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204,930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Additions,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2,155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charge (Note 19)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9,921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(20,836)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196,170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302,850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3"/>
            <w:vMerge w:val="restart"/>
          </w:tcPr>
          <w:p>
            <w:pPr>
              <w:ind w:left="980"/>
              <w:spacing w:after="0"/>
              <w:rPr>
                <w:sz w:val="20"/>
                <w:szCs w:val="20"/>
                <w:color w:val="auto"/>
              </w:rPr>
            </w:pPr>
            <w:r>
              <w:rPr>
                <w:rFonts w:ascii="Arial" w:cs="Arial" w:eastAsia="Arial" w:hAnsi="Arial"/>
                <w:sz w:val="18"/>
                <w:szCs w:val="18"/>
                <w:color w:val="auto"/>
              </w:rPr>
              <w:t>Lease liabilities, current portion</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gridSpan w:val="2"/>
          </w:tcPr>
          <w:p>
            <w:pPr>
              <w:jc w:val="right"/>
              <w:spacing w:after="0" w:line="194" w:lineRule="exact"/>
              <w:rPr>
                <w:sz w:val="20"/>
                <w:szCs w:val="20"/>
                <w:color w:val="auto"/>
              </w:rPr>
            </w:pPr>
            <w:r>
              <w:rPr>
                <w:rFonts w:ascii="Arial" w:cs="Arial" w:eastAsia="Arial" w:hAnsi="Arial"/>
                <w:sz w:val="18"/>
                <w:szCs w:val="18"/>
                <w:color w:val="auto"/>
                <w:w w:val="84"/>
              </w:rPr>
              <w:t>9,644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30,905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non-current portion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186,526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80" w:type="dxa"/>
            <w:vAlign w:val="bottom"/>
            <w:gridSpan w:val="3"/>
          </w:tcPr>
          <w:p>
            <w:pPr>
              <w:ind w:left="9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196,170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302,850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00" w:firstLine="320"/>
        <w:spacing w:after="0" w:line="258" w:lineRule="auto"/>
        <w:rPr>
          <w:sz w:val="20"/>
          <w:szCs w:val="20"/>
          <w:color w:val="auto"/>
        </w:rPr>
      </w:pPr>
      <w:r>
        <w:rPr>
          <w:rFonts w:ascii="Arial" w:cs="Arial" w:eastAsia="Arial" w:hAnsi="Arial"/>
          <w:sz w:val="18"/>
          <w:szCs w:val="18"/>
          <w:color w:val="auto"/>
        </w:rPr>
        <w:t>An amount of $344 has been recognized in the consolidated statement of profit or loss for the year ended December 31, 2021 ($327 for the year ended December 31, 2020), which represents the lease expense incurred for low value leases not included in the measurement of the right-of-use assets and the lease liability.</w:t>
      </w:r>
    </w:p>
    <w:p>
      <w:pPr>
        <w:spacing w:after="0" w:line="186" w:lineRule="exact"/>
        <w:rPr>
          <w:sz w:val="20"/>
          <w:szCs w:val="20"/>
          <w:color w:val="auto"/>
        </w:rPr>
      </w:pPr>
    </w:p>
    <w:p>
      <w:pPr>
        <w:jc w:val="both"/>
        <w:ind w:right="240" w:firstLine="320"/>
        <w:spacing w:after="0" w:line="415" w:lineRule="auto"/>
        <w:rPr>
          <w:sz w:val="20"/>
          <w:szCs w:val="20"/>
          <w:color w:val="auto"/>
        </w:rPr>
      </w:pPr>
      <w:r>
        <w:rPr>
          <w:rFonts w:ascii="Arial" w:cs="Arial" w:eastAsia="Arial" w:hAnsi="Arial"/>
          <w:sz w:val="14"/>
          <w:szCs w:val="14"/>
          <w:color w:val="auto"/>
        </w:rPr>
        <w:t>An amount of $23 has been recognized in the consolidated statement of profit or loss for the year ended December 31, 2021, which represents the lease expense incurred for short-term leases not included in the measurement of the right-of-use assets and lease liability.</w:t>
      </w:r>
    </w:p>
    <w:p>
      <w:pPr>
        <w:spacing w:after="0" w:line="84" w:lineRule="exact"/>
        <w:rPr>
          <w:sz w:val="20"/>
          <w:szCs w:val="20"/>
          <w:color w:val="auto"/>
        </w:rPr>
      </w:pPr>
    </w:p>
    <w:p>
      <w:pPr>
        <w:ind w:right="420" w:firstLine="320"/>
        <w:spacing w:after="0" w:line="270" w:lineRule="auto"/>
        <w:rPr>
          <w:sz w:val="20"/>
          <w:szCs w:val="20"/>
          <w:color w:val="auto"/>
        </w:rPr>
      </w:pPr>
      <w:r>
        <w:rPr>
          <w:rFonts w:ascii="Arial" w:cs="Arial" w:eastAsia="Arial" w:hAnsi="Arial"/>
          <w:sz w:val="18"/>
          <w:szCs w:val="18"/>
          <w:color w:val="auto"/>
        </w:rPr>
        <w:t>An amount of $42,034 has been recognized in the consolidated statement of profit or loss for the year ended December 31, 2021, which represents the revenue from subleasing right-of-use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and cash equivalents consist of the following:</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December 31,</w:t>
            </w:r>
          </w:p>
        </w:tc>
      </w:tr>
      <w:tr>
        <w:trPr>
          <w:trHeight w:val="140"/>
        </w:trPr>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40"/>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182,056</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175,741</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Time deposits (with original maturities of three months or less)</w:t>
            </w:r>
          </w:p>
        </w:tc>
        <w:tc>
          <w:tcPr>
            <w:tcW w:w="760" w:type="dxa"/>
            <w:vAlign w:val="bottom"/>
          </w:tcPr>
          <w:p>
            <w:pPr>
              <w:jc w:val="right"/>
              <w:spacing w:after="0"/>
              <w:rPr>
                <w:sz w:val="20"/>
                <w:szCs w:val="20"/>
                <w:color w:val="auto"/>
              </w:rPr>
            </w:pPr>
            <w:r>
              <w:rPr>
                <w:rFonts w:ascii="Arial" w:cs="Arial" w:eastAsia="Arial" w:hAnsi="Arial"/>
                <w:sz w:val="18"/>
                <w:szCs w:val="18"/>
                <w:color w:val="auto"/>
              </w:rPr>
              <w:t>36,971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104,274</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client accounts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3"/>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147,845</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r>
      <w:tr>
        <w:trPr>
          <w:trHeight w:val="207"/>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367,269</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282,246</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100" w:firstLine="320"/>
        <w:spacing w:after="0" w:line="258" w:lineRule="auto"/>
        <w:rPr>
          <w:sz w:val="20"/>
          <w:szCs w:val="20"/>
          <w:color w:val="auto"/>
        </w:rPr>
      </w:pPr>
      <w:r>
        <w:rPr>
          <w:rFonts w:ascii="Arial" w:cs="Arial" w:eastAsia="Arial" w:hAnsi="Arial"/>
          <w:sz w:val="18"/>
          <w:szCs w:val="18"/>
          <w:color w:val="auto"/>
        </w:rPr>
        <w:t xml:space="preserve">Restricted cash as of December 31, 2021 represents cash provided for bank guarantees (Note 23). Restricted cash as of December 31, 2020 represents the cash in relation to the amount drawn for the delivery of the </w:t>
      </w:r>
      <w:r>
        <w:rPr>
          <w:rFonts w:ascii="Arial" w:cs="Arial" w:eastAsia="Arial" w:hAnsi="Arial"/>
          <w:sz w:val="18"/>
          <w:szCs w:val="18"/>
          <w:i w:val="1"/>
          <w:iCs w:val="1"/>
          <w:color w:val="auto"/>
        </w:rPr>
        <w:t>GasLog Galveston</w:t>
      </w:r>
      <w:r>
        <w:rPr>
          <w:rFonts w:ascii="Arial" w:cs="Arial" w:eastAsia="Arial" w:hAnsi="Arial"/>
          <w:sz w:val="18"/>
          <w:szCs w:val="18"/>
          <w:color w:val="auto"/>
        </w:rPr>
        <w:t xml:space="preserve"> until her delivery from the shipyard on January 4, 2021 (Note 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380" w:firstLine="320"/>
        <w:spacing w:after="0" w:line="300" w:lineRule="auto"/>
        <w:rPr>
          <w:sz w:val="20"/>
          <w:szCs w:val="20"/>
          <w:color w:val="auto"/>
        </w:rPr>
      </w:pPr>
      <w:r>
        <w:rPr>
          <w:rFonts w:ascii="Arial" w:cs="Arial" w:eastAsia="Arial" w:hAnsi="Arial"/>
          <w:sz w:val="17"/>
          <w:szCs w:val="17"/>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and Other Receivables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Trade and other receivables consist of the following:</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December 31,</w:t>
            </w:r>
          </w:p>
        </w:tc>
      </w:tr>
      <w:tr>
        <w:trPr>
          <w:trHeight w:val="140"/>
        </w:trPr>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40"/>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VAT receivable</w:t>
            </w:r>
          </w:p>
        </w:tc>
        <w:tc>
          <w:tcPr>
            <w:tcW w:w="760" w:type="dxa"/>
            <w:vAlign w:val="bottom"/>
          </w:tcPr>
          <w:p>
            <w:pPr>
              <w:jc w:val="right"/>
              <w:spacing w:after="0"/>
              <w:rPr>
                <w:sz w:val="20"/>
                <w:szCs w:val="20"/>
                <w:color w:val="auto"/>
              </w:rPr>
            </w:pPr>
            <w:r>
              <w:rPr>
                <w:rFonts w:ascii="Arial" w:cs="Arial" w:eastAsia="Arial" w:hAnsi="Arial"/>
                <w:sz w:val="18"/>
                <w:szCs w:val="18"/>
                <w:color w:val="auto"/>
              </w:rPr>
              <w:t>1,139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Insurance claims</w:t>
            </w:r>
          </w:p>
        </w:tc>
        <w:tc>
          <w:tcPr>
            <w:tcW w:w="760" w:type="dxa"/>
            <w:vAlign w:val="bottom"/>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7,839</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r>
      <w:tr>
        <w:trPr>
          <w:trHeight w:val="207"/>
        </w:trPr>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36,223</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28,595</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00" w:firstLine="320"/>
        <w:spacing w:after="0" w:line="271" w:lineRule="auto"/>
        <w:rPr>
          <w:sz w:val="20"/>
          <w:szCs w:val="20"/>
          <w:color w:val="auto"/>
        </w:rPr>
      </w:pPr>
      <w:r>
        <w:rPr>
          <w:rFonts w:ascii="Arial" w:cs="Arial" w:eastAsia="Arial" w:hAnsi="Arial"/>
          <w:sz w:val="17"/>
          <w:szCs w:val="17"/>
          <w:color w:val="auto"/>
        </w:rPr>
        <w:t>Trade and other receivables are amounts due from third parties for services performed in the ordinary course of business. They are generally due for settlement immediately and therefore are all classified as current. Trade and other receivables are recognized initially at the amount of consideration that is unconditional unless they contain certain significant financing components, at which point they are recognized at fair value. The Group holds the trade receivables with the objective to collect the contractual cash flows and therefore measures them subsequently at amortized cost using the effective interest rate method.</w:t>
      </w:r>
    </w:p>
    <w:p>
      <w:pPr>
        <w:spacing w:after="0" w:line="177" w:lineRule="exact"/>
        <w:rPr>
          <w:sz w:val="20"/>
          <w:szCs w:val="20"/>
          <w:color w:val="auto"/>
        </w:rPr>
      </w:pPr>
    </w:p>
    <w:p>
      <w:pPr>
        <w:ind w:right="420" w:firstLine="320"/>
        <w:spacing w:after="0" w:line="270"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and 2021 no allowance for expected credit losses was recorded.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Non-Current Assets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non-current assets consist of the following:</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w w:val="85"/>
              </w:rPr>
              <w:t>As of</w:t>
            </w:r>
          </w:p>
        </w:tc>
      </w:tr>
      <w:tr>
        <w:trPr>
          <w:trHeight w:val="169"/>
        </w:trPr>
        <w:tc>
          <w:tcPr>
            <w:tcW w:w="624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6240" w:type="dxa"/>
            <w:vAlign w:val="bottom"/>
          </w:tcPr>
          <w:p>
            <w:pPr>
              <w:spacing w:after="0"/>
              <w:rPr>
                <w:sz w:val="12"/>
                <w:szCs w:val="12"/>
                <w:color w:val="auto"/>
              </w:rPr>
            </w:pPr>
          </w:p>
        </w:tc>
        <w:tc>
          <w:tcPr>
            <w:tcW w:w="680" w:type="dxa"/>
            <w:vAlign w:val="bottom"/>
          </w:tcPr>
          <w:p>
            <w:pPr>
              <w:jc w:val="right"/>
              <w:ind w:right="97"/>
              <w:spacing w:after="0" w:line="140" w:lineRule="exact"/>
              <w:rPr>
                <w:sz w:val="20"/>
                <w:szCs w:val="20"/>
                <w:color w:val="auto"/>
              </w:rPr>
            </w:pPr>
            <w:r>
              <w:rPr>
                <w:rFonts w:ascii="Arial" w:cs="Arial" w:eastAsia="Arial" w:hAnsi="Arial"/>
                <w:sz w:val="14"/>
                <w:szCs w:val="14"/>
                <w:b w:val="1"/>
                <w:bCs w:val="1"/>
                <w:color w:val="auto"/>
              </w:rPr>
              <w:t>2020</w:t>
            </w:r>
          </w:p>
        </w:tc>
        <w:tc>
          <w:tcPr>
            <w:tcW w:w="1000" w:type="dxa"/>
            <w:vAlign w:val="bottom"/>
            <w:gridSpan w:val="3"/>
          </w:tcPr>
          <w:p>
            <w:pPr>
              <w:jc w:val="right"/>
              <w:ind w:right="151"/>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Various guarantees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Other long-term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5,378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4,263</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collaterals on swaps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12,463</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4,866</w:t>
            </w: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320"/>
        <w:spacing w:after="0" w:line="258" w:lineRule="auto"/>
        <w:rPr>
          <w:sz w:val="20"/>
          <w:szCs w:val="20"/>
          <w:color w:val="auto"/>
        </w:rPr>
      </w:pPr>
      <w:r>
        <w:rPr>
          <w:rFonts w:ascii="Arial" w:cs="Arial" w:eastAsia="Arial" w:hAnsi="Arial"/>
          <w:sz w:val="18"/>
          <w:szCs w:val="18"/>
          <w:color w:val="auto"/>
        </w:rPr>
        <w:t>Cash collaterals on swaps represent cash deposited for the Group’s interest rate swaps being the difference between their fair value and an agreed threshold. An amount of $990 of cash collaterals has been included in Prepayments and other current assets (December 31, 2020: $16,671).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 and Preference Shares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GasLog’s authorized share capital consists of 500,000,000 shares with a par value $0.01 per share.</w:t>
      </w:r>
    </w:p>
    <w:p>
      <w:pPr>
        <w:spacing w:after="0" w:line="220" w:lineRule="exact"/>
        <w:rPr>
          <w:sz w:val="20"/>
          <w:szCs w:val="20"/>
          <w:color w:val="auto"/>
        </w:rPr>
      </w:pPr>
    </w:p>
    <w:p>
      <w:pPr>
        <w:ind w:right="160" w:firstLine="320"/>
        <w:spacing w:after="0" w:line="270" w:lineRule="auto"/>
        <w:rPr>
          <w:sz w:val="20"/>
          <w:szCs w:val="20"/>
          <w:color w:val="auto"/>
        </w:rPr>
      </w:pPr>
      <w:r>
        <w:rPr>
          <w:rFonts w:ascii="Arial" w:cs="Arial" w:eastAsia="Arial" w:hAnsi="Arial"/>
          <w:sz w:val="18"/>
          <w:szCs w:val="18"/>
          <w:color w:val="auto"/>
        </w:rPr>
        <w:t>On February 13, 2020 and February 14, 2020, GasLog repurchased 323,919 common shares at a weighted average price of $6.1443 per share for a total amount of $2,000 under its share repurchase programme.</w:t>
      </w:r>
    </w:p>
    <w:p>
      <w:pPr>
        <w:spacing w:after="0" w:line="175"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On June 29, 2020, GasLog issued 14,400,000 common shares at a price of $2.50 per share for total gross proceeds of $36,000 through a private placement of unregistered common shares.</w:t>
      </w:r>
    </w:p>
    <w:p>
      <w:pPr>
        <w:sectPr>
          <w:pgSz w:w="11900" w:h="16838" w:orient="portrait"/>
          <w:cols w:equalWidth="0" w:num="1">
            <w:col w:w="9860"/>
          </w:cols>
          <w:pgMar w:left="980" w:top="659" w:right="1059"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60"/>
          </w:cols>
          <w:pgMar w:left="980" w:top="659" w:right="105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 w:firstLine="320"/>
        <w:spacing w:after="0" w:line="253" w:lineRule="auto"/>
        <w:rPr>
          <w:sz w:val="20"/>
          <w:szCs w:val="20"/>
          <w:color w:val="auto"/>
        </w:rPr>
      </w:pPr>
      <w:r>
        <w:rPr>
          <w:rFonts w:ascii="Arial" w:cs="Arial" w:eastAsia="Arial" w:hAnsi="Arial"/>
          <w:sz w:val="18"/>
          <w:szCs w:val="18"/>
          <w:color w:val="auto"/>
        </w:rPr>
        <w:t>As of December 31, 2021, the share capital consisted of 95,389,062 issued and outstanding common shares, par value $0.01 per share and 4,600,000 Preference Shares issued and outstanding (December 31, 2020: 95,176,443 issued and outstanding common shares, par value $0.01 per share, 216,683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76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rPr>
              <w:t>Number of Shares</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b w:val="1"/>
                <w:bCs w:val="1"/>
                <w:color w:val="auto"/>
              </w:rPr>
              <w:t>Amounts</w:t>
            </w:r>
          </w:p>
        </w:tc>
        <w:tc>
          <w:tcPr>
            <w:tcW w:w="640" w:type="dxa"/>
            <w:vAlign w:val="bottom"/>
            <w:tcBorders>
              <w:bottom w:val="single" w:sz="8" w:color="auto"/>
            </w:tcBorders>
          </w:tcPr>
          <w:p>
            <w:pPr>
              <w:spacing w:after="0"/>
              <w:rPr>
                <w:sz w:val="13"/>
                <w:szCs w:val="13"/>
                <w:color w:val="auto"/>
              </w:rPr>
            </w:pPr>
          </w:p>
        </w:tc>
      </w:tr>
      <w:tr>
        <w:trPr>
          <w:trHeight w:val="109"/>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160"/>
              <w:spacing w:after="0" w:line="109" w:lineRule="exact"/>
              <w:rPr>
                <w:sz w:val="20"/>
                <w:szCs w:val="20"/>
                <w:color w:val="auto"/>
              </w:rPr>
            </w:pPr>
            <w:r>
              <w:rPr>
                <w:rFonts w:ascii="Arial" w:cs="Arial" w:eastAsia="Arial" w:hAnsi="Arial"/>
                <w:sz w:val="12"/>
                <w:szCs w:val="12"/>
                <w:b w:val="1"/>
                <w:bCs w:val="1"/>
                <w:color w:val="auto"/>
                <w:w w:val="93"/>
              </w:rPr>
              <w:t>Number of</w:t>
            </w:r>
          </w:p>
        </w:tc>
        <w:tc>
          <w:tcPr>
            <w:tcW w:w="64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 of</w:t>
            </w: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2"/>
              </w:rPr>
              <w:t>treasury</w:t>
            </w: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1"/>
              </w:rPr>
              <w:t>preference</w:t>
            </w:r>
          </w:p>
        </w:tc>
        <w:tc>
          <w:tcPr>
            <w:tcW w:w="78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5"/>
              </w:rPr>
              <w:t>Share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Preference</w:t>
            </w:r>
          </w:p>
        </w:tc>
        <w:tc>
          <w:tcPr>
            <w:tcW w:w="8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Contributed</w:t>
            </w:r>
          </w:p>
        </w:tc>
        <w:tc>
          <w:tcPr>
            <w:tcW w:w="6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auto"/>
              </w:rPr>
              <w:t>Treasury</w:t>
            </w:r>
          </w:p>
        </w:tc>
      </w:tr>
      <w:tr>
        <w:trPr>
          <w:trHeight w:val="152"/>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common shares</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shares</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shares</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capital</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surplus</w:t>
            </w:r>
          </w:p>
        </w:tc>
        <w:tc>
          <w:tcPr>
            <w:tcW w:w="640" w:type="dxa"/>
            <w:vAlign w:val="bottom"/>
          </w:tcPr>
          <w:p>
            <w:pPr>
              <w:jc w:val="right"/>
              <w:ind w:right="98"/>
              <w:spacing w:after="0"/>
              <w:rPr>
                <w:sz w:val="20"/>
                <w:szCs w:val="20"/>
                <w:color w:val="auto"/>
              </w:rPr>
            </w:pPr>
            <w:r>
              <w:rPr>
                <w:rFonts w:ascii="Arial" w:cs="Arial" w:eastAsia="Arial" w:hAnsi="Arial"/>
                <w:sz w:val="12"/>
                <w:szCs w:val="12"/>
                <w:b w:val="1"/>
                <w:bCs w:val="1"/>
                <w:color w:val="auto"/>
              </w:rPr>
              <w:t>shares</w:t>
            </w:r>
          </w:p>
        </w:tc>
      </w:tr>
      <w:tr>
        <w:trPr>
          <w:trHeight w:val="127"/>
        </w:trPr>
        <w:tc>
          <w:tcPr>
            <w:tcW w:w="20" w:type="dxa"/>
            <w:vAlign w:val="bottom"/>
          </w:tcPr>
          <w:p>
            <w:pPr>
              <w:spacing w:after="0"/>
              <w:rPr>
                <w:sz w:val="11"/>
                <w:szCs w:val="11"/>
                <w:color w:val="auto"/>
              </w:rPr>
            </w:pPr>
          </w:p>
        </w:tc>
        <w:tc>
          <w:tcPr>
            <w:tcW w:w="438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Outstanding as of January 1, 2019</w:t>
            </w:r>
          </w:p>
        </w:tc>
        <w:tc>
          <w:tcPr>
            <w:tcW w:w="8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80,861,246</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131,880</w:t>
            </w: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4,600,000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810</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ind w:left="460"/>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850,576</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(3,266)</w:t>
            </w:r>
          </w:p>
        </w:tc>
      </w:tr>
      <w:tr>
        <w:trPr>
          <w:trHeight w:val="127"/>
        </w:trPr>
        <w:tc>
          <w:tcPr>
            <w:tcW w:w="20" w:type="dxa"/>
            <w:vAlign w:val="bottom"/>
          </w:tcPr>
          <w:p>
            <w:pPr>
              <w:spacing w:after="0"/>
              <w:rPr>
                <w:sz w:val="11"/>
                <w:szCs w:val="11"/>
                <w:color w:val="auto"/>
              </w:rPr>
            </w:pPr>
          </w:p>
        </w:tc>
        <w:tc>
          <w:tcPr>
            <w:tcW w:w="4380" w:type="dxa"/>
            <w:vAlign w:val="bottom"/>
          </w:tcPr>
          <w:p>
            <w:pPr>
              <w:spacing w:after="0" w:line="127" w:lineRule="exact"/>
              <w:rPr>
                <w:sz w:val="20"/>
                <w:szCs w:val="20"/>
                <w:color w:val="auto"/>
              </w:rPr>
            </w:pPr>
            <w:r>
              <w:rPr>
                <w:rFonts w:ascii="Arial" w:cs="Arial" w:eastAsia="Arial" w:hAnsi="Arial"/>
                <w:sz w:val="12"/>
                <w:szCs w:val="12"/>
                <w:color w:val="auto"/>
              </w:rPr>
              <w:t>Purchase of treasury shares</w:t>
            </w: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(212,111)</w:t>
            </w:r>
          </w:p>
        </w:tc>
        <w:tc>
          <w:tcPr>
            <w:tcW w:w="14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212,111</w:t>
            </w:r>
          </w:p>
        </w:tc>
        <w:tc>
          <w:tcPr>
            <w:tcW w:w="14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tcPr>
          <w:p>
            <w:pPr>
              <w:ind w:left="46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(3,752)</w:t>
            </w:r>
          </w:p>
        </w:tc>
      </w:tr>
      <w:tr>
        <w:trPr>
          <w:trHeight w:val="133"/>
        </w:trPr>
        <w:tc>
          <w:tcPr>
            <w:tcW w:w="20" w:type="dxa"/>
            <w:vAlign w:val="bottom"/>
          </w:tcPr>
          <w:p>
            <w:pPr>
              <w:spacing w:after="0"/>
              <w:rPr>
                <w:sz w:val="11"/>
                <w:szCs w:val="11"/>
                <w:color w:val="auto"/>
              </w:rPr>
            </w:pPr>
          </w:p>
        </w:tc>
        <w:tc>
          <w:tcPr>
            <w:tcW w:w="43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Treasury shares distributed for awards vested or exercised in the year</w:t>
            </w:r>
          </w:p>
        </w:tc>
        <w:tc>
          <w:tcPr>
            <w:tcW w:w="8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222,535</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(222,535)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4,859</w:t>
            </w:r>
          </w:p>
        </w:tc>
      </w:tr>
      <w:tr>
        <w:trPr>
          <w:trHeight w:val="133"/>
        </w:trPr>
        <w:tc>
          <w:tcPr>
            <w:tcW w:w="20" w:type="dxa"/>
            <w:vAlign w:val="bottom"/>
          </w:tcPr>
          <w:p>
            <w:pPr>
              <w:spacing w:after="0"/>
              <w:rPr>
                <w:sz w:val="11"/>
                <w:szCs w:val="11"/>
                <w:color w:val="auto"/>
              </w:rPr>
            </w:pPr>
          </w:p>
        </w:tc>
        <w:tc>
          <w:tcPr>
            <w:tcW w:w="4380" w:type="dxa"/>
            <w:vAlign w:val="bottom"/>
          </w:tcPr>
          <w:p>
            <w:pPr>
              <w:spacing w:after="0" w:line="134" w:lineRule="exact"/>
              <w:rPr>
                <w:sz w:val="20"/>
                <w:szCs w:val="20"/>
                <w:color w:val="auto"/>
              </w:rPr>
            </w:pPr>
            <w:r>
              <w:rPr>
                <w:rFonts w:ascii="Arial" w:cs="Arial" w:eastAsia="Arial" w:hAnsi="Arial"/>
                <w:sz w:val="12"/>
                <w:szCs w:val="12"/>
                <w:color w:val="auto"/>
              </w:rPr>
              <w:t>Equity raising fees</w:t>
            </w:r>
          </w:p>
        </w:tc>
        <w:tc>
          <w:tcPr>
            <w:tcW w:w="10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(595)</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33"/>
        </w:trPr>
        <w:tc>
          <w:tcPr>
            <w:tcW w:w="20" w:type="dxa"/>
            <w:vAlign w:val="bottom"/>
          </w:tcPr>
          <w:p>
            <w:pPr>
              <w:spacing w:after="0"/>
              <w:rPr>
                <w:sz w:val="11"/>
                <w:szCs w:val="11"/>
                <w:color w:val="auto"/>
              </w:rPr>
            </w:pPr>
          </w:p>
        </w:tc>
        <w:tc>
          <w:tcPr>
            <w:tcW w:w="43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Dividends declared deducted from contributed surplus due to accumulated deficit</w:t>
            </w:r>
          </w:p>
        </w:tc>
        <w:tc>
          <w:tcPr>
            <w:tcW w:w="10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(89,310)</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r>
      <w:tr>
        <w:trPr>
          <w:trHeight w:val="127"/>
        </w:trPr>
        <w:tc>
          <w:tcPr>
            <w:tcW w:w="20" w:type="dxa"/>
            <w:vAlign w:val="bottom"/>
          </w:tcPr>
          <w:p>
            <w:pPr>
              <w:spacing w:after="0"/>
              <w:rPr>
                <w:sz w:val="11"/>
                <w:szCs w:val="11"/>
                <w:color w:val="auto"/>
              </w:rPr>
            </w:pPr>
          </w:p>
        </w:tc>
        <w:tc>
          <w:tcPr>
            <w:tcW w:w="4380" w:type="dxa"/>
            <w:vAlign w:val="bottom"/>
            <w:tcBorders>
              <w:bottom w:val="single" w:sz="8" w:color="CCEEFF"/>
            </w:tcBorders>
          </w:tcPr>
          <w:p>
            <w:pPr>
              <w:spacing w:after="0" w:line="127" w:lineRule="exact"/>
              <w:rPr>
                <w:sz w:val="20"/>
                <w:szCs w:val="20"/>
                <w:color w:val="auto"/>
              </w:rPr>
            </w:pPr>
            <w:r>
              <w:rPr>
                <w:rFonts w:ascii="Arial" w:cs="Arial" w:eastAsia="Arial" w:hAnsi="Arial"/>
                <w:sz w:val="12"/>
                <w:szCs w:val="12"/>
                <w:b w:val="1"/>
                <w:bCs w:val="1"/>
                <w:color w:val="auto"/>
              </w:rPr>
              <w:t>Outstanding as of December 31, 2019</w:t>
            </w:r>
          </w:p>
        </w:tc>
        <w:tc>
          <w:tcPr>
            <w:tcW w:w="86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80,871,670</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121,456</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4,600,000</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810</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ind w:left="460"/>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760,671</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(2,159)</w:t>
            </w:r>
          </w:p>
        </w:tc>
      </w:tr>
      <w:tr>
        <w:trPr>
          <w:trHeight w:val="127"/>
        </w:trPr>
        <w:tc>
          <w:tcPr>
            <w:tcW w:w="20" w:type="dxa"/>
            <w:vAlign w:val="bottom"/>
          </w:tcPr>
          <w:p>
            <w:pPr>
              <w:spacing w:after="0"/>
              <w:rPr>
                <w:sz w:val="11"/>
                <w:szCs w:val="11"/>
                <w:color w:val="auto"/>
              </w:rPr>
            </w:pPr>
          </w:p>
        </w:tc>
        <w:tc>
          <w:tcPr>
            <w:tcW w:w="43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Purchase of treasury shares</w:t>
            </w: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(323,919)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323,919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60"/>
              <w:spacing w:after="0" w:line="12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(2,000)</w:t>
            </w:r>
          </w:p>
        </w:tc>
      </w:tr>
      <w:tr>
        <w:trPr>
          <w:trHeight w:val="133"/>
        </w:trPr>
        <w:tc>
          <w:tcPr>
            <w:tcW w:w="20" w:type="dxa"/>
            <w:vAlign w:val="bottom"/>
          </w:tcPr>
          <w:p>
            <w:pPr>
              <w:spacing w:after="0"/>
              <w:rPr>
                <w:sz w:val="11"/>
                <w:szCs w:val="11"/>
                <w:color w:val="auto"/>
              </w:rPr>
            </w:pPr>
          </w:p>
        </w:tc>
        <w:tc>
          <w:tcPr>
            <w:tcW w:w="4380" w:type="dxa"/>
            <w:vAlign w:val="bottom"/>
          </w:tcPr>
          <w:p>
            <w:pPr>
              <w:spacing w:after="0" w:line="134" w:lineRule="exact"/>
              <w:rPr>
                <w:sz w:val="20"/>
                <w:szCs w:val="20"/>
                <w:color w:val="auto"/>
              </w:rPr>
            </w:pPr>
            <w:r>
              <w:rPr>
                <w:rFonts w:ascii="Arial" w:cs="Arial" w:eastAsia="Arial" w:hAnsi="Arial"/>
                <w:sz w:val="12"/>
                <w:szCs w:val="12"/>
                <w:color w:val="auto"/>
              </w:rPr>
              <w:t>Proceeds from private placement, net of offering costs</w:t>
            </w: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14,400,000</w:t>
            </w:r>
          </w:p>
        </w:tc>
        <w:tc>
          <w:tcPr>
            <w:tcW w:w="140" w:type="dxa"/>
            <w:vAlign w:val="bottom"/>
          </w:tcPr>
          <w:p>
            <w:pPr>
              <w:spacing w:after="0"/>
              <w:rPr>
                <w:sz w:val="11"/>
                <w:szCs w:val="11"/>
                <w:color w:val="auto"/>
              </w:rPr>
            </w:pP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144</w:t>
            </w:r>
          </w:p>
        </w:tc>
        <w:tc>
          <w:tcPr>
            <w:tcW w:w="140" w:type="dxa"/>
            <w:vAlign w:val="bottom"/>
          </w:tcPr>
          <w:p>
            <w:pPr>
              <w:spacing w:after="0"/>
              <w:rPr>
                <w:sz w:val="11"/>
                <w:szCs w:val="11"/>
                <w:color w:val="auto"/>
              </w:rPr>
            </w:pP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34,849</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33"/>
        </w:trPr>
        <w:tc>
          <w:tcPr>
            <w:tcW w:w="20" w:type="dxa"/>
            <w:vAlign w:val="bottom"/>
          </w:tcPr>
          <w:p>
            <w:pPr>
              <w:spacing w:after="0"/>
              <w:rPr>
                <w:sz w:val="11"/>
                <w:szCs w:val="11"/>
                <w:color w:val="auto"/>
              </w:rPr>
            </w:pPr>
          </w:p>
        </w:tc>
        <w:tc>
          <w:tcPr>
            <w:tcW w:w="43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Treasury shares distributed for awards vested or exercised in the year</w:t>
            </w:r>
          </w:p>
        </w:tc>
        <w:tc>
          <w:tcPr>
            <w:tcW w:w="8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228,692</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(228,692)</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2,819</w:t>
            </w:r>
          </w:p>
        </w:tc>
      </w:tr>
      <w:tr>
        <w:trPr>
          <w:trHeight w:val="133"/>
        </w:trPr>
        <w:tc>
          <w:tcPr>
            <w:tcW w:w="20" w:type="dxa"/>
            <w:vAlign w:val="bottom"/>
          </w:tcPr>
          <w:p>
            <w:pPr>
              <w:spacing w:after="0"/>
              <w:rPr>
                <w:sz w:val="11"/>
                <w:szCs w:val="11"/>
                <w:color w:val="auto"/>
              </w:rPr>
            </w:pPr>
          </w:p>
        </w:tc>
        <w:tc>
          <w:tcPr>
            <w:tcW w:w="4380" w:type="dxa"/>
            <w:vAlign w:val="bottom"/>
          </w:tcPr>
          <w:p>
            <w:pPr>
              <w:spacing w:after="0" w:line="134" w:lineRule="exact"/>
              <w:rPr>
                <w:sz w:val="20"/>
                <w:szCs w:val="20"/>
                <w:color w:val="auto"/>
              </w:rPr>
            </w:pPr>
            <w:r>
              <w:rPr>
                <w:rFonts w:ascii="Arial" w:cs="Arial" w:eastAsia="Arial" w:hAnsi="Arial"/>
                <w:sz w:val="12"/>
                <w:szCs w:val="12"/>
                <w:color w:val="auto"/>
              </w:rPr>
              <w:t>Dividends declared deducted from contributed surplus due to accumulated deficit</w:t>
            </w:r>
          </w:p>
        </w:tc>
        <w:tc>
          <w:tcPr>
            <w:tcW w:w="10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(35,698)</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27"/>
        </w:trPr>
        <w:tc>
          <w:tcPr>
            <w:tcW w:w="20" w:type="dxa"/>
            <w:vAlign w:val="bottom"/>
          </w:tcPr>
          <w:p>
            <w:pPr>
              <w:spacing w:after="0"/>
              <w:rPr>
                <w:sz w:val="11"/>
                <w:szCs w:val="11"/>
                <w:color w:val="auto"/>
              </w:rPr>
            </w:pPr>
          </w:p>
        </w:tc>
        <w:tc>
          <w:tcPr>
            <w:tcW w:w="438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Outstanding as of December 31, 2020</w:t>
            </w:r>
          </w:p>
        </w:tc>
        <w:tc>
          <w:tcPr>
            <w:tcW w:w="8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95,176,443</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216,683</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4,600,000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954</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ind w:left="460"/>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759,822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(1,340)</w:t>
            </w:r>
          </w:p>
        </w:tc>
      </w:tr>
      <w:tr>
        <w:trPr>
          <w:trHeight w:val="127"/>
        </w:trPr>
        <w:tc>
          <w:tcPr>
            <w:tcW w:w="20" w:type="dxa"/>
            <w:vAlign w:val="bottom"/>
          </w:tcPr>
          <w:p>
            <w:pPr>
              <w:spacing w:after="0"/>
              <w:rPr>
                <w:sz w:val="11"/>
                <w:szCs w:val="11"/>
                <w:color w:val="auto"/>
              </w:rPr>
            </w:pPr>
          </w:p>
        </w:tc>
        <w:tc>
          <w:tcPr>
            <w:tcW w:w="4380" w:type="dxa"/>
            <w:vAlign w:val="bottom"/>
          </w:tcPr>
          <w:p>
            <w:pPr>
              <w:spacing w:after="0" w:line="127" w:lineRule="exact"/>
              <w:rPr>
                <w:sz w:val="20"/>
                <w:szCs w:val="20"/>
                <w:color w:val="auto"/>
              </w:rPr>
            </w:pPr>
            <w:r>
              <w:rPr>
                <w:rFonts w:ascii="Arial" w:cs="Arial" w:eastAsia="Arial" w:hAnsi="Arial"/>
                <w:sz w:val="12"/>
                <w:szCs w:val="12"/>
                <w:color w:val="auto"/>
              </w:rPr>
              <w:t>Treasury shares distributed for awards vested or exercised in the year</w:t>
            </w: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212,619</w:t>
            </w:r>
          </w:p>
        </w:tc>
        <w:tc>
          <w:tcPr>
            <w:tcW w:w="14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(212,619)</w:t>
            </w:r>
          </w:p>
        </w:tc>
        <w:tc>
          <w:tcPr>
            <w:tcW w:w="14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tcPr>
          <w:p>
            <w:pPr>
              <w:ind w:left="46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1,314</w:t>
            </w:r>
          </w:p>
        </w:tc>
      </w:tr>
      <w:tr>
        <w:trPr>
          <w:trHeight w:val="133"/>
        </w:trPr>
        <w:tc>
          <w:tcPr>
            <w:tcW w:w="20" w:type="dxa"/>
            <w:vAlign w:val="bottom"/>
          </w:tcPr>
          <w:p>
            <w:pPr>
              <w:spacing w:after="0"/>
              <w:rPr>
                <w:sz w:val="11"/>
                <w:szCs w:val="11"/>
                <w:color w:val="auto"/>
              </w:rPr>
            </w:pPr>
          </w:p>
        </w:tc>
        <w:tc>
          <w:tcPr>
            <w:tcW w:w="43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Treasury shares cancelled</w:t>
            </w:r>
          </w:p>
        </w:tc>
        <w:tc>
          <w:tcPr>
            <w:tcW w:w="10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(4,064)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26</w:t>
            </w:r>
          </w:p>
        </w:tc>
      </w:tr>
      <w:tr>
        <w:trPr>
          <w:trHeight w:val="133"/>
        </w:trPr>
        <w:tc>
          <w:tcPr>
            <w:tcW w:w="20" w:type="dxa"/>
            <w:vAlign w:val="bottom"/>
          </w:tcPr>
          <w:p>
            <w:pPr>
              <w:spacing w:after="0"/>
              <w:rPr>
                <w:sz w:val="11"/>
                <w:szCs w:val="11"/>
                <w:color w:val="auto"/>
              </w:rPr>
            </w:pPr>
          </w:p>
        </w:tc>
        <w:tc>
          <w:tcPr>
            <w:tcW w:w="4380" w:type="dxa"/>
            <w:vAlign w:val="bottom"/>
          </w:tcPr>
          <w:p>
            <w:pPr>
              <w:spacing w:after="0" w:line="134" w:lineRule="exact"/>
              <w:rPr>
                <w:sz w:val="20"/>
                <w:szCs w:val="20"/>
                <w:color w:val="auto"/>
              </w:rPr>
            </w:pPr>
            <w:r>
              <w:rPr>
                <w:rFonts w:ascii="Arial" w:cs="Arial" w:eastAsia="Arial" w:hAnsi="Arial"/>
                <w:sz w:val="12"/>
                <w:szCs w:val="12"/>
                <w:color w:val="auto"/>
              </w:rPr>
              <w:t>Dividends declared deducted from contributed surplus due to accumulated deficit</w:t>
            </w:r>
          </w:p>
        </w:tc>
        <w:tc>
          <w:tcPr>
            <w:tcW w:w="10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tcPr>
          <w:p>
            <w:pPr>
              <w:ind w:left="460"/>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(67,286)</w:t>
            </w:r>
          </w:p>
        </w:tc>
        <w:tc>
          <w:tcPr>
            <w:tcW w:w="1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27"/>
        </w:trPr>
        <w:tc>
          <w:tcPr>
            <w:tcW w:w="20" w:type="dxa"/>
            <w:vAlign w:val="bottom"/>
          </w:tcPr>
          <w:p>
            <w:pPr>
              <w:spacing w:after="0"/>
              <w:rPr>
                <w:sz w:val="11"/>
                <w:szCs w:val="11"/>
                <w:color w:val="auto"/>
              </w:rPr>
            </w:pPr>
          </w:p>
        </w:tc>
        <w:tc>
          <w:tcPr>
            <w:tcW w:w="4380" w:type="dxa"/>
            <w:vAlign w:val="bottom"/>
            <w:tcBorders>
              <w:top w:val="single" w:sz="8" w:color="CCEEFF"/>
              <w:bottom w:val="single" w:sz="8" w:color="CCEEFF"/>
            </w:tcBorders>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Outstanding as of December 31, 2021</w:t>
            </w:r>
          </w:p>
        </w:tc>
        <w:tc>
          <w:tcPr>
            <w:tcW w:w="8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95,389,062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4,600,000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954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ind w:left="460"/>
              <w:spacing w:after="0" w:line="127" w:lineRule="exact"/>
              <w:rPr>
                <w:sz w:val="20"/>
                <w:szCs w:val="20"/>
                <w:color w:val="auto"/>
              </w:rPr>
            </w:pPr>
            <w:r>
              <w:rPr>
                <w:rFonts w:ascii="Arial" w:cs="Arial" w:eastAsia="Arial" w:hAnsi="Arial"/>
                <w:sz w:val="12"/>
                <w:szCs w:val="12"/>
                <w:b w:val="1"/>
                <w:bCs w:val="1"/>
                <w:color w:val="auto"/>
              </w:rPr>
              <w:t>46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692,536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60" w:firstLine="320"/>
        <w:spacing w:after="0" w:line="270" w:lineRule="auto"/>
        <w:rPr>
          <w:sz w:val="20"/>
          <w:szCs w:val="20"/>
          <w:color w:val="auto"/>
        </w:rPr>
      </w:pPr>
      <w:r>
        <w:rPr>
          <w:rFonts w:ascii="Arial" w:cs="Arial" w:eastAsia="Arial" w:hAnsi="Arial"/>
          <w:sz w:val="18"/>
          <w:szCs w:val="18"/>
          <w:color w:val="auto"/>
        </w:rPr>
        <w:t>The treasury shares were acquired by GasLog in 2014, 2018, 2019 and 2020 in relation to the settlement of share-based compensation awards (Note 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movements in reserves are reported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Employee</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Share-based</w:t>
            </w: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Hedging</w:t>
            </w:r>
          </w:p>
        </w:tc>
        <w:tc>
          <w:tcPr>
            <w:tcW w:w="10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benefits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reserves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19,954</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4"/>
              </w:rPr>
              <w:t>Effective portion of changes in fair value of cash flow hedges</w:t>
            </w:r>
          </w:p>
        </w:tc>
        <w:tc>
          <w:tcPr>
            <w:tcW w:w="1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2"/>
              </w:rPr>
              <w:t>Recycled loss of cash flow hedges reclassified to profit or loss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Share-based compensation, net of accrued dividend</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4,794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31, 2019</w:t>
            </w:r>
          </w:p>
        </w:tc>
        <w:tc>
          <w:tcPr>
            <w:tcW w:w="14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(3,072)</w:t>
            </w:r>
          </w:p>
        </w:tc>
        <w:tc>
          <w:tcPr>
            <w:tcW w:w="2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2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20,027</w:t>
            </w:r>
          </w:p>
        </w:tc>
        <w:tc>
          <w:tcPr>
            <w:tcW w:w="2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4"/>
              </w:rPr>
              <w:t>Effective portion of changes in fair value of cash flow hedges</w:t>
            </w: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Share-based compensation, net of accrued dividend</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Actuarial gain</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(3,822)</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22,588</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4"/>
              </w:rPr>
              <w:t>Effective portion of changes in fair value of cash flow hedges</w:t>
            </w:r>
          </w:p>
        </w:tc>
        <w:tc>
          <w:tcPr>
            <w:tcW w:w="1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net of accrued dividend</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Settlement of share-based compensation</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(6,535)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(3,983)</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19,404</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15,322</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0" w:type="dxa"/>
            <w:vAlign w:val="bottom"/>
            <w:gridSpan w:val="3"/>
          </w:tcPr>
          <w:p>
            <w:pPr>
              <w:ind w:left="180"/>
              <w:spacing w:after="0"/>
              <w:rPr>
                <w:sz w:val="20"/>
                <w:szCs w:val="20"/>
                <w:color w:val="auto"/>
              </w:rPr>
            </w:pPr>
            <w:r>
              <w:rPr>
                <w:rFonts w:ascii="Arial" w:cs="Arial" w:eastAsia="Arial" w:hAnsi="Arial"/>
                <w:sz w:val="18"/>
                <w:szCs w:val="18"/>
                <w:color w:val="auto"/>
              </w:rPr>
              <w:t>F-39</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9" w:right="9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GasLog’s dividend distributions for the years ended December 31, 2019, 2020 and 2021 are presented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Declaration 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Type of 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Dividend per share</w:t>
            </w:r>
          </w:p>
        </w:tc>
        <w:tc>
          <w:tcPr>
            <w:tcW w:w="2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Payment date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8"/>
              </w:rPr>
              <w:t>Amount paid</w:t>
            </w:r>
          </w:p>
        </w:tc>
      </w:tr>
      <w:tr>
        <w:trPr>
          <w:trHeight w:val="207"/>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13, 2019</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0.15</w:t>
            </w:r>
          </w:p>
        </w:tc>
        <w:tc>
          <w:tcPr>
            <w:tcW w:w="2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2019</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March 7, 2019</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April 1, 2019</w:t>
            </w: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May 2, 2019</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May 23,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May 10, 2019</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July 1, 2019</w:t>
            </w:r>
          </w:p>
        </w:tc>
        <w:tc>
          <w:tcPr>
            <w:tcW w:w="94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July 31, 2019</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August 22,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September 17, 2019</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October 1, 2019</w:t>
            </w: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199"/>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line="199" w:lineRule="exact"/>
              <w:rPr>
                <w:sz w:val="20"/>
                <w:szCs w:val="20"/>
                <w:color w:val="auto"/>
              </w:rPr>
            </w:pPr>
            <w:r>
              <w:rPr>
                <w:rFonts w:ascii="Arial" w:cs="Arial" w:eastAsia="Arial" w:hAnsi="Arial"/>
                <w:sz w:val="18"/>
                <w:szCs w:val="18"/>
                <w:color w:val="auto"/>
                <w:w w:val="90"/>
              </w:rPr>
              <w:t>November 21,</w:t>
            </w:r>
          </w:p>
        </w:tc>
        <w:tc>
          <w:tcPr>
            <w:tcW w:w="94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November 5, 2019</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0.15</w:t>
            </w:r>
          </w:p>
        </w:tc>
        <w:tc>
          <w:tcPr>
            <w:tcW w:w="164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2019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November 14, 2019</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January 2, 2020</w:t>
            </w: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December 14, 2019</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0.38</w:t>
            </w:r>
          </w:p>
        </w:tc>
        <w:tc>
          <w:tcPr>
            <w:tcW w:w="18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December 31,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30,731</w:t>
            </w:r>
          </w:p>
        </w:tc>
      </w:tr>
      <w:tr>
        <w:trPr>
          <w:trHeight w:val="207"/>
        </w:trPr>
        <w:tc>
          <w:tcPr>
            <w:tcW w:w="20" w:type="dxa"/>
            <w:vAlign w:val="bottom"/>
          </w:tcPr>
          <w:p>
            <w:pPr>
              <w:spacing w:after="0"/>
              <w:rPr>
                <w:sz w:val="17"/>
                <w:szCs w:val="17"/>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89,310</w:t>
            </w:r>
          </w:p>
        </w:tc>
      </w:tr>
      <w:tr>
        <w:trPr>
          <w:trHeight w:val="207"/>
        </w:trPr>
        <w:tc>
          <w:tcPr>
            <w:tcW w:w="20" w:type="dxa"/>
            <w:vAlign w:val="bottom"/>
          </w:tcPr>
          <w:p>
            <w:pPr>
              <w:spacing w:after="0"/>
              <w:rPr>
                <w:sz w:val="17"/>
                <w:szCs w:val="17"/>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February 5,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0.15</w:t>
            </w: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12,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12, 2020</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April 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May 6,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May 28,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May 14, 2020</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July 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August 4,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August 27,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September 16, 2020</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October 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199"/>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line="199" w:lineRule="exact"/>
              <w:rPr>
                <w:sz w:val="20"/>
                <w:szCs w:val="20"/>
                <w:color w:val="auto"/>
              </w:rPr>
            </w:pPr>
            <w:r>
              <w:rPr>
                <w:rFonts w:ascii="Arial" w:cs="Arial" w:eastAsia="Arial" w:hAnsi="Arial"/>
                <w:sz w:val="18"/>
                <w:szCs w:val="18"/>
                <w:color w:val="auto"/>
                <w:w w:val="90"/>
              </w:rPr>
              <w:t>November 30,</w:t>
            </w:r>
          </w:p>
        </w:tc>
        <w:tc>
          <w:tcPr>
            <w:tcW w:w="94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November 9,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0.05</w:t>
            </w:r>
          </w:p>
        </w:tc>
        <w:tc>
          <w:tcPr>
            <w:tcW w:w="164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2020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r>
      <w:tr>
        <w:trPr>
          <w:trHeight w:val="213"/>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8"/>
                <w:szCs w:val="18"/>
                <w:color w:val="auto"/>
                <w:w w:val="87"/>
              </w:rPr>
              <w:t>December 9, 2020</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8"/>
                <w:szCs w:val="18"/>
                <w:color w:val="auto"/>
                <w:w w:val="88"/>
              </w:rPr>
              <w:t>January 4,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r>
      <w:tr>
        <w:trPr>
          <w:trHeight w:val="207"/>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35,698</w:t>
            </w:r>
          </w:p>
        </w:tc>
      </w:tr>
      <w:tr>
        <w:trPr>
          <w:trHeight w:val="207"/>
        </w:trPr>
        <w:tc>
          <w:tcPr>
            <w:tcW w:w="20" w:type="dxa"/>
            <w:vAlign w:val="bottom"/>
          </w:tcPr>
          <w:p>
            <w:pPr>
              <w:spacing w:after="0"/>
              <w:rPr>
                <w:sz w:val="17"/>
                <w:szCs w:val="17"/>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February 21, 2021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0.05</w:t>
            </w:r>
          </w:p>
        </w:tc>
        <w:tc>
          <w:tcPr>
            <w:tcW w:w="2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March 11, 2021</w:t>
            </w:r>
          </w:p>
        </w:tc>
        <w:tc>
          <w:tcPr>
            <w:tcW w:w="940" w:type="dxa"/>
            <w:vAlign w:val="bottom"/>
          </w:tcPr>
          <w:p>
            <w:pPr>
              <w:jc w:val="right"/>
              <w:spacing w:after="0"/>
              <w:rPr>
                <w:sz w:val="20"/>
                <w:szCs w:val="20"/>
                <w:color w:val="auto"/>
              </w:rPr>
            </w:pPr>
            <w:r>
              <w:rPr>
                <w:rFonts w:ascii="Arial" w:cs="Arial" w:eastAsia="Arial" w:hAnsi="Arial"/>
                <w:sz w:val="18"/>
                <w:szCs w:val="18"/>
                <w:color w:val="auto"/>
              </w:rPr>
              <w:t>4,759</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March 11,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May 5, 2021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0.05</w:t>
            </w: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May 26, 2021</w:t>
            </w:r>
          </w:p>
        </w:tc>
        <w:tc>
          <w:tcPr>
            <w:tcW w:w="94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May 13,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June 30,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August 4, 2021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0.15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August 11, 2021</w:t>
            </w:r>
          </w:p>
        </w:tc>
        <w:tc>
          <w:tcPr>
            <w:tcW w:w="940" w:type="dxa"/>
            <w:vAlign w:val="bottom"/>
          </w:tcPr>
          <w:p>
            <w:pPr>
              <w:jc w:val="right"/>
              <w:spacing w:after="0"/>
              <w:rPr>
                <w:sz w:val="20"/>
                <w:szCs w:val="20"/>
                <w:color w:val="auto"/>
              </w:rPr>
            </w:pPr>
            <w:r>
              <w:rPr>
                <w:rFonts w:ascii="Arial" w:cs="Arial" w:eastAsia="Arial" w:hAnsi="Arial"/>
                <w:sz w:val="18"/>
                <w:szCs w:val="18"/>
                <w:color w:val="auto"/>
              </w:rPr>
              <w:t>14,308</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September 16,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0.546875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October 1,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13"/>
        </w:trPr>
        <w:tc>
          <w:tcPr>
            <w:tcW w:w="2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September 30, 2021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0.10</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October 1, 2021</w:t>
            </w:r>
          </w:p>
        </w:tc>
        <w:tc>
          <w:tcPr>
            <w:tcW w:w="940" w:type="dxa"/>
            <w:vAlign w:val="bottom"/>
          </w:tcPr>
          <w:p>
            <w:pPr>
              <w:jc w:val="right"/>
              <w:spacing w:after="0"/>
              <w:rPr>
                <w:sz w:val="20"/>
                <w:szCs w:val="20"/>
                <w:color w:val="auto"/>
              </w:rPr>
            </w:pPr>
            <w:r>
              <w:rPr>
                <w:rFonts w:ascii="Arial" w:cs="Arial" w:eastAsia="Arial" w:hAnsi="Arial"/>
                <w:sz w:val="18"/>
                <w:szCs w:val="18"/>
                <w:color w:val="auto"/>
              </w:rPr>
              <w:t>9,539</w:t>
            </w:r>
          </w:p>
        </w:tc>
      </w:tr>
      <w:tr>
        <w:trPr>
          <w:trHeight w:val="213"/>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November 15,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0.546875</w:t>
            </w:r>
          </w:p>
        </w:tc>
        <w:tc>
          <w:tcPr>
            <w:tcW w:w="18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199"/>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240"/>
              <w:spacing w:after="0" w:line="199" w:lineRule="exact"/>
              <w:rPr>
                <w:sz w:val="20"/>
                <w:szCs w:val="20"/>
                <w:color w:val="auto"/>
              </w:rPr>
            </w:pPr>
            <w:r>
              <w:rPr>
                <w:rFonts w:ascii="Arial" w:cs="Arial" w:eastAsia="Arial" w:hAnsi="Arial"/>
                <w:sz w:val="18"/>
                <w:szCs w:val="18"/>
                <w:color w:val="auto"/>
                <w:w w:val="90"/>
              </w:rPr>
              <w:t>November 18,</w:t>
            </w:r>
          </w:p>
        </w:tc>
        <w:tc>
          <w:tcPr>
            <w:tcW w:w="94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November 15, 2021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0.15</w:t>
            </w:r>
          </w:p>
        </w:tc>
        <w:tc>
          <w:tcPr>
            <w:tcW w:w="164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14,308</w:t>
            </w:r>
          </w:p>
        </w:tc>
      </w:tr>
      <w:tr>
        <w:trPr>
          <w:trHeight w:val="214"/>
        </w:trPr>
        <w:tc>
          <w:tcPr>
            <w:tcW w:w="20" w:type="dxa"/>
            <w:vAlign w:val="bottom"/>
          </w:tcPr>
          <w:p>
            <w:pPr>
              <w:spacing w:after="0"/>
              <w:rPr>
                <w:sz w:val="18"/>
                <w:szCs w:val="18"/>
                <w:color w:val="auto"/>
              </w:rPr>
            </w:pPr>
          </w:p>
        </w:tc>
        <w:tc>
          <w:tcPr>
            <w:tcW w:w="42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November 15,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February 28,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w:t>
            </w:r>
          </w:p>
        </w:tc>
      </w:tr>
      <w:tr>
        <w:trPr>
          <w:trHeight w:val="207"/>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67,286</w:t>
            </w:r>
          </w:p>
        </w:tc>
      </w:tr>
      <w:tr>
        <w:trPr>
          <w:trHeight w:val="8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500"/>
              <w:spacing w:after="0"/>
              <w:rPr>
                <w:sz w:val="20"/>
                <w:szCs w:val="20"/>
                <w:color w:val="auto"/>
              </w:rPr>
            </w:pPr>
            <w:r>
              <w:rPr>
                <w:rFonts w:ascii="Arial" w:cs="Arial" w:eastAsia="Arial" w:hAnsi="Arial"/>
                <w:sz w:val="18"/>
                <w:szCs w:val="18"/>
                <w:color w:val="auto"/>
              </w:rPr>
              <w:t>F-40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55"/>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9" w:right="9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the borrowings is as follows: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612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As of December 31,</w:t>
            </w:r>
          </w:p>
        </w:tc>
      </w:tr>
      <w:tr>
        <w:trPr>
          <w:trHeight w:val="140"/>
        </w:trPr>
        <w:tc>
          <w:tcPr>
            <w:tcW w:w="6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4"/>
              <w:spacing w:after="0" w:line="140"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565,503</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Less: unamortized premium</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loan/bond issuance costs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r>
      <w:tr>
        <w:trPr>
          <w:trHeight w:val="207"/>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Borrowings, current portion</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245,626</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553,161</w:t>
            </w:r>
          </w:p>
        </w:tc>
      </w:t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Amounts due after one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3,583,447</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3,152,426</w:t>
            </w: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Less: unamortized premium</w:t>
            </w:r>
          </w:p>
        </w:tc>
        <w:tc>
          <w:tcPr>
            <w:tcW w:w="82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loan/bond issuance costs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(47,367)</w:t>
            </w:r>
          </w:p>
        </w:tc>
      </w:tr>
      <w:tr>
        <w:trPr>
          <w:trHeight w:val="207"/>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Borrowings, non-current portion</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3,527,595</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3,105,059</w:t>
            </w:r>
          </w:p>
        </w:tc>
      </w:tr>
      <w:tr>
        <w:trPr>
          <w:trHeight w:val="207"/>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3,773,221</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3,658,220</w:t>
            </w:r>
          </w:p>
        </w:tc>
      </w:tr>
      <w:tr>
        <w:trPr>
          <w:trHeight w:val="20"/>
        </w:trPr>
        <w:tc>
          <w:tcPr>
            <w:tcW w:w="6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facilities:</w:t>
      </w:r>
    </w:p>
    <w:p>
      <w:pPr>
        <w:spacing w:after="0" w:line="220" w:lineRule="exact"/>
        <w:rPr>
          <w:sz w:val="20"/>
          <w:szCs w:val="20"/>
          <w:color w:val="auto"/>
        </w:rPr>
      </w:pPr>
    </w:p>
    <w:p>
      <w:pPr>
        <w:ind w:right="800" w:firstLine="7"/>
        <w:spacing w:after="0" w:line="339" w:lineRule="auto"/>
        <w:tabs>
          <w:tab w:leader="none" w:pos="252"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Citibank N.A., Nordea Bank Finland plc, London Branch, DVB Bank America N.V., ABN Amro Bank N.V. (“ABN”), Skandinaviska Enskilda Banken AB (“SEB”) and BNP Paribas loan (Old Partnership Facility, as defined below)</w:t>
      </w:r>
    </w:p>
    <w:p>
      <w:pPr>
        <w:spacing w:after="0" w:line="125"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color w:val="auto"/>
        </w:rPr>
        <w:t>On November 12, 2014, GAS-three Ltd., GAS-four Ltd., GAS-five Ltd., GAS-sixteen Ltd., GAS-seventeen Ltd., GasLog Partners and GasLog Partners Holdings LLC entered into a loan agreement with Citibank N.A., London Branch, acting as security agent and trustee for and on behalf of the other finance parties mentioned above, for a credit facility for up to $450,000 (the “Old Partnership Facility”) for the purpose of refinancing in full the existing debt facilities. The agreement provided for a single tranche that was drawn on November 18, 2014. The credit facility bore interest at USD London Interbank Offered Rate (“LIBOR”) plus a margin. In February 2019, the Partnership signed a debt refinancing of up to $450,000 with certain financial institutions (refer to (b) in the Existing facilities section), in order to refinance such indebtedness. On March 6, 2019, the Partnership used $354,375 drawn down under the new facility to prepay the outstanding debt of GAS-three Ltd., GAS-four Ltd., GAS-five Ltd., GAS-sixteen Ltd. and GAS-seventeen Ltd., which would have been due in November 2019. On March 7, 2019, the Old Partnership Facility was terminated and the respective unamortized loan fees of $988 written-off to the consolidated statement of profit or loss.</w:t>
      </w:r>
    </w:p>
    <w:p>
      <w:pPr>
        <w:spacing w:after="0" w:line="178" w:lineRule="exact"/>
        <w:rPr>
          <w:sz w:val="20"/>
          <w:szCs w:val="20"/>
          <w:color w:val="auto"/>
        </w:rPr>
      </w:pPr>
    </w:p>
    <w:p>
      <w:pPr>
        <w:ind w:right="40" w:firstLine="7"/>
        <w:spacing w:after="0" w:line="261" w:lineRule="auto"/>
        <w:tabs>
          <w:tab w:leader="none" w:pos="26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DNB (UK) Ltd., DVB Bank America N.V., Commonwealth Bank of Australia, ING Bank N.V. (“ING”), London Branch, Credit Agricole Corporate and Investment Bank and National Australia Bank Limited loan (Five Vessel Refinancing, as defined below)</w:t>
      </w:r>
    </w:p>
    <w:p>
      <w:pPr>
        <w:spacing w:after="0" w:line="183" w:lineRule="exact"/>
        <w:rPr>
          <w:sz w:val="20"/>
          <w:szCs w:val="20"/>
          <w:color w:val="auto"/>
        </w:rPr>
      </w:pPr>
    </w:p>
    <w:p>
      <w:pPr>
        <w:ind w:right="160" w:firstLine="320"/>
        <w:spacing w:after="0" w:line="292" w:lineRule="auto"/>
        <w:rPr>
          <w:sz w:val="20"/>
          <w:szCs w:val="20"/>
          <w:color w:val="auto"/>
        </w:rPr>
      </w:pPr>
      <w:r>
        <w:rPr>
          <w:rFonts w:ascii="Arial" w:cs="Arial" w:eastAsia="Arial" w:hAnsi="Arial"/>
          <w:sz w:val="16"/>
          <w:szCs w:val="16"/>
          <w:color w:val="auto"/>
        </w:rPr>
        <w:t xml:space="preserve">On February 18, 2016, GAS-eighteen Ltd., GAS-nineteen Ltd., GAS-twenty Ltd., GAS-twenty one Ltd. and GAS-twenty seven Ltd. entered into a credit agreement to refinance the debt maturities that were scheduled to become due in 2016 and 2017 (the “Five Vessel Refinancing”). The Five Vessel Refinancing comprised a five-year senior tranche facility of up to $396,500 and a two-year bullet junior tranche facility of up to $180,000. The vessels covered by the Five Vessel Refinancing were the GasLog Partners-owned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w:t>
      </w:r>
    </w:p>
    <w:p>
      <w:pPr>
        <w:spacing w:after="0" w:line="162" w:lineRule="exact"/>
        <w:rPr>
          <w:sz w:val="20"/>
          <w:szCs w:val="20"/>
          <w:color w:val="auto"/>
        </w:rPr>
      </w:pPr>
    </w:p>
    <w:p>
      <w:pPr>
        <w:ind w:right="80" w:firstLine="320"/>
        <w:spacing w:after="0" w:line="271" w:lineRule="auto"/>
        <w:rPr>
          <w:sz w:val="20"/>
          <w:szCs w:val="20"/>
          <w:color w:val="auto"/>
        </w:rPr>
      </w:pPr>
      <w:r>
        <w:rPr>
          <w:rFonts w:ascii="Arial" w:cs="Arial" w:eastAsia="Arial" w:hAnsi="Arial"/>
          <w:sz w:val="17"/>
          <w:szCs w:val="17"/>
          <w:color w:val="auto"/>
        </w:rPr>
        <w:t>On April 5, 2016, $395,450 and $179,750 under the senior and junior tranche, respectively, of the Five Vessel Refinancing were drawn to partially refinance $644,000 of the outstanding debt of GAS-eighteen Ltd., GAS-nineteen Ltd., GAS-twenty Ltd., GAS-twenty one Ltd. and GAS-twenty seven Ltd. The balance of $68,800 was paid from available cash. On April 5, 2017, GasLog prepaid $150,000 under the junior tranche facility agreement and on January 5, 2018, GasLog Partners prepaid the outstanding balance of $29,750 under the junior tranche facility agreement, which was subsequently cancelled.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60" w:firstLine="320"/>
        <w:spacing w:after="0" w:line="270" w:lineRule="auto"/>
        <w:rPr>
          <w:sz w:val="20"/>
          <w:szCs w:val="20"/>
          <w:color w:val="auto"/>
        </w:rPr>
      </w:pPr>
      <w:r>
        <w:rPr>
          <w:rFonts w:ascii="Arial" w:cs="Arial" w:eastAsia="Arial" w:hAnsi="Arial"/>
          <w:sz w:val="18"/>
          <w:szCs w:val="18"/>
          <w:color w:val="auto"/>
        </w:rPr>
        <w:t>The aggregate balance outstanding under the senior tranche as of December 31, 2019 was $289,709. Amounts drawn bore interest at LIBOR plus a margin.</w:t>
      </w:r>
    </w:p>
    <w:p>
      <w:pPr>
        <w:spacing w:after="0" w:line="175" w:lineRule="exact"/>
        <w:rPr>
          <w:sz w:val="20"/>
          <w:szCs w:val="20"/>
          <w:color w:val="auto"/>
        </w:rPr>
      </w:pPr>
    </w:p>
    <w:p>
      <w:pPr>
        <w:ind w:firstLine="320"/>
        <w:spacing w:after="0" w:line="268" w:lineRule="auto"/>
        <w:rPr>
          <w:sz w:val="20"/>
          <w:szCs w:val="20"/>
          <w:color w:val="auto"/>
        </w:rPr>
      </w:pPr>
      <w:r>
        <w:rPr>
          <w:rFonts w:ascii="Arial" w:cs="Arial" w:eastAsia="Arial" w:hAnsi="Arial"/>
          <w:sz w:val="17"/>
          <w:szCs w:val="17"/>
          <w:color w:val="auto"/>
        </w:rPr>
        <w:t>On July 21, 2020, pursuant to the multiple credit agreements entered into by the Group to refinance its existing indebtedness which was scheduled to become due in 2021 (refer to (e), (f) and (g) in the Existing Facilities section), the outstanding balances of GAS-eighteen Ltd., GAS-nineteen Ltd., GAS-twenty Ltd., GAS-twenty one Ltd. and GAS-twenty seven Ltd., under the senior tranche totaling $265,911, were fully repaid. The existing loan facilities of the specified vessels under the Five Vessel Refinancing were terminated and the respective unamortized loan fees of $1,183 written-off to the consolidated statement of profit or loss. A few days earlier, $7,933 were repaid in accordance with the repayment terms under the Five Vessel Refinancing Facility since the closing of the refinancing was delayed by approximately two weeks due to COVID-19.</w:t>
      </w:r>
    </w:p>
    <w:p>
      <w:pPr>
        <w:spacing w:after="0" w:line="176" w:lineRule="exact"/>
        <w:rPr>
          <w:sz w:val="20"/>
          <w:szCs w:val="20"/>
          <w:color w:val="auto"/>
        </w:rPr>
      </w:pPr>
    </w:p>
    <w:p>
      <w:pPr>
        <w:ind w:right="160" w:firstLine="7"/>
        <w:spacing w:after="0" w:line="261" w:lineRule="auto"/>
        <w:tabs>
          <w:tab w:leader="none" w:pos="24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Citigroup Global Market Limited, Credit Suisse AG, Nordea Bank AB, London Branch, Skandinaviska Enskilda Banken AB (publ), HSBC Bank plc (“HSBC”), ING Bank N.V., London Branch, Danmarks Skibskredit A/S, Korea Development Bank and DVB Bank America N.V. loan (Legacy Facility Refinancing, as defined below)</w:t>
      </w:r>
    </w:p>
    <w:p>
      <w:pPr>
        <w:spacing w:after="0" w:line="183" w:lineRule="exact"/>
        <w:rPr>
          <w:sz w:val="20"/>
          <w:szCs w:val="20"/>
          <w:color w:val="auto"/>
        </w:rPr>
      </w:pPr>
    </w:p>
    <w:p>
      <w:pPr>
        <w:ind w:firstLine="320"/>
        <w:spacing w:after="0" w:line="252" w:lineRule="auto"/>
        <w:rPr>
          <w:sz w:val="20"/>
          <w:szCs w:val="20"/>
          <w:color w:val="auto"/>
        </w:rPr>
      </w:pPr>
      <w:r>
        <w:rPr>
          <w:rFonts w:ascii="Arial" w:cs="Arial" w:eastAsia="Arial" w:hAnsi="Arial"/>
          <w:sz w:val="18"/>
          <w:szCs w:val="18"/>
          <w:color w:val="auto"/>
        </w:rPr>
        <w:t xml:space="preserve">On July 19, 2016, GAS-one Ltd., GAS-two Ltd., GAS-six Ltd., GAS-seven Ltd., GAS-eight Ltd., GAS-nine Ltd., GAS-ten Ltd. and GAS-fifteen Ltd. entered into a credit agreement with a number of international banks (the “Legacy Facility Refinancing”) to refinance the existing indebtedness on eight of GasLog’s on-the-water vessels of up to $1,050,000, extending the maturities of six existing credit facilities to 2021. The vessels covered by the Legacy Facility Refinancing are the GasLog-owned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Skagen</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w:t>
      </w:r>
      <w:r>
        <w:rPr>
          <w:rFonts w:ascii="Arial" w:cs="Arial" w:eastAsia="Arial" w:hAnsi="Arial"/>
          <w:sz w:val="18"/>
          <w:szCs w:val="18"/>
          <w:i w:val="1"/>
          <w:iCs w:val="1"/>
          <w:color w:val="auto"/>
        </w:rPr>
        <w:t xml:space="preserve"> GasLog Chelsea </w:t>
      </w:r>
      <w:r>
        <w:rPr>
          <w:rFonts w:ascii="Arial" w:cs="Arial" w:eastAsia="Arial" w:hAnsi="Arial"/>
          <w:sz w:val="18"/>
          <w:szCs w:val="18"/>
          <w:color w:val="auto"/>
        </w:rPr>
        <w:t>and the GasLog Partners owned 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w:t>
      </w:r>
    </w:p>
    <w:p>
      <w:pPr>
        <w:spacing w:after="0" w:line="190" w:lineRule="exact"/>
        <w:rPr>
          <w:sz w:val="20"/>
          <w:szCs w:val="20"/>
          <w:color w:val="auto"/>
        </w:rPr>
      </w:pPr>
    </w:p>
    <w:p>
      <w:pPr>
        <w:ind w:right="20" w:firstLine="320"/>
        <w:spacing w:after="0" w:line="251" w:lineRule="auto"/>
        <w:rPr>
          <w:sz w:val="20"/>
          <w:szCs w:val="20"/>
          <w:color w:val="auto"/>
        </w:rPr>
      </w:pPr>
      <w:r>
        <w:rPr>
          <w:rFonts w:ascii="Arial" w:cs="Arial" w:eastAsia="Arial" w:hAnsi="Arial"/>
          <w:sz w:val="18"/>
          <w:szCs w:val="18"/>
          <w:color w:val="auto"/>
        </w:rPr>
        <w:t>The Legacy Facility Refinancing was comprised of a five-year term loan facility of up to $950,000 and a revolving credit facility of up to $100,000. On July 25, 2016, the available amount of $950,000 under the term loan facility and $11,641 under the revolving credit facility were drawn to refinance the aggregate existing indebtedness of $959,899 of GAS-one Ltd., GAS-two Ltd., GAS-six Ltd., GAS-seven Ltd., GAS-eight Ltd., GAS-nine Ltd., GAS-ten Ltd. and GAS-fifteen Ltd. Amounts drawn bore interest at LIBOR plus a margin. On January 17, 2017, $30,000 was drawn under the revolving credit facility. On July 3, 2017, the full drawn amount of $41,641 under the revolving credit facility was repaid. On November 13, 2018, $25,940 was drawn under the revolving credit facility, which was repaid on December 12, 2018.</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balance outstanding as of December 31, 2019 was $775,000 under the term loan facility and $0 under the revolving credit facility.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On February 13, 2020, March 13, 2020 and March 18, 2020, $23,346, $50,714 and $25,940 were drawn under the revolving credit facility.</w:t>
      </w:r>
    </w:p>
    <w:p>
      <w:pPr>
        <w:spacing w:after="0" w:line="230" w:lineRule="exact"/>
        <w:rPr>
          <w:sz w:val="20"/>
          <w:szCs w:val="20"/>
          <w:color w:val="auto"/>
        </w:rPr>
      </w:pPr>
    </w:p>
    <w:p>
      <w:pPr>
        <w:ind w:right="20" w:firstLine="320"/>
        <w:spacing w:after="0" w:line="267" w:lineRule="auto"/>
        <w:rPr>
          <w:sz w:val="20"/>
          <w:szCs w:val="20"/>
          <w:color w:val="auto"/>
        </w:rPr>
      </w:pPr>
      <w:r>
        <w:rPr>
          <w:rFonts w:ascii="Arial" w:cs="Arial" w:eastAsia="Arial" w:hAnsi="Arial"/>
          <w:sz w:val="17"/>
          <w:szCs w:val="17"/>
          <w:color w:val="auto"/>
        </w:rPr>
        <w:t>On July 21, 2020, pursuant to the multiple credit agreements entered into by the Group to refinance its existing indebtedness which was scheduled to become due in 2021(refer to (e), (g) and (h) in the Existing Facilities section), the outstanding balances of GAS-one Ltd., GAS-two Ltd., GAS-six Ltd., GAS-seven Ltd., GAS-eight Ltd., GAS-nine Ltd. and GAS-ten Ltd., under the term and revolving credit facilities totaling $724,514 were fully repaid. In addition, on August 3, 2020, the outstanding balance of GAS-fifteen Ltd. under the term and revolving credit facility of $92,153 was fully repaid. The existing loan facilities of the specified vessels under the Legacy Facility Refinancing were terminated and the respective unamortized loan fees of $3,591 were written-off to the consolidated statement of profit or loss. A few days earlier, $25,875 were repaid in accordance with the repayment terms under the Legacy Facility Refinancing since the closing of the refinancing was delayed by approximately two weeks due to COVID-19.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20" w:lineRule="exact"/>
        <w:rPr>
          <w:sz w:val="20"/>
          <w:szCs w:val="20"/>
          <w:color w:val="auto"/>
        </w:rPr>
      </w:pPr>
    </w:p>
    <w:p>
      <w:pPr>
        <w:ind w:right="100" w:firstLine="7"/>
        <w:spacing w:after="0" w:line="254" w:lineRule="auto"/>
        <w:tabs>
          <w:tab w:leader="none" w:pos="25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 loan (October 2015 Facility, as defined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jc w:val="both"/>
        <w:ind w:right="40" w:firstLine="320"/>
        <w:spacing w:after="0" w:line="271" w:lineRule="auto"/>
        <w:rPr>
          <w:sz w:val="20"/>
          <w:szCs w:val="20"/>
          <w:color w:val="auto"/>
        </w:rPr>
      </w:pPr>
      <w:r>
        <w:rPr>
          <w:rFonts w:ascii="Arial" w:cs="Arial" w:eastAsia="Arial" w:hAnsi="Arial"/>
          <w:sz w:val="17"/>
          <w:szCs w:val="17"/>
          <w:color w:val="auto"/>
        </w:rPr>
        <w:t>On October 16, 2015, GAS-eleven Ltd., GAS-twelve Ltd., GAS-thirteen Ltd., GAS-fourteen Ltd., GAS-twenty two Ltd., GAS-twenty three Ltd., GAS-twenty four Ltd. and GAS-twenty five Ltd. entered into a debt financing agreement with 14 international banks (“October 2015 Facility”) for $1,311,356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loan agreement provides for four tranches of $412,458, $201,094, $206,115 and $491,690. The facility is also sub-divided into</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eight loans, one loan per newbuilding vessel, to be provided for each of the vessels on a pro rata basis under each of the four tranches.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Each drawing under the first three tranches shall be repaid in 24 consecutive semi-annual equal installments commencing six months after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actual delivery of the relevant vessel according to a 12-year profile. Each drawing under the fourth tranche shall be repaid in 20</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consecutive semi-annual equal installments commencing six months after the actual delivery of the relevant vessel according to a 20-year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profile, with a balloon payment together with the final installment. On March 22, 2016 and June 24, 2016, $162,967 was drawn down 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on September 26, 2016 and October 25, 2016,</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$160,697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January 2, 2018</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March 14, 2018, $166,210 was drawn on each date with respect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while on March 23, 2018 and March 11, 2019, $165,805 was drawn down on each date with respect to the deliveries of the </w:t>
      </w:r>
      <w:r>
        <w:rPr>
          <w:rFonts w:ascii="Arial" w:cs="Arial" w:eastAsia="Arial" w:hAnsi="Arial"/>
          <w:sz w:val="16"/>
          <w:szCs w:val="16"/>
          <w:i w:val="1"/>
          <w:iCs w:val="1"/>
          <w:color w:val="auto"/>
        </w:rPr>
        <w:t>GasLog Genoa</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the </w:t>
      </w:r>
      <w:r>
        <w:rPr>
          <w:rFonts w:ascii="Arial" w:cs="Arial" w:eastAsia="Arial" w:hAnsi="Arial"/>
          <w:sz w:val="18"/>
          <w:szCs w:val="18"/>
          <w:i w:val="1"/>
          <w:iCs w:val="1"/>
          <w:color w:val="auto"/>
        </w:rPr>
        <w:t>GasLog Gladstone.</w:t>
      </w:r>
      <w:r>
        <w:rPr>
          <w:rFonts w:ascii="Arial" w:cs="Arial" w:eastAsia="Arial" w:hAnsi="Arial"/>
          <w:sz w:val="18"/>
          <w:szCs w:val="18"/>
          <w:color w:val="auto"/>
        </w:rPr>
        <w:t xml:space="preserve"> Amounts drawn bear interest at LIBOR plus a margin.</w:t>
      </w:r>
    </w:p>
    <w:p>
      <w:pPr>
        <w:spacing w:after="0" w:line="207" w:lineRule="exact"/>
        <w:rPr>
          <w:sz w:val="20"/>
          <w:szCs w:val="20"/>
          <w:color w:val="auto"/>
        </w:rPr>
      </w:pPr>
    </w:p>
    <w:p>
      <w:pPr>
        <w:ind w:right="180" w:firstLine="320"/>
        <w:spacing w:after="0" w:line="255" w:lineRule="auto"/>
        <w:rPr>
          <w:sz w:val="20"/>
          <w:szCs w:val="20"/>
          <w:color w:val="auto"/>
        </w:rPr>
      </w:pPr>
      <w:r>
        <w:rPr>
          <w:rFonts w:ascii="Arial" w:cs="Arial" w:eastAsia="Arial" w:hAnsi="Arial"/>
          <w:sz w:val="18"/>
          <w:szCs w:val="18"/>
          <w:color w:val="auto"/>
        </w:rPr>
        <w:t>On October 21, 2020, the outstanding indebtedness of GAS-twenty five Ltd., in the amount of $136,776 was prepaid pursuant to the sale and leaseback agreement entered into with a wholly owned subsidiary of CMB Financial Leasing Co. Ltd., Sea 190 Leasing Co. Limited (“Sea 190 Leasing”) (refer below). The relevant tranches of the loan agreement were terminated and the respective unamortized loan fees of $3,571 written-off to the consolidated statement of profit or loss.</w:t>
      </w:r>
    </w:p>
    <w:p>
      <w:pPr>
        <w:spacing w:after="0" w:line="188" w:lineRule="exact"/>
        <w:rPr>
          <w:sz w:val="20"/>
          <w:szCs w:val="20"/>
          <w:color w:val="auto"/>
        </w:rPr>
      </w:pPr>
    </w:p>
    <w:p>
      <w:pPr>
        <w:ind w:right="60" w:firstLine="320"/>
        <w:spacing w:after="0" w:line="271" w:lineRule="auto"/>
        <w:rPr>
          <w:sz w:val="20"/>
          <w:szCs w:val="20"/>
          <w:color w:val="auto"/>
        </w:rPr>
      </w:pPr>
      <w:r>
        <w:rPr>
          <w:rFonts w:ascii="Arial" w:cs="Arial" w:eastAsia="Arial" w:hAnsi="Arial"/>
          <w:sz w:val="17"/>
          <w:szCs w:val="17"/>
          <w:color w:val="auto"/>
        </w:rPr>
        <w:t>On January 22, 2021, the outstanding indebtedness of GAS-twenty four Ltd., in the amount of $130,889 was prepaid pursuant to the sale and leaseback agreement entered into with a wholly owned subsidiary of ICBC Financial Leasing Co., Ltd., Hai Kuo Shipping 2051G Limited ("Hai Kuo Shipping") (refer below). The relevant tranches of the loan agreement were terminated and the respective unamortized loan fees of $3,528 written-off to the consolidated statement of profit or loss. The aggregate balance outstanding under the loan facility as of December 31, 2021 is $667,656 (December 31, 2020: $873,776).</w:t>
      </w:r>
    </w:p>
    <w:p>
      <w:pPr>
        <w:spacing w:after="0" w:line="173" w:lineRule="exact"/>
        <w:rPr>
          <w:sz w:val="20"/>
          <w:szCs w:val="20"/>
          <w:color w:val="auto"/>
        </w:rPr>
      </w:pPr>
    </w:p>
    <w:p>
      <w:pPr>
        <w:ind w:right="260" w:firstLine="7"/>
        <w:spacing w:after="0" w:line="274" w:lineRule="auto"/>
        <w:tabs>
          <w:tab w:leader="none" w:pos="26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Credit Suisse AG, Nordea Bank Abp, filial I Norge and Iyo Bank Ltd., Singapore Branch (2019 GasLog Partners Facility, as defined below)</w:t>
      </w:r>
    </w:p>
    <w:p>
      <w:pPr>
        <w:spacing w:after="0" w:line="172"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GasLog Partners Facility"). Subsequently, on the same date, the Development Bank of Japan, Inc. entered the facility as lender via transfer certificate.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p>
    <w:p>
      <w:pPr>
        <w:spacing w:after="0" w:line="165" w:lineRule="exact"/>
        <w:rPr>
          <w:sz w:val="20"/>
          <w:szCs w:val="20"/>
          <w:color w:val="auto"/>
        </w:rPr>
      </w:pPr>
    </w:p>
    <w:p>
      <w:pPr>
        <w:ind w:right="120" w:firstLine="320"/>
        <w:spacing w:after="0" w:line="287"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 On March 6, 2019, the Partnership drew down $360,000 under the 2019 GasLog Partners Facility, out of which $354,375 was used to prepay the outstanding debt under the Old Partnership Facility, which would have been due in November 2019. On April 1, 2019, the Partnership drew down an additional $75,000 under the 2019 GasLog Partners Facility.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00" w:firstLine="320"/>
        <w:spacing w:after="0" w:line="271" w:lineRule="auto"/>
        <w:rPr>
          <w:sz w:val="20"/>
          <w:szCs w:val="20"/>
          <w:color w:val="auto"/>
        </w:rPr>
      </w:pPr>
      <w:r>
        <w:rPr>
          <w:rFonts w:ascii="Arial" w:cs="Arial" w:eastAsia="Arial" w:hAnsi="Arial"/>
          <w:sz w:val="17"/>
          <w:szCs w:val="17"/>
          <w:color w:val="auto"/>
        </w:rPr>
        <w:t>On October 26, 2021, the outstanding indebtedness of GAS-three Ltd., in the amount of $97,050 was prepaid pursuant to the sale and leaseback agreement entered into with a wholly-owned subsidiary of CDBL (refer to Note 7). The relevant advance of the loan agreement was cancelled and the respective unamortized loan fees of $604 written-off to the consolidated statement of profit or loss. The aggregate balance outstanding as of December 31, 2021 is $273,568 (December 31, 2020: $398,501), with no amount available to be redrawn as of December 31, 2021 (December 31, 2020: nil).</w:t>
      </w:r>
    </w:p>
    <w:p>
      <w:pPr>
        <w:spacing w:after="0" w:line="173" w:lineRule="exact"/>
        <w:rPr>
          <w:sz w:val="20"/>
          <w:szCs w:val="20"/>
          <w:color w:val="auto"/>
        </w:rPr>
      </w:pPr>
    </w:p>
    <w:p>
      <w:pPr>
        <w:ind w:right="160" w:firstLine="7"/>
        <w:spacing w:after="0" w:line="274" w:lineRule="auto"/>
        <w:tabs>
          <w:tab w:leader="none" w:pos="24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and Oversea-Chinese Banking Corporation Limited (“OCBC”) (</w:t>
      </w:r>
      <w:r>
        <w:rPr>
          <w:rFonts w:ascii="Arial" w:cs="Arial" w:eastAsia="Arial" w:hAnsi="Arial"/>
          <w:sz w:val="18"/>
          <w:szCs w:val="18"/>
          <w:b w:val="1"/>
          <w:bCs w:val="1"/>
          <w:i w:val="1"/>
          <w:iCs w:val="1"/>
          <w:color w:val="auto"/>
        </w:rPr>
        <w:t>GasLog Warsaw</w:t>
      </w:r>
      <w:r>
        <w:rPr>
          <w:rFonts w:ascii="Arial" w:cs="Arial" w:eastAsia="Arial" w:hAnsi="Arial"/>
          <w:sz w:val="18"/>
          <w:szCs w:val="18"/>
          <w:b w:val="1"/>
          <w:bCs w:val="1"/>
          <w:color w:val="auto"/>
        </w:rPr>
        <w:t xml:space="preserve"> Facility, as defined below)</w:t>
      </w:r>
    </w:p>
    <w:p>
      <w:pPr>
        <w:spacing w:after="0" w:line="172" w:lineRule="exact"/>
        <w:rPr>
          <w:sz w:val="20"/>
          <w:szCs w:val="20"/>
          <w:color w:val="auto"/>
        </w:rPr>
      </w:pPr>
    </w:p>
    <w:p>
      <w:pPr>
        <w:ind w:right="120" w:firstLine="320"/>
        <w:spacing w:after="0" w:line="292" w:lineRule="auto"/>
        <w:rPr>
          <w:sz w:val="20"/>
          <w:szCs w:val="20"/>
          <w:color w:val="auto"/>
        </w:rPr>
      </w:pPr>
      <w:r>
        <w:rPr>
          <w:rFonts w:ascii="Arial" w:cs="Arial" w:eastAsia="Arial" w:hAnsi="Arial"/>
          <w:sz w:val="16"/>
          <w:szCs w:val="16"/>
          <w:color w:val="auto"/>
        </w:rPr>
        <w:t xml:space="preserve">On June 25, 2019, GasLog Hellas-1 Special Maritime Enterprise entered into a loan agreement with ABN AMRO BANK N.V. and OCBC,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$129,500 that was drawn on July 25, 2019 and is repayable in 28 equal quarterly installments of $1,619 each and a final balloon payment of $84,175 payable concurrently with the last quarterly installment in June 2026. The loan bears interest at LIBOR plus a margin. The balance outstanding as of December 31, 2021 is $114,931 (December 31, 2020: $121,406).</w:t>
      </w:r>
    </w:p>
    <w:p>
      <w:pPr>
        <w:spacing w:after="0" w:line="158" w:lineRule="exact"/>
        <w:rPr>
          <w:sz w:val="20"/>
          <w:szCs w:val="20"/>
          <w:color w:val="auto"/>
        </w:rPr>
      </w:pPr>
    </w:p>
    <w:p>
      <w:pPr>
        <w:ind w:right="100" w:firstLine="7"/>
        <w:spacing w:after="0" w:line="276" w:lineRule="auto"/>
        <w:tabs>
          <w:tab w:leader="none" w:pos="262"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Citibank, N.A., London Branch, DNB (UK) Ltd., Skandinaviska Enskilda Banken AB (publ), The Export-Import Bank of Korea, Bank of America, National Association, BNP Paribas, Seoul Branch, Commonwealth Bank of Australia, KfW IPEX-Bank GmbH, National Australia Bank Limited, Oversea-Chinese Banking Corporation Limited, Société Générale, Standard Chartered Bank (“SCB”), The Korea Development Bank and KB Kookmin Bank (7xNB Facility, as defined below)</w:t>
      </w:r>
    </w:p>
    <w:p>
      <w:pPr>
        <w:spacing w:after="0" w:line="172" w:lineRule="exact"/>
        <w:rPr>
          <w:sz w:val="20"/>
          <w:szCs w:val="20"/>
          <w:color w:val="auto"/>
        </w:rPr>
      </w:pPr>
    </w:p>
    <w:p>
      <w:pPr>
        <w:ind w:right="60" w:firstLine="320"/>
        <w:spacing w:after="0" w:line="284" w:lineRule="auto"/>
        <w:rPr>
          <w:sz w:val="20"/>
          <w:szCs w:val="20"/>
          <w:color w:val="auto"/>
        </w:rPr>
      </w:pPr>
      <w:r>
        <w:rPr>
          <w:rFonts w:ascii="Arial" w:cs="Arial" w:eastAsia="Arial" w:hAnsi="Arial"/>
          <w:sz w:val="16"/>
          <w:szCs w:val="16"/>
          <w:color w:val="auto"/>
        </w:rPr>
        <w:t>On December 12, 2019, GAS-twenty eight Ltd., GAS-thirty Ltd., GAS-thirty one Ltd., GAS-thirty two Ltd., GAS-thirty three Ltd., GAS-thirty four Ltd. and GAS-thirty five Ltd. entered into a loan agreement (the “7xNB Facility”) with 13 international banks, with Citibank N.A. London Branch and DNB Bank ASA (“DNB”), London Branch acting as agents on behalf of the other finance parties. The financing is backed by KEXIM and K-Sure, who are either directly lending or providing cover for over 60% of the facility. The agreement of up to $1,052,791 partially finances the delivery of seven newbuildings scheduled to be delivered in 2020 and 2021. The loan agreement provides for four tranches of $176,547, $174,787, $356,671 and $344,786. The facility is also sub-divided into seven loans, one loan per newbuilding vessel, to be provided for each of the vessels on a pro rata basis under each of the four tranches. Each drawing under the first and the third tranche are combined and repaid in 24 consecutive semi-annual equal instalments commencing six months after the actual delivery of the relevant vessel according to an average 12-year profile. Each drawing under the second tranche is repaid in 14 consecutive semi-annual equal instalments commencing six months after the actual delivery of the relevant vessel according to an average 7-year profile. Each drawing under the fourth tranche is repaid in a single bullet seven years after the actual delivery of the relevant vessel.</w:t>
      </w:r>
    </w:p>
    <w:p>
      <w:pPr>
        <w:spacing w:after="0" w:line="167" w:lineRule="exact"/>
        <w:rPr>
          <w:sz w:val="20"/>
          <w:szCs w:val="20"/>
          <w:color w:val="auto"/>
        </w:rPr>
      </w:pPr>
    </w:p>
    <w:p>
      <w:pPr>
        <w:ind w:right="40" w:firstLine="320"/>
        <w:spacing w:after="0" w:line="271" w:lineRule="auto"/>
        <w:rPr>
          <w:sz w:val="20"/>
          <w:szCs w:val="20"/>
          <w:color w:val="auto"/>
        </w:rPr>
      </w:pPr>
      <w:r>
        <w:rPr>
          <w:rFonts w:ascii="Arial" w:cs="Arial" w:eastAsia="Arial" w:hAnsi="Arial"/>
          <w:sz w:val="17"/>
          <w:szCs w:val="17"/>
          <w:color w:val="auto"/>
        </w:rPr>
        <w:t xml:space="preserve">On March 26, 2020, on May 7, 2020, on July 9, 2020, on November 12, 2020, on December 29, 2020, on June 11, 2021 and on August 20, 2021, $152,525, $149,386, $149,281, $147,845, $147,845, $152,955 and $152,955, respectively, was drawn down with respect to the deliveries of the </w:t>
      </w:r>
      <w:r>
        <w:rPr>
          <w:rFonts w:ascii="Arial" w:cs="Arial" w:eastAsia="Arial" w:hAnsi="Arial"/>
          <w:sz w:val="17"/>
          <w:szCs w:val="17"/>
          <w:i w:val="1"/>
          <w:iCs w:val="1"/>
          <w:color w:val="auto"/>
        </w:rPr>
        <w:t>GasLog Windsor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Wales,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Westminster,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Georgetown,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Galveston,</w:t>
      </w:r>
      <w:r>
        <w:rPr>
          <w:rFonts w:ascii="Arial" w:cs="Arial" w:eastAsia="Arial" w:hAnsi="Arial"/>
          <w:sz w:val="17"/>
          <w:szCs w:val="17"/>
          <w:color w:val="auto"/>
        </w:rPr>
        <w:t xml:space="preserve"> the </w:t>
      </w:r>
      <w:r>
        <w:rPr>
          <w:rFonts w:ascii="Arial" w:cs="Arial" w:eastAsia="Arial" w:hAnsi="Arial"/>
          <w:sz w:val="17"/>
          <w:szCs w:val="17"/>
          <w:i w:val="1"/>
          <w:iCs w:val="1"/>
          <w:color w:val="auto"/>
        </w:rPr>
        <w:t xml:space="preserve">GasLog Wellington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Winchester</w:t>
      </w:r>
      <w:r>
        <w:rPr>
          <w:rFonts w:ascii="Arial" w:cs="Arial" w:eastAsia="Arial" w:hAnsi="Arial"/>
          <w:sz w:val="17"/>
          <w:szCs w:val="17"/>
          <w:color w:val="auto"/>
        </w:rPr>
        <w:t>. The aggregate balance outstanding under the loan facility as of December 31, 2021 is</w:t>
      </w:r>
      <w:r>
        <w:rPr>
          <w:rFonts w:ascii="Arial" w:cs="Arial" w:eastAsia="Arial" w:hAnsi="Arial"/>
          <w:sz w:val="17"/>
          <w:szCs w:val="17"/>
          <w:i w:val="1"/>
          <w:iCs w:val="1"/>
          <w:color w:val="auto"/>
        </w:rPr>
        <w:t xml:space="preserve"> </w:t>
      </w:r>
      <w:r>
        <w:rPr>
          <w:rFonts w:ascii="Arial" w:cs="Arial" w:eastAsia="Arial" w:hAnsi="Arial"/>
          <w:sz w:val="17"/>
          <w:szCs w:val="17"/>
          <w:color w:val="auto"/>
        </w:rPr>
        <w:t>$998,189 (December 31, 2020: $738,422). Amounts drawn bear interest at LIBOR plus a margin.</w:t>
      </w:r>
    </w:p>
    <w:p>
      <w:pPr>
        <w:spacing w:after="0" w:line="177"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As of December 31, 2020, commitment, underwriting and legal fees of $4,658 for obtaining the undrawn portion of the financing were classified under Deferred financing costs in the statement of financial position and were netted off debt on the respective drawdown dates (December 31, 2021: nil).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BNP Paribas, Credit Suisse AG and Alpha Bank S.A. (GasLog Partners $260.3M Facility, as defined below)</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July 16, 2020, GasLog Partners entered into a credit agreement of $260,331 (the “GasLog Partners $260.3M Facility”) with BNP</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Paribas, Credit Suisse AG and Alpha Bank S.A., each an original lender, with BNP Paribas acting as security agent and trustee for and 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behalf of the other finance parties mentioned above, in order to refinance the existing indebtedness due in 2021 on three of its vessels.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facility will amortize over ten equal semi-annual installments of $8,597 beginning in January 2021, with a final balloon amount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$174,361 payable concurrently with the last installment in July 2025. Interest on the facility will be payable at a rate of LIBOR plus 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margin. An amount of $260,331 was drawn on July 21, 2020, out of which $258,532 was used to refinance the outstanding indebtedness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GAS-twenty Ltd., GAS-seven Ltd. and GAS-eight Ltd., the respective entities owning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the </w:t>
      </w:r>
      <w:r>
        <w:rPr>
          <w:rFonts w:ascii="Arial" w:cs="Arial" w:eastAsia="Arial" w:hAnsi="Arial"/>
          <w:sz w:val="18"/>
          <w:szCs w:val="18"/>
          <w:i w:val="1"/>
          <w:iCs w:val="1"/>
          <w:color w:val="auto"/>
        </w:rPr>
        <w:t>Solaris</w:t>
      </w:r>
      <w:r>
        <w:rPr>
          <w:rFonts w:ascii="Arial" w:cs="Arial" w:eastAsia="Arial" w:hAnsi="Arial"/>
          <w:sz w:val="18"/>
          <w:szCs w:val="18"/>
          <w:color w:val="auto"/>
        </w:rPr>
        <w:t>. The balance outstanding as of December 31, 2021 is $243,137 (December 31, 2020: $260,331).</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 DNB Bank ASA, London Branch, and ING Bank N.V., London Branch (GasLog Partners $193.7M Facility, as defined below)</w:t>
      </w:r>
    </w:p>
    <w:p>
      <w:pPr>
        <w:spacing w:after="0" w:line="247" w:lineRule="exact"/>
        <w:rPr>
          <w:sz w:val="20"/>
          <w:szCs w:val="20"/>
          <w:color w:val="auto"/>
        </w:rPr>
      </w:pPr>
    </w:p>
    <w:p>
      <w:pPr>
        <w:ind w:firstLine="320"/>
        <w:spacing w:after="0" w:line="266" w:lineRule="auto"/>
        <w:rPr>
          <w:sz w:val="20"/>
          <w:szCs w:val="20"/>
          <w:color w:val="auto"/>
        </w:rPr>
      </w:pPr>
      <w:r>
        <w:rPr>
          <w:rFonts w:ascii="Arial" w:cs="Arial" w:eastAsia="Arial" w:hAnsi="Arial"/>
          <w:sz w:val="17"/>
          <w:szCs w:val="17"/>
          <w:color w:val="auto"/>
        </w:rPr>
        <w:t xml:space="preserve">On July 16, 2020, GasLog Partners entered into a credit agreement of $193,713 (the “GasLog Partners $193.7M Facility”)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 January 2021, with a final balloon amount of $107,723 payable concurrently with the last installment in July 2025. Interest on the facility will be payable at a rate of LIBOR plus a margin. An amount of $193,713 was drawn down on July 21, 2020, out of which $174,867 was used to refinance the outstanding indebtedness of GAS-nineteen Ltd., GAS-twenty one Ltd. and GAS-twenty seven Ltd., the respective entities owning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Heather Sally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Becki Anne</w:t>
      </w:r>
      <w:r>
        <w:rPr>
          <w:rFonts w:ascii="Arial" w:cs="Arial" w:eastAsia="Arial" w:hAnsi="Arial"/>
          <w:sz w:val="17"/>
          <w:szCs w:val="17"/>
          <w:color w:val="auto"/>
        </w:rPr>
        <w:t>. The balance outstanding as of December 31, 2021 is</w:t>
      </w:r>
      <w:r>
        <w:rPr>
          <w:rFonts w:ascii="Arial" w:cs="Arial" w:eastAsia="Arial" w:hAnsi="Arial"/>
          <w:sz w:val="17"/>
          <w:szCs w:val="17"/>
          <w:i w:val="1"/>
          <w:iCs w:val="1"/>
          <w:color w:val="auto"/>
        </w:rPr>
        <w:t xml:space="preserve"> </w:t>
      </w:r>
      <w:r>
        <w:rPr>
          <w:rFonts w:ascii="Arial" w:cs="Arial" w:eastAsia="Arial" w:hAnsi="Arial"/>
          <w:sz w:val="17"/>
          <w:szCs w:val="17"/>
          <w:color w:val="auto"/>
        </w:rPr>
        <w:t>$176,515 (December 31, 2020: $193,713).</w:t>
      </w:r>
    </w:p>
    <w:p>
      <w:pPr>
        <w:spacing w:after="0" w:line="181" w:lineRule="exact"/>
        <w:rPr>
          <w:sz w:val="20"/>
          <w:szCs w:val="20"/>
          <w:color w:val="auto"/>
        </w:rPr>
      </w:pPr>
    </w:p>
    <w:p>
      <w:pPr>
        <w:ind w:right="60" w:firstLine="7"/>
        <w:spacing w:after="0" w:line="261" w:lineRule="auto"/>
        <w:tabs>
          <w:tab w:leader="none" w:pos="25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Citigroup Global Markets Limited and Nordea Bank ABP, Filial I Norge, HSBC Bank plc, Credit Agricole Corporate and Investment Bank, Unicredit Bank AG and National Bank of Australia Limited (GasLog $576.9M Facility, as defined below)</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July 16, 2020 GAS-one Ltd., GAS-two Ltd., GAS-six Ltd., GAS-nine Ltd., GAS-ten Ltd., and GAS-eighteen Ltd. entered into a</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of $576,888 (the “GasLog $576.9M Facility”) with ABN AMRO Bank N.V., Citigroup Global Markets Limited and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Nordea Bank ABP, Filial I Norge acting as global co-ordinators and bookrunners, while HSBC Bank plc acting as mandated lead arranger;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Credit Agricole Corporate and Investment Bank acting as lead arranger and Unicredit Bank AG and National Bank of Australia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acting as arrangers, each of those being an original lender. The credit agreement was entered to refinance the existing indebtedness due in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2021 of six of the Group’s vessels. ABN AMRO Bank N.V. was appointed by the other finance parties in this syndicate as security agent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and trustee. The facility comprises of a $494,475 Term Loan Facility which amortizes over 18 equal quarterly installments of $9,349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beginning in April 2021 (following an initial repayment in January 2021 in the amount of $18,698), with a final balloon amount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$307,495 payable concurrently with the last installment in June 2025 and a $82,413 revolving loan facility which also matures in June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2025. The facility bears interest at LIBOR plus a margin. An amount of $576,888 was drawn on July 21, 2020, out of which $557,026 was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used to refinance the outstanding indebtedness of GAS-one Ltd., GAS-two Ltd., GAS-six Ltd., GAS-nine Ltd., GAS-ten Ltd., and GAS-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eighteen Ltd., the respective entities owning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The balance of the proceeds was used for general corporate and working capital purposes.</w:t>
      </w:r>
    </w:p>
    <w:p>
      <w:pPr>
        <w:spacing w:after="0" w:line="230" w:lineRule="exact"/>
        <w:rPr>
          <w:sz w:val="20"/>
          <w:szCs w:val="20"/>
          <w:color w:val="auto"/>
        </w:rPr>
      </w:pPr>
    </w:p>
    <w:p>
      <w:pPr>
        <w:ind w:right="60" w:firstLine="320"/>
        <w:spacing w:after="0" w:line="289" w:lineRule="auto"/>
        <w:rPr>
          <w:sz w:val="20"/>
          <w:szCs w:val="20"/>
          <w:color w:val="auto"/>
        </w:rPr>
      </w:pPr>
      <w:r>
        <w:rPr>
          <w:rFonts w:ascii="Arial" w:cs="Arial" w:eastAsia="Arial" w:hAnsi="Arial"/>
          <w:sz w:val="16"/>
          <w:szCs w:val="16"/>
          <w:color w:val="auto"/>
        </w:rPr>
        <w:t>On October 26, 2021, the outstanding indebtedness of GAS-ten Ltd., in the amount of $87,390 and $15,794 outstanding under the term and revolving loan facility, respectively, was prepaid pursuant to the sale and leaseback agreement entered into with a wholly-owned subsidiary of CDBL (refer to Note 7). The relevant advance of the loan agreement was cancelled and the respective unamortized loan fees of $1,302 written-off to the consolidated statement of profit or loss. The balance outstanding under the term and revolving loan facility as of December 31, 2021 is $360,338 and $66,619, respectively (December 31, 2020: $494,475 and $82,413, respectively) with no amount available to be redrawn under the revolving loan facility as of December 31, 2021 (December 31, 2020: nil).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National Bank of Greece S.A. (“NBG”) (</w:t>
      </w:r>
      <w:r>
        <w:rPr>
          <w:rFonts w:ascii="Arial" w:cs="Arial" w:eastAsia="Arial" w:hAnsi="Arial"/>
          <w:sz w:val="18"/>
          <w:szCs w:val="18"/>
          <w:b w:val="1"/>
          <w:bCs w:val="1"/>
          <w:i w:val="1"/>
          <w:iCs w:val="1"/>
          <w:color w:val="auto"/>
        </w:rPr>
        <w:t>GasLog Chelsea</w:t>
      </w:r>
      <w:r>
        <w:rPr>
          <w:rFonts w:ascii="Arial" w:cs="Arial" w:eastAsia="Arial" w:hAnsi="Arial"/>
          <w:sz w:val="18"/>
          <w:szCs w:val="18"/>
          <w:b w:val="1"/>
          <w:bCs w:val="1"/>
          <w:color w:val="auto"/>
        </w:rPr>
        <w:t xml:space="preserve"> $96.8M Facility, as defined below)</w:t>
      </w:r>
    </w:p>
    <w:p>
      <w:pPr>
        <w:spacing w:after="0" w:line="224" w:lineRule="exact"/>
        <w:rPr>
          <w:sz w:val="20"/>
          <w:szCs w:val="20"/>
          <w:color w:val="auto"/>
        </w:rPr>
      </w:pPr>
    </w:p>
    <w:p>
      <w:pPr>
        <w:ind w:right="80" w:firstLine="320"/>
        <w:spacing w:after="0" w:line="268" w:lineRule="auto"/>
        <w:rPr>
          <w:sz w:val="20"/>
          <w:szCs w:val="20"/>
          <w:color w:val="auto"/>
        </w:rPr>
      </w:pPr>
      <w:r>
        <w:rPr>
          <w:rFonts w:ascii="Arial" w:cs="Arial" w:eastAsia="Arial" w:hAnsi="Arial"/>
          <w:sz w:val="17"/>
          <w:szCs w:val="17"/>
          <w:color w:val="auto"/>
        </w:rPr>
        <w:t>On July 30, 2020, GasLog entered into a credit agreement of $96,815 (the “</w:t>
      </w:r>
      <w:r>
        <w:rPr>
          <w:rFonts w:ascii="Arial" w:cs="Arial" w:eastAsia="Arial" w:hAnsi="Arial"/>
          <w:sz w:val="17"/>
          <w:szCs w:val="17"/>
          <w:i w:val="1"/>
          <w:iCs w:val="1"/>
          <w:color w:val="auto"/>
        </w:rPr>
        <w:t>GasLog Chelsea</w:t>
      </w:r>
      <w:r>
        <w:rPr>
          <w:rFonts w:ascii="Arial" w:cs="Arial" w:eastAsia="Arial" w:hAnsi="Arial"/>
          <w:sz w:val="17"/>
          <w:szCs w:val="17"/>
          <w:color w:val="auto"/>
        </w:rPr>
        <w:t xml:space="preserve"> $96.8M Facility”) with National Bank of Greece S.A. for the refinancing of GAS-fifteen Ltd., the entity owning the </w:t>
      </w:r>
      <w:r>
        <w:rPr>
          <w:rFonts w:ascii="Arial" w:cs="Arial" w:eastAsia="Arial" w:hAnsi="Arial"/>
          <w:sz w:val="17"/>
          <w:szCs w:val="17"/>
          <w:i w:val="1"/>
          <w:iCs w:val="1"/>
          <w:color w:val="auto"/>
        </w:rPr>
        <w:t>GasLog Chelsea</w:t>
      </w:r>
      <w:r>
        <w:rPr>
          <w:rFonts w:ascii="Arial" w:cs="Arial" w:eastAsia="Arial" w:hAnsi="Arial"/>
          <w:sz w:val="17"/>
          <w:szCs w:val="17"/>
          <w:color w:val="auto"/>
        </w:rPr>
        <w:t xml:space="preserve">. National Bank of Greece S.A. is acting as the sole original lender. An amount of $96,815 was drawn on July 31, 2020, out of which $92,153 was used to refinance the outstanding indebtedness of the </w:t>
      </w:r>
      <w:r>
        <w:rPr>
          <w:rFonts w:ascii="Arial" w:cs="Arial" w:eastAsia="Arial" w:hAnsi="Arial"/>
          <w:sz w:val="17"/>
          <w:szCs w:val="17"/>
          <w:i w:val="1"/>
          <w:iCs w:val="1"/>
          <w:color w:val="auto"/>
        </w:rPr>
        <w:t>GasLog Chelsea</w:t>
      </w:r>
      <w:r>
        <w:rPr>
          <w:rFonts w:ascii="Arial" w:cs="Arial" w:eastAsia="Arial" w:hAnsi="Arial"/>
          <w:sz w:val="17"/>
          <w:szCs w:val="17"/>
          <w:color w:val="auto"/>
        </w:rPr>
        <w:t>. The balance of the proceeds was used for general corporate and working capital purposes. The facility amortizes over 20 equal quarterly installments of $1,891 beginning in October 2020, with a final balloon amount of $58,995 payable concurrently with the last instalment in July 2025. The loan bears interest at LIBOR plus a margin. The balance outstanding as of December 31, 2021 is $87,357 (December 31, 2020: $94,923).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Sea 190 Leasing (</w:t>
      </w:r>
      <w:r>
        <w:rPr>
          <w:rFonts w:ascii="Arial" w:cs="Arial" w:eastAsia="Arial" w:hAnsi="Arial"/>
          <w:sz w:val="18"/>
          <w:szCs w:val="18"/>
          <w:b w:val="1"/>
          <w:bCs w:val="1"/>
          <w:i w:val="1"/>
          <w:iCs w:val="1"/>
          <w:color w:val="auto"/>
        </w:rPr>
        <w:t>GasLog Hong Kong</w:t>
      </w:r>
      <w:r>
        <w:rPr>
          <w:rFonts w:ascii="Arial" w:cs="Arial" w:eastAsia="Arial" w:hAnsi="Arial"/>
          <w:sz w:val="18"/>
          <w:szCs w:val="18"/>
          <w:b w:val="1"/>
          <w:bCs w:val="1"/>
          <w:color w:val="auto"/>
        </w:rPr>
        <w:t xml:space="preserve"> SLB, as defined below)</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On October 21, 2020, GasLog refinanced through a sale-and-leaseback transaction the </w:t>
      </w:r>
      <w:r>
        <w:rPr>
          <w:rFonts w:ascii="Arial" w:cs="Arial" w:eastAsia="Arial" w:hAnsi="Arial"/>
          <w:sz w:val="16"/>
          <w:szCs w:val="16"/>
          <w:i w:val="1"/>
          <w:iCs w:val="1"/>
          <w:color w:val="auto"/>
        </w:rPr>
        <w:t>GasLog Hong Kong</w:t>
      </w:r>
      <w:r>
        <w:rPr>
          <w:rFonts w:ascii="Arial" w:cs="Arial" w:eastAsia="Arial" w:hAnsi="Arial"/>
          <w:sz w:val="16"/>
          <w:szCs w:val="16"/>
          <w:color w:val="auto"/>
        </w:rPr>
        <w:t>, a 174,000 cbm LNG</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carrier with X-DF propulsion built in 2018. GasLog-twenty five Ltd. (“G25”) sold the vessel to Sea 190 Leasing the (“</w:t>
      </w:r>
      <w:r>
        <w:rPr>
          <w:rFonts w:ascii="Arial" w:cs="Arial" w:eastAsia="Arial" w:hAnsi="Arial"/>
          <w:sz w:val="16"/>
          <w:szCs w:val="16"/>
          <w:i w:val="1"/>
          <w:iCs w:val="1"/>
          <w:color w:val="auto"/>
        </w:rPr>
        <w:t>GasLog Hong Kong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SLB”), raising $163,406 and leased it back under a bareboat charter for a period of twelve years. At the end of the period, G25 has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option to buy the vessel for $70,000 otherwise a premium of $30,000 will be payable. G25 can also buy back the vessel at any time by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paying the capital outstanding and a prepayment fee where applicable. The amount drawn was used to refinance the outstanding</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indebtedness of G25, in the amount of $136,776. The amount drawn on October 21, 2020, is repayable in 48 quarterly installments,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first 20 installments amount to $2,670 each and the following 28 installments amount to $1,429 each, and a final balloon payment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$70,000 payable concurrently with the last quarterly installment in October 2032. Interest on the outstanding capital of the bareboat charter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will be payable at a rate of LIBOR plus a margin. G25 has the option to repurchase the vessel and as a result under IFRS 15, the transfer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vessel does not qualify as a sale and leaseback. The Company did not derecognize the respective vessel from its balance sheet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accounted for the amount received under the sale-and-leaseback transaction as a financial liability. The balance outstanding as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is $152,725 (December 31, 2020: $163,406).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Hai Kuo Shipping (</w:t>
      </w:r>
      <w:r>
        <w:rPr>
          <w:rFonts w:ascii="Arial" w:cs="Arial" w:eastAsia="Arial" w:hAnsi="Arial"/>
          <w:sz w:val="18"/>
          <w:szCs w:val="18"/>
          <w:b w:val="1"/>
          <w:bCs w:val="1"/>
          <w:i w:val="1"/>
          <w:iCs w:val="1"/>
          <w:color w:val="auto"/>
        </w:rPr>
        <w:t>GasLog Houston</w:t>
      </w:r>
      <w:r>
        <w:rPr>
          <w:rFonts w:ascii="Arial" w:cs="Arial" w:eastAsia="Arial" w:hAnsi="Arial"/>
          <w:sz w:val="18"/>
          <w:szCs w:val="18"/>
          <w:b w:val="1"/>
          <w:bCs w:val="1"/>
          <w:color w:val="auto"/>
        </w:rPr>
        <w:t xml:space="preserve"> SLB, as defined below)</w:t>
      </w:r>
    </w:p>
    <w:p>
      <w:pPr>
        <w:spacing w:after="0" w:line="224"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 xml:space="preserve">On January 22, 2021, GasLog refinanced through a sale-and-leaseback transaction the </w:t>
      </w:r>
      <w:r>
        <w:rPr>
          <w:rFonts w:ascii="Arial" w:cs="Arial" w:eastAsia="Arial" w:hAnsi="Arial"/>
          <w:sz w:val="16"/>
          <w:szCs w:val="16"/>
          <w:i w:val="1"/>
          <w:iCs w:val="1"/>
          <w:color w:val="auto"/>
        </w:rPr>
        <w:t>GasLog Houston</w:t>
      </w:r>
      <w:r>
        <w:rPr>
          <w:rFonts w:ascii="Arial" w:cs="Arial" w:eastAsia="Arial" w:hAnsi="Arial"/>
          <w:sz w:val="16"/>
          <w:szCs w:val="16"/>
          <w:color w:val="auto"/>
        </w:rPr>
        <w:t>, a 174,000 cbm LNG carrier with X-DF propulsion built in 2018. GAS-twenty four Ltd. (“G24”) sold the vessel to Hai Kuo Shipping (the “</w:t>
      </w:r>
      <w:r>
        <w:rPr>
          <w:rFonts w:ascii="Arial" w:cs="Arial" w:eastAsia="Arial" w:hAnsi="Arial"/>
          <w:sz w:val="16"/>
          <w:szCs w:val="16"/>
          <w:i w:val="1"/>
          <w:iCs w:val="1"/>
          <w:color w:val="auto"/>
        </w:rPr>
        <w:t>GasLog Houston SLB</w:t>
      </w:r>
      <w:r>
        <w:rPr>
          <w:rFonts w:ascii="Arial" w:cs="Arial" w:eastAsia="Arial" w:hAnsi="Arial"/>
          <w:sz w:val="16"/>
          <w:szCs w:val="16"/>
          <w:color w:val="auto"/>
        </w:rPr>
        <w:t>”), raising $165,958 and leased it back under a bareboat charter for a period of up to eight years. At the end of the charter period, G24 has the obligation to re-purchase the vessel for $99,575. G24 has also the option to re-purchase the vessel on pre-agreed terms no earlier than the end of the first interest period, and no later than the end of year eight, of the bareboat charter. The amount drawn was used to refinance the outstanding indebtedness of G24, in the amount of $130,889. The amount drawn on January 22, 2021, is repayable in 32 quarterly installments of $2,074 each and a final balloon payment of $99,575 payable concurrently with the last quarterly installment in January 2029. Interest on the outstanding capital of the bareboat charter will be payable at a rate of LIBOR plus a margin. G24 has the obligation to re-purchase the vessel and as a result under IFRS 15, the transfer of the vessel does not qualify as a sale and leaseback. The Company did not derecognize the respective vessel from its balance sheet and accounted for the amount received under the sale-and-leaseback transaction as a financial liability. The balance outstanding as of December 31, 2021 is $159,735.</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covenants and guarantees</w:t>
      </w:r>
    </w:p>
    <w:p>
      <w:pPr>
        <w:spacing w:after="0" w:line="220" w:lineRule="exact"/>
        <w:rPr>
          <w:sz w:val="20"/>
          <w:szCs w:val="20"/>
          <w:color w:val="auto"/>
        </w:rPr>
      </w:pPr>
    </w:p>
    <w:p>
      <w:pPr>
        <w:ind w:right="20" w:firstLine="320"/>
        <w:spacing w:after="0" w:line="274" w:lineRule="auto"/>
        <w:rPr>
          <w:sz w:val="20"/>
          <w:szCs w:val="20"/>
          <w:color w:val="auto"/>
        </w:rPr>
      </w:pPr>
      <w:r>
        <w:rPr>
          <w:rFonts w:ascii="Arial" w:cs="Arial" w:eastAsia="Arial" w:hAnsi="Arial"/>
          <w:sz w:val="16"/>
          <w:szCs w:val="16"/>
          <w:color w:val="auto"/>
        </w:rPr>
        <w:t xml:space="preserve">The obligations under the aforementioned facilities are secured by a first priority mortgage over the vessels, a pledge or negative pledge of the share capital of the respective vessel owning companies and a first priority assignment of earnings and insurance related to the vessels, including charter revenue, management revenue and any insurance and requisition compensation. Obligations under the 2019 GasLog Partners Facility, the GasLog Partners $260.3M Facility and the GasLog Partners $193.7M Facility are facilities guaranteed by the Partnership and GasLog Partners Holdings LLC, obligations under the October 2015 Facility are guaranteed by the Partnership and GasLog Partners Holdings LLC for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Glasgow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and by GasLog and GasLog Carriers for up to the value of the commitments on the remaining vessels,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while obligations under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7xNB Facility, the GasLog $576.9M Facility and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$96.8M Facility are guaranteed by GasLog and GasLog Carriers. Charter guarantees under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SLB and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SLB are guaranteed by GasLog.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in the case of the October 2015 Facility and the 7xNB Facility, 115.0% for the first two years after each drawdown and 120.0% at any time thereafter; 100% in the case of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SLB, 100% until December 31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2022 inclusive and 110% at any time thereafter in the case of the </w:t>
      </w:r>
      <w:r>
        <w:rPr>
          <w:rFonts w:ascii="Arial" w:cs="Arial" w:eastAsia="Arial" w:hAnsi="Arial"/>
          <w:sz w:val="16"/>
          <w:szCs w:val="16"/>
          <w:i w:val="1"/>
          <w:iCs w:val="1"/>
          <w:color w:val="auto"/>
        </w:rPr>
        <w:t xml:space="preserve">GasLog Houston </w:t>
      </w:r>
      <w:r>
        <w:rPr>
          <w:rFonts w:ascii="Arial" w:cs="Arial" w:eastAsia="Arial" w:hAnsi="Arial"/>
          <w:sz w:val="16"/>
          <w:szCs w:val="16"/>
          <w:color w:val="auto"/>
        </w:rPr>
        <w:t>SLB and in the case of the GasLog Partners $193.7M facility, 130.0%. In addition, under the facilities, the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vessel-owning entities are also required to maintain at all times minimum liquidity of $1,500 per entity ($5,500 for GAS-twenty Ltd. and the equivalent of the next hire payment or $3,800 as of December 31, 2021 for GAS-twenty five Ltd.) and are in compliance as of December 31, 2021. The Group is in compliance with the required minimum security coverage as of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w:t>
      </w:r>
    </w:p>
    <w:p>
      <w:pPr>
        <w:spacing w:after="0" w:line="220" w:lineRule="exact"/>
        <w:rPr>
          <w:sz w:val="20"/>
          <w:szCs w:val="20"/>
          <w:color w:val="auto"/>
        </w:rPr>
      </w:pPr>
    </w:p>
    <w:p>
      <w:pPr>
        <w:ind w:right="40" w:firstLine="320"/>
        <w:spacing w:after="0" w:line="296" w:lineRule="auto"/>
        <w:rPr>
          <w:sz w:val="20"/>
          <w:szCs w:val="20"/>
          <w:color w:val="auto"/>
        </w:rPr>
      </w:pPr>
      <w:r>
        <w:rPr>
          <w:rFonts w:ascii="Arial" w:cs="Arial" w:eastAsia="Arial" w:hAnsi="Arial"/>
          <w:sz w:val="16"/>
          <w:szCs w:val="16"/>
          <w:color w:val="auto"/>
        </w:rPr>
        <w:t>On June 27, 2016, GasLog also completed the issuance of Norwegian Kroner (“NOK”) 750,000 (equivalent to $90,150) of new senior unsecured bonds (the “NOK 2021 Bonds”) in the Norwegian bond market. The NOK 2021 Bonds were due to mature in May 2021 and have a coupon of 6.9% over three-month Norwegian Interbank Offered Rate (“NIBOR”). On November 27, 2019, GasLog repurchased and cancelled NOK 316,000 of the outstanding NOK 2021 Bonds at a price of 104.75% of par value, resulting in a loss of $1,644.</w:t>
      </w:r>
    </w:p>
    <w:p>
      <w:pPr>
        <w:spacing w:after="0" w:line="160" w:lineRule="exact"/>
        <w:rPr>
          <w:sz w:val="20"/>
          <w:szCs w:val="20"/>
          <w:color w:val="auto"/>
        </w:rPr>
      </w:pPr>
    </w:p>
    <w:p>
      <w:pPr>
        <w:ind w:right="20" w:firstLine="320"/>
        <w:spacing w:after="0" w:line="255" w:lineRule="auto"/>
        <w:rPr>
          <w:sz w:val="20"/>
          <w:szCs w:val="20"/>
          <w:color w:val="auto"/>
        </w:rPr>
      </w:pPr>
      <w:r>
        <w:rPr>
          <w:rFonts w:ascii="Arial" w:cs="Arial" w:eastAsia="Arial" w:hAnsi="Arial"/>
          <w:sz w:val="18"/>
          <w:szCs w:val="18"/>
          <w:color w:val="auto"/>
        </w:rPr>
        <w:t>On January 31, 2020, GasLog repurchased and cancelled NOK 434,000 of the outstanding NOK 2021 Bonds at a price of 104.0% of par value, resulting in a loss of $1,937. The aforementioned repurchase was considered an extinguishment of the existing NOK 2021 Bonds, and as a result, the unamortized bond fees of $316 were written off to the consolidated statement of profit or loss for the year ended December 31, 2020.</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March 22, 2017, GasLog closed a public offering of $250,000 aggregate principal amount of the 8.875% Senior Notes at a public</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of 100% of the principal amount. On May 16, 2019, GasLog closed a follow-on issue of $75,000 aggregate principal amount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of the 8.875% Senior Notes priced at 102.5% of par with a yield to maturity of 7.89%. The gross proceeds from this offering were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$76,875, including a $1,875 premium. In addition, GasLog paid $10,000 for the partial exchange of the outstanding 8.875% Senior Notes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at a price of 104.75% of par value, resulting in a loss of $475 for the year ended December 31, 2019. The exchange was completed 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January 13, 2020. The carrying amount under the 8.875% Senior Notes, net of unamortized financing costs and premium as of December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31, 2021, was $314,738 (December 31, 2020: $313,773).</w:t>
      </w:r>
    </w:p>
    <w:p>
      <w:pPr>
        <w:spacing w:after="0" w:line="207" w:lineRule="exact"/>
        <w:rPr>
          <w:sz w:val="20"/>
          <w:szCs w:val="20"/>
          <w:color w:val="auto"/>
        </w:rPr>
      </w:pPr>
    </w:p>
    <w:p>
      <w:pPr>
        <w:ind w:firstLine="320"/>
        <w:spacing w:after="0" w:line="271" w:lineRule="auto"/>
        <w:rPr>
          <w:sz w:val="20"/>
          <w:szCs w:val="20"/>
          <w:color w:val="auto"/>
        </w:rPr>
      </w:pPr>
      <w:r>
        <w:rPr>
          <w:rFonts w:ascii="Arial" w:cs="Arial" w:eastAsia="Arial" w:hAnsi="Arial"/>
          <w:sz w:val="17"/>
          <w:szCs w:val="17"/>
          <w:color w:val="auto"/>
        </w:rPr>
        <w:t>Interest payment on the 8.875% Senior Notes is made in arrears on a quarterly basis. GasLog may redeem the 8.875% Senior Notes, in whole or in part, at any time and from time to time at a redemption price equal to the greater of (a) 100% of the principal amount of such notes and (b) the sum of the present values of the remaining scheduled payments of principal and interest thereon (exclusive of interest accrued to but excluding the date of redemption), computed using a discount rate equal to the applicable treasury rate plus 50 basis points, plus accrued and unpaid interest thereon to the date of redemption.</w:t>
      </w:r>
    </w:p>
    <w:p>
      <w:pPr>
        <w:spacing w:after="0" w:line="177" w:lineRule="exact"/>
        <w:rPr>
          <w:sz w:val="20"/>
          <w:szCs w:val="20"/>
          <w:color w:val="auto"/>
        </w:rPr>
      </w:pPr>
    </w:p>
    <w:p>
      <w:pPr>
        <w:ind w:right="40" w:firstLine="320"/>
        <w:spacing w:after="0" w:line="333" w:lineRule="auto"/>
        <w:rPr>
          <w:sz w:val="20"/>
          <w:szCs w:val="20"/>
          <w:color w:val="auto"/>
        </w:rPr>
      </w:pPr>
      <w:r>
        <w:rPr>
          <w:rFonts w:ascii="Arial" w:cs="Arial" w:eastAsia="Arial" w:hAnsi="Arial"/>
          <w:sz w:val="16"/>
          <w:szCs w:val="16"/>
          <w:color w:val="auto"/>
        </w:rPr>
        <w:t>On November 27, 2019, GasLog completed the issuance of NOK 900,000 (equivalent to $98,550) of new senior unsecured bonds (the “NOK 2024 Bonds”) in the Norwegian bond market. The NOK 2024 Bonds mature in November 2024 and bear interest at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NIBOR plus margin. Interest payments are made in arrears on a quarterly basis. GasLog may redeem the aforementioned bond in whole or in part as from May 2024 at 101% of par plus accrued interests on the redeemed amount.</w:t>
      </w:r>
    </w:p>
    <w:p>
      <w:pPr>
        <w:spacing w:after="0" w:line="175"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The carrying amount under the NOK 2024 Bonds, net of unamortized financing costs and unamortized premium, as of December 31, 2021 was $101,129 (carrying amount under the NOK 2024 Bonds as of December 31, 2020: $104,017) while their fair value was $105,990 based on a USD/NOK exchange rate of 0.1135 as of December 31, 2021 (December 31, 2020: $96,581, based on a USD/NOK exchange rate of 0.1170).</w:t>
      </w:r>
    </w:p>
    <w:p>
      <w:pPr>
        <w:spacing w:after="0" w:line="188" w:lineRule="exact"/>
        <w:rPr>
          <w:sz w:val="20"/>
          <w:szCs w:val="20"/>
          <w:color w:val="auto"/>
        </w:rPr>
      </w:pPr>
    </w:p>
    <w:p>
      <w:pPr>
        <w:ind w:right="40" w:firstLine="320"/>
        <w:spacing w:after="0" w:line="268" w:lineRule="auto"/>
        <w:rPr>
          <w:sz w:val="20"/>
          <w:szCs w:val="20"/>
          <w:color w:val="auto"/>
        </w:rPr>
      </w:pPr>
      <w:r>
        <w:rPr>
          <w:rFonts w:ascii="Arial" w:cs="Arial" w:eastAsia="Arial" w:hAnsi="Arial"/>
          <w:sz w:val="17"/>
          <w:szCs w:val="17"/>
          <w:color w:val="auto"/>
        </w:rPr>
        <w:t>On September 24, 2021, GasLog entered into a Note Purchase Agreement (the “Note Purchase Agreement”) with certain affiliates of The Carlyle Group and EIG (such affiliates, the “Purchasers”) and Wilmington Trust (London) Limited, as administrative agent, for an amount of up to $325,000 of 7.75% Notes due in 2029 (the “2029 Notes”). The Company anticipates drawing down the 2029 Notes by March 2022. The proceeds of the 2029 Notes will be used to refinance the Company’s 8.875% Senior Notes. Any remaining proceeds may be used to pay transaction costs and expenses incurred in connection with the refinancing and/or general corporate purposes. The Note Purchase Agreement allows for the issuance of additional notes in an amount up to $100,000 for the purpose of refinancing existing obligations or pursuing new growth opportunities.</w:t>
      </w:r>
    </w:p>
    <w:p>
      <w:pPr>
        <w:spacing w:after="0" w:line="180" w:lineRule="exact"/>
        <w:rPr>
          <w:sz w:val="20"/>
          <w:szCs w:val="20"/>
          <w:color w:val="auto"/>
        </w:rPr>
      </w:pPr>
    </w:p>
    <w:p>
      <w:pPr>
        <w:jc w:val="both"/>
        <w:ind w:right="80" w:firstLine="320"/>
        <w:spacing w:after="0" w:line="281" w:lineRule="auto"/>
        <w:rPr>
          <w:sz w:val="20"/>
          <w:szCs w:val="20"/>
          <w:color w:val="auto"/>
        </w:rPr>
      </w:pPr>
      <w:r>
        <w:rPr>
          <w:rFonts w:ascii="Arial" w:cs="Arial" w:eastAsia="Arial" w:hAnsi="Arial"/>
          <w:sz w:val="17"/>
          <w:szCs w:val="17"/>
          <w:color w:val="auto"/>
        </w:rPr>
        <w:t>The 2029 Notes will be issued at 99.25% of face value and bear a fixed interest rate of 7.75%. The Purchasers received an upfront fee of 0.75% on signing and shall receive a ticking fee of 1.5% from signing until drawing. Under certain conditions, the Company may elect to pay interest in kind up to three times, with the interest rate increasing to 9.75% for the applicable quarter.</w:t>
      </w:r>
    </w:p>
    <w:p>
      <w:pPr>
        <w:spacing w:after="0" w:line="167" w:lineRule="exact"/>
        <w:rPr>
          <w:sz w:val="20"/>
          <w:szCs w:val="20"/>
          <w:color w:val="auto"/>
        </w:rPr>
      </w:pPr>
    </w:p>
    <w:p>
      <w:pPr>
        <w:ind w:right="240" w:firstLine="320"/>
        <w:spacing w:after="0" w:line="252" w:lineRule="auto"/>
        <w:rPr>
          <w:sz w:val="20"/>
          <w:szCs w:val="20"/>
          <w:color w:val="auto"/>
        </w:rPr>
      </w:pPr>
      <w:r>
        <w:rPr>
          <w:rFonts w:ascii="Arial" w:cs="Arial" w:eastAsia="Arial" w:hAnsi="Arial"/>
          <w:sz w:val="18"/>
          <w:szCs w:val="18"/>
          <w:color w:val="auto"/>
        </w:rPr>
        <w:t>The 2029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2029 Notes. The Note Purchase Agreement requires that the Company comply with financial covenants that are identical to GasLog’s financial covenants as described below. Upon funding, the Purchasers will obtain a charge on the shares of GasLog Carriers Limited (“GLC”) held by the Company and a pledge on a designated bank account of GLC.</w:t>
      </w:r>
    </w:p>
    <w:p>
      <w:pPr>
        <w:spacing w:after="0" w:line="190" w:lineRule="exact"/>
        <w:rPr>
          <w:sz w:val="20"/>
          <w:szCs w:val="20"/>
          <w:color w:val="auto"/>
        </w:rPr>
      </w:pPr>
    </w:p>
    <w:p>
      <w:pPr>
        <w:ind w:right="60" w:firstLine="320"/>
        <w:spacing w:after="0" w:line="268" w:lineRule="auto"/>
        <w:rPr>
          <w:sz w:val="20"/>
          <w:szCs w:val="20"/>
          <w:color w:val="auto"/>
        </w:rPr>
      </w:pPr>
      <w:r>
        <w:rPr>
          <w:rFonts w:ascii="Arial" w:cs="Arial" w:eastAsia="Arial" w:hAnsi="Arial"/>
          <w:sz w:val="17"/>
          <w:szCs w:val="17"/>
          <w:color w:val="auto"/>
        </w:rPr>
        <w:t>In addition, the Note Purchase Agreement includes restrictions on distributions consistent with the Company’s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$150,000.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0" w:lineRule="exact"/>
        <w:rPr>
          <w:sz w:val="20"/>
          <w:szCs w:val="20"/>
          <w:color w:val="auto"/>
        </w:rPr>
      </w:pPr>
    </w:p>
    <w:p>
      <w:pPr>
        <w:ind w:right="60" w:firstLine="320"/>
        <w:spacing w:after="0" w:line="258" w:lineRule="auto"/>
        <w:rPr>
          <w:sz w:val="20"/>
          <w:szCs w:val="20"/>
          <w:color w:val="auto"/>
        </w:rPr>
      </w:pPr>
      <w:r>
        <w:rPr>
          <w:rFonts w:ascii="Arial" w:cs="Arial" w:eastAsia="Arial" w:hAnsi="Arial"/>
          <w:sz w:val="18"/>
          <w:szCs w:val="18"/>
          <w:color w:val="auto"/>
        </w:rPr>
        <w:t>As of December 31, 2021, commitment, arrangement, upfront and legal and other fees of $5,564 for obtaining the undrawn amount of the financing are classified under Deferred financing costs in the statement of financial position and will be netted off debt on the respective drawdown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guarantor financial covenants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GasLog Partners’ financial covenants</w:t>
      </w:r>
    </w:p>
    <w:p>
      <w:pPr>
        <w:spacing w:after="0" w:line="220"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GasLog Partners as corporate guarantor for the 2019 GasLog Partners Facility, the GasLog Partners $260.3M Facility, the GasLog Partners $193.7M Facility and for the debt of the vessels owned by GasLog Partners under the October 2015 Facility is subject to specified financial covenants on a consolidated basis. These financial covenants include the following:</w:t>
      </w:r>
    </w:p>
    <w:p>
      <w:pPr>
        <w:spacing w:after="0" w:line="186" w:lineRule="exact"/>
        <w:rPr>
          <w:sz w:val="20"/>
          <w:szCs w:val="20"/>
          <w:color w:val="auto"/>
        </w:rPr>
      </w:pPr>
    </w:p>
    <w:p>
      <w:pPr>
        <w:ind w:left="680" w:right="460" w:hanging="326"/>
        <w:spacing w:after="0" w:line="270" w:lineRule="auto"/>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174" w:lineRule="exact"/>
        <w:rPr>
          <w:rFonts w:ascii="Arial" w:cs="Arial" w:eastAsia="Arial" w:hAnsi="Arial"/>
          <w:sz w:val="18"/>
          <w:szCs w:val="18"/>
          <w:color w:val="auto"/>
        </w:rPr>
      </w:pPr>
    </w:p>
    <w:p>
      <w:pPr>
        <w:ind w:left="680" w:hanging="326"/>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w:t>
      </w:r>
    </w:p>
    <w:p>
      <w:pPr>
        <w:spacing w:after="0" w:line="219" w:lineRule="exact"/>
        <w:rPr>
          <w:rFonts w:ascii="Arial" w:cs="Arial" w:eastAsia="Arial" w:hAnsi="Arial"/>
          <w:sz w:val="18"/>
          <w:szCs w:val="18"/>
          <w:color w:val="auto"/>
        </w:rPr>
      </w:pPr>
    </w:p>
    <w:p>
      <w:pPr>
        <w:ind w:left="680" w:right="200" w:hanging="326"/>
        <w:spacing w:after="0" w:line="270" w:lineRule="auto"/>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distributions, subject to no event of default having occurred or occurring as a consequence of the payment of such distributions.</w:t>
      </w:r>
    </w:p>
    <w:p>
      <w:pPr>
        <w:spacing w:after="0" w:line="175" w:lineRule="exact"/>
        <w:rPr>
          <w:sz w:val="20"/>
          <w:szCs w:val="20"/>
          <w:color w:val="auto"/>
        </w:rPr>
      </w:pPr>
    </w:p>
    <w:p>
      <w:pPr>
        <w:ind w:right="280" w:firstLine="320"/>
        <w:spacing w:after="0" w:line="306" w:lineRule="auto"/>
        <w:rPr>
          <w:sz w:val="20"/>
          <w:szCs w:val="20"/>
          <w:color w:val="auto"/>
        </w:rPr>
      </w:pPr>
      <w:r>
        <w:rPr>
          <w:rFonts w:ascii="Arial" w:cs="Arial" w:eastAsia="Arial" w:hAnsi="Arial"/>
          <w:sz w:val="16"/>
          <w:szCs w:val="16"/>
          <w:color w:val="auto"/>
        </w:rPr>
        <w:t>The 2019 GasLog Partners Facility, the GasLog Partners $260.3M Facility, the GasLog Partners $193.7M Facility and the October 2015 Facility also impose certain restrictions relating to GasLog Partners, including restrictions that limit its ability to make any substantial change in the nature of its business or to change the corporate structure without approval from the lenders.</w:t>
      </w:r>
    </w:p>
    <w:p>
      <w:pPr>
        <w:spacing w:after="0" w:line="150" w:lineRule="exact"/>
        <w:rPr>
          <w:sz w:val="20"/>
          <w:szCs w:val="20"/>
          <w:color w:val="auto"/>
        </w:rPr>
      </w:pPr>
    </w:p>
    <w:p>
      <w:pPr>
        <w:ind w:right="180" w:firstLine="320"/>
        <w:spacing w:after="0" w:line="270"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2021.</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GasLog’s financial covenants</w:t>
      </w:r>
    </w:p>
    <w:p>
      <w:pPr>
        <w:spacing w:after="0" w:line="220" w:lineRule="exact"/>
        <w:rPr>
          <w:sz w:val="20"/>
          <w:szCs w:val="20"/>
          <w:color w:val="auto"/>
        </w:rPr>
      </w:pPr>
    </w:p>
    <w:p>
      <w:pPr>
        <w:jc w:val="both"/>
        <w:ind w:right="240" w:firstLine="320"/>
        <w:spacing w:after="0" w:line="255" w:lineRule="auto"/>
        <w:rPr>
          <w:sz w:val="20"/>
          <w:szCs w:val="20"/>
          <w:color w:val="auto"/>
        </w:rPr>
      </w:pPr>
      <w:r>
        <w:rPr>
          <w:rFonts w:ascii="Arial" w:cs="Arial" w:eastAsia="Arial" w:hAnsi="Arial"/>
          <w:sz w:val="18"/>
          <w:szCs w:val="18"/>
          <w:color w:val="auto"/>
        </w:rPr>
        <w:t>GasLog, as corporate guarantor for the loan facilities (except for the 2019 GasLog Partners Facility, the GasLog Partners $260.3M Facility, the GasLog Partners $193.7M Facility and the debt of the vessels owned by GasLog Partners under the October 2015 Facility) and NOK 2024 Bonds and as a charter guarantor for the GasLog Hong Kong SLB and the GasLog Houston SLB, is subject to specified financial covenants on a consolidated basis.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financial covenants include the following:</w:t>
      </w:r>
    </w:p>
    <w:p>
      <w:pPr>
        <w:spacing w:after="0" w:line="220" w:lineRule="exact"/>
        <w:rPr>
          <w:sz w:val="20"/>
          <w:szCs w:val="20"/>
          <w:color w:val="auto"/>
        </w:rPr>
      </w:pPr>
    </w:p>
    <w:p>
      <w:pPr>
        <w:ind w:left="1000" w:hanging="646"/>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19" w:lineRule="exact"/>
        <w:rPr>
          <w:rFonts w:ascii="Arial" w:cs="Arial" w:eastAsia="Arial" w:hAnsi="Arial"/>
          <w:sz w:val="18"/>
          <w:szCs w:val="18"/>
          <w:color w:val="auto"/>
        </w:rPr>
      </w:pPr>
    </w:p>
    <w:p>
      <w:pPr>
        <w:ind w:left="1000" w:hanging="646"/>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19" w:lineRule="exact"/>
        <w:rPr>
          <w:rFonts w:ascii="Arial" w:cs="Arial" w:eastAsia="Arial" w:hAnsi="Arial"/>
          <w:sz w:val="18"/>
          <w:szCs w:val="18"/>
          <w:color w:val="auto"/>
        </w:rPr>
      </w:pPr>
    </w:p>
    <w:p>
      <w:pPr>
        <w:ind w:left="1000" w:hanging="646"/>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at least $75,000;</w:t>
      </w:r>
    </w:p>
    <w:p>
      <w:pPr>
        <w:spacing w:after="0" w:line="219" w:lineRule="exact"/>
        <w:rPr>
          <w:rFonts w:ascii="Arial" w:cs="Arial" w:eastAsia="Arial" w:hAnsi="Arial"/>
          <w:sz w:val="18"/>
          <w:szCs w:val="18"/>
          <w:color w:val="auto"/>
        </w:rPr>
      </w:pPr>
    </w:p>
    <w:p>
      <w:pPr>
        <w:ind w:left="1000" w:right="80" w:hanging="646"/>
        <w:spacing w:after="0" w:line="258"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twelve-month basis must be not less than 1.10:1 provided that such covenant is not applicable as long as all unencumbered cash and cash equivalent are not less than $110,000;</w:t>
      </w:r>
    </w:p>
    <w:p>
      <w:pPr>
        <w:spacing w:after="0" w:line="186" w:lineRule="exact"/>
        <w:rPr>
          <w:rFonts w:ascii="Arial" w:cs="Arial" w:eastAsia="Arial" w:hAnsi="Arial"/>
          <w:sz w:val="18"/>
          <w:szCs w:val="18"/>
          <w:color w:val="auto"/>
        </w:rPr>
      </w:pPr>
    </w:p>
    <w:p>
      <w:pPr>
        <w:ind w:left="1000" w:hanging="646"/>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$350,000; and</w:t>
      </w:r>
    </w:p>
    <w:p>
      <w:pPr>
        <w:spacing w:after="0" w:line="219" w:lineRule="exact"/>
        <w:rPr>
          <w:rFonts w:ascii="Arial" w:cs="Arial" w:eastAsia="Arial" w:hAnsi="Arial"/>
          <w:sz w:val="18"/>
          <w:szCs w:val="18"/>
          <w:color w:val="auto"/>
        </w:rPr>
      </w:pPr>
    </w:p>
    <w:p>
      <w:pPr>
        <w:ind w:left="1000" w:right="240" w:hanging="646"/>
        <w:spacing w:after="0" w:line="270"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GasLog is permitted to pay dividends, subject to no event of default having occurred or occurring as a consequence of the payment of such dividends.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40" w:firstLine="320"/>
        <w:spacing w:after="0" w:line="255" w:lineRule="auto"/>
        <w:rPr>
          <w:sz w:val="20"/>
          <w:szCs w:val="20"/>
          <w:color w:val="auto"/>
        </w:rPr>
      </w:pPr>
      <w:r>
        <w:rPr>
          <w:rFonts w:ascii="Arial" w:cs="Arial" w:eastAsia="Arial" w:hAnsi="Arial"/>
          <w:sz w:val="18"/>
          <w:szCs w:val="18"/>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88" w:lineRule="exact"/>
        <w:rPr>
          <w:sz w:val="20"/>
          <w:szCs w:val="20"/>
          <w:color w:val="auto"/>
        </w:rPr>
      </w:pPr>
    </w:p>
    <w:p>
      <w:pPr>
        <w:ind w:firstLine="320"/>
        <w:spacing w:after="0" w:line="250" w:lineRule="auto"/>
        <w:rPr>
          <w:sz w:val="20"/>
          <w:szCs w:val="20"/>
          <w:color w:val="auto"/>
        </w:rPr>
      </w:pPr>
      <w:r>
        <w:rPr>
          <w:rFonts w:ascii="Arial" w:cs="Arial" w:eastAsia="Arial" w:hAnsi="Arial"/>
          <w:sz w:val="18"/>
          <w:szCs w:val="18"/>
          <w:color w:val="auto"/>
        </w:rPr>
        <w:t>In addition, the terms of the NOK 2024 Bonds include a dividend restriction according to which GasLog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$150,000, provided that GasLog can demonstrate, by delivering a compliance certificate to the bond trustee, that no event of default is continuing or would result from such Distributions.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GasLog, as corporate guarantor for the 8.875% Senior Notes, is subject to specified financial covenants on a consolidated basis.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covenants include the following:</w:t>
      </w:r>
    </w:p>
    <w:p>
      <w:pPr>
        <w:spacing w:after="0" w:line="220" w:lineRule="exact"/>
        <w:rPr>
          <w:sz w:val="20"/>
          <w:szCs w:val="20"/>
          <w:color w:val="auto"/>
        </w:rPr>
      </w:pPr>
    </w:p>
    <w:p>
      <w:pPr>
        <w:ind w:left="1000" w:hanging="646"/>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19" w:lineRule="exact"/>
        <w:rPr>
          <w:rFonts w:ascii="Arial" w:cs="Arial" w:eastAsia="Arial" w:hAnsi="Arial"/>
          <w:sz w:val="18"/>
          <w:szCs w:val="18"/>
          <w:color w:val="auto"/>
        </w:rPr>
      </w:pPr>
    </w:p>
    <w:p>
      <w:pPr>
        <w:ind w:left="1000" w:hanging="646"/>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total indebtedness plus total equity divided by total assets must not exceed 75.0%;</w:t>
      </w:r>
    </w:p>
    <w:p>
      <w:pPr>
        <w:spacing w:after="0" w:line="219" w:lineRule="exact"/>
        <w:rPr>
          <w:rFonts w:ascii="Arial" w:cs="Arial" w:eastAsia="Arial" w:hAnsi="Arial"/>
          <w:sz w:val="18"/>
          <w:szCs w:val="18"/>
          <w:color w:val="auto"/>
        </w:rPr>
      </w:pPr>
    </w:p>
    <w:p>
      <w:pPr>
        <w:ind w:left="1000" w:right="240" w:hanging="646"/>
        <w:spacing w:after="0" w:line="333"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as defined in the respective credit facilities and the GasLog guarantees (including interest and debt repayments) on a trailing twelve months’ basis must be not less than 100.0%;</w:t>
      </w:r>
    </w:p>
    <w:p>
      <w:pPr>
        <w:spacing w:after="0" w:line="129" w:lineRule="exact"/>
        <w:rPr>
          <w:rFonts w:ascii="Arial" w:cs="Arial" w:eastAsia="Arial" w:hAnsi="Arial"/>
          <w:sz w:val="16"/>
          <w:szCs w:val="16"/>
          <w:color w:val="auto"/>
        </w:rPr>
      </w:pPr>
    </w:p>
    <w:p>
      <w:pPr>
        <w:ind w:left="1000" w:right="500" w:hanging="646"/>
        <w:spacing w:after="0" w:line="270"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 of total indebtedness or $35,000 after the first drawdown; and</w:t>
      </w:r>
    </w:p>
    <w:p>
      <w:pPr>
        <w:spacing w:after="0" w:line="174" w:lineRule="exact"/>
        <w:rPr>
          <w:rFonts w:ascii="Arial" w:cs="Arial" w:eastAsia="Arial" w:hAnsi="Arial"/>
          <w:sz w:val="18"/>
          <w:szCs w:val="18"/>
          <w:color w:val="auto"/>
        </w:rPr>
      </w:pPr>
    </w:p>
    <w:p>
      <w:pPr>
        <w:ind w:left="1000" w:hanging="646"/>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$300,000.</w:t>
      </w:r>
    </w:p>
    <w:p>
      <w:pPr>
        <w:spacing w:after="0" w:line="220" w:lineRule="exact"/>
        <w:rPr>
          <w:sz w:val="20"/>
          <w:szCs w:val="20"/>
          <w:color w:val="auto"/>
        </w:rPr>
      </w:pPr>
    </w:p>
    <w:p>
      <w:pPr>
        <w:ind w:right="220" w:firstLine="320"/>
        <w:spacing w:after="0" w:line="255" w:lineRule="auto"/>
        <w:rPr>
          <w:sz w:val="20"/>
          <w:szCs w:val="20"/>
          <w:color w:val="auto"/>
        </w:rPr>
      </w:pPr>
      <w:r>
        <w:rPr>
          <w:rFonts w:ascii="Arial" w:cs="Arial" w:eastAsia="Arial" w:hAnsi="Arial"/>
          <w:sz w:val="18"/>
          <w:szCs w:val="18"/>
          <w:color w:val="auto"/>
        </w:rPr>
        <w:t>In connection with the de-listing of Gaslog’s common shares from the New York Stock Exchange completed in June 2021, supplemental agreements have been signed with certain lenders with respect to clauses relating to GasLog. Costs relating to the aforementioned amendment of the agreements amounted to $15,718 for the year ended December 31, 2021, respectively and have been included in Financial costs (Note 19).</w:t>
      </w:r>
    </w:p>
    <w:p>
      <w:pPr>
        <w:spacing w:after="0" w:line="188"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Compliance with the loan financial covenants is required on a semi-annual basis while compliance with the NOK 2024 Bonds and the 8.875% Senior Notes covenants is required at all times. The Group was in compliance with all financial covenants as of December 31, 2021.</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60"/>
          </w:cols>
          <w:pgMar w:left="980" w:top="659" w:right="10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 Schedule</w:t>
      </w:r>
    </w:p>
    <w:p>
      <w:pPr>
        <w:spacing w:after="0" w:line="220"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The maturity table below reflects the principal repayments of the loans, the sale-and-leaseback transactions, the NOK 2024 Bonds and the 8.875% Senior Notes outstanding as of December 31, 2021 based on the repayment schedule of the respective borrowings (as described above):</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0"/>
              </w:rPr>
              <w:t>As of December 31,</w:t>
            </w:r>
          </w:p>
        </w:tc>
      </w:tr>
      <w:tr>
        <w:trPr>
          <w:trHeight w:val="169"/>
        </w:trPr>
        <w:tc>
          <w:tcPr>
            <w:tcW w:w="66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565,503</w:t>
            </w:r>
          </w:p>
        </w:tc>
      </w:tr>
      <w:tr>
        <w:trPr>
          <w:trHeight w:val="213"/>
        </w:trPr>
        <w:tc>
          <w:tcPr>
            <w:tcW w:w="668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806,988</w:t>
            </w:r>
          </w:p>
        </w:tc>
      </w:tr>
      <w:tr>
        <w:trPr>
          <w:trHeight w:val="21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1,217,080</w:t>
            </w:r>
          </w:p>
        </w:tc>
      </w:tr>
      <w:tr>
        <w:trPr>
          <w:trHeight w:val="213"/>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Later than five 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1,128,358</w:t>
            </w:r>
          </w:p>
        </w:tc>
      </w:tr>
      <w:tr>
        <w:trPr>
          <w:trHeight w:val="207"/>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3,717,929</w:t>
            </w:r>
          </w:p>
        </w:tc>
      </w:tr>
      <w:tr>
        <w:trPr>
          <w:trHeight w:val="20"/>
        </w:trPr>
        <w:tc>
          <w:tcPr>
            <w:tcW w:w="6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40" w:firstLine="320"/>
        <w:spacing w:after="0" w:line="258" w:lineRule="auto"/>
        <w:rPr>
          <w:sz w:val="20"/>
          <w:szCs w:val="20"/>
          <w:color w:val="auto"/>
        </w:rPr>
      </w:pPr>
      <w:r>
        <w:rPr>
          <w:rFonts w:ascii="Arial" w:cs="Arial" w:eastAsia="Arial" w:hAnsi="Arial"/>
          <w:sz w:val="18"/>
          <w:szCs w:val="18"/>
          <w:color w:val="auto"/>
        </w:rPr>
        <w:t>The weighted average interest rate for the outstanding loan facilities and bonds for the year ended December 31, 2021 was 3.02% (December 31, 2020: 3.72%) excluding the fixed interest rate for the interest rate swaps where hedge accounting is not applicable (Note 26).</w:t>
      </w:r>
    </w:p>
    <w:p>
      <w:pPr>
        <w:spacing w:after="0" w:line="186" w:lineRule="exact"/>
        <w:rPr>
          <w:sz w:val="20"/>
          <w:szCs w:val="20"/>
          <w:color w:val="auto"/>
        </w:rPr>
      </w:pPr>
    </w:p>
    <w:p>
      <w:pPr>
        <w:ind w:right="680" w:firstLine="320"/>
        <w:spacing w:after="0" w:line="333" w:lineRule="auto"/>
        <w:rPr>
          <w:sz w:val="20"/>
          <w:szCs w:val="20"/>
          <w:color w:val="auto"/>
        </w:rPr>
      </w:pPr>
      <w:r>
        <w:rPr>
          <w:rFonts w:ascii="Arial" w:cs="Arial" w:eastAsia="Arial" w:hAnsi="Arial"/>
          <w:sz w:val="16"/>
          <w:szCs w:val="16"/>
          <w:color w:val="auto"/>
        </w:rPr>
        <w:t>After excluding the unamortized deferred loan issuance costs the carrying amount of the Group’s bank debt recognized in the consolidated financial statements approximates its fair value since the debt bears interest at a variable interest 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Payables and Accruals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38"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As of December 31,</w:t>
            </w:r>
          </w:p>
        </w:tc>
      </w:tr>
      <w:tr>
        <w:trPr>
          <w:trHeight w:val="140"/>
        </w:trPr>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69,768</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Accrued off-hire</w:t>
            </w:r>
          </w:p>
        </w:tc>
        <w:tc>
          <w:tcPr>
            <w:tcW w:w="760" w:type="dxa"/>
            <w:vAlign w:val="bottom"/>
          </w:tcPr>
          <w:p>
            <w:pPr>
              <w:jc w:val="right"/>
              <w:spacing w:after="0"/>
              <w:rPr>
                <w:sz w:val="20"/>
                <w:szCs w:val="20"/>
                <w:color w:val="auto"/>
              </w:rPr>
            </w:pPr>
            <w:r>
              <w:rPr>
                <w:rFonts w:ascii="Arial" w:cs="Arial" w:eastAsia="Arial" w:hAnsi="Arial"/>
                <w:sz w:val="18"/>
                <w:szCs w:val="18"/>
                <w:color w:val="auto"/>
              </w:rPr>
              <w:t>5,886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Accrued interest</w:t>
            </w:r>
          </w:p>
        </w:tc>
        <w:tc>
          <w:tcPr>
            <w:tcW w:w="760" w:type="dxa"/>
            <w:vAlign w:val="bottom"/>
          </w:tcPr>
          <w:p>
            <w:pPr>
              <w:jc w:val="right"/>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26,186</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34,092</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44,917</w:t>
            </w:r>
          </w:p>
        </w:tc>
      </w:tr>
      <w:tr>
        <w:trPr>
          <w:trHeight w:val="207"/>
        </w:trPr>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143,057</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153,501</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20" w:firstLine="320"/>
        <w:spacing w:after="0" w:line="270" w:lineRule="auto"/>
        <w:rPr>
          <w:sz w:val="20"/>
          <w:szCs w:val="20"/>
          <w:color w:val="auto"/>
        </w:rPr>
      </w:pPr>
      <w:r>
        <w:rPr>
          <w:rFonts w:ascii="Arial" w:cs="Arial" w:eastAsia="Arial" w:hAnsi="Arial"/>
          <w:sz w:val="18"/>
          <w:szCs w:val="18"/>
          <w:color w:val="auto"/>
        </w:rPr>
        <w:t>The unearned revenue represents charter hires received in advance in December 2021 relating to the hire period of January 2022 for 32 vessels (December 2020: 29 vessels).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Vessel Operating and Supervision Costs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vessel operating and supervision costs is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36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year ended December 31,</w:t>
            </w:r>
          </w:p>
        </w:tc>
      </w:tr>
      <w:tr>
        <w:trPr>
          <w:trHeight w:val="140"/>
        </w:trPr>
        <w:tc>
          <w:tcPr>
            <w:tcW w:w="98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0" w:lineRule="exact"/>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2"/>
                <w:szCs w:val="12"/>
                <w:color w:val="auto"/>
              </w:rPr>
            </w:pPr>
          </w:p>
        </w:tc>
      </w:tr>
      <w:tr>
        <w:trPr>
          <w:trHeight w:val="207"/>
        </w:trPr>
        <w:tc>
          <w:tcPr>
            <w:tcW w:w="98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3"/>
              </w:rPr>
              <w:t>Crew and vessel management employee costs</w:t>
            </w:r>
          </w:p>
        </w:tc>
        <w:tc>
          <w:tcPr>
            <w:tcW w:w="20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80,713</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89,463</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103,936</w:t>
            </w:r>
          </w:p>
        </w:tc>
        <w:tc>
          <w:tcPr>
            <w:tcW w:w="1000" w:type="dxa"/>
            <w:vAlign w:val="bottom"/>
          </w:tcPr>
          <w:p>
            <w:pPr>
              <w:spacing w:after="0"/>
              <w:rPr>
                <w:sz w:val="17"/>
                <w:szCs w:val="17"/>
                <w:color w:val="auto"/>
              </w:rPr>
            </w:pPr>
          </w:p>
        </w:tc>
      </w:tr>
      <w:tr>
        <w:trPr>
          <w:trHeight w:val="213"/>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37,653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37,996</w:t>
            </w:r>
          </w:p>
        </w:tc>
        <w:tc>
          <w:tcPr>
            <w:tcW w:w="1000" w:type="dxa"/>
            <w:vAlign w:val="bottom"/>
          </w:tcPr>
          <w:p>
            <w:pPr>
              <w:spacing w:after="0"/>
              <w:rPr>
                <w:sz w:val="18"/>
                <w:szCs w:val="18"/>
                <w:color w:val="auto"/>
              </w:rPr>
            </w:pPr>
          </w:p>
        </w:tc>
      </w:tr>
      <w:tr>
        <w:trPr>
          <w:trHeight w:val="213"/>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vessel operating expenses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000" w:type="dxa"/>
            <w:vAlign w:val="bottom"/>
          </w:tcPr>
          <w:p>
            <w:pPr>
              <w:spacing w:after="0"/>
              <w:rPr>
                <w:sz w:val="18"/>
                <w:szCs w:val="18"/>
                <w:color w:val="auto"/>
              </w:rPr>
            </w:pPr>
          </w:p>
        </w:tc>
      </w:tr>
      <w:tr>
        <w:trPr>
          <w:trHeight w:val="207"/>
        </w:trPr>
        <w:tc>
          <w:tcPr>
            <w:tcW w:w="4500" w:type="dxa"/>
            <w:vAlign w:val="bottom"/>
            <w:gridSpan w:val="2"/>
          </w:tcPr>
          <w:p>
            <w:pPr>
              <w:ind w:left="98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139,662</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148,235</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166,432</w:t>
            </w:r>
          </w:p>
        </w:tc>
        <w:tc>
          <w:tcPr>
            <w:tcW w:w="1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46"/>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80" w:type="dxa"/>
            <w:vAlign w:val="bottom"/>
            <w:gridSpan w:val="3"/>
          </w:tcPr>
          <w:p>
            <w:pPr>
              <w:ind w:left="280"/>
              <w:spacing w:after="0"/>
              <w:rPr>
                <w:sz w:val="20"/>
                <w:szCs w:val="20"/>
                <w:color w:val="auto"/>
              </w:rPr>
            </w:pPr>
            <w:r>
              <w:rPr>
                <w:rFonts w:ascii="Arial" w:cs="Arial" w:eastAsia="Arial" w:hAnsi="Arial"/>
                <w:sz w:val="18"/>
                <w:szCs w:val="18"/>
                <w:color w:val="auto"/>
              </w:rPr>
              <w:t>F-51</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5"/>
        </w:trPr>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9" w:right="9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Voyage Expenses and Commissions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voyage expenses and commissions is as follows: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560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4"/>
                <w:szCs w:val="14"/>
                <w:b w:val="1"/>
                <w:bCs w:val="1"/>
                <w:color w:val="auto"/>
                <w:w w:val="97"/>
              </w:rPr>
              <w:t>For the year ended December 31,</w:t>
            </w:r>
          </w:p>
        </w:tc>
      </w:tr>
      <w:tr>
        <w:trPr>
          <w:trHeight w:val="140"/>
        </w:trPr>
        <w:tc>
          <w:tcPr>
            <w:tcW w:w="5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8"/>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6"/>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r>
      <w:tr>
        <w:trPr>
          <w:trHeight w:val="21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Bunkers’ consumption and other voyage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11,067</w:t>
            </w:r>
          </w:p>
        </w:tc>
      </w:tr>
      <w:tr>
        <w:trPr>
          <w:trHeight w:val="20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23,772</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21,883</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19,430</w:t>
            </w:r>
          </w:p>
        </w:tc>
      </w:tr>
      <w:tr>
        <w:trPr>
          <w:trHeight w:val="20"/>
        </w:trPr>
        <w:tc>
          <w:tcPr>
            <w:tcW w:w="5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80" w:firstLine="320"/>
        <w:spacing w:after="0" w:line="270" w:lineRule="auto"/>
        <w:rPr>
          <w:sz w:val="20"/>
          <w:szCs w:val="20"/>
          <w:color w:val="auto"/>
        </w:rPr>
      </w:pPr>
      <w:r>
        <w:rPr>
          <w:rFonts w:ascii="Arial" w:cs="Arial" w:eastAsia="Arial" w:hAnsi="Arial"/>
          <w:sz w:val="18"/>
          <w:szCs w:val="18"/>
          <w:color w:val="auto"/>
        </w:rPr>
        <w:t>Bunkers’ consumption and other voyage expenses represent mainly bunkers consumed during vessels’ unemployment and off-hire (including bunkers consumed during dry-docking).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 and Administrative Expenses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560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w w:val="97"/>
              </w:rPr>
              <w:t>For the year ended December 31,</w:t>
            </w:r>
          </w:p>
        </w:tc>
      </w:tr>
      <w:tr>
        <w:trPr>
          <w:trHeight w:val="140"/>
        </w:trPr>
        <w:tc>
          <w:tcPr>
            <w:tcW w:w="5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4"/>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Share-based compensation (Note 22)</w:t>
            </w:r>
          </w:p>
        </w:tc>
        <w:tc>
          <w:tcPr>
            <w:tcW w:w="660" w:type="dxa"/>
            <w:vAlign w:val="bottom"/>
          </w:tcPr>
          <w:p>
            <w:pPr>
              <w:jc w:val="right"/>
              <w:spacing w:after="0"/>
              <w:rPr>
                <w:sz w:val="20"/>
                <w:szCs w:val="20"/>
                <w:color w:val="auto"/>
              </w:rPr>
            </w:pPr>
            <w:r>
              <w:rPr>
                <w:rFonts w:ascii="Arial" w:cs="Arial" w:eastAsia="Arial" w:hAnsi="Arial"/>
                <w:sz w:val="18"/>
                <w:szCs w:val="18"/>
                <w:color w:val="auto"/>
              </w:rPr>
              <w:t>5,107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3,032</w:t>
            </w: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long-term employee benefits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23,518</w:t>
            </w:r>
          </w:p>
        </w:tc>
      </w:tr>
      <w:tr>
        <w:trPr>
          <w:trHeight w:val="20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47,385</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47,249</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43,313</w:t>
            </w:r>
          </w:p>
        </w:tc>
      </w:tr>
      <w:tr>
        <w:trPr>
          <w:trHeight w:val="20"/>
        </w:trPr>
        <w:tc>
          <w:tcPr>
            <w:tcW w:w="5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General and administrative expenses include restructuring costs comprising of termination benefits, accelerated amortization for stock plan and restructuring obligation, of $815 for the year ended December 31, 2021 ($5,312 for the year ended December 31, 2020, $4,702 for the year ended December 31, 2019) pursuant to management’s decision to relocate more of its employees including several members of senior management to the Piraeus, Greece office.</w:t>
      </w:r>
    </w:p>
    <w:p>
      <w:pPr>
        <w:spacing w:after="0" w:line="188" w:lineRule="exact"/>
        <w:rPr>
          <w:sz w:val="20"/>
          <w:szCs w:val="20"/>
          <w:color w:val="auto"/>
        </w:rPr>
      </w:pPr>
    </w:p>
    <w:p>
      <w:pPr>
        <w:ind w:firstLine="365"/>
        <w:spacing w:after="0" w:line="252" w:lineRule="auto"/>
        <w:rPr>
          <w:sz w:val="20"/>
          <w:szCs w:val="20"/>
          <w:color w:val="auto"/>
        </w:rPr>
      </w:pPr>
      <w:r>
        <w:rPr>
          <w:rFonts w:ascii="Arial" w:cs="Arial" w:eastAsia="Arial" w:hAnsi="Arial"/>
          <w:sz w:val="18"/>
          <w:szCs w:val="18"/>
          <w:color w:val="auto"/>
        </w:rPr>
        <w:t>On April 1, 2021, the Company granted $3,355 of cash settled awards to selected employees, in consideration of their key roles in the Company’s operations and their continuing commitment to its success. This grant will be settled in cash three years after the grant date, i.e. in April 2024. It is subject to the employees’ continuing employment with the Company. These obligations are classified as Long-term liabilities and are measured as the present value of expected future payments to be made with any unwind in the discount reflected in the consolidated statement of profit or loss. The expense of the period is included in Amortization of long-term employee benefits in the table above.</w:t>
      </w:r>
    </w:p>
    <w:p>
      <w:pPr>
        <w:spacing w:after="0" w:line="190" w:lineRule="exact"/>
        <w:rPr>
          <w:sz w:val="20"/>
          <w:szCs w:val="20"/>
          <w:color w:val="auto"/>
        </w:rPr>
      </w:pPr>
    </w:p>
    <w:p>
      <w:pPr>
        <w:ind w:right="360" w:firstLine="320"/>
        <w:spacing w:after="0" w:line="300" w:lineRule="auto"/>
        <w:rPr>
          <w:sz w:val="20"/>
          <w:szCs w:val="20"/>
          <w:color w:val="auto"/>
        </w:rPr>
      </w:pPr>
      <w:r>
        <w:rPr>
          <w:rFonts w:ascii="Arial" w:cs="Arial" w:eastAsia="Arial" w:hAnsi="Arial"/>
          <w:sz w:val="17"/>
          <w:szCs w:val="17"/>
          <w:color w:val="auto"/>
        </w:rPr>
        <w:t>Other expenses include legal and professional costs relating to the Transaction of $10,698 for the year ended December 31, 2021, respectively ($937 for the year ended December 31, 2020 and nil for the year ended December 31, 2019).</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Revenues from Contracts with Customers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Group has recognized the following amounts relating to revenues: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5560" w:type="dxa"/>
            <w:vAlign w:val="bottom"/>
          </w:tcPr>
          <w:p>
            <w:pPr>
              <w:spacing w:after="0"/>
              <w:rPr>
                <w:sz w:val="14"/>
                <w:szCs w:val="14"/>
                <w:color w:val="auto"/>
              </w:rPr>
            </w:pPr>
          </w:p>
        </w:tc>
        <w:tc>
          <w:tcPr>
            <w:tcW w:w="2360" w:type="dxa"/>
            <w:vAlign w:val="bottom"/>
            <w:tcBorders>
              <w:bottom w:val="single" w:sz="8" w:color="auto"/>
            </w:tcBorders>
            <w:gridSpan w:val="5"/>
          </w:tcPr>
          <w:p>
            <w:pPr>
              <w:jc w:val="right"/>
              <w:ind w:right="94"/>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40"/>
        </w:trPr>
        <w:tc>
          <w:tcPr>
            <w:tcW w:w="5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long-term fleet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508,778</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462,887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497,200</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Revenues from spot fleet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113,822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210,390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311,314</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The Cool Pool Limited (GasLog vessels)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Revenues from vessel management services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r>
      <w:tr>
        <w:trPr>
          <w:trHeight w:val="20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668,637</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674,089</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809,577</w:t>
            </w:r>
          </w:p>
        </w:tc>
      </w:tr>
      <w:tr>
        <w:trPr>
          <w:trHeight w:val="20"/>
        </w:trPr>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Revenues from The Cool Pool Limited relate only to the pool revenues received from GasLog’s vessels operating in the Cool Pool and do not include the Net pool allocation to GasLog of ($4,264) for the year ended December 31, 2019, which is recorded as a separate line item in the consolidated statement of profit or loss.</w:t>
      </w:r>
    </w:p>
    <w:p>
      <w:pPr>
        <w:spacing w:after="0" w:line="186"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Management allocates vessel revenues to two categories: a) spot fleet and b) long-term fleet, which reflects its commercial strategy. Specifically,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Income and Costs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financial income and costs is as follows: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5560" w:type="dxa"/>
            <w:vAlign w:val="bottom"/>
          </w:tcPr>
          <w:p>
            <w:pPr>
              <w:spacing w:after="0"/>
              <w:rPr>
                <w:sz w:val="14"/>
                <w:szCs w:val="14"/>
                <w:color w:val="auto"/>
              </w:rPr>
            </w:pPr>
          </w:p>
        </w:tc>
        <w:tc>
          <w:tcPr>
            <w:tcW w:w="236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0"/>
        </w:trPr>
        <w:tc>
          <w:tcPr>
            <w:tcW w:w="5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and write-off of deferred loan/bond issuance costs/premium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20,286</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122,819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93,860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82,325</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bonds and realized loss on CCSs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34,766</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Lease charge</w:t>
            </w:r>
          </w:p>
        </w:tc>
        <w:tc>
          <w:tcPr>
            <w:tcW w:w="680" w:type="dxa"/>
            <w:vAlign w:val="bottom"/>
          </w:tcPr>
          <w:p>
            <w:pPr>
              <w:jc w:val="right"/>
              <w:spacing w:after="0"/>
              <w:rPr>
                <w:sz w:val="20"/>
                <w:szCs w:val="20"/>
                <w:color w:val="auto"/>
              </w:rPr>
            </w:pPr>
            <w:r>
              <w:rPr>
                <w:rFonts w:ascii="Arial" w:cs="Arial" w:eastAsia="Arial" w:hAnsi="Arial"/>
                <w:sz w:val="18"/>
                <w:szCs w:val="18"/>
                <w:color w:val="auto"/>
              </w:rPr>
              <w:t>10,506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9,921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arising on bond repurchases at a premium (Note 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financial costs,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19,309</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190,481</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165,281</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166,955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firstLine="320"/>
        <w:spacing w:after="0" w:line="258" w:lineRule="auto"/>
        <w:rPr>
          <w:sz w:val="20"/>
          <w:szCs w:val="20"/>
          <w:color w:val="auto"/>
        </w:rPr>
      </w:pPr>
      <w:r>
        <w:rPr>
          <w:rFonts w:ascii="Arial" w:cs="Arial" w:eastAsia="Arial" w:hAnsi="Arial"/>
          <w:sz w:val="18"/>
          <w:szCs w:val="18"/>
          <w:color w:val="auto"/>
        </w:rPr>
        <w:t>Other financial costs, net includes an amount of $15,718 for the year ended December 31, 2021, relating to fees (bank consent, legal fees, etc.) to obtain the third-party consents and waivers in connection with the de-listing of the Group’s shares from NYSE after the consummation of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224" w:lineRule="exact"/>
        <w:rPr>
          <w:sz w:val="20"/>
          <w:szCs w:val="20"/>
          <w:color w:val="auto"/>
        </w:rPr>
      </w:pPr>
    </w:p>
    <w:p>
      <w:pPr>
        <w:ind w:right="100" w:firstLine="320"/>
        <w:spacing w:after="0" w:line="255"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4" w:lineRule="exact"/>
        <w:rPr>
          <w:sz w:val="20"/>
          <w:szCs w:val="20"/>
          <w:color w:val="auto"/>
        </w:rPr>
      </w:pPr>
    </w:p>
    <w:p>
      <w:pPr>
        <w:ind w:right="420" w:firstLine="320"/>
        <w:spacing w:after="0" w:line="270" w:lineRule="auto"/>
        <w:rPr>
          <w:sz w:val="20"/>
          <w:szCs w:val="20"/>
          <w:color w:val="auto"/>
        </w:rPr>
      </w:pPr>
      <w:r>
        <w:rPr>
          <w:rFonts w:ascii="Arial" w:cs="Arial" w:eastAsia="Arial" w:hAnsi="Arial"/>
          <w:sz w:val="18"/>
          <w:szCs w:val="18"/>
          <w:color w:val="auto"/>
        </w:rPr>
        <w:t>The Group had the following balances with related parties which have been included in the consolidated statements of financial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40"/>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100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receivable from associate (Note 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00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7"/>
        </w:trPr>
        <w:tc>
          <w:tcPr>
            <w:tcW w:w="100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2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0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40"/>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100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creditors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80" w:firstLine="320"/>
        <w:spacing w:after="0" w:line="270"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75" w:lineRule="exact"/>
        <w:rPr>
          <w:sz w:val="20"/>
          <w:szCs w:val="20"/>
          <w:color w:val="auto"/>
        </w:rPr>
      </w:pPr>
    </w:p>
    <w:p>
      <w:pPr>
        <w:ind w:right="160" w:firstLine="320"/>
        <w:spacing w:after="0" w:line="300" w:lineRule="auto"/>
        <w:rPr>
          <w:sz w:val="20"/>
          <w:szCs w:val="20"/>
          <w:color w:val="auto"/>
        </w:rPr>
      </w:pPr>
      <w:r>
        <w:rPr>
          <w:rFonts w:ascii="Arial" w:cs="Arial" w:eastAsia="Arial" w:hAnsi="Arial"/>
          <w:sz w:val="17"/>
          <w:szCs w:val="17"/>
          <w:color w:val="auto"/>
        </w:rPr>
        <w:t>Amounts due to related parties of $27 as of December 31, 2021 (December 31, 2020: $164) are expenses paid by a related party on behalf of the Group and payables to other related parties for the office lease and other operating expenses.</w:t>
      </w:r>
    </w:p>
    <w:p>
      <w:pPr>
        <w:spacing w:after="0" w:line="152" w:lineRule="exact"/>
        <w:rPr>
          <w:sz w:val="20"/>
          <w:szCs w:val="20"/>
          <w:color w:val="auto"/>
        </w:rPr>
      </w:pPr>
    </w:p>
    <w:p>
      <w:pPr>
        <w:ind w:firstLine="320"/>
        <w:spacing w:after="0" w:line="258" w:lineRule="auto"/>
        <w:rPr>
          <w:sz w:val="20"/>
          <w:szCs w:val="20"/>
          <w:color w:val="auto"/>
        </w:rPr>
      </w:pPr>
      <w:r>
        <w:rPr>
          <w:rFonts w:ascii="Arial" w:cs="Arial" w:eastAsia="Arial" w:hAnsi="Arial"/>
          <w:sz w:val="18"/>
          <w:szCs w:val="18"/>
          <w:color w:val="auto"/>
        </w:rPr>
        <w:t xml:space="preserve">As of December 31, 2021, GasLog (being a 20% shareholder in Gastrade) has through its subsidiary GasLog LNG Services Ltd. pledged an amount of EUR962 in NBG in order for Gastrade to issue a letter of credit of EUR4,800 to GAS-fifteen Ltd. (the owner of the </w:t>
      </w:r>
      <w:r>
        <w:rPr>
          <w:rFonts w:ascii="Arial" w:cs="Arial" w:eastAsia="Arial" w:hAnsi="Arial"/>
          <w:sz w:val="18"/>
          <w:szCs w:val="18"/>
          <w:i w:val="1"/>
          <w:iCs w:val="1"/>
          <w:color w:val="auto"/>
        </w:rPr>
        <w:t>GasLog Chelsea</w:t>
      </w:r>
      <w:r>
        <w:rPr>
          <w:rFonts w:ascii="Arial" w:cs="Arial" w:eastAsia="Arial" w:hAnsi="Arial"/>
          <w:sz w:val="18"/>
          <w:szCs w:val="18"/>
          <w:color w:val="auto"/>
        </w:rPr>
        <w:t>) in connection with the development of the FSRU (Note 6).</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20"/>
          </w:cols>
          <w:pgMar w:left="980" w:top="659" w:right="10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320" w:firstLine="320"/>
        <w:spacing w:after="0" w:line="270" w:lineRule="auto"/>
        <w:rPr>
          <w:sz w:val="20"/>
          <w:szCs w:val="20"/>
          <w:color w:val="auto"/>
        </w:rPr>
      </w:pPr>
      <w:r>
        <w:rPr>
          <w:rFonts w:ascii="Arial" w:cs="Arial" w:eastAsia="Arial" w:hAnsi="Arial"/>
          <w:sz w:val="18"/>
          <w:szCs w:val="18"/>
          <w:color w:val="auto"/>
        </w:rPr>
        <w:t>The Group had the following transactions with related parties which have been included in the consolidated statements of profit or loss for the years ended December 31, 2019, 2020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21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Details</w:t>
            </w:r>
          </w:p>
        </w:tc>
        <w:tc>
          <w:tcPr>
            <w:tcW w:w="180" w:type="dxa"/>
            <w:vAlign w:val="bottom"/>
          </w:tcPr>
          <w:p>
            <w:pPr>
              <w:spacing w:after="0"/>
              <w:rPr>
                <w:sz w:val="14"/>
                <w:szCs w:val="14"/>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Statement of</w:t>
            </w: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6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account</w:t>
            </w: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(a)</w:t>
            </w:r>
          </w:p>
        </w:tc>
        <w:tc>
          <w:tcPr>
            <w:tcW w:w="4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auto"/>
            </w:tcBorders>
            <w:gridSpan w:val="2"/>
            <w:shd w:val="clear" w:color="auto" w:fill="CCEEFF"/>
          </w:tcPr>
          <w:p>
            <w:pPr>
              <w:spacing w:after="0" w:line="140" w:lineRule="exact"/>
              <w:rPr>
                <w:sz w:val="20"/>
                <w:szCs w:val="20"/>
                <w:color w:val="auto"/>
              </w:rPr>
            </w:pPr>
            <w:r>
              <w:rPr>
                <w:rFonts w:ascii="Arial" w:cs="Arial" w:eastAsia="Arial" w:hAnsi="Arial"/>
                <w:sz w:val="14"/>
                <w:szCs w:val="14"/>
                <w:color w:val="auto"/>
              </w:rPr>
              <w:t>Egypt LNG Shipping Ltd.</w:t>
            </w:r>
          </w:p>
        </w:tc>
        <w:tc>
          <w:tcPr>
            <w:tcW w:w="2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Vessel management services</w:t>
            </w:r>
          </w:p>
        </w:tc>
        <w:tc>
          <w:tcPr>
            <w:tcW w:w="1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Revenues</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(703)</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(703)</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(a)</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Egypt LNG Shipping Ltd.</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Sale of office property</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Loss on disposal of non-current assets</w:t>
            </w:r>
          </w:p>
        </w:tc>
        <w:tc>
          <w:tcPr>
            <w:tcW w:w="82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572</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Nea Dimitra Property</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Office rent and utilities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478</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(b)</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Nea Dimitra Property</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Office rent</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Financial costs/Depreciation</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642</w:t>
            </w:r>
          </w:p>
        </w:tc>
        <w:tc>
          <w:tcPr>
            <w:tcW w:w="18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669</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Nea Dimitra Property</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Other office services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(c)</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Seres S.A.</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Catering services</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361</w:t>
            </w:r>
          </w:p>
        </w:tc>
        <w:tc>
          <w:tcPr>
            <w:tcW w:w="18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268</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Seres S.A.</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Consultancy services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(d)</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Chartwell Management Inc.</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Travel expenses</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284</w:t>
            </w:r>
          </w:p>
        </w:tc>
        <w:tc>
          <w:tcPr>
            <w:tcW w:w="18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(e)</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Ceres Monaco S.A.M.</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Professional services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(e)</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Ceres Monaco S.A.M.</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Travel expenses</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The Cool Pool Limited</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Pool gross revenues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Revenues</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(45,253)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(f)</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The Cool Pool Limited</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Pool gross bunkers</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Voyage expenses and commissions</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7,255</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The Cool Pool Limited</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Pool other voyage expenses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Voyage expenses and commissions</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(f)</w:t>
            </w:r>
          </w:p>
        </w:tc>
        <w:tc>
          <w:tcPr>
            <w:tcW w:w="248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The Cool Pool Limited</w:t>
            </w:r>
          </w:p>
        </w:tc>
        <w:tc>
          <w:tcPr>
            <w:tcW w:w="232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Adjustment for net pool allocation</w:t>
            </w:r>
          </w:p>
        </w:tc>
        <w:tc>
          <w:tcPr>
            <w:tcW w:w="262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Net pool allocation</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4,264</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(g)</w:t>
            </w:r>
          </w:p>
        </w:tc>
        <w:tc>
          <w:tcPr>
            <w:tcW w:w="2480" w:type="dxa"/>
            <w:vAlign w:val="bottom"/>
            <w:gridSpan w:val="3"/>
            <w:shd w:val="clear" w:color="auto" w:fill="CCEEFF"/>
          </w:tcPr>
          <w:p>
            <w:pPr>
              <w:ind w:left="40"/>
              <w:spacing w:after="0" w:line="147" w:lineRule="exact"/>
              <w:rPr>
                <w:sz w:val="20"/>
                <w:szCs w:val="20"/>
                <w:color w:val="auto"/>
              </w:rPr>
            </w:pPr>
            <w:r>
              <w:rPr>
                <w:rFonts w:ascii="Arial" w:cs="Arial" w:eastAsia="Arial" w:hAnsi="Arial"/>
                <w:sz w:val="14"/>
                <w:szCs w:val="14"/>
                <w:color w:val="auto"/>
              </w:rPr>
              <w:t>Ceres Shipping Ltd.</w:t>
            </w:r>
          </w:p>
        </w:tc>
        <w:tc>
          <w:tcPr>
            <w:tcW w:w="23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Travel expenses</w:t>
            </w:r>
          </w:p>
        </w:tc>
        <w:tc>
          <w:tcPr>
            <w:tcW w:w="2620" w:type="dxa"/>
            <w:vAlign w:val="bottom"/>
            <w:gridSpan w:val="3"/>
            <w:shd w:val="clear" w:color="auto" w:fill="CCEEFF"/>
          </w:tcPr>
          <w:p>
            <w:pPr>
              <w:ind w:left="180"/>
              <w:spacing w:after="0" w:line="147" w:lineRule="exact"/>
              <w:rPr>
                <w:sz w:val="20"/>
                <w:szCs w:val="20"/>
                <w:color w:val="auto"/>
              </w:rPr>
            </w:pPr>
            <w:r>
              <w:rPr>
                <w:rFonts w:ascii="Arial" w:cs="Arial" w:eastAsia="Arial" w:hAnsi="Arial"/>
                <w:sz w:val="14"/>
                <w:szCs w:val="14"/>
                <w:color w:val="auto"/>
              </w:rPr>
              <w:t>General and administrative expenses</w:t>
            </w:r>
          </w:p>
        </w:tc>
        <w:tc>
          <w:tcPr>
            <w:tcW w:w="82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(g)</w:t>
            </w:r>
          </w:p>
        </w:tc>
        <w:tc>
          <w:tcPr>
            <w:tcW w:w="2480" w:type="dxa"/>
            <w:vAlign w:val="bottom"/>
            <w:gridSpan w:val="3"/>
          </w:tcPr>
          <w:p>
            <w:pPr>
              <w:ind w:left="40"/>
              <w:spacing w:after="0"/>
              <w:rPr>
                <w:sz w:val="20"/>
                <w:szCs w:val="20"/>
                <w:color w:val="auto"/>
              </w:rPr>
            </w:pPr>
            <w:r>
              <w:rPr>
                <w:rFonts w:ascii="Arial" w:cs="Arial" w:eastAsia="Arial" w:hAnsi="Arial"/>
                <w:sz w:val="14"/>
                <w:szCs w:val="14"/>
                <w:color w:val="auto"/>
              </w:rPr>
              <w:t>Ceres Shipping Ltd.</w:t>
            </w:r>
          </w:p>
        </w:tc>
        <w:tc>
          <w:tcPr>
            <w:tcW w:w="2320" w:type="dxa"/>
            <w:vAlign w:val="bottom"/>
            <w:gridSpan w:val="2"/>
          </w:tcPr>
          <w:p>
            <w:pPr>
              <w:ind w:left="180"/>
              <w:spacing w:after="0"/>
              <w:rPr>
                <w:sz w:val="20"/>
                <w:szCs w:val="20"/>
                <w:color w:val="auto"/>
              </w:rPr>
            </w:pPr>
            <w:r>
              <w:rPr>
                <w:rFonts w:ascii="Arial" w:cs="Arial" w:eastAsia="Arial" w:hAnsi="Arial"/>
                <w:sz w:val="14"/>
                <w:szCs w:val="14"/>
                <w:color w:val="auto"/>
              </w:rPr>
              <w:t>Professional services</w:t>
            </w:r>
          </w:p>
        </w:tc>
        <w:tc>
          <w:tcPr>
            <w:tcW w:w="2620" w:type="dxa"/>
            <w:vAlign w:val="bottom"/>
            <w:gridSpan w:val="3"/>
          </w:tcPr>
          <w:p>
            <w:pPr>
              <w:ind w:left="180"/>
              <w:spacing w:after="0"/>
              <w:rPr>
                <w:sz w:val="20"/>
                <w:szCs w:val="20"/>
                <w:color w:val="auto"/>
              </w:rPr>
            </w:pPr>
            <w:r>
              <w:rPr>
                <w:rFonts w:ascii="Arial" w:cs="Arial" w:eastAsia="Arial" w:hAnsi="Arial"/>
                <w:sz w:val="14"/>
                <w:szCs w:val="14"/>
                <w:color w:val="auto"/>
              </w:rPr>
              <w:t>General and administrative expenses</w:t>
            </w: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right="80" w:hanging="313"/>
        <w:spacing w:after="0" w:line="260" w:lineRule="auto"/>
        <w:tabs>
          <w:tab w:leader="none" w:pos="320" w:val="left"/>
        </w:tabs>
        <w:numPr>
          <w:ilvl w:val="0"/>
          <w:numId w:val="136"/>
        </w:numPr>
        <w:rPr>
          <w:rFonts w:ascii="Arial" w:cs="Arial" w:eastAsia="Arial" w:hAnsi="Arial"/>
          <w:sz w:val="10"/>
          <w:szCs w:val="10"/>
          <w:color w:val="auto"/>
        </w:rPr>
      </w:pPr>
      <w:r>
        <w:rPr>
          <w:rFonts w:ascii="Arial" w:cs="Arial" w:eastAsia="Arial" w:hAnsi="Arial"/>
          <w:sz w:val="13"/>
          <w:szCs w:val="13"/>
          <w:color w:val="auto"/>
        </w:rPr>
        <w:t xml:space="preserve">One of the Group’s subsidiaries, GasLog LNG Services Ltd. provides vessel management services to Egypt LNG Shipping Ltd., the LNG vessel owning company, in which another subsidiary, GasLog Shipping Company Ltd., holds a 25% ownership interest. In addition, in June 2020, GasLog LNG Services Ltd. agreed to sell a low-pressure turbine to Egypt LNG Shipping Ltd. to be installed on the </w:t>
      </w:r>
      <w:r>
        <w:rPr>
          <w:rFonts w:ascii="Arial" w:cs="Arial" w:eastAsia="Arial" w:hAnsi="Arial"/>
          <w:sz w:val="13"/>
          <w:szCs w:val="13"/>
          <w:i w:val="1"/>
          <w:iCs w:val="1"/>
          <w:color w:val="auto"/>
        </w:rPr>
        <w:t>Methane Nile Eagle</w:t>
      </w:r>
      <w:r>
        <w:rPr>
          <w:rFonts w:ascii="Arial" w:cs="Arial" w:eastAsia="Arial" w:hAnsi="Arial"/>
          <w:sz w:val="13"/>
          <w:szCs w:val="13"/>
          <w:color w:val="auto"/>
        </w:rPr>
        <w:t>. The disposal resulted in a loss of $572 (Note 6).</w:t>
      </w:r>
    </w:p>
    <w:p>
      <w:pPr>
        <w:spacing w:after="0" w:line="167" w:lineRule="exact"/>
        <w:rPr>
          <w:rFonts w:ascii="Arial" w:cs="Arial" w:eastAsia="Arial" w:hAnsi="Arial"/>
          <w:sz w:val="10"/>
          <w:szCs w:val="10"/>
          <w:color w:val="auto"/>
        </w:rPr>
      </w:pPr>
    </w:p>
    <w:p>
      <w:pPr>
        <w:ind w:left="320" w:right="560" w:hanging="313"/>
        <w:spacing w:after="0" w:line="248" w:lineRule="auto"/>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Through its subsidiary GasLog LNG Services Ltd., the Group leases office space in Piraeus, Greece, from an entity controlled by Ceres Shipping, Nea Dimitra Ktimatikh kai Emporikh S.A.</w:t>
      </w:r>
    </w:p>
    <w:p>
      <w:pPr>
        <w:spacing w:after="0" w:line="174" w:lineRule="exact"/>
        <w:rPr>
          <w:rFonts w:ascii="Arial" w:cs="Arial" w:eastAsia="Arial" w:hAnsi="Arial"/>
          <w:sz w:val="11"/>
          <w:szCs w:val="11"/>
          <w:color w:val="auto"/>
        </w:rPr>
      </w:pPr>
    </w:p>
    <w:p>
      <w:pPr>
        <w:ind w:left="320" w:right="140" w:hanging="313"/>
        <w:spacing w:after="0" w:line="231" w:lineRule="auto"/>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day,but are slightly higher on special occasions. In addition, GasLog LNG Services Ltd. has entered into an agreement with Seres S.A. for the latter to provide human resources, telephone and documentation services for the staff based in Piraeus.</w:t>
      </w:r>
    </w:p>
    <w:p>
      <w:pPr>
        <w:spacing w:after="0" w:line="180" w:lineRule="exact"/>
        <w:rPr>
          <w:rFonts w:ascii="Arial" w:cs="Arial" w:eastAsia="Arial" w:hAnsi="Arial"/>
          <w:sz w:val="11"/>
          <w:szCs w:val="11"/>
          <w:color w:val="auto"/>
        </w:rPr>
      </w:pPr>
    </w:p>
    <w:p>
      <w:pPr>
        <w:ind w:left="320" w:hanging="313"/>
        <w:spacing w:after="0"/>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Chartwell Management Inc. is an entity controlled by the Livanos family which provides travel services to GasLog’s directors and officers.</w:t>
      </w:r>
    </w:p>
    <w:p>
      <w:pPr>
        <w:spacing w:after="0" w:line="199" w:lineRule="exact"/>
        <w:rPr>
          <w:rFonts w:ascii="Arial" w:cs="Arial" w:eastAsia="Arial" w:hAnsi="Arial"/>
          <w:sz w:val="11"/>
          <w:szCs w:val="11"/>
          <w:color w:val="auto"/>
        </w:rPr>
      </w:pPr>
    </w:p>
    <w:p>
      <w:pPr>
        <w:ind w:left="320" w:right="340" w:hanging="313"/>
        <w:spacing w:after="0" w:line="235" w:lineRule="auto"/>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2017 in the sum of $100 and a consultancy arrangement fee of $12 per month up to December 31, 2020.</w:t>
      </w:r>
    </w:p>
    <w:p>
      <w:pPr>
        <w:spacing w:after="0" w:line="180" w:lineRule="exact"/>
        <w:rPr>
          <w:rFonts w:ascii="Arial" w:cs="Arial" w:eastAsia="Arial" w:hAnsi="Arial"/>
          <w:sz w:val="11"/>
          <w:szCs w:val="11"/>
          <w:color w:val="auto"/>
        </w:rPr>
      </w:pPr>
    </w:p>
    <w:p>
      <w:pPr>
        <w:jc w:val="both"/>
        <w:ind w:left="320" w:right="260" w:hanging="313"/>
        <w:spacing w:after="0" w:line="235" w:lineRule="auto"/>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GasLog recognized gross revenues and total voyage expenses of $45,253 and $8,086, respectively, from the operation of its vessels in the Cool Pool during the year ended December 31, 2019. The aforementioned pool results were adjusted by a net loss of $4,264 to include the net allocation from the pool in accordance with the profit sharing terms specified in the Pool Agreement.</w:t>
      </w:r>
    </w:p>
    <w:p>
      <w:pPr>
        <w:spacing w:after="0" w:line="180" w:lineRule="exact"/>
        <w:rPr>
          <w:rFonts w:ascii="Arial" w:cs="Arial" w:eastAsia="Arial" w:hAnsi="Arial"/>
          <w:sz w:val="11"/>
          <w:szCs w:val="11"/>
          <w:color w:val="auto"/>
        </w:rPr>
      </w:pPr>
    </w:p>
    <w:p>
      <w:pPr>
        <w:ind w:left="320" w:hanging="313"/>
        <w:spacing w:after="0"/>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Ceres Shipping Ltd., an entity controlled by the Livanos family, requested reimbursement of professional expenses provided during the year.</w:t>
      </w:r>
    </w:p>
    <w:p>
      <w:pPr>
        <w:spacing w:after="0" w:line="199" w:lineRule="exact"/>
        <w:rPr>
          <w:rFonts w:ascii="Arial" w:cs="Arial" w:eastAsia="Arial" w:hAnsi="Arial"/>
          <w:sz w:val="11"/>
          <w:szCs w:val="11"/>
          <w:color w:val="auto"/>
        </w:rPr>
      </w:pPr>
    </w:p>
    <w:p>
      <w:pPr>
        <w:ind w:left="320" w:right="20" w:hanging="313"/>
        <w:spacing w:after="0" w:line="235" w:lineRule="auto"/>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In the year ended December 31, 2020, Ceres Shipping Enterprises S.A., an entity controlled by the Livanos family, received a fee of $1,000 for consultancy services provided in relation to the Group’s debt re-financings completed in July and August 2020. This amount is classified under Deferred loan issuance costs (i.e. contra debt) and is amortized over the duration of the respective facilities.</w:t>
      </w:r>
    </w:p>
    <w:p>
      <w:pPr>
        <w:spacing w:after="0" w:line="180" w:lineRule="exact"/>
        <w:rPr>
          <w:rFonts w:ascii="Arial" w:cs="Arial" w:eastAsia="Arial" w:hAnsi="Arial"/>
          <w:sz w:val="11"/>
          <w:szCs w:val="11"/>
          <w:color w:val="auto"/>
        </w:rPr>
      </w:pPr>
    </w:p>
    <w:p>
      <w:pPr>
        <w:jc w:val="both"/>
        <w:ind w:left="320" w:right="360" w:hanging="313"/>
        <w:spacing w:after="0" w:line="235" w:lineRule="auto"/>
        <w:tabs>
          <w:tab w:leader="none" w:pos="320" w:val="left"/>
        </w:tabs>
        <w:numPr>
          <w:ilvl w:val="0"/>
          <w:numId w:val="136"/>
        </w:numPr>
        <w:rPr>
          <w:rFonts w:ascii="Arial" w:cs="Arial" w:eastAsia="Arial" w:hAnsi="Arial"/>
          <w:sz w:val="11"/>
          <w:szCs w:val="11"/>
          <w:color w:val="auto"/>
        </w:rPr>
      </w:pPr>
      <w:r>
        <w:rPr>
          <w:rFonts w:ascii="Arial" w:cs="Arial" w:eastAsia="Arial" w:hAnsi="Arial"/>
          <w:sz w:val="14"/>
          <w:szCs w:val="14"/>
          <w:color w:val="auto"/>
        </w:rPr>
        <w:t>In the year ended December 31, 2021, Ceres Shipping Ltd., an entity controlled by the Livanos family, received a fee of $488 for consultancy services provided in relation to the refinancing of the Group's 8.875% Senior Notes. This amount is classified under Deferred financing costs in the consolidated statement of financial position and will be netted off debt on the date that the Notes will be drawn.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key management personnel</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remuneration of directors and key management was as follows:</w:t>
      </w:r>
    </w:p>
    <w:p>
      <w:pPr>
        <w:spacing w:after="0" w:line="238"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For the year ended</w:t>
      </w:r>
    </w:p>
    <w:p>
      <w:pPr>
        <w:jc w:val="center"/>
        <w:ind w:left="556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0"/>
        </w:trPr>
        <w:tc>
          <w:tcPr>
            <w:tcW w:w="55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Remuneration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r>
      <w:tr>
        <w:trPr>
          <w:trHeight w:val="213"/>
        </w:trPr>
        <w:tc>
          <w:tcPr>
            <w:tcW w:w="5580" w:type="dxa"/>
            <w:vAlign w:val="bottom"/>
          </w:tcPr>
          <w:p>
            <w:pPr>
              <w:spacing w:after="0"/>
              <w:rPr>
                <w:sz w:val="20"/>
                <w:szCs w:val="20"/>
                <w:color w:val="auto"/>
              </w:rPr>
            </w:pPr>
            <w:r>
              <w:rPr>
                <w:rFonts w:ascii="Arial" w:cs="Arial" w:eastAsia="Arial" w:hAnsi="Arial"/>
                <w:sz w:val="18"/>
                <w:szCs w:val="18"/>
                <w:color w:val="auto"/>
              </w:rPr>
              <w:t>Short-term benefits</w:t>
            </w:r>
          </w:p>
        </w:tc>
        <w:tc>
          <w:tcPr>
            <w:tcW w:w="66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long-term employee benefits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3"/>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 recognized in respect of share-based compensation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0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9,752</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11,795</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6,656</w:t>
            </w:r>
          </w:p>
        </w:tc>
      </w:tr>
      <w:tr>
        <w:trPr>
          <w:trHeight w:val="20"/>
        </w:trPr>
        <w:tc>
          <w:tcPr>
            <w:tcW w:w="5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Compensation Plan</w:t>
      </w:r>
    </w:p>
    <w:p>
      <w:pPr>
        <w:spacing w:after="0" w:line="220" w:lineRule="exact"/>
        <w:rPr>
          <w:sz w:val="20"/>
          <w:szCs w:val="20"/>
          <w:color w:val="auto"/>
        </w:rPr>
      </w:pPr>
    </w:p>
    <w:p>
      <w:pPr>
        <w:ind w:right="40" w:firstLine="320"/>
        <w:spacing w:after="0" w:line="251" w:lineRule="auto"/>
        <w:rPr>
          <w:sz w:val="20"/>
          <w:szCs w:val="20"/>
          <w:color w:val="auto"/>
        </w:rPr>
      </w:pPr>
      <w:r>
        <w:rPr>
          <w:rFonts w:ascii="Arial" w:cs="Arial" w:eastAsia="Arial" w:hAnsi="Arial"/>
          <w:sz w:val="18"/>
          <w:szCs w:val="18"/>
          <w:color w:val="auto"/>
        </w:rPr>
        <w:t>GasLog has granted to executives, managers and certain employees of the Group, Restricted Stock Units (“RSUs”), Stock Appreciation Rights or Stock Options (collectively, the “SARs”) and Performance Stock Units (“PSUs”) in accordance with its 2013 Omnibus Incentive Compensation Plan (the “Plan”). The RSUs (with the exception of the RSUs granted in 2020 that are discussed below) and PSUs vest three years after the grant dates while the SARs and the RSUs granted in 2020 vest incrementally with one-third of the SARs and RSUs vesting on each of the three anniversaries of the grant dates. The compensation cost for the SARs is recognized on an accelerated basis as though each separate vesting portion of the SARs is a separate award. Prior to the exercise date the holders of the awards have no voting rights.</w:t>
      </w:r>
    </w:p>
    <w:p>
      <w:pPr>
        <w:spacing w:after="0" w:line="193" w:lineRule="exact"/>
        <w:rPr>
          <w:sz w:val="20"/>
          <w:szCs w:val="20"/>
          <w:color w:val="auto"/>
        </w:rPr>
      </w:pPr>
    </w:p>
    <w:p>
      <w:pPr>
        <w:ind w:right="80" w:firstLine="320"/>
        <w:spacing w:after="0" w:line="231" w:lineRule="auto"/>
        <w:rPr>
          <w:sz w:val="20"/>
          <w:szCs w:val="20"/>
          <w:color w:val="auto"/>
        </w:rPr>
      </w:pPr>
      <w:r>
        <w:rPr>
          <w:rFonts w:ascii="Arial" w:cs="Arial" w:eastAsia="Arial" w:hAnsi="Arial"/>
          <w:sz w:val="16"/>
          <w:szCs w:val="16"/>
          <w:color w:val="auto"/>
        </w:rPr>
        <w:t>Vesting of the PSUs is also subject to the achievement of certain performance targets in relation to the total shareholder return (“TSR”) achieved by the Company during the performance period weighted at 50%, the operating expenses reduction (“Opex reduction”) weighted at 25% and the general and administrative expense reduction (“G&amp;A reduction”) weighted at 25%. Specifically, TSR is benchmarked against the TSR of a selected group of peer companies. TSR above the 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peer group results in 100% of the award vesting; TSR between the 25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and 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peer group results in the achieved percentile of award vesting and TSR below the 25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peer group results in none of the award vesting. In addition, achieving more than 100%, 95%-100%,</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90%-94% and 85%-89% of the three-year target Opex reduction results in 100% plus 1 point for each point in excess of target, 100%, 75% and 50% of award vesting, respectively while achieving less than 85% of target cost reduction results in none of the award vesting. Finally, achieving more than 100%, 95%-100%, 90%-94% and 85%-89% of the target G&amp;A reduction results in 100% plus 1 point for each point in excess of target, 100%, 75% and 50% of award vesting, respectively while achieving less than 85% of target cost reduction, results in none of the award vesting. The compensation cost for the PSUs is recognized on an accelerated basis as though each separately vesting portion of PSUs is a separate award. The holders are entitled to cash distributions that will be accrued and settled on vesting.</w:t>
      </w:r>
    </w:p>
    <w:p>
      <w:pPr>
        <w:spacing w:after="0" w:line="167" w:lineRule="exact"/>
        <w:rPr>
          <w:sz w:val="20"/>
          <w:szCs w:val="20"/>
          <w:color w:val="auto"/>
        </w:rPr>
      </w:pPr>
    </w:p>
    <w:p>
      <w:pPr>
        <w:ind w:right="40" w:firstLine="320"/>
        <w:spacing w:after="0" w:line="296"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60" w:lineRule="exact"/>
        <w:rPr>
          <w:sz w:val="20"/>
          <w:szCs w:val="20"/>
          <w:color w:val="auto"/>
        </w:rPr>
      </w:pPr>
    </w:p>
    <w:p>
      <w:pPr>
        <w:ind w:right="260" w:firstLine="320"/>
        <w:spacing w:after="0" w:line="333" w:lineRule="auto"/>
        <w:rPr>
          <w:sz w:val="20"/>
          <w:szCs w:val="20"/>
          <w:color w:val="auto"/>
        </w:rPr>
      </w:pPr>
      <w:r>
        <w:rPr>
          <w:rFonts w:ascii="Arial" w:cs="Arial" w:eastAsia="Arial" w:hAnsi="Arial"/>
          <w:sz w:val="16"/>
          <w:szCs w:val="16"/>
          <w:color w:val="auto"/>
        </w:rPr>
        <w:t>Following the consummation of the Transaction, the previously unvested RSUs and PSUs vested; the PSUs vested assuming 100% achievement of performance conditions. In addition, all SARs have been cancelled and replaced by cash consideration.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4" w:lineRule="exact"/>
        <w:rPr>
          <w:sz w:val="20"/>
          <w:szCs w:val="20"/>
          <w:color w:val="auto"/>
        </w:rPr>
      </w:pPr>
    </w:p>
    <w:p>
      <w:pPr>
        <w:ind w:right="160" w:firstLine="320"/>
        <w:spacing w:after="0" w:line="300" w:lineRule="auto"/>
        <w:rPr>
          <w:sz w:val="20"/>
          <w:szCs w:val="20"/>
          <w:color w:val="auto"/>
        </w:rPr>
      </w:pPr>
      <w:r>
        <w:rPr>
          <w:rFonts w:ascii="Arial" w:cs="Arial" w:eastAsia="Arial" w:hAnsi="Arial"/>
          <w:sz w:val="17"/>
          <w:szCs w:val="17"/>
          <w:color w:val="auto"/>
        </w:rPr>
        <w:t>The fair value of the SARs has been calculated based on the Modified Black-Scholes-Merton method. Expected volatility was based on historical share price volatility for the period since the Group’s initial public offering. The expected dividend is based 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management’s expectations of future payments on the grant date. The significant assumptions used to estimate the fair value of the SARs are set out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Inputs into the model</w:t>
            </w:r>
          </w:p>
        </w:tc>
        <w:tc>
          <w:tcPr>
            <w:tcW w:w="6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080" w:type="dxa"/>
            <w:vAlign w:val="bottom"/>
            <w:tcBorders>
              <w:top w:val="single" w:sz="8" w:color="auto"/>
            </w:tcBorders>
            <w:gridSpan w:val="2"/>
            <w:shd w:val="clear" w:color="auto" w:fill="CCEEFF"/>
          </w:tcPr>
          <w:p>
            <w:pPr>
              <w:spacing w:after="0" w:line="140" w:lineRule="exact"/>
              <w:rPr>
                <w:sz w:val="20"/>
                <w:szCs w:val="20"/>
                <w:color w:val="auto"/>
              </w:rPr>
            </w:pPr>
            <w:r>
              <w:rPr>
                <w:rFonts w:ascii="Arial" w:cs="Arial" w:eastAsia="Arial" w:hAnsi="Arial"/>
                <w:sz w:val="14"/>
                <w:szCs w:val="14"/>
                <w:color w:val="auto"/>
              </w:rPr>
              <w:t>Grant date share closing price</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9"/>
              </w:rPr>
              <w:t>$ 13.26</w:t>
            </w: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9"/>
              </w:rPr>
              <w:t>$ 24.00</w:t>
            </w:r>
          </w:p>
        </w:tc>
        <w:tc>
          <w:tcPr>
            <w:tcW w:w="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9"/>
              </w:rPr>
              <w:t>$ 19.48</w:t>
            </w:r>
          </w:p>
        </w:tc>
        <w:tc>
          <w:tcPr>
            <w:tcW w:w="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7"/>
              </w:rPr>
              <w:t>$ 9.28</w:t>
            </w: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5"/>
              </w:rPr>
              <w:t>$ 15.55</w:t>
            </w: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5"/>
              </w:rPr>
              <w:t>$ 16.30</w:t>
            </w: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5"/>
              </w:rPr>
              <w:t>$ 17.79</w:t>
            </w: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5"/>
              </w:rPr>
              <w:t>$ 12.34</w:t>
            </w:r>
          </w:p>
        </w:tc>
        <w:tc>
          <w:tcPr>
            <w:tcW w:w="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080" w:type="dxa"/>
            <w:vAlign w:val="bottom"/>
            <w:gridSpan w:val="2"/>
          </w:tcPr>
          <w:p>
            <w:pPr>
              <w:spacing w:after="0" w:line="147" w:lineRule="exact"/>
              <w:rPr>
                <w:sz w:val="20"/>
                <w:szCs w:val="20"/>
                <w:color w:val="auto"/>
              </w:rPr>
            </w:pPr>
            <w:r>
              <w:rPr>
                <w:rFonts w:ascii="Arial" w:cs="Arial" w:eastAsia="Arial" w:hAnsi="Arial"/>
                <w:sz w:val="12"/>
                <w:szCs w:val="12"/>
                <w:color w:val="auto"/>
              </w:rPr>
              <w:t>Exercise price</w:t>
            </w:r>
            <w:r>
              <w:rPr>
                <w:rFonts w:ascii="Arial" w:cs="Arial" w:eastAsia="Arial" w:hAnsi="Arial"/>
                <w:sz w:val="17"/>
                <w:szCs w:val="17"/>
                <w:color w:val="auto"/>
                <w:vertAlign w:val="superscript"/>
              </w:rPr>
              <w:t>*</w:t>
            </w:r>
          </w:p>
        </w:tc>
        <w:tc>
          <w:tcPr>
            <w:tcW w:w="6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$ 12.48</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94"/>
              </w:rPr>
              <w:t>$ 23.22</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94"/>
              </w:rPr>
              <w:t>$ 18.70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92"/>
              </w:rPr>
              <w:t>$ 8.50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89"/>
              </w:rPr>
              <w:t>$ 14.77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89"/>
              </w:rPr>
              <w:t>$ 15.52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89"/>
              </w:rPr>
              <w:t>$ 17.41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89"/>
              </w:rPr>
              <w:t>$ 11.96</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Expected volatility</w:t>
            </w:r>
          </w:p>
        </w:tc>
        <w:tc>
          <w:tcPr>
            <w:tcW w:w="6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29.31</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29.42</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39.3</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47.3</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46.0</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44.5</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45.03</w:t>
            </w:r>
          </w:p>
        </w:tc>
        <w:tc>
          <w:tcPr>
            <w:tcW w:w="36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w w:val="96"/>
              </w:rPr>
              <w:t>%</w:t>
            </w: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45.8</w:t>
            </w:r>
          </w:p>
        </w:tc>
        <w:tc>
          <w:tcPr>
            <w:tcW w:w="380" w:type="dxa"/>
            <w:vAlign w:val="bottom"/>
            <w:gridSpan w:val="2"/>
            <w:shd w:val="clear" w:color="auto" w:fill="CCEEFF"/>
          </w:tcPr>
          <w:p>
            <w:pPr>
              <w:jc w:val="right"/>
              <w:ind w:right="169"/>
              <w:spacing w:after="0" w:line="147" w:lineRule="exact"/>
              <w:rPr>
                <w:sz w:val="20"/>
                <w:szCs w:val="20"/>
                <w:color w:val="auto"/>
              </w:rPr>
            </w:pPr>
            <w:r>
              <w:rPr>
                <w:rFonts w:ascii="Arial" w:cs="Arial" w:eastAsia="Arial" w:hAnsi="Arial"/>
                <w:sz w:val="14"/>
                <w:szCs w:val="14"/>
                <w:color w:val="auto"/>
                <w:w w:val="96"/>
              </w:rPr>
              <w:t>%</w:t>
            </w:r>
          </w:p>
        </w:tc>
      </w:tr>
      <w:tr>
        <w:trPr>
          <w:trHeight w:val="147"/>
        </w:trPr>
        <w:tc>
          <w:tcPr>
            <w:tcW w:w="20" w:type="dxa"/>
            <w:vAlign w:val="bottom"/>
          </w:tcPr>
          <w:p>
            <w:pPr>
              <w:spacing w:after="0"/>
              <w:rPr>
                <w:sz w:val="12"/>
                <w:szCs w:val="12"/>
                <w:color w:val="auto"/>
              </w:rPr>
            </w:pPr>
          </w:p>
        </w:tc>
        <w:tc>
          <w:tcPr>
            <w:tcW w:w="3080" w:type="dxa"/>
            <w:vAlign w:val="bottom"/>
            <w:gridSpan w:val="2"/>
          </w:tcPr>
          <w:p>
            <w:pPr>
              <w:spacing w:after="0" w:line="147" w:lineRule="exact"/>
              <w:rPr>
                <w:sz w:val="20"/>
                <w:szCs w:val="20"/>
                <w:color w:val="auto"/>
              </w:rPr>
            </w:pPr>
            <w:r>
              <w:rPr>
                <w:rFonts w:ascii="Arial" w:cs="Arial" w:eastAsia="Arial" w:hAnsi="Arial"/>
                <w:sz w:val="14"/>
                <w:szCs w:val="14"/>
                <w:color w:val="auto"/>
              </w:rPr>
              <w:t>Expected term</w:t>
            </w:r>
          </w:p>
        </w:tc>
        <w:tc>
          <w:tcPr>
            <w:tcW w:w="6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93"/>
              </w:rPr>
              <w:t>years</w:t>
            </w: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4"/>
                <w:szCs w:val="14"/>
                <w:color w:val="auto"/>
                <w:w w:val="87"/>
              </w:rPr>
              <w:t>years</w:t>
            </w: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4"/>
                <w:szCs w:val="14"/>
                <w:color w:val="auto"/>
                <w:w w:val="87"/>
              </w:rPr>
              <w:t>years</w:t>
            </w:r>
          </w:p>
        </w:tc>
        <w:tc>
          <w:tcPr>
            <w:tcW w:w="4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93"/>
              </w:rPr>
              <w:t>years</w:t>
            </w: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93"/>
              </w:rPr>
              <w:t>years</w:t>
            </w: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93"/>
              </w:rPr>
              <w:t>years</w:t>
            </w: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93"/>
              </w:rPr>
              <w:t>years</w:t>
            </w: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60" w:type="dxa"/>
            <w:vAlign w:val="bottom"/>
          </w:tcPr>
          <w:p>
            <w:pPr>
              <w:jc w:val="right"/>
              <w:spacing w:after="0" w:line="147" w:lineRule="exact"/>
              <w:rPr>
                <w:sz w:val="20"/>
                <w:szCs w:val="20"/>
                <w:color w:val="auto"/>
              </w:rPr>
            </w:pPr>
            <w:r>
              <w:rPr>
                <w:rFonts w:ascii="Arial" w:cs="Arial" w:eastAsia="Arial" w:hAnsi="Arial"/>
                <w:sz w:val="14"/>
                <w:szCs w:val="14"/>
                <w:color w:val="auto"/>
                <w:w w:val="93"/>
              </w:rPr>
              <w:t>years</w:t>
            </w:r>
          </w:p>
        </w:tc>
      </w:tr>
      <w:tr>
        <w:trPr>
          <w:trHeight w:val="128"/>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Risk-free interest rate for the period similar to the</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expected term</w:t>
            </w:r>
          </w:p>
        </w:tc>
        <w:tc>
          <w:tcPr>
            <w:tcW w:w="980" w:type="dxa"/>
            <w:vAlign w:val="bottom"/>
            <w:gridSpan w:val="4"/>
            <w:shd w:val="clear" w:color="auto" w:fill="CCEEFF"/>
          </w:tcPr>
          <w:p>
            <w:pPr>
              <w:jc w:val="right"/>
              <w:ind w:right="149"/>
              <w:spacing w:after="0"/>
              <w:rPr>
                <w:sz w:val="20"/>
                <w:szCs w:val="20"/>
                <w:color w:val="auto"/>
              </w:rPr>
            </w:pPr>
            <w:r>
              <w:rPr>
                <w:rFonts w:ascii="Arial" w:cs="Arial" w:eastAsia="Arial" w:hAnsi="Arial"/>
                <w:sz w:val="14"/>
                <w:szCs w:val="14"/>
                <w:color w:val="auto"/>
              </w:rPr>
              <w:t>1.08 %</w:t>
            </w:r>
          </w:p>
        </w:tc>
        <w:tc>
          <w:tcPr>
            <w:tcW w:w="840" w:type="dxa"/>
            <w:vAlign w:val="bottom"/>
            <w:gridSpan w:val="4"/>
            <w:shd w:val="clear" w:color="auto" w:fill="CCEEFF"/>
          </w:tcPr>
          <w:p>
            <w:pPr>
              <w:jc w:val="right"/>
              <w:ind w:right="149"/>
              <w:spacing w:after="0"/>
              <w:rPr>
                <w:sz w:val="20"/>
                <w:szCs w:val="20"/>
                <w:color w:val="auto"/>
              </w:rPr>
            </w:pPr>
            <w:r>
              <w:rPr>
                <w:rFonts w:ascii="Arial" w:cs="Arial" w:eastAsia="Arial" w:hAnsi="Arial"/>
                <w:sz w:val="14"/>
                <w:szCs w:val="14"/>
                <w:color w:val="auto"/>
              </w:rPr>
              <w:t>2.03 %</w:t>
            </w:r>
          </w:p>
        </w:tc>
        <w:tc>
          <w:tcPr>
            <w:tcW w:w="840" w:type="dxa"/>
            <w:vAlign w:val="bottom"/>
            <w:gridSpan w:val="4"/>
            <w:shd w:val="clear" w:color="auto" w:fill="CCEEFF"/>
          </w:tcPr>
          <w:p>
            <w:pPr>
              <w:jc w:val="right"/>
              <w:ind w:right="149"/>
              <w:spacing w:after="0"/>
              <w:rPr>
                <w:sz w:val="20"/>
                <w:szCs w:val="20"/>
                <w:color w:val="auto"/>
              </w:rPr>
            </w:pPr>
            <w:r>
              <w:rPr>
                <w:rFonts w:ascii="Arial" w:cs="Arial" w:eastAsia="Arial" w:hAnsi="Arial"/>
                <w:sz w:val="14"/>
                <w:szCs w:val="14"/>
                <w:color w:val="auto"/>
              </w:rPr>
              <w:t>1.48 %</w:t>
            </w:r>
          </w:p>
        </w:tc>
        <w:tc>
          <w:tcPr>
            <w:tcW w:w="780" w:type="dxa"/>
            <w:vAlign w:val="bottom"/>
            <w:gridSpan w:val="4"/>
            <w:shd w:val="clear" w:color="auto" w:fill="CCEEFF"/>
          </w:tcPr>
          <w:p>
            <w:pPr>
              <w:jc w:val="right"/>
              <w:ind w:right="149"/>
              <w:spacing w:after="0"/>
              <w:rPr>
                <w:sz w:val="20"/>
                <w:szCs w:val="20"/>
                <w:color w:val="auto"/>
              </w:rPr>
            </w:pPr>
            <w:r>
              <w:rPr>
                <w:rFonts w:ascii="Arial" w:cs="Arial" w:eastAsia="Arial" w:hAnsi="Arial"/>
                <w:sz w:val="14"/>
                <w:szCs w:val="14"/>
                <w:color w:val="auto"/>
              </w:rPr>
              <w:t>1.37 %</w:t>
            </w:r>
          </w:p>
        </w:tc>
        <w:tc>
          <w:tcPr>
            <w:tcW w:w="840" w:type="dxa"/>
            <w:vAlign w:val="bottom"/>
            <w:gridSpan w:val="4"/>
            <w:shd w:val="clear" w:color="auto" w:fill="CCEEFF"/>
          </w:tcPr>
          <w:p>
            <w:pPr>
              <w:jc w:val="right"/>
              <w:ind w:right="149"/>
              <w:spacing w:after="0"/>
              <w:rPr>
                <w:sz w:val="20"/>
                <w:szCs w:val="20"/>
                <w:color w:val="auto"/>
              </w:rPr>
            </w:pPr>
            <w:r>
              <w:rPr>
                <w:rFonts w:ascii="Arial" w:cs="Arial" w:eastAsia="Arial" w:hAnsi="Arial"/>
                <w:sz w:val="14"/>
                <w:szCs w:val="14"/>
                <w:color w:val="auto"/>
              </w:rPr>
              <w:t>1.99 %</w:t>
            </w:r>
          </w:p>
        </w:tc>
        <w:tc>
          <w:tcPr>
            <w:tcW w:w="840" w:type="dxa"/>
            <w:vAlign w:val="bottom"/>
            <w:gridSpan w:val="4"/>
            <w:shd w:val="clear" w:color="auto" w:fill="CCEEFF"/>
          </w:tcPr>
          <w:p>
            <w:pPr>
              <w:jc w:val="right"/>
              <w:ind w:right="149"/>
              <w:spacing w:after="0"/>
              <w:rPr>
                <w:sz w:val="20"/>
                <w:szCs w:val="20"/>
                <w:color w:val="auto"/>
              </w:rPr>
            </w:pPr>
            <w:r>
              <w:rPr>
                <w:rFonts w:ascii="Arial" w:cs="Arial" w:eastAsia="Arial" w:hAnsi="Arial"/>
                <w:sz w:val="14"/>
                <w:szCs w:val="14"/>
                <w:color w:val="auto"/>
              </w:rPr>
              <w:t>2.61 %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36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96"/>
              </w:rPr>
              <w:t>%</w:t>
            </w:r>
          </w:p>
        </w:tc>
        <w:tc>
          <w:tcPr>
            <w:tcW w:w="860" w:type="dxa"/>
            <w:vAlign w:val="bottom"/>
            <w:gridSpan w:val="4"/>
            <w:shd w:val="clear" w:color="auto" w:fill="CCEEFF"/>
          </w:tcPr>
          <w:p>
            <w:pPr>
              <w:jc w:val="right"/>
              <w:ind w:right="169"/>
              <w:spacing w:after="0"/>
              <w:rPr>
                <w:sz w:val="20"/>
                <w:szCs w:val="20"/>
                <w:color w:val="auto"/>
              </w:rPr>
            </w:pPr>
            <w:r>
              <w:rPr>
                <w:rFonts w:ascii="Arial" w:cs="Arial" w:eastAsia="Arial" w:hAnsi="Arial"/>
                <w:sz w:val="14"/>
                <w:szCs w:val="14"/>
                <w:color w:val="auto"/>
              </w:rPr>
              <w:t>1.47 %</w:t>
            </w:r>
          </w:p>
        </w:tc>
      </w:tr>
      <w:tr>
        <w:trPr>
          <w:trHeight w:val="107"/>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r>
    </w:tbl>
    <w:p>
      <w:pPr>
        <w:spacing w:after="0" w:line="69" w:lineRule="exact"/>
        <w:rPr>
          <w:sz w:val="20"/>
          <w:szCs w:val="20"/>
          <w:color w:val="auto"/>
        </w:rPr>
      </w:pPr>
    </w:p>
    <w:p>
      <w:pPr>
        <w:ind w:right="220"/>
        <w:spacing w:after="0" w:line="213"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The exercise prices were decreased by $0.40 and/or $0.38 to reflect the effect from the distribution of the special dividends declared on November 28, 2018 and December 14, 2019, respectively.</w:t>
      </w:r>
    </w:p>
    <w:p>
      <w:pPr>
        <w:spacing w:after="0" w:line="201" w:lineRule="exact"/>
        <w:rPr>
          <w:sz w:val="20"/>
          <w:szCs w:val="20"/>
          <w:color w:val="auto"/>
        </w:rPr>
      </w:pPr>
    </w:p>
    <w:p>
      <w:pPr>
        <w:ind w:right="420" w:firstLine="320"/>
        <w:spacing w:after="0" w:line="270" w:lineRule="auto"/>
        <w:rPr>
          <w:sz w:val="20"/>
          <w:szCs w:val="20"/>
          <w:color w:val="auto"/>
        </w:rPr>
      </w:pPr>
      <w:r>
        <w:rPr>
          <w:rFonts w:ascii="Arial" w:cs="Arial" w:eastAsia="Arial" w:hAnsi="Arial"/>
          <w:sz w:val="18"/>
          <w:szCs w:val="18"/>
          <w:color w:val="auto"/>
        </w:rPr>
        <w:t>The fair value of the RSUs and PSUs was determined by using the grant date closing price and was not further adjusted since the holders are entitled to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RSUs, SARs and PSUs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summary of RSUs, SARs and PSUs is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6"/>
              </w:rPr>
              <w:t>average</w:t>
            </w: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w w:val="93"/>
              </w:rPr>
              <w:t>average share</w:t>
            </w:r>
          </w:p>
        </w:tc>
        <w:tc>
          <w:tcPr>
            <w:tcW w:w="1100" w:type="dxa"/>
            <w:vAlign w:val="bottom"/>
            <w:gridSpan w:val="2"/>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7"/>
              </w:rPr>
              <w:t>exercise price</w:t>
            </w:r>
          </w:p>
        </w:tc>
        <w:tc>
          <w:tcPr>
            <w:tcW w:w="11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price at the</w:t>
            </w:r>
          </w:p>
        </w:tc>
        <w:tc>
          <w:tcPr>
            <w:tcW w:w="11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awards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date of exercise</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contractual life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RSUs</w:t>
            </w: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367,162</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1.16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5,988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tcPr>
          <w:p>
            <w:pPr>
              <w:jc w:val="right"/>
              <w:spacing w:after="0"/>
              <w:rPr>
                <w:sz w:val="20"/>
                <w:szCs w:val="20"/>
                <w:color w:val="auto"/>
              </w:rPr>
            </w:pPr>
            <w:r>
              <w:rPr>
                <w:rFonts w:ascii="Arial" w:cs="Arial" w:eastAsia="Arial" w:hAnsi="Arial"/>
                <w:sz w:val="18"/>
                <w:szCs w:val="18"/>
                <w:color w:val="auto"/>
              </w:rPr>
              <w:t>(245,061)</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643,853</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4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(642,637)</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00" w:type="dxa"/>
            <w:vAlign w:val="bottom"/>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SARs</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2,630,173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14.46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6.53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00" w:type="dxa"/>
            <w:vAlign w:val="bottom"/>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2,452,478</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14.44</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5.47</w:t>
            </w:r>
          </w:p>
        </w:tc>
        <w:tc>
          <w:tcPr>
            <w:tcW w:w="14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(2,452,478)</w:t>
            </w:r>
          </w:p>
        </w:tc>
        <w:tc>
          <w:tcPr>
            <w:tcW w:w="1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(10,523)</w:t>
            </w:r>
          </w:p>
        </w:tc>
        <w:tc>
          <w:tcPr>
            <w:tcW w:w="0" w:type="dxa"/>
            <w:vAlign w:val="bottom"/>
          </w:tcPr>
          <w:p>
            <w:pPr>
              <w:spacing w:after="0"/>
              <w:rPr>
                <w:sz w:val="1"/>
                <w:szCs w:val="1"/>
                <w:color w:val="auto"/>
              </w:rPr>
            </w:pPr>
          </w:p>
        </w:tc>
      </w:tr>
      <w:tr>
        <w:trPr>
          <w:trHeight w:val="247"/>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PSUs</w:t>
            </w: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501,444</w:t>
            </w:r>
          </w:p>
        </w:tc>
        <w:tc>
          <w:tcPr>
            <w:tcW w:w="1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4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(501,444)</w:t>
            </w:r>
          </w:p>
        </w:tc>
        <w:tc>
          <w:tcPr>
            <w:tcW w:w="1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07"/>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320"/>
        <w:spacing w:after="0" w:line="271" w:lineRule="auto"/>
        <w:rPr>
          <w:sz w:val="20"/>
          <w:szCs w:val="20"/>
          <w:color w:val="auto"/>
        </w:rPr>
      </w:pPr>
      <w:r>
        <w:rPr>
          <w:rFonts w:ascii="Arial" w:cs="Arial" w:eastAsia="Arial" w:hAnsi="Arial"/>
          <w:sz w:val="17"/>
          <w:szCs w:val="17"/>
          <w:color w:val="auto"/>
        </w:rPr>
        <w:t>GasLog Partners has granted to its executives RCUs and PCUs in accordance with the GasLog Partners’ Plan. 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w:t>
      </w:r>
    </w:p>
    <w:p>
      <w:pPr>
        <w:sectPr>
          <w:pgSz w:w="11900" w:h="16838" w:orient="portrait"/>
          <w:cols w:equalWidth="0" w:num="1">
            <w:col w:w="9920"/>
          </w:cols>
          <w:pgMar w:left="980" w:top="659"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80"/>
        <w:spacing w:after="0" w:line="333" w:lineRule="auto"/>
        <w:rPr>
          <w:sz w:val="20"/>
          <w:szCs w:val="20"/>
          <w:color w:val="auto"/>
        </w:rPr>
      </w:pPr>
      <w:r>
        <w:rPr>
          <w:rFonts w:ascii="Arial" w:cs="Arial" w:eastAsia="Arial" w:hAnsi="Arial"/>
          <w:sz w:val="16"/>
          <w:szCs w:val="16"/>
          <w:color w:val="auto"/>
        </w:rPr>
        <w:t>between the 50th and 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the granted awards are presented in the following table:</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Awards</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Fair value at</w:t>
            </w:r>
          </w:p>
        </w:tc>
        <w:tc>
          <w:tcPr>
            <w:tcW w:w="0" w:type="dxa"/>
            <w:vAlign w:val="bottom"/>
          </w:tcPr>
          <w:p>
            <w:pPr>
              <w:spacing w:after="0"/>
              <w:rPr>
                <w:sz w:val="1"/>
                <w:szCs w:val="1"/>
                <w:color w:val="auto"/>
              </w:rPr>
            </w:pPr>
          </w:p>
        </w:tc>
      </w:tr>
      <w:tr>
        <w:trPr>
          <w:trHeight w:val="169"/>
        </w:trPr>
        <w:tc>
          <w:tcPr>
            <w:tcW w:w="4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7"/>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RCUs</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2019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26,308</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April 1, 2019</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233,688</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1, 2020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233,688</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April 1,2020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1, 2021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98,255</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April 1, 2021</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14, 2021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6"/>
        </w:trPr>
        <w:tc>
          <w:tcPr>
            <w:tcW w:w="472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21,663</w:t>
            </w:r>
          </w:p>
        </w:tc>
        <w:tc>
          <w:tcPr>
            <w:tcW w:w="1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September 14, 2021</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44" w:lineRule="exact"/>
        <w:rPr>
          <w:sz w:val="20"/>
          <w:szCs w:val="20"/>
          <w:color w:val="auto"/>
        </w:rPr>
      </w:pPr>
    </w:p>
    <w:p>
      <w:pPr>
        <w:ind w:right="200" w:firstLine="320"/>
        <w:spacing w:after="0" w:line="270" w:lineRule="auto"/>
        <w:rPr>
          <w:sz w:val="20"/>
          <w:szCs w:val="20"/>
          <w:color w:val="auto"/>
        </w:rPr>
      </w:pPr>
      <w:r>
        <w:rPr>
          <w:rFonts w:ascii="Arial" w:cs="Arial" w:eastAsia="Arial" w:hAnsi="Arial"/>
          <w:sz w:val="18"/>
          <w:szCs w:val="18"/>
          <w:color w:val="auto"/>
        </w:rPr>
        <w:t>The fair value of the RCUs and PCUs in accordance with the GasLog Partners’ Plan was determined by using the grant date closing price and was not further adjusted since the holders are entitled to cash distributions.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summary of RCUs and PCUs is presented below:</w:t>
      </w:r>
    </w:p>
    <w:p>
      <w:pPr>
        <w:spacing w:after="0" w:line="14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awards</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contractual life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07"/>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76,467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(220,177)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7"/>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89,978</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tcPr>
          <w:p>
            <w:pPr>
              <w:jc w:val="right"/>
              <w:spacing w:after="0"/>
              <w:rPr>
                <w:sz w:val="20"/>
                <w:szCs w:val="20"/>
                <w:color w:val="auto"/>
              </w:rPr>
            </w:pPr>
            <w:r>
              <w:rPr>
                <w:rFonts w:ascii="Arial" w:cs="Arial" w:eastAsia="Arial" w:hAnsi="Arial"/>
                <w:sz w:val="18"/>
                <w:szCs w:val="18"/>
                <w:color w:val="auto"/>
              </w:rPr>
              <w:t>119,918</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7"/>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203,912</w:t>
            </w:r>
          </w:p>
        </w:tc>
        <w:tc>
          <w:tcPr>
            <w:tcW w:w="1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6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PCUs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b w:val="1"/>
                <w:bCs w:val="1"/>
                <w:color w:val="auto"/>
              </w:rPr>
              <w:t>Outstanding as of January 1, 2020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76,467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(213,955)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89,978</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16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(2,992)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203,912</w:t>
            </w:r>
          </w:p>
        </w:tc>
        <w:tc>
          <w:tcPr>
            <w:tcW w:w="1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20" w:firstLine="320"/>
        <w:spacing w:after="0" w:line="258" w:lineRule="auto"/>
        <w:rPr>
          <w:sz w:val="20"/>
          <w:szCs w:val="20"/>
          <w:color w:val="auto"/>
        </w:rPr>
      </w:pPr>
      <w:r>
        <w:rPr>
          <w:rFonts w:ascii="Arial" w:cs="Arial" w:eastAsia="Arial" w:hAnsi="Arial"/>
          <w:sz w:val="18"/>
          <w:szCs w:val="18"/>
          <w:color w:val="auto"/>
        </w:rPr>
        <w:t>The total expense recognized in respect of share-based compensation for the year ended December 31, 2021 was $3,032 (December 31, 2020: $5,486 and December 31, 2019: $5,107). The total accrued cash distribution as of December 31, 2021 is $86 (December 31, 2020: $552).</w:t>
      </w:r>
    </w:p>
    <w:p>
      <w:pPr>
        <w:sectPr>
          <w:pgSz w:w="11900" w:h="16838" w:orient="portrait"/>
          <w:cols w:equalWidth="0" w:num="1">
            <w:col w:w="9920"/>
          </w:cols>
          <w:pgMar w:left="980" w:top="659"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286500" cy="17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ind w:left="280" w:hanging="273"/>
        <w:spacing w:after="0"/>
        <w:tabs>
          <w:tab w:leader="none" w:pos="2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3" w:lineRule="exact"/>
        <w:rPr>
          <w:rFonts w:ascii="Arial" w:cs="Arial" w:eastAsia="Arial" w:hAnsi="Arial"/>
          <w:sz w:val="18"/>
          <w:szCs w:val="18"/>
          <w:b w:val="1"/>
          <w:bCs w:val="1"/>
          <w:color w:val="auto"/>
        </w:rPr>
      </w:pPr>
    </w:p>
    <w:p>
      <w:pPr>
        <w:ind w:left="640" w:hanging="313"/>
        <w:spacing w:after="0"/>
        <w:tabs>
          <w:tab w:leader="none" w:pos="64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Commitments relating to the vessels under construction (Note 6) on December 31, 2021 payable to Daewoo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47"/>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r>
      <w:tr>
        <w:trPr>
          <w:trHeight w:val="169"/>
        </w:trPr>
        <w:tc>
          <w:tcPr>
            <w:tcW w:w="20" w:type="dxa"/>
            <w:vAlign w:val="bottom"/>
          </w:tcPr>
          <w:p>
            <w:pPr>
              <w:spacing w:after="0"/>
              <w:rPr>
                <w:sz w:val="14"/>
                <w:szCs w:val="14"/>
                <w:color w:val="auto"/>
              </w:rPr>
            </w:pPr>
          </w:p>
        </w:tc>
        <w:tc>
          <w:tcPr>
            <w:tcW w:w="86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07"/>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123,098</w:t>
            </w:r>
          </w:p>
        </w:tc>
      </w:tr>
      <w:tr>
        <w:trPr>
          <w:trHeight w:val="213"/>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451,360</w:t>
            </w: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246,196</w:t>
            </w:r>
          </w:p>
        </w:tc>
      </w:tr>
      <w:tr>
        <w:trPr>
          <w:trHeight w:val="20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820,654</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380" w:firstLine="327"/>
        <w:spacing w:after="0" w:line="255" w:lineRule="auto"/>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Future gross minimum revenues receivable in relation to non-cancellable time charter agreements for vessels in operation, including vessels under a lease (Note 7) as of December 31, 2021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32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9"/>
              </w:rPr>
              <w:t>As of December 31,</w:t>
            </w:r>
          </w:p>
        </w:tc>
      </w:tr>
      <w:tr>
        <w:trPr>
          <w:trHeight w:val="169"/>
        </w:trPr>
        <w:tc>
          <w:tcPr>
            <w:tcW w:w="67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07"/>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542,913</w:t>
            </w:r>
          </w:p>
        </w:tc>
      </w:tr>
      <w:tr>
        <w:trPr>
          <w:trHeight w:val="213"/>
        </w:trPr>
        <w:tc>
          <w:tcPr>
            <w:tcW w:w="6720" w:type="dxa"/>
            <w:vAlign w:val="bottom"/>
          </w:tcPr>
          <w:p>
            <w:pPr>
              <w:spacing w:after="0"/>
              <w:rPr>
                <w:sz w:val="20"/>
                <w:szCs w:val="20"/>
                <w:color w:val="auto"/>
              </w:rPr>
            </w:pPr>
            <w:r>
              <w:rPr>
                <w:rFonts w:ascii="Arial" w:cs="Arial" w:eastAsia="Arial" w:hAnsi="Arial"/>
                <w:sz w:val="18"/>
                <w:szCs w:val="18"/>
                <w:color w:val="auto"/>
              </w:rPr>
              <w:t>Later than one year and not later than two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421,640</w:t>
            </w:r>
          </w:p>
        </w:tc>
      </w:tr>
      <w:tr>
        <w:trPr>
          <w:trHeight w:val="21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Later than two years and not later than three years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352,986</w:t>
            </w:r>
          </w:p>
        </w:tc>
      </w:tr>
      <w:tr>
        <w:trPr>
          <w:trHeight w:val="213"/>
        </w:trPr>
        <w:tc>
          <w:tcPr>
            <w:tcW w:w="6720" w:type="dxa"/>
            <w:vAlign w:val="bottom"/>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325,410</w:t>
            </w:r>
          </w:p>
        </w:tc>
      </w:tr>
      <w:tr>
        <w:trPr>
          <w:trHeight w:val="21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Later than four years and not later than five years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257,903</w:t>
            </w:r>
          </w:p>
        </w:tc>
      </w:tr>
      <w:tr>
        <w:trPr>
          <w:trHeight w:val="213"/>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Later than five years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375,218</w:t>
            </w:r>
          </w:p>
        </w:tc>
      </w:tr>
      <w:tr>
        <w:trPr>
          <w:trHeight w:val="20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2,276,070</w:t>
            </w:r>
          </w:p>
        </w:tc>
      </w:tr>
      <w:tr>
        <w:trPr>
          <w:trHeight w:val="20"/>
        </w:trPr>
        <w:tc>
          <w:tcPr>
            <w:tcW w:w="6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60" w:firstLine="327"/>
        <w:spacing w:after="0" w:line="271"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September 2017 (and in addition to the seven existing maintenance agreements signed in 2015 in relation to GasLog vessels) and later in June 2021, GasLog LNG Services Ltd. entered into further maintenance agreements with Wartsila Greece S.A. (“Wartsila”) in respect of eighteen additional GasLog LNG carriers in total.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77" w:lineRule="exact"/>
        <w:rPr>
          <w:rFonts w:ascii="Arial" w:cs="Arial" w:eastAsia="Arial" w:hAnsi="Arial"/>
          <w:sz w:val="17"/>
          <w:szCs w:val="17"/>
          <w:color w:val="auto"/>
        </w:rPr>
      </w:pPr>
    </w:p>
    <w:p>
      <w:pPr>
        <w:jc w:val="both"/>
        <w:ind w:right="40" w:firstLine="327"/>
        <w:spacing w:after="0" w:line="255"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December 31, 2021, ballast water management systems had been installed on fourteen out of the nineteen vessels.</w:t>
      </w:r>
    </w:p>
    <w:p>
      <w:pPr>
        <w:spacing w:after="0" w:line="187" w:lineRule="exact"/>
        <w:rPr>
          <w:rFonts w:ascii="Arial" w:cs="Arial" w:eastAsia="Arial" w:hAnsi="Arial"/>
          <w:sz w:val="18"/>
          <w:szCs w:val="18"/>
          <w:color w:val="auto"/>
        </w:rPr>
      </w:pPr>
    </w:p>
    <w:p>
      <w:pPr>
        <w:ind w:right="120" w:firstLine="327"/>
        <w:spacing w:after="0" w:line="258"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October 2021, GasLog LNG Services entered into long term service agreements with Hyundai Global Service Europe B.V. (“Hyundai”) in respect of six of GasLog’s vessels. The agreement covers the supply of spare parts and/or services to maintain the engines of these vessels for a period of five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4"/>
          <w:szCs w:val="14"/>
          <w:color w:val="auto"/>
        </w:rPr>
        <w:t>Other Guarantees: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GasLog LNG Services Ltd. has provided bank guarantees as follows:</w:t>
      </w:r>
    </w:p>
    <w:p>
      <w:pPr>
        <w:spacing w:after="0" w:line="220" w:lineRule="exact"/>
        <w:rPr>
          <w:sz w:val="20"/>
          <w:szCs w:val="20"/>
          <w:color w:val="auto"/>
        </w:rPr>
      </w:pPr>
    </w:p>
    <w:p>
      <w:pPr>
        <w:ind w:left="640" w:hanging="313"/>
        <w:spacing w:after="0"/>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Up to $250 to third parties relating to the satisfactory performance of its ship management activities;</w:t>
      </w:r>
    </w:p>
    <w:p>
      <w:pPr>
        <w:spacing w:after="0" w:line="219" w:lineRule="exact"/>
        <w:rPr>
          <w:rFonts w:ascii="Arial" w:cs="Arial" w:eastAsia="Arial" w:hAnsi="Arial"/>
          <w:sz w:val="18"/>
          <w:szCs w:val="18"/>
          <w:color w:val="auto"/>
        </w:rPr>
      </w:pPr>
    </w:p>
    <w:p>
      <w:pPr>
        <w:ind w:left="680" w:right="120" w:hanging="326"/>
        <w:spacing w:after="0" w:line="270" w:lineRule="auto"/>
        <w:tabs>
          <w:tab w:leader="none" w:pos="6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Bank guarantee of $10 to the Greek Ministry of Finance relating to the satisfactory performance of the obligations arising under Greek laws 89/1967, 378/1968 as amended by law 814/1978.</w:t>
      </w:r>
    </w:p>
    <w:p>
      <w:pPr>
        <w:spacing w:after="0" w:line="174" w:lineRule="exact"/>
        <w:rPr>
          <w:rFonts w:ascii="Arial" w:cs="Arial" w:eastAsia="Arial" w:hAnsi="Arial"/>
          <w:sz w:val="18"/>
          <w:szCs w:val="18"/>
          <w:color w:val="auto"/>
        </w:rPr>
      </w:pPr>
    </w:p>
    <w:p>
      <w:pPr>
        <w:ind w:left="680" w:right="360" w:hanging="326"/>
        <w:spacing w:after="0" w:line="258" w:lineRule="auto"/>
        <w:tabs>
          <w:tab w:leader="none" w:pos="6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Bank guarantee of $338 relating to the United Kingdom Mutual Steamship Assurance Association Limited relating to the punctual payment in the event a supplementary call is levied for policy years in which GasLog vessels were entered with the club.</w:t>
      </w:r>
    </w:p>
    <w:p>
      <w:pPr>
        <w:spacing w:after="0" w:line="182" w:lineRule="exact"/>
        <w:rPr>
          <w:rFonts w:ascii="Arial" w:cs="Arial" w:eastAsia="Arial" w:hAnsi="Arial"/>
          <w:sz w:val="18"/>
          <w:szCs w:val="18"/>
          <w:color w:val="auto"/>
        </w:rPr>
      </w:pPr>
    </w:p>
    <w:p>
      <w:pPr>
        <w:ind w:left="280" w:hanging="273"/>
        <w:spacing w:after="0"/>
        <w:tabs>
          <w:tab w:leader="none" w:pos="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4" w:lineRule="exact"/>
        <w:rPr>
          <w:sz w:val="20"/>
          <w:szCs w:val="20"/>
          <w:color w:val="auto"/>
        </w:rPr>
      </w:pPr>
    </w:p>
    <w:p>
      <w:pPr>
        <w:ind w:right="40" w:firstLine="320"/>
        <w:spacing w:after="0" w:line="255" w:lineRule="auto"/>
        <w:rPr>
          <w:sz w:val="20"/>
          <w:szCs w:val="20"/>
          <w:color w:val="auto"/>
        </w:rPr>
      </w:pPr>
      <w:r>
        <w:rPr>
          <w:rFonts w:ascii="Arial" w:cs="Arial" w:eastAsia="Arial" w:hAnsi="Arial"/>
          <w:sz w:val="18"/>
          <w:szCs w:val="18"/>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0" w:lineRule="exact"/>
        <w:rPr>
          <w:sz w:val="20"/>
          <w:szCs w:val="20"/>
          <w:color w:val="auto"/>
        </w:rPr>
      </w:pPr>
    </w:p>
    <w:p>
      <w:pPr>
        <w:ind w:right="40" w:firstLine="320"/>
        <w:spacing w:after="0" w:line="269"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The Group is subject to market risks relating to changes in interest rates because it has floating rate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Significant increases 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2021, the Group has economically hedged 43.7% of its variable rate interest exposure relating to its existing loan facilities and the bonds by swapping the variable rate to a fixed rate (December 31, 2020: 47.6%).</w:t>
      </w:r>
    </w:p>
    <w:p>
      <w:pPr>
        <w:spacing w:after="0" w:line="180"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The aggregate principal amount of our outstanding floating rate debt as of December 31, 2021 was $1,915,297. As an indication of the extent of our sensitivity to interest rate changes, an increase in LIBOR of 10 basis points would increase the annual interest expense on the un-hedged portion of the Group’s loans by approximately $1,942 (December 31, 2020: $1,665 and December 31, 2019: $1,530).</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Interest rate sensitivity analysis: </w:t>
      </w:r>
      <w:r>
        <w:rPr>
          <w:rFonts w:ascii="Arial" w:cs="Arial" w:eastAsia="Arial" w:hAnsi="Arial"/>
          <w:sz w:val="16"/>
          <w:szCs w:val="16"/>
          <w:color w:val="auto"/>
        </w:rPr>
        <w:t>The fair value of the interest rate swaps as of December 31, 2021 was estimated as a net liability of</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$53,192 (December 31, 2020: net liability of $113,855).</w:t>
      </w:r>
    </w:p>
    <w:p>
      <w:pPr>
        <w:spacing w:after="0" w:line="207" w:lineRule="exact"/>
        <w:rPr>
          <w:sz w:val="20"/>
          <w:szCs w:val="20"/>
          <w:color w:val="auto"/>
        </w:rPr>
      </w:pPr>
    </w:p>
    <w:p>
      <w:pPr>
        <w:ind w:right="200" w:firstLine="320"/>
        <w:spacing w:after="0" w:line="292" w:lineRule="auto"/>
        <w:rPr>
          <w:sz w:val="20"/>
          <w:szCs w:val="20"/>
          <w:color w:val="auto"/>
        </w:rPr>
      </w:pPr>
      <w:r>
        <w:rPr>
          <w:rFonts w:ascii="Arial" w:cs="Arial" w:eastAsia="Arial" w:hAnsi="Arial"/>
          <w:sz w:val="16"/>
          <w:szCs w:val="16"/>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At December 31, 2021, if interest rates had increased or decreased by 10 basis points with all other variables held constant, the positive/(negative) impact, respectively, on the fair value of the interest rate swaps would have amounted to $3,187 (December 31, 2020: $5,162 and December 31, 2019: $6,285) affecting loss/(gain) on derivatives in the respective reporting dates.</w:t>
      </w:r>
    </w:p>
    <w:p>
      <w:pPr>
        <w:spacing w:after="0" w:line="162" w:lineRule="exact"/>
        <w:rPr>
          <w:sz w:val="20"/>
          <w:szCs w:val="20"/>
          <w:color w:val="auto"/>
        </w:rPr>
      </w:pPr>
    </w:p>
    <w:p>
      <w:pPr>
        <w:ind w:right="160" w:firstLine="320"/>
        <w:spacing w:after="0" w:line="258" w:lineRule="auto"/>
        <w:rPr>
          <w:sz w:val="20"/>
          <w:szCs w:val="20"/>
          <w:color w:val="auto"/>
        </w:rPr>
      </w:pPr>
      <w:r>
        <w:rPr>
          <w:rFonts w:ascii="Arial" w:cs="Arial" w:eastAsia="Arial" w:hAnsi="Arial"/>
          <w:sz w:val="18"/>
          <w:szCs w:val="18"/>
          <w:b w:val="1"/>
          <w:bCs w:val="1"/>
          <w:i w:val="1"/>
          <w:iCs w:val="1"/>
          <w:color w:val="auto"/>
        </w:rPr>
        <w:t xml:space="preserve">Other price risk: </w:t>
      </w:r>
      <w:r>
        <w:rPr>
          <w:rFonts w:ascii="Arial" w:cs="Arial" w:eastAsia="Arial" w:hAnsi="Arial"/>
          <w:sz w:val="18"/>
          <w:szCs w:val="18"/>
          <w:color w:val="auto"/>
        </w:rPr>
        <w:t>The decrease in the fair value of Egypt LNG Shipping Ltd., in response to unfavorable market conditions resulting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decrease in charter rates and vessel values, could negatively impact the value of the Group’s investment in associate. Therefore, management might conclude that impairment is necessary in the future.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0"/>
        <w:spacing w:after="0" w:line="267" w:lineRule="auto"/>
        <w:rPr>
          <w:sz w:val="20"/>
          <w:szCs w:val="20"/>
          <w:color w:val="auto"/>
        </w:rPr>
      </w:pPr>
      <w:r>
        <w:rPr>
          <w:rFonts w:ascii="Arial" w:cs="Arial" w:eastAsia="Arial" w:hAnsi="Arial"/>
          <w:sz w:val="17"/>
          <w:szCs w:val="17"/>
          <w:b w:val="1"/>
          <w:bCs w:val="1"/>
          <w:i w:val="1"/>
          <w:iCs w:val="1"/>
          <w:color w:val="auto"/>
        </w:rPr>
        <w:t xml:space="preserve">Currency risk: </w:t>
      </w:r>
      <w:r>
        <w:rPr>
          <w:rFonts w:ascii="Arial" w:cs="Arial" w:eastAsia="Arial" w:hAnsi="Arial"/>
          <w:sz w:val="17"/>
          <w:szCs w:val="17"/>
          <w:color w:val="auto"/>
        </w:rPr>
        <w:t>Currency risk is the risk that the value of financial instruments and/or the cost of commercial transactions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fluctuate due to changes in 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 Specifically, for the year ended December 31, 2021, $126,988 of the operating and administrative expenses were denominated in EUR (December 31, 2020: $130,861 and December 31, 2019: $113,804). As of December 31, 2021, $27,323 of the Group’s outstanding trade payables and accruals were denominated in EUR (December 31, 2020: $34,199). The Group is also exposed in currency risk in relation to our NOK 2024 Bonds (Note 13).</w:t>
      </w:r>
    </w:p>
    <w:p>
      <w:pPr>
        <w:spacing w:after="0" w:line="182" w:lineRule="exact"/>
        <w:rPr>
          <w:sz w:val="20"/>
          <w:szCs w:val="20"/>
          <w:color w:val="auto"/>
        </w:rPr>
      </w:pPr>
    </w:p>
    <w:p>
      <w:pPr>
        <w:ind w:right="40" w:firstLine="320"/>
        <w:spacing w:after="0" w:line="292" w:lineRule="auto"/>
        <w:rPr>
          <w:sz w:val="20"/>
          <w:szCs w:val="20"/>
          <w:color w:val="auto"/>
        </w:rPr>
      </w:pPr>
      <w:r>
        <w:rPr>
          <w:rFonts w:ascii="Arial" w:cs="Arial" w:eastAsia="Arial" w:hAnsi="Arial"/>
          <w:sz w:val="16"/>
          <w:szCs w:val="16"/>
          <w:color w:val="auto"/>
        </w:rPr>
        <w:t>The Group has entered into CCSs (Note 26) to hedge its currency exposure from the NOK 2024 Bonds and forward foreign exchange contracts to hedge its currency exposure from payments in EUR. In addition, management monitors exchange rate fluctuations on a continuous basis. As an indication of the extent of the Group’s sensitivity to changes in exchange rate, a 10% increase in the average EUR/USD exchange rate would have decreased the Group’s profit and cash flows during the year ended December 31, 2021 by $12,699, based upon its expenses during the year (December 31, 2020: $13,086 and December 31, 2019: $11,380).</w:t>
      </w:r>
    </w:p>
    <w:p>
      <w:pPr>
        <w:spacing w:after="0" w:line="162" w:lineRule="exact"/>
        <w:rPr>
          <w:sz w:val="20"/>
          <w:szCs w:val="20"/>
          <w:color w:val="auto"/>
        </w:rPr>
      </w:pPr>
    </w:p>
    <w:p>
      <w:pPr>
        <w:ind w:firstLine="320"/>
        <w:spacing w:after="0" w:line="296" w:lineRule="auto"/>
        <w:rPr>
          <w:sz w:val="20"/>
          <w:szCs w:val="20"/>
          <w:color w:val="auto"/>
        </w:rPr>
      </w:pPr>
      <w:r>
        <w:rPr>
          <w:rFonts w:ascii="Arial" w:cs="Arial" w:eastAsia="Arial" w:hAnsi="Arial"/>
          <w:sz w:val="16"/>
          <w:szCs w:val="16"/>
          <w:b w:val="1"/>
          <w:bCs w:val="1"/>
          <w:i w:val="1"/>
          <w:iCs w:val="1"/>
          <w:color w:val="auto"/>
        </w:rPr>
        <w:t xml:space="preserve">Interest rate risk on NOK 2024 Bonds (cash flow hedge): </w:t>
      </w:r>
      <w:r>
        <w:rPr>
          <w:rFonts w:ascii="Arial" w:cs="Arial" w:eastAsia="Arial" w:hAnsi="Arial"/>
          <w:sz w:val="16"/>
          <w:szCs w:val="16"/>
          <w:color w:val="auto"/>
        </w:rPr>
        <w:t>The Group uses approved instruments such as CCSs, in order to reduce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variability of the cash flows associated with the functional currency equivalent interest and principal of the NOK 2024 Bonds as well as changes in the cash flows associated with changes in the currency rates and is therefore exposed to the following interest rate benchmarks within its hedge accounting relationship, which are subject to interest rate benchmark reform: LIBOR and NIBOR (collectively “IBORs”).</w:t>
      </w:r>
    </w:p>
    <w:p>
      <w:pPr>
        <w:spacing w:after="0" w:line="160" w:lineRule="exact"/>
        <w:rPr>
          <w:sz w:val="20"/>
          <w:szCs w:val="20"/>
          <w:color w:val="auto"/>
        </w:rPr>
      </w:pPr>
    </w:p>
    <w:p>
      <w:pPr>
        <w:ind w:firstLine="320"/>
        <w:spacing w:after="0" w:line="271" w:lineRule="auto"/>
        <w:rPr>
          <w:sz w:val="20"/>
          <w:szCs w:val="20"/>
          <w:color w:val="auto"/>
        </w:rPr>
      </w:pPr>
      <w:r>
        <w:rPr>
          <w:rFonts w:ascii="Arial" w:cs="Arial" w:eastAsia="Arial" w:hAnsi="Arial"/>
          <w:sz w:val="17"/>
          <w:szCs w:val="17"/>
          <w:color w:val="auto"/>
        </w:rPr>
        <w:t>The Group has closely monitored the market and the output from the various industry working groups managing the transition to new benchmark interest rates. This includes announcements made by LIBOR regulators (including the Financial Conduct Authority (“FCA”) and the US Commodity Futures Trading Commission) regarding the transition away from IBORs to the Secured Overnight Financing Rate (“SOFR”) and the Norwegian Overnight Weighted Average (“NOWA”) respectively. The FCA has made clear that, at the end of 2021, it will no longer seek to persuade or compel banks to submit LIBOR estimates.</w:t>
      </w:r>
    </w:p>
    <w:p>
      <w:pPr>
        <w:spacing w:after="0" w:line="177" w:lineRule="exact"/>
        <w:rPr>
          <w:sz w:val="20"/>
          <w:szCs w:val="20"/>
          <w:color w:val="auto"/>
        </w:rPr>
      </w:pPr>
    </w:p>
    <w:p>
      <w:pPr>
        <w:ind w:right="620" w:firstLine="320"/>
        <w:spacing w:after="0" w:line="270" w:lineRule="auto"/>
        <w:rPr>
          <w:sz w:val="20"/>
          <w:szCs w:val="20"/>
          <w:color w:val="auto"/>
        </w:rPr>
      </w:pPr>
      <w:r>
        <w:rPr>
          <w:rFonts w:ascii="Arial" w:cs="Arial" w:eastAsia="Arial" w:hAnsi="Arial"/>
          <w:sz w:val="18"/>
          <w:szCs w:val="18"/>
          <w:color w:val="auto"/>
        </w:rPr>
        <w:t>The Group believes that all areas potentially impacted (including borrowings, derivative financial instruments etc.) have been identified.</w:t>
      </w:r>
    </w:p>
    <w:p>
      <w:pPr>
        <w:spacing w:after="0" w:line="175" w:lineRule="exact"/>
        <w:rPr>
          <w:sz w:val="20"/>
          <w:szCs w:val="20"/>
          <w:color w:val="auto"/>
        </w:rPr>
      </w:pPr>
    </w:p>
    <w:p>
      <w:pPr>
        <w:ind w:right="80" w:firstLine="320"/>
        <w:spacing w:after="0" w:line="271" w:lineRule="auto"/>
        <w:rPr>
          <w:sz w:val="20"/>
          <w:szCs w:val="20"/>
          <w:color w:val="auto"/>
        </w:rPr>
      </w:pPr>
      <w:r>
        <w:rPr>
          <w:rFonts w:ascii="Arial" w:cs="Arial" w:eastAsia="Arial" w:hAnsi="Arial"/>
          <w:sz w:val="17"/>
          <w:szCs w:val="17"/>
          <w:color w:val="auto"/>
        </w:rPr>
        <w:t>The Group’s NOK 2024 Bonds agreement includes fall back provisions for a case of cessation of the referenced benchmark interest rate. Specifically, it states that in the case that the interest rate referenced IBOR is no longer available, the interest rate will be set by the bond trustee in consultation with the issuer to: (i) any relevant replacement reference rate generally accepted in the market; or (ii) such interest rate that best reflects the interest rate for deposits in the bond currency offered for the relevant interest period. In each case, if any such rate is below zero, the reference rate will be deemed to be zero.</w:t>
      </w:r>
    </w:p>
    <w:p>
      <w:pPr>
        <w:spacing w:after="0" w:line="177" w:lineRule="exact"/>
        <w:rPr>
          <w:sz w:val="20"/>
          <w:szCs w:val="20"/>
          <w:color w:val="auto"/>
        </w:rPr>
      </w:pPr>
    </w:p>
    <w:p>
      <w:pPr>
        <w:jc w:val="both"/>
        <w:ind w:right="80" w:firstLine="320"/>
        <w:spacing w:after="0" w:line="258" w:lineRule="auto"/>
        <w:rPr>
          <w:sz w:val="20"/>
          <w:szCs w:val="20"/>
          <w:color w:val="auto"/>
        </w:rPr>
      </w:pPr>
      <w:r>
        <w:rPr>
          <w:rFonts w:ascii="Arial" w:cs="Arial" w:eastAsia="Arial" w:hAnsi="Arial"/>
          <w:sz w:val="18"/>
          <w:szCs w:val="18"/>
          <w:color w:val="auto"/>
        </w:rPr>
        <w:t>For the Group’s CCSs, the International Swaps and Derivatives Association’s (“ISDA”) fall back clauses were made available at the end of 2019. These clauses or similar language has been inserted into a number of ISDA agreements across the Group and all outstanding agreements will be considered on a case by case basis with each counterparty.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880"/>
          </w:cols>
          <w:pgMar w:left="980" w:top="659" w:right="10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20" w:firstLine="320"/>
        <w:spacing w:after="0" w:line="300" w:lineRule="auto"/>
        <w:rPr>
          <w:sz w:val="20"/>
          <w:szCs w:val="20"/>
          <w:color w:val="auto"/>
        </w:rPr>
      </w:pPr>
      <w:r>
        <w:rPr>
          <w:rFonts w:ascii="Arial" w:cs="Arial" w:eastAsia="Arial" w:hAnsi="Arial"/>
          <w:sz w:val="17"/>
          <w:szCs w:val="17"/>
          <w:color w:val="auto"/>
        </w:rPr>
        <w:t>Below are details of the hedging instruments and hedged item in scope of the IFRS 9 amendments due to interest rate benchmark reform, by hedge type. The terms of the hedged item match those of the corresponding hedging instruments.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380" w:type="dxa"/>
            <w:vAlign w:val="bottom"/>
          </w:tcPr>
          <w:p>
            <w:pPr>
              <w:ind w:left="340"/>
              <w:spacing w:after="0"/>
              <w:rPr>
                <w:sz w:val="20"/>
                <w:szCs w:val="20"/>
                <w:color w:val="auto"/>
              </w:rPr>
            </w:pPr>
            <w:r>
              <w:rPr>
                <w:rFonts w:ascii="Arial" w:cs="Arial" w:eastAsia="Arial" w:hAnsi="Arial"/>
                <w:sz w:val="14"/>
                <w:szCs w:val="14"/>
                <w:b w:val="1"/>
                <w:bCs w:val="1"/>
                <w:color w:val="auto"/>
              </w:rPr>
              <w:t>Hedge type</w:t>
            </w:r>
          </w:p>
        </w:tc>
        <w:tc>
          <w:tcPr>
            <w:tcW w:w="160" w:type="dxa"/>
            <w:vAlign w:val="bottom"/>
          </w:tcPr>
          <w:p>
            <w:pPr>
              <w:spacing w:after="0"/>
              <w:rPr>
                <w:sz w:val="14"/>
                <w:szCs w:val="14"/>
                <w:color w:val="auto"/>
              </w:rPr>
            </w:pPr>
          </w:p>
        </w:tc>
        <w:tc>
          <w:tcPr>
            <w:tcW w:w="3360" w:type="dxa"/>
            <w:vAlign w:val="bottom"/>
          </w:tcPr>
          <w:p>
            <w:pPr>
              <w:ind w:left="1180"/>
              <w:spacing w:after="0"/>
              <w:rPr>
                <w:sz w:val="20"/>
                <w:szCs w:val="20"/>
                <w:color w:val="auto"/>
              </w:rPr>
            </w:pPr>
            <w:r>
              <w:rPr>
                <w:rFonts w:ascii="Arial" w:cs="Arial" w:eastAsia="Arial" w:hAnsi="Arial"/>
                <w:sz w:val="14"/>
                <w:szCs w:val="14"/>
                <w:b w:val="1"/>
                <w:bCs w:val="1"/>
                <w:color w:val="auto"/>
              </w:rPr>
              <w:t>Instrument type</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Counterparty</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Maturing in</w:t>
            </w:r>
          </w:p>
        </w:tc>
        <w:tc>
          <w:tcPr>
            <w:tcW w:w="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0"/>
              </w:rPr>
              <w:t>Notional amount</w:t>
            </w:r>
          </w:p>
        </w:tc>
        <w:tc>
          <w:tcPr>
            <w:tcW w:w="1660" w:type="dxa"/>
            <w:vAlign w:val="bottom"/>
          </w:tcPr>
          <w:p>
            <w:pPr>
              <w:ind w:left="520"/>
              <w:spacing w:after="0"/>
              <w:rPr>
                <w:sz w:val="20"/>
                <w:szCs w:val="20"/>
                <w:color w:val="auto"/>
              </w:rPr>
            </w:pPr>
            <w:r>
              <w:rPr>
                <w:rFonts w:ascii="Arial" w:cs="Arial" w:eastAsia="Arial" w:hAnsi="Arial"/>
                <w:sz w:val="14"/>
                <w:szCs w:val="14"/>
                <w:b w:val="1"/>
                <w:bCs w:val="1"/>
                <w:color w:val="auto"/>
              </w:rPr>
              <w:t>Hedged item</w:t>
            </w:r>
          </w:p>
        </w:tc>
      </w:tr>
      <w:tr>
        <w:trPr>
          <w:trHeight w:val="192"/>
        </w:trPr>
        <w:tc>
          <w:tcPr>
            <w:tcW w:w="20" w:type="dxa"/>
            <w:vAlign w:val="bottom"/>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Receive 3-month NIBOR, pay 3-month</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LIBOR floating CCS</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DNB</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Nov 2024</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32,850</w:t>
            </w:r>
          </w:p>
        </w:tc>
        <w:tc>
          <w:tcPr>
            <w:tcW w:w="1660" w:type="dxa"/>
            <w:vAlign w:val="bottom"/>
            <w:shd w:val="clear" w:color="auto" w:fill="CCEEFF"/>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ind w:left="160"/>
              <w:spacing w:after="0" w:line="199" w:lineRule="exact"/>
              <w:rPr>
                <w:sz w:val="20"/>
                <w:szCs w:val="20"/>
                <w:color w:val="auto"/>
              </w:rPr>
            </w:pPr>
            <w:r>
              <w:rPr>
                <w:rFonts w:ascii="Arial" w:cs="Arial" w:eastAsia="Arial" w:hAnsi="Arial"/>
                <w:sz w:val="18"/>
                <w:szCs w:val="18"/>
                <w:color w:val="auto"/>
                <w:w w:val="92"/>
              </w:rPr>
              <w:t>NOK 2024 Bonds of</w:t>
            </w:r>
          </w:p>
        </w:tc>
      </w:t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the same maturity</w:t>
            </w:r>
          </w:p>
        </w:tc>
      </w:t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Receive 3-month NIBOR, pay 3-month</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w w:val="99"/>
              </w:rPr>
              <w:t>and notional of the</w:t>
            </w:r>
          </w:p>
        </w:tc>
      </w:tr>
      <w:tr>
        <w:trPr>
          <w:trHeight w:val="227"/>
        </w:trPr>
        <w:tc>
          <w:tcPr>
            <w:tcW w:w="1400" w:type="dxa"/>
            <w:vAlign w:val="bottom"/>
            <w:gridSpan w:val="2"/>
          </w:tcPr>
          <w:p>
            <w:pPr>
              <w:spacing w:after="0"/>
              <w:rPr>
                <w:sz w:val="20"/>
                <w:szCs w:val="20"/>
                <w:color w:val="auto"/>
              </w:rPr>
            </w:pPr>
            <w:r>
              <w:rPr>
                <w:rFonts w:ascii="Arial" w:cs="Arial" w:eastAsia="Arial" w:hAnsi="Arial"/>
                <w:sz w:val="18"/>
                <w:szCs w:val="18"/>
                <w:color w:val="auto"/>
                <w:w w:val="96"/>
              </w:rPr>
              <w:t>Cash flow hedges</w:t>
            </w: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LIBOR floating CCS</w:t>
            </w: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SEB</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Nov 2024</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32,850</w:t>
            </w:r>
          </w:p>
        </w:tc>
        <w:tc>
          <w:tcPr>
            <w:tcW w:w="1660" w:type="dxa"/>
            <w:vAlign w:val="bottom"/>
          </w:tcPr>
          <w:p>
            <w:pPr>
              <w:ind w:left="160"/>
              <w:spacing w:after="0"/>
              <w:rPr>
                <w:sz w:val="20"/>
                <w:szCs w:val="20"/>
                <w:color w:val="auto"/>
              </w:rPr>
            </w:pPr>
            <w:r>
              <w:rPr>
                <w:rFonts w:ascii="Arial" w:cs="Arial" w:eastAsia="Arial" w:hAnsi="Arial"/>
                <w:sz w:val="18"/>
                <w:szCs w:val="18"/>
                <w:color w:val="auto"/>
              </w:rPr>
              <w:t>CCSs.</w:t>
            </w:r>
          </w:p>
        </w:tc>
      </w:tr>
      <w:tr>
        <w:trPr>
          <w:trHeight w:val="200"/>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rPr>
              <w:t>Receive 3-month NIBOR, pay 3-month</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LIBOR floating CCS</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Nordea</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Nov 2024</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32,850</w:t>
            </w:r>
          </w:p>
        </w:tc>
        <w:tc>
          <w:tcPr>
            <w:tcW w:w="166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98,550</w:t>
            </w:r>
          </w:p>
        </w:tc>
        <w:tc>
          <w:tcPr>
            <w:tcW w:w="16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40" w:firstLine="320"/>
        <w:spacing w:after="0" w:line="296" w:lineRule="auto"/>
        <w:rPr>
          <w:sz w:val="20"/>
          <w:szCs w:val="20"/>
          <w:color w:val="auto"/>
        </w:rPr>
      </w:pPr>
      <w:r>
        <w:rPr>
          <w:rFonts w:ascii="Arial" w:cs="Arial" w:eastAsia="Arial" w:hAnsi="Arial"/>
          <w:sz w:val="16"/>
          <w:szCs w:val="16"/>
          <w:color w:val="auto"/>
        </w:rPr>
        <w:t>The Group will continue to apply the amendments to IFRS 9 until the uncertainty arising from the interest rate benchmark reforms with respect to the timing and the amount of the underlying cash flows that the Group is exposed ends. The Group has assumed that this uncertainty will not end until the Group’s contracts that reference IBORs are amended to specify the date on which the interest rate benchmark will be replaced, the cash flows of the alternative benchmark rate and relevant spread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0" w:lineRule="exact"/>
        <w:rPr>
          <w:sz w:val="20"/>
          <w:szCs w:val="20"/>
          <w:color w:val="auto"/>
        </w:rPr>
      </w:pPr>
    </w:p>
    <w:p>
      <w:pPr>
        <w:ind w:right="120" w:firstLine="320"/>
        <w:spacing w:after="0" w:line="258"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0"/>
        <w:spacing w:after="0" w:line="255" w:lineRule="auto"/>
        <w:rPr>
          <w:sz w:val="20"/>
          <w:szCs w:val="20"/>
          <w:color w:val="auto"/>
        </w:rPr>
      </w:pPr>
      <w:r>
        <w:rPr>
          <w:rFonts w:ascii="Arial" w:cs="Arial" w:eastAsia="Arial" w:hAnsi="Arial"/>
          <w:sz w:val="18"/>
          <w:szCs w:val="18"/>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 includes both interest and principal cash flows. Variable future interest payments were determined based on an average LIBOR plus the margins applicable to the Group’s loans at the end of each year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1"/>
              </w:rPr>
              <w:t>Less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7"/>
              </w:rPr>
              <w:t>effective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interest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than 1</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1-3 months</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3-12 months</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1-5 years</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5+ years</w:t>
            </w:r>
          </w:p>
        </w:tc>
        <w:tc>
          <w:tcPr>
            <w:tcW w:w="8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month</w:t>
            </w:r>
          </w:p>
        </w:tc>
        <w:tc>
          <w:tcPr>
            <w:tcW w:w="8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Trade and other accounts payable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24,651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34,919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17,399</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81,258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54,892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39,196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227,325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2,224,725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1,264,577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3,810,715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478,314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Lease liabilities</w:t>
            </w: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75,303</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182,880</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277,372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116,382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82,266</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291,547</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2,778,954</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1,448,836</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4,717,985</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4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Amounts due to related parties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loans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227,108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2,135,245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1,186,584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3,630,319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Bonds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323,503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115,817</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444,402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174,048</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166,582</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383,824</w:t>
            </w:r>
          </w:p>
        </w:tc>
        <w:tc>
          <w:tcPr>
            <w:tcW w:w="0" w:type="dxa"/>
            <w:vAlign w:val="bottom"/>
          </w:tcPr>
          <w:p>
            <w:pPr>
              <w:spacing w:after="0"/>
              <w:rPr>
                <w:sz w:val="1"/>
                <w:szCs w:val="1"/>
                <w:color w:val="auto"/>
              </w:rPr>
            </w:pPr>
          </w:p>
        </w:tc>
      </w:tr>
      <w:tr>
        <w:trPr>
          <w:trHeight w:val="207"/>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81,919</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414,398</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282,303</w:t>
            </w:r>
          </w:p>
        </w:tc>
        <w:tc>
          <w:tcPr>
            <w:tcW w:w="1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2,425,924</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1,354,480</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4,559,024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hanging="633"/>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4"/>
          <w:szCs w:val="14"/>
          <w:color w:val="auto"/>
        </w:rPr>
        <w:t>Non-financial liabilities are excluded.</w:t>
      </w:r>
    </w:p>
    <w:p>
      <w:pPr>
        <w:spacing w:after="0" w:line="224" w:lineRule="exact"/>
        <w:rPr>
          <w:sz w:val="20"/>
          <w:szCs w:val="20"/>
          <w:color w:val="auto"/>
        </w:rPr>
      </w:pPr>
    </w:p>
    <w:p>
      <w:pPr>
        <w:ind w:right="40" w:firstLine="320"/>
        <w:spacing w:after="0" w:line="270"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320" w:firstLine="320"/>
        <w:spacing w:after="0" w:line="253" w:lineRule="auto"/>
        <w:rPr>
          <w:sz w:val="20"/>
          <w:szCs w:val="20"/>
          <w:color w:val="auto"/>
        </w:rPr>
      </w:pPr>
      <w:r>
        <w:rPr>
          <w:rFonts w:ascii="Arial" w:cs="Arial" w:eastAsia="Arial" w:hAnsi="Arial"/>
          <w:sz w:val="18"/>
          <w:szCs w:val="18"/>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derivatives.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Less than 1</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months</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3-12 months</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1-5 years</w:t>
            </w:r>
          </w:p>
        </w:tc>
        <w:tc>
          <w:tcPr>
            <w:tcW w:w="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5+ years</w:t>
            </w: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month</w:t>
            </w:r>
          </w:p>
        </w:tc>
        <w:tc>
          <w:tcPr>
            <w:tcW w:w="8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73,968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5,132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114,559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68,371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5,132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108,408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0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Cross currency swaps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7"/>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1,407</w:t>
            </w: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23,874</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26,302</w:t>
            </w:r>
          </w:p>
        </w:tc>
        <w:tc>
          <w:tcPr>
            <w:tcW w:w="16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1,217</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0" w:lineRule="exact"/>
        <w:rPr>
          <w:sz w:val="20"/>
          <w:szCs w:val="20"/>
          <w:color w:val="auto"/>
        </w:rPr>
      </w:pPr>
    </w:p>
    <w:p>
      <w:pPr>
        <w:ind w:right="160" w:firstLine="320"/>
        <w:spacing w:after="0" w:line="292" w:lineRule="auto"/>
        <w:rPr>
          <w:sz w:val="20"/>
          <w:szCs w:val="20"/>
          <w:color w:val="auto"/>
        </w:rPr>
      </w:pPr>
      <w:r>
        <w:rPr>
          <w:rFonts w:ascii="Arial" w:cs="Arial" w:eastAsia="Arial" w:hAnsi="Arial"/>
          <w:sz w:val="16"/>
          <w:szCs w:val="16"/>
          <w:color w:val="auto"/>
        </w:rPr>
        <w:t>Credit risk is the risk that a counterparty will fail to discharge its obligations and cause a financial loss and arises from cash and cash equivalents, short-term investments, favorable derivative financial instruments and deposits with banks and financial institutions, as well as credit exposures to customers, including trade and other receivables, dividends receivable and other amounts due from related parties. The Group is exposed to credit risk in the event of non-performance by any of its counterparties. To limit this risk, the Group currently deals primarily with financial institutions and customers with high credit ratings.</w:t>
      </w:r>
    </w:p>
    <w:p>
      <w:pPr>
        <w:spacing w:after="0" w:line="167"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w:t>
      </w:r>
    </w:p>
    <w:p>
      <w:pPr>
        <w:jc w:val="center"/>
        <w:ind w:left="62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0"/>
        </w:trPr>
        <w:tc>
          <w:tcPr>
            <w:tcW w:w="6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282,246</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760" w:type="dxa"/>
            <w:vAlign w:val="bottom"/>
          </w:tcPr>
          <w:p>
            <w:pPr>
              <w:jc w:val="right"/>
              <w:spacing w:after="0"/>
              <w:rPr>
                <w:sz w:val="20"/>
                <w:szCs w:val="20"/>
                <w:color w:val="auto"/>
              </w:rPr>
            </w:pPr>
            <w:r>
              <w:rPr>
                <w:rFonts w:ascii="Arial" w:cs="Arial" w:eastAsia="Arial" w:hAnsi="Arial"/>
                <w:sz w:val="18"/>
                <w:szCs w:val="18"/>
                <w:color w:val="auto"/>
              </w:rPr>
              <w:t>36,223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28,595</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760" w:type="dxa"/>
            <w:vAlign w:val="bottom"/>
          </w:tcPr>
          <w:p>
            <w:pPr>
              <w:jc w:val="right"/>
              <w:spacing w:after="0"/>
              <w:rPr>
                <w:sz w:val="20"/>
                <w:szCs w:val="20"/>
                <w:color w:val="auto"/>
              </w:rPr>
            </w:pPr>
            <w:r>
              <w:rPr>
                <w:rFonts w:ascii="Arial" w:cs="Arial" w:eastAsia="Arial" w:hAnsi="Arial"/>
                <w:sz w:val="18"/>
                <w:szCs w:val="18"/>
                <w:color w:val="auto"/>
              </w:rPr>
              <w:t>6,095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2,509</w:t>
            </w:r>
          </w:p>
        </w:tc>
      </w:tr>
    </w:tbl>
    <w:p>
      <w:pPr>
        <w:spacing w:after="0" w:line="186" w:lineRule="exact"/>
        <w:rPr>
          <w:sz w:val="20"/>
          <w:szCs w:val="20"/>
          <w:color w:val="auto"/>
        </w:rPr>
      </w:pPr>
    </w:p>
    <w:p>
      <w:pPr>
        <w:ind w:right="120" w:firstLine="320"/>
        <w:spacing w:after="0" w:line="289" w:lineRule="auto"/>
        <w:rPr>
          <w:sz w:val="20"/>
          <w:szCs w:val="20"/>
          <w:color w:val="auto"/>
        </w:rPr>
      </w:pPr>
      <w:r>
        <w:rPr>
          <w:rFonts w:ascii="Arial" w:cs="Arial" w:eastAsia="Arial" w:hAnsi="Arial"/>
          <w:sz w:val="16"/>
          <w:szCs w:val="16"/>
          <w:color w:val="auto"/>
        </w:rPr>
        <w:t>For the year ended December 31, 2021, 38.0% of the Group’s revenue was earned from Shell (December 31, 2020 and December 31, 2019, 57.2% and 70.0%, respectively) and accounts receivable were not collateralized; however, management believes that the credit risk is partially offset by the creditworthiness of the Group’s counterparties. The Group did not experience significant credit losses on its accounts receivable portfolio during the three years ended December 31, 2021.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165" w:lineRule="exact"/>
        <w:rPr>
          <w:sz w:val="20"/>
          <w:szCs w:val="20"/>
          <w:color w:val="auto"/>
        </w:rPr>
      </w:pPr>
    </w:p>
    <w:p>
      <w:pPr>
        <w:ind w:right="320" w:firstLine="320"/>
        <w:spacing w:after="0" w:line="270" w:lineRule="auto"/>
        <w:rPr>
          <w:sz w:val="20"/>
          <w:szCs w:val="20"/>
          <w:color w:val="auto"/>
        </w:rPr>
      </w:pPr>
      <w:r>
        <w:rPr>
          <w:rFonts w:ascii="Arial" w:cs="Arial" w:eastAsia="Arial" w:hAnsi="Arial"/>
          <w:sz w:val="18"/>
          <w:szCs w:val="18"/>
          <w:color w:val="auto"/>
        </w:rPr>
        <w:t>The credit risk on liquid funds and derivative financial instruments is limited because the counterparties are banks with high credit ratings assigned by international credit-rating agencies.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Capital Risk Management</w:t>
      </w:r>
    </w:p>
    <w:p>
      <w:pPr>
        <w:spacing w:after="0" w:line="224" w:lineRule="exact"/>
        <w:rPr>
          <w:sz w:val="20"/>
          <w:szCs w:val="20"/>
          <w:color w:val="auto"/>
        </w:rPr>
      </w:pPr>
    </w:p>
    <w:p>
      <w:pPr>
        <w:ind w:right="280" w:firstLine="320"/>
        <w:spacing w:after="0" w:line="333" w:lineRule="auto"/>
        <w:rPr>
          <w:sz w:val="20"/>
          <w:szCs w:val="20"/>
          <w:color w:val="auto"/>
        </w:rPr>
      </w:pPr>
      <w:r>
        <w:rPr>
          <w:rFonts w:ascii="Arial" w:cs="Arial" w:eastAsia="Arial" w:hAnsi="Arial"/>
          <w:sz w:val="16"/>
          <w:szCs w:val="16"/>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540" w:firstLine="320"/>
        <w:spacing w:after="0" w:line="270" w:lineRule="auto"/>
        <w:rPr>
          <w:sz w:val="20"/>
          <w:szCs w:val="20"/>
          <w:color w:val="auto"/>
        </w:rPr>
      </w:pPr>
      <w:r>
        <w:rPr>
          <w:rFonts w:ascii="Arial" w:cs="Arial" w:eastAsia="Arial" w:hAnsi="Arial"/>
          <w:sz w:val="18"/>
          <w:szCs w:val="18"/>
          <w:color w:val="auto"/>
        </w:rPr>
        <w:t>The Group monitors capital using a gearing ratio, which is total debt divided by total equity plus total debt. The gearing ratio is calculated as follows:</w:t>
      </w:r>
    </w:p>
    <w:p>
      <w:pPr>
        <w:spacing w:after="0" w:line="180"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As of</w:t>
      </w:r>
    </w:p>
    <w:p>
      <w:pPr>
        <w:jc w:val="center"/>
        <w:ind w:left="560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0"/>
        </w:trPr>
        <w:tc>
          <w:tcPr>
            <w:tcW w:w="58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0"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Borrowings,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245,626</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553,161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3,527,595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3,105,059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liabilities, non-current portion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186,526</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3,969,391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3,961,070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1,597,137</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1,568,371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5,566,528</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5,529,441</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Gearing ratio</w:t>
            </w:r>
          </w:p>
        </w:tc>
        <w:tc>
          <w:tcPr>
            <w:tcW w:w="8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26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the derivative assets is as follows:</w:t>
      </w:r>
    </w:p>
    <w:p>
      <w:pPr>
        <w:spacing w:after="0" w:line="225"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As of</w:t>
      </w:r>
    </w:p>
    <w:p>
      <w:pPr>
        <w:jc w:val="center"/>
        <w:ind w:left="62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20" w:type="dxa"/>
        <w:tblCellMar>
          <w:top w:w="0" w:type="dxa"/>
          <w:left w:w="0" w:type="dxa"/>
          <w:bottom w:w="0" w:type="dxa"/>
          <w:right w:w="0" w:type="dxa"/>
        </w:tblCellMar>
      </w:tblPr>
      <w:tr>
        <w:trPr>
          <w:trHeight w:val="140"/>
        </w:trPr>
        <w:tc>
          <w:tcPr>
            <w:tcW w:w="98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76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62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0"/>
              </w:rPr>
              <w:t>Derivative assets designated and effective as hedging instruments carried at fair</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value</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Cross currency swaps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6,095</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2,509</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980"/>
              <w:spacing w:after="0"/>
              <w:rPr>
                <w:sz w:val="20"/>
                <w:szCs w:val="20"/>
                <w:color w:val="auto"/>
              </w:rPr>
            </w:pPr>
            <w:r>
              <w:rPr>
                <w:rFonts w:ascii="Arial" w:cs="Arial" w:eastAsia="Arial" w:hAnsi="Arial"/>
                <w:sz w:val="18"/>
                <w:szCs w:val="18"/>
                <w:color w:val="auto"/>
              </w:rPr>
              <w:t>Derivative financial instruments, current assets</w:t>
            </w: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gridSpan w:val="2"/>
            <w:vMerge w:val="continue"/>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8"/>
                <w:szCs w:val="18"/>
                <w:color w:val="auto"/>
              </w:rPr>
              <w:t>534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8"/>
                <w:szCs w:val="18"/>
                <w:color w:val="auto"/>
              </w:rPr>
              <w:t>596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assets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gridSpan w:val="2"/>
          </w:tcPr>
          <w:p>
            <w:pPr>
              <w:ind w:left="98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2,509</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300"/>
              <w:spacing w:after="0"/>
              <w:rPr>
                <w:sz w:val="20"/>
                <w:szCs w:val="20"/>
                <w:color w:val="auto"/>
              </w:rPr>
            </w:pPr>
            <w:r>
              <w:rPr>
                <w:rFonts w:ascii="Arial" w:cs="Arial" w:eastAsia="Arial" w:hAnsi="Arial"/>
                <w:sz w:val="18"/>
                <w:szCs w:val="18"/>
                <w:color w:val="auto"/>
              </w:rPr>
              <w:t>The fair value of the derivative liabilities is as follows:</w:t>
            </w: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2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8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5"/>
              </w:rPr>
              <w:t>As of</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6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rate swaps</w:t>
            </w:r>
          </w:p>
        </w:tc>
        <w:tc>
          <w:tcPr>
            <w:tcW w:w="760" w:type="dxa"/>
            <w:vAlign w:val="bottom"/>
          </w:tcPr>
          <w:p>
            <w:pPr>
              <w:jc w:val="right"/>
              <w:spacing w:after="0"/>
              <w:rPr>
                <w:sz w:val="20"/>
                <w:szCs w:val="20"/>
                <w:color w:val="auto"/>
              </w:rPr>
            </w:pPr>
            <w:r>
              <w:rPr>
                <w:rFonts w:ascii="Arial" w:cs="Arial" w:eastAsia="Arial" w:hAnsi="Arial"/>
                <w:sz w:val="18"/>
                <w:szCs w:val="18"/>
                <w:color w:val="auto"/>
              </w:rPr>
              <w:t>113,855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53,192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98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113,855</w:t>
            </w:r>
          </w:p>
        </w:tc>
        <w:tc>
          <w:tcPr>
            <w:tcW w:w="1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54,212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62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Derivative financial instruments, current liability</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35,415</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8"/>
              </w:rPr>
              <w:t>25,518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28,694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113,855</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54,212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40" w:type="dxa"/>
            <w:vAlign w:val="bottom"/>
            <w:vMerge w:val="restart"/>
          </w:tcPr>
          <w:p>
            <w:pPr>
              <w:ind w:left="3800"/>
              <w:spacing w:after="0"/>
              <w:rPr>
                <w:sz w:val="20"/>
                <w:szCs w:val="20"/>
                <w:color w:val="auto"/>
              </w:rPr>
            </w:pPr>
            <w:r>
              <w:rPr>
                <w:rFonts w:ascii="Arial" w:cs="Arial" w:eastAsia="Arial" w:hAnsi="Arial"/>
                <w:sz w:val="18"/>
                <w:szCs w:val="18"/>
                <w:color w:val="auto"/>
              </w:rPr>
              <w:t>F-65</w:t>
            </w: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9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9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9" w:right="9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4" w:lineRule="exact"/>
        <w:rPr>
          <w:sz w:val="20"/>
          <w:szCs w:val="20"/>
          <w:color w:val="auto"/>
        </w:rPr>
      </w:pPr>
    </w:p>
    <w:p>
      <w:pPr>
        <w:ind w:right="60" w:firstLine="320"/>
        <w:spacing w:after="0" w:line="274" w:lineRule="auto"/>
        <w:rPr>
          <w:sz w:val="20"/>
          <w:szCs w:val="20"/>
          <w:color w:val="auto"/>
        </w:rPr>
      </w:pPr>
      <w:r>
        <w:rPr>
          <w:rFonts w:ascii="Arial" w:cs="Arial" w:eastAsia="Arial" w:hAnsi="Arial"/>
          <w:sz w:val="17"/>
          <w:szCs w:val="17"/>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LIBOR, and the Group effects quarterly payments to the bank on the notional amount at the respective fixed 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0" w:lineRule="exact"/>
        <w:rPr>
          <w:sz w:val="20"/>
          <w:szCs w:val="20"/>
          <w:color w:val="auto"/>
        </w:rPr>
      </w:pPr>
    </w:p>
    <w:p>
      <w:pPr>
        <w:ind w:right="480" w:firstLine="320"/>
        <w:spacing w:after="0" w:line="270" w:lineRule="auto"/>
        <w:rPr>
          <w:sz w:val="20"/>
          <w:szCs w:val="20"/>
          <w:color w:val="auto"/>
        </w:rPr>
      </w:pPr>
      <w:r>
        <w:rPr>
          <w:rFonts w:ascii="Arial" w:cs="Arial" w:eastAsia="Arial" w:hAnsi="Arial"/>
          <w:sz w:val="18"/>
          <w:szCs w:val="18"/>
          <w:color w:val="auto"/>
        </w:rPr>
        <w:t>As of December 31, 2020 and 2021, there are no interest rate swaps designated as cash flow hedging instruments for accounting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5"/>
              </w:rPr>
              <w:t>Trade</w:t>
            </w: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3"/>
              </w:rPr>
              <w:t>Effective</w:t>
            </w: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Termination</w:t>
            </w:r>
          </w:p>
        </w:tc>
        <w:tc>
          <w:tcPr>
            <w:tcW w:w="1140" w:type="dxa"/>
            <w:vAlign w:val="bottom"/>
            <w:gridSpan w:val="2"/>
            <w:vMerge w:val="restart"/>
          </w:tcPr>
          <w:p>
            <w:pPr>
              <w:jc w:val="right"/>
              <w:ind w:right="258"/>
              <w:spacing w:after="0"/>
              <w:rPr>
                <w:sz w:val="20"/>
                <w:szCs w:val="20"/>
                <w:color w:val="auto"/>
              </w:rPr>
            </w:pPr>
            <w:r>
              <w:rPr>
                <w:rFonts w:ascii="Arial" w:cs="Arial" w:eastAsia="Arial" w:hAnsi="Arial"/>
                <w:sz w:val="12"/>
                <w:szCs w:val="12"/>
                <w:b w:val="1"/>
                <w:bCs w:val="1"/>
                <w:color w:val="auto"/>
              </w:rPr>
              <w:t>Fixed Interest</w:t>
            </w:r>
          </w:p>
        </w:tc>
        <w:tc>
          <w:tcPr>
            <w:tcW w:w="208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2"/>
                <w:szCs w:val="12"/>
                <w:b w:val="1"/>
                <w:bCs w:val="1"/>
                <w:color w:val="auto"/>
              </w:rPr>
              <w:t>Notional Amount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tcPr>
          <w:p>
            <w:pPr>
              <w:ind w:left="120"/>
              <w:spacing w:after="0" w:line="119" w:lineRule="exact"/>
              <w:rPr>
                <w:sz w:val="20"/>
                <w:szCs w:val="20"/>
                <w:color w:val="auto"/>
              </w:rPr>
            </w:pPr>
            <w:r>
              <w:rPr>
                <w:rFonts w:ascii="Arial" w:cs="Arial" w:eastAsia="Arial" w:hAnsi="Arial"/>
                <w:sz w:val="12"/>
                <w:szCs w:val="12"/>
                <w:b w:val="1"/>
                <w:bCs w:val="1"/>
                <w:color w:val="auto"/>
              </w:rPr>
              <w:t>December 31,</w:t>
            </w:r>
          </w:p>
        </w:tc>
        <w:tc>
          <w:tcPr>
            <w:tcW w:w="960" w:type="dxa"/>
            <w:vAlign w:val="bottom"/>
          </w:tcPr>
          <w:p>
            <w:pPr>
              <w:jc w:val="right"/>
              <w:ind w:right="98"/>
              <w:spacing w:after="0" w:line="119" w:lineRule="exact"/>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Company</w:t>
            </w:r>
          </w:p>
        </w:tc>
        <w:tc>
          <w:tcPr>
            <w:tcW w:w="2320" w:type="dxa"/>
            <w:vAlign w:val="bottom"/>
            <w:gridSpan w:val="3"/>
          </w:tcPr>
          <w:p>
            <w:pPr>
              <w:ind w:left="740"/>
              <w:spacing w:after="0"/>
              <w:rPr>
                <w:sz w:val="20"/>
                <w:szCs w:val="20"/>
                <w:color w:val="auto"/>
              </w:rPr>
            </w:pPr>
            <w:r>
              <w:rPr>
                <w:rFonts w:ascii="Arial" w:cs="Arial" w:eastAsia="Arial" w:hAnsi="Arial"/>
                <w:sz w:val="12"/>
                <w:szCs w:val="12"/>
                <w:b w:val="1"/>
                <w:bCs w:val="1"/>
                <w:color w:val="auto"/>
              </w:rPr>
              <w:t>Counterparty</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Date</w:t>
            </w: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Date</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Date</w:t>
            </w:r>
          </w:p>
        </w:tc>
        <w:tc>
          <w:tcPr>
            <w:tcW w:w="1140" w:type="dxa"/>
            <w:vAlign w:val="bottom"/>
            <w:gridSpan w:val="2"/>
          </w:tcPr>
          <w:p>
            <w:pPr>
              <w:jc w:val="right"/>
              <w:ind w:right="478"/>
              <w:spacing w:after="0"/>
              <w:rPr>
                <w:sz w:val="20"/>
                <w:szCs w:val="20"/>
                <w:color w:val="auto"/>
              </w:rPr>
            </w:pPr>
            <w:r>
              <w:rPr>
                <w:rFonts w:ascii="Arial" w:cs="Arial" w:eastAsia="Arial" w:hAnsi="Arial"/>
                <w:sz w:val="12"/>
                <w:szCs w:val="12"/>
                <w:b w:val="1"/>
                <w:bCs w:val="1"/>
                <w:color w:val="auto"/>
              </w:rPr>
              <w:t>Rate</w:t>
            </w:r>
          </w:p>
        </w:tc>
        <w:tc>
          <w:tcPr>
            <w:tcW w:w="940" w:type="dxa"/>
            <w:vAlign w:val="bottom"/>
          </w:tcPr>
          <w:p>
            <w:pPr>
              <w:jc w:val="right"/>
              <w:ind w:right="29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960" w:type="dxa"/>
            <w:vAlign w:val="bottom"/>
          </w:tcPr>
          <w:p>
            <w:pPr>
              <w:jc w:val="right"/>
              <w:ind w:right="298"/>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27"/>
        </w:trPr>
        <w:tc>
          <w:tcPr>
            <w:tcW w:w="800" w:type="dxa"/>
            <w:vAlign w:val="bottom"/>
            <w:tcBorders>
              <w:top w:val="single" w:sz="8" w:color="auto"/>
            </w:tcBorders>
            <w:gridSpan w:val="2"/>
            <w:shd w:val="clear" w:color="auto" w:fill="CCEEFF"/>
          </w:tcPr>
          <w:p>
            <w:pPr>
              <w:spacing w:after="0" w:line="127" w:lineRule="exact"/>
              <w:rPr>
                <w:sz w:val="20"/>
                <w:szCs w:val="20"/>
                <w:color w:val="auto"/>
              </w:rPr>
            </w:pPr>
            <w:r>
              <w:rPr>
                <w:rFonts w:ascii="Arial" w:cs="Arial" w:eastAsia="Arial" w:hAnsi="Arial"/>
                <w:sz w:val="12"/>
                <w:szCs w:val="12"/>
                <w:color w:val="auto"/>
              </w:rPr>
              <w:t>GasLog</w:t>
            </w:r>
          </w:p>
        </w:tc>
        <w:tc>
          <w:tcPr>
            <w:tcW w:w="18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auto"/>
            </w:tcBorders>
            <w:gridSpan w:val="2"/>
            <w:shd w:val="clear" w:color="auto" w:fill="CCEEFF"/>
          </w:tcPr>
          <w:p>
            <w:pPr>
              <w:ind w:left="20"/>
              <w:spacing w:after="0" w:line="127" w:lineRule="exact"/>
              <w:rPr>
                <w:sz w:val="20"/>
                <w:szCs w:val="20"/>
                <w:color w:val="auto"/>
              </w:rPr>
            </w:pPr>
            <w:r>
              <w:rPr>
                <w:rFonts w:ascii="Arial" w:cs="Arial" w:eastAsia="Arial" w:hAnsi="Arial"/>
                <w:sz w:val="12"/>
                <w:szCs w:val="12"/>
                <w:color w:val="auto"/>
              </w:rPr>
              <w:t>Deutsche Bank AG</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27" w:lineRule="exact"/>
              <w:rPr>
                <w:sz w:val="20"/>
                <w:szCs w:val="20"/>
                <w:color w:val="auto"/>
              </w:rPr>
            </w:pPr>
            <w:r>
              <w:rPr>
                <w:rFonts w:ascii="Arial" w:cs="Arial" w:eastAsia="Arial" w:hAnsi="Arial"/>
                <w:sz w:val="12"/>
                <w:szCs w:val="12"/>
                <w:color w:val="auto"/>
                <w:w w:val="93"/>
              </w:rPr>
              <w:t>July 2016</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27" w:lineRule="exact"/>
              <w:rPr>
                <w:sz w:val="20"/>
                <w:szCs w:val="20"/>
                <w:color w:val="auto"/>
              </w:rPr>
            </w:pPr>
            <w:r>
              <w:rPr>
                <w:rFonts w:ascii="Arial" w:cs="Arial" w:eastAsia="Arial" w:hAnsi="Arial"/>
                <w:sz w:val="12"/>
                <w:szCs w:val="12"/>
                <w:color w:val="auto"/>
                <w:w w:val="97"/>
              </w:rPr>
              <w:t>July 2016</w:t>
            </w: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27" w:lineRule="exact"/>
              <w:rPr>
                <w:sz w:val="20"/>
                <w:szCs w:val="20"/>
                <w:color w:val="auto"/>
              </w:rPr>
            </w:pPr>
            <w:r>
              <w:rPr>
                <w:rFonts w:ascii="Arial" w:cs="Arial" w:eastAsia="Arial" w:hAnsi="Arial"/>
                <w:sz w:val="12"/>
                <w:szCs w:val="12"/>
                <w:color w:val="auto"/>
                <w:w w:val="93"/>
              </w:rPr>
              <w:t>July 2021</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1.98</w:t>
            </w:r>
          </w:p>
        </w:tc>
        <w:tc>
          <w:tcPr>
            <w:tcW w:w="200" w:type="dxa"/>
            <w:vAlign w:val="bottom"/>
            <w:tcBorders>
              <w:top w:val="single" w:sz="8" w:color="CCEEFF"/>
            </w:tcBorders>
            <w:shd w:val="clear" w:color="auto" w:fill="CCEEFF"/>
          </w:tcPr>
          <w:p>
            <w:pPr>
              <w:jc w:val="right"/>
              <w:ind w:right="18"/>
              <w:spacing w:after="0" w:line="127" w:lineRule="exact"/>
              <w:rPr>
                <w:sz w:val="20"/>
                <w:szCs w:val="20"/>
                <w:color w:val="auto"/>
              </w:rPr>
            </w:pPr>
            <w:r>
              <w:rPr>
                <w:rFonts w:ascii="Arial" w:cs="Arial" w:eastAsia="Arial" w:hAnsi="Arial"/>
                <w:sz w:val="12"/>
                <w:szCs w:val="12"/>
                <w:color w:val="auto"/>
                <w:w w:val="93"/>
              </w:rPr>
              <w:t>%</w:t>
            </w:r>
          </w:p>
        </w:tc>
        <w:tc>
          <w:tcPr>
            <w:tcW w:w="940" w:type="dxa"/>
            <w:vAlign w:val="bottom"/>
            <w:tcBorders>
              <w:top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66,667</w:t>
            </w: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Deutsche Bank AG</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2016</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2016</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2022</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1.98 %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66,667</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66,667</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DNB</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2016</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7"/>
              </w:rPr>
              <w:t>July 2016</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2022</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1.719 %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73,333</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73,333</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HSBC</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2016</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2016</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2022</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1.79 %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33,333</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33,333</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SCB</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2020</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7"/>
              </w:rPr>
              <w:t>July 2016</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2022</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2.015 %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66,667</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66,667</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SEB</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2016</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2016</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2021</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1.8405 %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50,000</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HSBC</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4"/>
              </w:rPr>
              <w:t>Feb 2017</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0"/>
              </w:rPr>
              <w:t>Feb 2017</w:t>
            </w:r>
          </w:p>
        </w:tc>
        <w:tc>
          <w:tcPr>
            <w:tcW w:w="114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0"/>
              </w:rPr>
              <w:t>Feb 2022</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2.005%/2.17 %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SCB</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2020</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0"/>
              </w:rPr>
              <w:t>Feb 2017</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4"/>
              </w:rPr>
              <w:t>Mar 2022</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2.2145 %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100,000</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ABN</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4"/>
              </w:rPr>
              <w:t>Feb 2017</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0"/>
              </w:rPr>
              <w:t>Feb 2017</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4"/>
              </w:rPr>
              <w:t>Mar 2022</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2.003 %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Nordea Bank Finland (“Nordea”)</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2020</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2026</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3.070 %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66,667</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66,667</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Nordea</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4"/>
              </w:rPr>
              <w:t>May 2018</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2026</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2.562 %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66,667</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66,667</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SEB</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2020</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2024</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3.025 %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50,000</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19"/>
        </w:trPr>
        <w:tc>
          <w:tcPr>
            <w:tcW w:w="980" w:type="dxa"/>
            <w:vAlign w:val="bottom"/>
            <w:gridSpan w:val="3"/>
            <w:shd w:val="clear" w:color="auto" w:fill="CCEEFF"/>
          </w:tcPr>
          <w:p>
            <w:pPr>
              <w:spacing w:after="0" w:line="120" w:lineRule="exact"/>
              <w:rPr>
                <w:sz w:val="20"/>
                <w:szCs w:val="20"/>
                <w:color w:val="auto"/>
              </w:rPr>
            </w:pPr>
            <w:r>
              <w:rPr>
                <w:rFonts w:ascii="Arial" w:cs="Arial" w:eastAsia="Arial" w:hAnsi="Arial"/>
                <w:sz w:val="12"/>
                <w:szCs w:val="12"/>
                <w:color w:val="auto"/>
              </w:rPr>
              <w:t>GAS-twenty</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seven Ltd.</w:t>
            </w: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DNB</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3"/>
              </w:rPr>
              <w:t>July 2020</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7"/>
              </w:rPr>
              <w:t>July 2020</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3"/>
              </w:rPr>
              <w:t>July 2024</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3.146 %</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48,889</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48,889</w:t>
            </w:r>
          </w:p>
        </w:tc>
        <w:tc>
          <w:tcPr>
            <w:tcW w:w="0" w:type="dxa"/>
            <w:vAlign w:val="bottom"/>
          </w:tcPr>
          <w:p>
            <w:pPr>
              <w:spacing w:after="0"/>
              <w:rPr>
                <w:sz w:val="1"/>
                <w:szCs w:val="1"/>
                <w:color w:val="auto"/>
              </w:rPr>
            </w:pPr>
          </w:p>
        </w:tc>
      </w:tr>
      <w:tr>
        <w:trPr>
          <w:trHeight w:val="119"/>
        </w:trPr>
        <w:tc>
          <w:tcPr>
            <w:tcW w:w="980" w:type="dxa"/>
            <w:vAlign w:val="bottom"/>
            <w:gridSpan w:val="3"/>
          </w:tcPr>
          <w:p>
            <w:pPr>
              <w:spacing w:after="0" w:line="120" w:lineRule="exact"/>
              <w:rPr>
                <w:sz w:val="20"/>
                <w:szCs w:val="20"/>
                <w:color w:val="auto"/>
              </w:rPr>
            </w:pPr>
            <w:r>
              <w:rPr>
                <w:rFonts w:ascii="Arial" w:cs="Arial" w:eastAsia="Arial" w:hAnsi="Arial"/>
                <w:sz w:val="12"/>
                <w:szCs w:val="12"/>
                <w:color w:val="auto"/>
              </w:rPr>
              <w:t>GAS-twenty</w:t>
            </w: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gridSpan w:val="3"/>
          </w:tcPr>
          <w:p>
            <w:pPr>
              <w:spacing w:after="0"/>
              <w:rPr>
                <w:sz w:val="20"/>
                <w:szCs w:val="20"/>
                <w:color w:val="auto"/>
              </w:rPr>
            </w:pPr>
            <w:r>
              <w:rPr>
                <w:rFonts w:ascii="Arial" w:cs="Arial" w:eastAsia="Arial" w:hAnsi="Arial"/>
                <w:sz w:val="12"/>
                <w:szCs w:val="12"/>
                <w:color w:val="auto"/>
              </w:rPr>
              <w:t>seven Ltd.</w:t>
            </w:r>
          </w:p>
        </w:tc>
        <w:tc>
          <w:tcPr>
            <w:tcW w:w="2320" w:type="dxa"/>
            <w:vAlign w:val="bottom"/>
            <w:gridSpan w:val="3"/>
          </w:tcPr>
          <w:p>
            <w:pPr>
              <w:ind w:left="20"/>
              <w:spacing w:after="0"/>
              <w:rPr>
                <w:sz w:val="20"/>
                <w:szCs w:val="20"/>
                <w:color w:val="auto"/>
              </w:rPr>
            </w:pPr>
            <w:r>
              <w:rPr>
                <w:rFonts w:ascii="Arial" w:cs="Arial" w:eastAsia="Arial" w:hAnsi="Arial"/>
                <w:sz w:val="12"/>
                <w:szCs w:val="12"/>
                <w:color w:val="auto"/>
              </w:rPr>
              <w:t>ING</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July 2020</w:t>
            </w: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color w:val="auto"/>
                <w:w w:val="97"/>
              </w:rPr>
              <w:t>July 2020</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July 2024</w:t>
            </w:r>
          </w:p>
        </w:tc>
        <w:tc>
          <w:tcPr>
            <w:tcW w:w="1140" w:type="dxa"/>
            <w:vAlign w:val="bottom"/>
            <w:gridSpan w:val="2"/>
          </w:tcPr>
          <w:p>
            <w:pPr>
              <w:jc w:val="right"/>
              <w:ind w:right="18"/>
              <w:spacing w:after="0"/>
              <w:rPr>
                <w:sz w:val="20"/>
                <w:szCs w:val="20"/>
                <w:color w:val="auto"/>
              </w:rPr>
            </w:pPr>
            <w:r>
              <w:rPr>
                <w:rFonts w:ascii="Arial" w:cs="Arial" w:eastAsia="Arial" w:hAnsi="Arial"/>
                <w:sz w:val="12"/>
                <w:szCs w:val="12"/>
                <w:color w:val="auto"/>
              </w:rPr>
              <w:t>3.24 %</w:t>
            </w:r>
          </w:p>
        </w:tc>
        <w:tc>
          <w:tcPr>
            <w:tcW w:w="940" w:type="dxa"/>
            <w:vAlign w:val="bottom"/>
          </w:tcPr>
          <w:p>
            <w:pPr>
              <w:jc w:val="right"/>
              <w:spacing w:after="0"/>
              <w:rPr>
                <w:sz w:val="20"/>
                <w:szCs w:val="20"/>
                <w:color w:val="auto"/>
              </w:rPr>
            </w:pPr>
            <w:r>
              <w:rPr>
                <w:rFonts w:ascii="Arial" w:cs="Arial" w:eastAsia="Arial" w:hAnsi="Arial"/>
                <w:sz w:val="12"/>
                <w:szCs w:val="12"/>
                <w:color w:val="auto"/>
              </w:rPr>
              <w:t>24,444</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24,444</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DNB</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7"/>
              </w:rPr>
              <w:t>July 2018</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2025</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2.472 %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73,333</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73,333</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HSBC</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4"/>
              </w:rPr>
              <w:t>Apr 2018</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2024</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2.475 %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33,333</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33,333</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3" w:lineRule="exact"/>
              <w:rPr>
                <w:sz w:val="20"/>
                <w:szCs w:val="20"/>
                <w:color w:val="auto"/>
              </w:rPr>
            </w:pPr>
            <w:r>
              <w:rPr>
                <w:rFonts w:ascii="Arial" w:cs="Arial" w:eastAsia="Arial" w:hAnsi="Arial"/>
                <w:sz w:val="11"/>
                <w:szCs w:val="11"/>
                <w:color w:val="auto"/>
              </w:rPr>
              <w:t xml:space="preserve">GasLog </w:t>
            </w:r>
            <w:r>
              <w:rPr>
                <w:rFonts w:ascii="Arial" w:cs="Arial" w:eastAsia="Arial" w:hAnsi="Arial"/>
                <w:sz w:val="15"/>
                <w:szCs w:val="15"/>
                <w:color w:val="auto"/>
                <w:vertAlign w:val="superscript"/>
              </w:rPr>
              <w:t>(1)</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HSBC</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4"/>
              </w:rPr>
              <w:t>Apr 2018</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2"/>
              </w:rPr>
              <w:t>June 2021</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2.550 %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33,333</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3" w:lineRule="exact"/>
              <w:rPr>
                <w:sz w:val="20"/>
                <w:szCs w:val="20"/>
                <w:color w:val="auto"/>
              </w:rPr>
            </w:pPr>
            <w:r>
              <w:rPr>
                <w:rFonts w:ascii="Arial" w:cs="Arial" w:eastAsia="Arial" w:hAnsi="Arial"/>
                <w:sz w:val="11"/>
                <w:szCs w:val="11"/>
                <w:color w:val="auto"/>
              </w:rPr>
              <w:t xml:space="preserve">GasLog </w:t>
            </w:r>
            <w:r>
              <w:rPr>
                <w:rFonts w:ascii="Arial" w:cs="Arial" w:eastAsia="Arial" w:hAnsi="Arial"/>
                <w:sz w:val="15"/>
                <w:szCs w:val="15"/>
                <w:color w:val="auto"/>
                <w:vertAlign w:val="superscript"/>
              </w:rPr>
              <w:t>(1)</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ABN</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2"/>
              </w:rPr>
              <w:t>June 2021</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4"/>
              </w:rPr>
              <w:t>Apr 2021</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2025</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2.550 %</w:t>
            </w:r>
          </w:p>
        </w:tc>
        <w:tc>
          <w:tcPr>
            <w:tcW w:w="1120" w:type="dxa"/>
            <w:vAlign w:val="bottom"/>
            <w:gridSpan w:val="2"/>
          </w:tcPr>
          <w:p>
            <w:pPr>
              <w:ind w:left="700"/>
              <w:spacing w:after="0" w:line="134" w:lineRule="exact"/>
              <w:rPr>
                <w:sz w:val="20"/>
                <w:szCs w:val="20"/>
                <w:color w:val="auto"/>
              </w:rPr>
            </w:pPr>
            <w:r>
              <w:rPr>
                <w:rFonts w:ascii="Arial" w:cs="Arial" w:eastAsia="Arial" w:hAnsi="Arial"/>
                <w:sz w:val="12"/>
                <w:szCs w:val="12"/>
                <w:color w:val="auto"/>
              </w:rPr>
              <w:t>N/A</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33,333</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Citibank Europe Plc. (“CITI”)</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7"/>
              </w:rPr>
              <w:t>July 2020</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2024</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3.082 %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30,000</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CITI</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8"/>
              </w:rPr>
              <w:t>May 2018</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2021</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2025</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3.095 %</w:t>
            </w:r>
          </w:p>
        </w:tc>
        <w:tc>
          <w:tcPr>
            <w:tcW w:w="1120" w:type="dxa"/>
            <w:vAlign w:val="bottom"/>
            <w:gridSpan w:val="2"/>
          </w:tcPr>
          <w:p>
            <w:pPr>
              <w:ind w:left="700"/>
              <w:spacing w:after="0" w:line="134" w:lineRule="exact"/>
              <w:rPr>
                <w:sz w:val="20"/>
                <w:szCs w:val="20"/>
                <w:color w:val="auto"/>
              </w:rPr>
            </w:pPr>
            <w:r>
              <w:rPr>
                <w:rFonts w:ascii="Arial" w:cs="Arial" w:eastAsia="Arial" w:hAnsi="Arial"/>
                <w:sz w:val="12"/>
                <w:szCs w:val="12"/>
                <w:color w:val="auto"/>
              </w:rPr>
              <w:t>N/A</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SEB</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December 2018</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6"/>
              </w:rPr>
              <w:t>October 2018</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2026</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2.745 %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50,000</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Nordea</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December 2018</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6"/>
              </w:rPr>
              <w:t>October 2018</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2028</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2.793 %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66,667</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66,667</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DNB</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December 2018</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0"/>
              </w:rPr>
              <w:t>January 2019</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2025</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2.685 %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73,333</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73,333</w:t>
            </w:r>
          </w:p>
        </w:tc>
        <w:tc>
          <w:tcPr>
            <w:tcW w:w="0" w:type="dxa"/>
            <w:vAlign w:val="bottom"/>
          </w:tcPr>
          <w:p>
            <w:pPr>
              <w:spacing w:after="0"/>
              <w:rPr>
                <w:sz w:val="1"/>
                <w:szCs w:val="1"/>
                <w:color w:val="auto"/>
              </w:rPr>
            </w:pPr>
          </w:p>
        </w:tc>
      </w:tr>
      <w:tr>
        <w:trPr>
          <w:trHeight w:val="133"/>
        </w:trPr>
        <w:tc>
          <w:tcPr>
            <w:tcW w:w="980" w:type="dxa"/>
            <w:vAlign w:val="bottom"/>
            <w:gridSpan w:val="3"/>
          </w:tcPr>
          <w:p>
            <w:pPr>
              <w:spacing w:after="0" w:line="134" w:lineRule="exact"/>
              <w:rPr>
                <w:sz w:val="20"/>
                <w:szCs w:val="20"/>
                <w:color w:val="auto"/>
              </w:rPr>
            </w:pPr>
            <w:r>
              <w:rPr>
                <w:rFonts w:ascii="Arial" w:cs="Arial" w:eastAsia="Arial" w:hAnsi="Arial"/>
                <w:sz w:val="12"/>
                <w:szCs w:val="12"/>
                <w:color w:val="auto"/>
              </w:rPr>
              <w:t>GasLog</w:t>
            </w:r>
          </w:p>
        </w:tc>
        <w:tc>
          <w:tcPr>
            <w:tcW w:w="2320" w:type="dxa"/>
            <w:vAlign w:val="bottom"/>
            <w:gridSpan w:val="3"/>
          </w:tcPr>
          <w:p>
            <w:pPr>
              <w:ind w:left="20"/>
              <w:spacing w:after="0" w:line="134" w:lineRule="exact"/>
              <w:rPr>
                <w:sz w:val="20"/>
                <w:szCs w:val="20"/>
                <w:color w:val="auto"/>
              </w:rPr>
            </w:pPr>
            <w:r>
              <w:rPr>
                <w:rFonts w:ascii="Arial" w:cs="Arial" w:eastAsia="Arial" w:hAnsi="Arial"/>
                <w:sz w:val="12"/>
                <w:szCs w:val="12"/>
                <w:color w:val="auto"/>
              </w:rPr>
              <w:t>SEB</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December 2018</w:t>
            </w:r>
          </w:p>
        </w:tc>
        <w:tc>
          <w:tcPr>
            <w:tcW w:w="112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7"/>
              </w:rPr>
              <w:t>July 2020</w:t>
            </w:r>
          </w:p>
        </w:tc>
        <w:tc>
          <w:tcPr>
            <w:tcW w:w="1140" w:type="dxa"/>
            <w:vAlign w:val="bottom"/>
            <w:gridSpan w:val="2"/>
          </w:tcPr>
          <w:p>
            <w:pPr>
              <w:jc w:val="center"/>
              <w:ind w:right="180"/>
              <w:spacing w:after="0" w:line="134" w:lineRule="exact"/>
              <w:rPr>
                <w:sz w:val="20"/>
                <w:szCs w:val="20"/>
                <w:color w:val="auto"/>
              </w:rPr>
            </w:pPr>
            <w:r>
              <w:rPr>
                <w:rFonts w:ascii="Arial" w:cs="Arial" w:eastAsia="Arial" w:hAnsi="Arial"/>
                <w:sz w:val="12"/>
                <w:szCs w:val="12"/>
                <w:color w:val="auto"/>
                <w:w w:val="93"/>
              </w:rPr>
              <w:t>July 2024</w:t>
            </w:r>
          </w:p>
        </w:tc>
        <w:tc>
          <w:tcPr>
            <w:tcW w:w="1140" w:type="dxa"/>
            <w:vAlign w:val="bottom"/>
            <w:gridSpan w:val="2"/>
          </w:tcPr>
          <w:p>
            <w:pPr>
              <w:jc w:val="right"/>
              <w:ind w:right="18"/>
              <w:spacing w:after="0" w:line="134" w:lineRule="exact"/>
              <w:rPr>
                <w:sz w:val="20"/>
                <w:szCs w:val="20"/>
                <w:color w:val="auto"/>
              </w:rPr>
            </w:pPr>
            <w:r>
              <w:rPr>
                <w:rFonts w:ascii="Arial" w:cs="Arial" w:eastAsia="Arial" w:hAnsi="Arial"/>
                <w:sz w:val="12"/>
                <w:szCs w:val="12"/>
                <w:color w:val="auto"/>
              </w:rPr>
              <w:t>2.958 %</w:t>
            </w: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50,000</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33"/>
        </w:trPr>
        <w:tc>
          <w:tcPr>
            <w:tcW w:w="980" w:type="dxa"/>
            <w:vAlign w:val="bottom"/>
            <w:gridSpan w:val="3"/>
            <w:shd w:val="clear" w:color="auto" w:fill="CCEEFF"/>
          </w:tcPr>
          <w:p>
            <w:pPr>
              <w:spacing w:after="0" w:line="133" w:lineRule="exact"/>
              <w:rPr>
                <w:sz w:val="20"/>
                <w:szCs w:val="20"/>
                <w:color w:val="auto"/>
              </w:rPr>
            </w:pPr>
            <w:r>
              <w:rPr>
                <w:rFonts w:ascii="Arial" w:cs="Arial" w:eastAsia="Arial" w:hAnsi="Arial"/>
                <w:sz w:val="11"/>
                <w:szCs w:val="11"/>
                <w:color w:val="auto"/>
              </w:rPr>
              <w:t xml:space="preserve">GasLog </w:t>
            </w:r>
            <w:r>
              <w:rPr>
                <w:rFonts w:ascii="Arial" w:cs="Arial" w:eastAsia="Arial" w:hAnsi="Arial"/>
                <w:sz w:val="15"/>
                <w:szCs w:val="15"/>
                <w:color w:val="auto"/>
                <w:vertAlign w:val="superscript"/>
              </w:rPr>
              <w:t>(2)</w:t>
            </w:r>
          </w:p>
        </w:tc>
        <w:tc>
          <w:tcPr>
            <w:tcW w:w="2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ING</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8"/>
              </w:rPr>
              <w:t>May 2020</w:t>
            </w:r>
          </w:p>
        </w:tc>
        <w:tc>
          <w:tcPr>
            <w:tcW w:w="11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7"/>
              </w:rPr>
              <w:t>July 2020</w:t>
            </w:r>
          </w:p>
        </w:tc>
        <w:tc>
          <w:tcPr>
            <w:tcW w:w="114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93"/>
              </w:rPr>
              <w:t>July 2024</w:t>
            </w:r>
          </w:p>
        </w:tc>
        <w:tc>
          <w:tcPr>
            <w:tcW w:w="114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3.127 %</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19"/>
        </w:trPr>
        <w:tc>
          <w:tcPr>
            <w:tcW w:w="980" w:type="dxa"/>
            <w:vAlign w:val="bottom"/>
            <w:gridSpan w:val="3"/>
          </w:tcPr>
          <w:p>
            <w:pPr>
              <w:spacing w:after="0" w:line="120" w:lineRule="exact"/>
              <w:rPr>
                <w:sz w:val="20"/>
                <w:szCs w:val="20"/>
                <w:color w:val="auto"/>
              </w:rPr>
            </w:pPr>
            <w:r>
              <w:rPr>
                <w:rFonts w:ascii="Arial" w:cs="Arial" w:eastAsia="Arial" w:hAnsi="Arial"/>
                <w:sz w:val="12"/>
                <w:szCs w:val="12"/>
                <w:color w:val="auto"/>
              </w:rPr>
              <w:t>GAS-twenty</w:t>
            </w: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gridSpan w:val="3"/>
          </w:tcPr>
          <w:p>
            <w:pPr>
              <w:spacing w:after="0"/>
              <w:rPr>
                <w:sz w:val="20"/>
                <w:szCs w:val="20"/>
                <w:color w:val="auto"/>
              </w:rPr>
            </w:pPr>
            <w:r>
              <w:rPr>
                <w:rFonts w:ascii="Arial" w:cs="Arial" w:eastAsia="Arial" w:hAnsi="Arial"/>
                <w:sz w:val="12"/>
                <w:szCs w:val="12"/>
                <w:color w:val="auto"/>
              </w:rPr>
              <w:t>seven Ltd.</w:t>
            </w:r>
          </w:p>
        </w:tc>
        <w:tc>
          <w:tcPr>
            <w:tcW w:w="2320" w:type="dxa"/>
            <w:vAlign w:val="bottom"/>
            <w:gridSpan w:val="3"/>
          </w:tcPr>
          <w:p>
            <w:pPr>
              <w:ind w:left="20"/>
              <w:spacing w:after="0"/>
              <w:rPr>
                <w:sz w:val="20"/>
                <w:szCs w:val="20"/>
                <w:color w:val="auto"/>
              </w:rPr>
            </w:pPr>
            <w:r>
              <w:rPr>
                <w:rFonts w:ascii="Arial" w:cs="Arial" w:eastAsia="Arial" w:hAnsi="Arial"/>
                <w:sz w:val="12"/>
                <w:szCs w:val="12"/>
                <w:color w:val="auto"/>
              </w:rPr>
              <w:t>DNB</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July 2020</w:t>
            </w: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color w:val="auto"/>
                <w:w w:val="99"/>
              </w:rPr>
              <w:t>April 2020</w:t>
            </w:r>
          </w:p>
        </w:tc>
        <w:tc>
          <w:tcPr>
            <w:tcW w:w="114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April 2025</w:t>
            </w:r>
          </w:p>
        </w:tc>
        <w:tc>
          <w:tcPr>
            <w:tcW w:w="1140" w:type="dxa"/>
            <w:vAlign w:val="bottom"/>
            <w:gridSpan w:val="2"/>
          </w:tcPr>
          <w:p>
            <w:pPr>
              <w:jc w:val="right"/>
              <w:ind w:right="18"/>
              <w:spacing w:after="0"/>
              <w:rPr>
                <w:sz w:val="20"/>
                <w:szCs w:val="20"/>
                <w:color w:val="auto"/>
              </w:rPr>
            </w:pPr>
            <w:r>
              <w:rPr>
                <w:rFonts w:ascii="Arial" w:cs="Arial" w:eastAsia="Arial" w:hAnsi="Arial"/>
                <w:sz w:val="12"/>
                <w:szCs w:val="12"/>
                <w:color w:val="auto"/>
              </w:rPr>
              <w:t>3.069 %</w:t>
            </w:r>
          </w:p>
        </w:tc>
        <w:tc>
          <w:tcPr>
            <w:tcW w:w="940" w:type="dxa"/>
            <w:vAlign w:val="bottom"/>
          </w:tcPr>
          <w:p>
            <w:pPr>
              <w:jc w:val="right"/>
              <w:spacing w:after="0"/>
              <w:rPr>
                <w:sz w:val="20"/>
                <w:szCs w:val="20"/>
                <w:color w:val="auto"/>
              </w:rPr>
            </w:pPr>
            <w:r>
              <w:rPr>
                <w:rFonts w:ascii="Arial" w:cs="Arial" w:eastAsia="Arial" w:hAnsi="Arial"/>
                <w:sz w:val="12"/>
                <w:szCs w:val="12"/>
                <w:color w:val="auto"/>
              </w:rPr>
              <w:t>40,000</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40,000</w:t>
            </w:r>
          </w:p>
        </w:tc>
        <w:tc>
          <w:tcPr>
            <w:tcW w:w="0" w:type="dxa"/>
            <w:vAlign w:val="bottom"/>
          </w:tcPr>
          <w:p>
            <w:pPr>
              <w:spacing w:after="0"/>
              <w:rPr>
                <w:sz w:val="1"/>
                <w:szCs w:val="1"/>
                <w:color w:val="auto"/>
              </w:rPr>
            </w:pPr>
          </w:p>
        </w:tc>
      </w:tr>
      <w:tr>
        <w:trPr>
          <w:trHeight w:val="119"/>
        </w:trPr>
        <w:tc>
          <w:tcPr>
            <w:tcW w:w="980" w:type="dxa"/>
            <w:vAlign w:val="bottom"/>
            <w:gridSpan w:val="3"/>
            <w:shd w:val="clear" w:color="auto" w:fill="CCEEFF"/>
          </w:tcPr>
          <w:p>
            <w:pPr>
              <w:spacing w:after="0" w:line="120" w:lineRule="exact"/>
              <w:rPr>
                <w:sz w:val="20"/>
                <w:szCs w:val="20"/>
                <w:color w:val="auto"/>
              </w:rPr>
            </w:pPr>
            <w:r>
              <w:rPr>
                <w:rFonts w:ascii="Arial" w:cs="Arial" w:eastAsia="Arial" w:hAnsi="Arial"/>
                <w:sz w:val="12"/>
                <w:szCs w:val="12"/>
                <w:color w:val="auto"/>
              </w:rPr>
              <w:t>GAS-twenty</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seven Ltd.</w:t>
            </w:r>
          </w:p>
        </w:tc>
        <w:tc>
          <w:tcPr>
            <w:tcW w:w="2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ING</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3"/>
              </w:rPr>
              <w:t>July 2020</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7"/>
              </w:rPr>
              <w:t>July 2020</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99"/>
              </w:rPr>
              <w:t>April 2025</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3.176 %</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19"/>
        </w:trPr>
        <w:tc>
          <w:tcPr>
            <w:tcW w:w="980" w:type="dxa"/>
            <w:vAlign w:val="bottom"/>
            <w:gridSpan w:val="3"/>
          </w:tcPr>
          <w:p>
            <w:pPr>
              <w:spacing w:after="0" w:line="120" w:lineRule="exact"/>
              <w:rPr>
                <w:sz w:val="20"/>
                <w:szCs w:val="20"/>
                <w:color w:val="auto"/>
              </w:rPr>
            </w:pPr>
            <w:r>
              <w:rPr>
                <w:rFonts w:ascii="Arial" w:cs="Arial" w:eastAsia="Arial" w:hAnsi="Arial"/>
                <w:sz w:val="12"/>
                <w:szCs w:val="12"/>
                <w:color w:val="auto"/>
              </w:rPr>
              <w:t>GAS-fifteen</w:t>
            </w: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gridSpan w:val="3"/>
          </w:tcPr>
          <w:p>
            <w:pPr>
              <w:spacing w:after="0"/>
              <w:rPr>
                <w:sz w:val="20"/>
                <w:szCs w:val="20"/>
                <w:color w:val="auto"/>
              </w:rPr>
            </w:pPr>
            <w:r>
              <w:rPr>
                <w:rFonts w:ascii="Arial" w:cs="Arial" w:eastAsia="Arial" w:hAnsi="Arial"/>
                <w:sz w:val="12"/>
                <w:szCs w:val="12"/>
                <w:color w:val="auto"/>
              </w:rPr>
              <w:t>Ltd.</w:t>
            </w:r>
          </w:p>
        </w:tc>
        <w:tc>
          <w:tcPr>
            <w:tcW w:w="2320" w:type="dxa"/>
            <w:vAlign w:val="bottom"/>
            <w:gridSpan w:val="3"/>
          </w:tcPr>
          <w:p>
            <w:pPr>
              <w:ind w:left="20"/>
              <w:spacing w:after="0"/>
              <w:rPr>
                <w:sz w:val="20"/>
                <w:szCs w:val="20"/>
                <w:color w:val="auto"/>
              </w:rPr>
            </w:pPr>
            <w:r>
              <w:rPr>
                <w:rFonts w:ascii="Arial" w:cs="Arial" w:eastAsia="Arial" w:hAnsi="Arial"/>
                <w:sz w:val="12"/>
                <w:szCs w:val="12"/>
                <w:color w:val="auto"/>
              </w:rPr>
              <w:t>NBG</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September 2020</w:t>
            </w: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color w:val="auto"/>
                <w:w w:val="96"/>
              </w:rPr>
              <w:t>October 2020</w:t>
            </w: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July 2025</w:t>
            </w:r>
          </w:p>
        </w:tc>
        <w:tc>
          <w:tcPr>
            <w:tcW w:w="1140" w:type="dxa"/>
            <w:vAlign w:val="bottom"/>
            <w:gridSpan w:val="2"/>
          </w:tcPr>
          <w:p>
            <w:pPr>
              <w:jc w:val="right"/>
              <w:ind w:right="18"/>
              <w:spacing w:after="0"/>
              <w:rPr>
                <w:sz w:val="20"/>
                <w:szCs w:val="20"/>
                <w:color w:val="auto"/>
              </w:rPr>
            </w:pPr>
            <w:r>
              <w:rPr>
                <w:rFonts w:ascii="Arial" w:cs="Arial" w:eastAsia="Arial" w:hAnsi="Arial"/>
                <w:sz w:val="12"/>
                <w:szCs w:val="12"/>
                <w:color w:val="auto"/>
              </w:rPr>
              <w:t>1.795 %</w:t>
            </w:r>
          </w:p>
        </w:tc>
        <w:tc>
          <w:tcPr>
            <w:tcW w:w="940" w:type="dxa"/>
            <w:vAlign w:val="bottom"/>
          </w:tcPr>
          <w:p>
            <w:pPr>
              <w:jc w:val="right"/>
              <w:spacing w:after="0"/>
              <w:rPr>
                <w:sz w:val="20"/>
                <w:szCs w:val="20"/>
                <w:color w:val="auto"/>
              </w:rPr>
            </w:pPr>
            <w:r>
              <w:rPr>
                <w:rFonts w:ascii="Arial" w:cs="Arial" w:eastAsia="Arial" w:hAnsi="Arial"/>
                <w:sz w:val="12"/>
                <w:szCs w:val="12"/>
                <w:color w:val="auto"/>
              </w:rPr>
              <w:t>94,923</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87,357</w:t>
            </w:r>
          </w:p>
        </w:tc>
        <w:tc>
          <w:tcPr>
            <w:tcW w:w="0" w:type="dxa"/>
            <w:vAlign w:val="bottom"/>
          </w:tcPr>
          <w:p>
            <w:pPr>
              <w:spacing w:after="0"/>
              <w:rPr>
                <w:sz w:val="1"/>
                <w:szCs w:val="1"/>
                <w:color w:val="auto"/>
              </w:rPr>
            </w:pPr>
          </w:p>
        </w:tc>
      </w:tr>
      <w:tr>
        <w:trPr>
          <w:trHeight w:val="127"/>
        </w:trPr>
        <w:tc>
          <w:tcPr>
            <w:tcW w:w="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Total</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1,578,256</w:t>
            </w: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1,484,023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40" w:hanging="633"/>
        <w:spacing w:after="0"/>
        <w:tabs>
          <w:tab w:leader="none" w:pos="640" w:val="left"/>
        </w:tabs>
        <w:numPr>
          <w:ilvl w:val="0"/>
          <w:numId w:val="142"/>
        </w:numPr>
        <w:rPr>
          <w:rFonts w:ascii="Arial" w:cs="Arial" w:eastAsia="Arial" w:hAnsi="Arial"/>
          <w:sz w:val="11"/>
          <w:szCs w:val="11"/>
          <w:color w:val="auto"/>
        </w:rPr>
      </w:pPr>
      <w:r>
        <w:rPr>
          <w:rFonts w:ascii="Arial" w:cs="Arial" w:eastAsia="Arial" w:hAnsi="Arial"/>
          <w:sz w:val="14"/>
          <w:szCs w:val="14"/>
          <w:color w:val="auto"/>
        </w:rPr>
        <w:t>In June 2021, the Group novated to ABN an interest rate swap with HSBC originally maturing in July 2025 with notional amount of $33,333.</w:t>
      </w:r>
    </w:p>
    <w:p>
      <w:pPr>
        <w:spacing w:after="0" w:line="199" w:lineRule="exact"/>
        <w:rPr>
          <w:rFonts w:ascii="Arial" w:cs="Arial" w:eastAsia="Arial" w:hAnsi="Arial"/>
          <w:sz w:val="11"/>
          <w:szCs w:val="11"/>
          <w:color w:val="auto"/>
        </w:rPr>
      </w:pPr>
    </w:p>
    <w:p>
      <w:pPr>
        <w:ind w:left="640" w:right="120" w:hanging="633"/>
        <w:spacing w:after="0" w:line="235" w:lineRule="auto"/>
        <w:tabs>
          <w:tab w:leader="none" w:pos="640" w:val="left"/>
        </w:tabs>
        <w:numPr>
          <w:ilvl w:val="0"/>
          <w:numId w:val="142"/>
        </w:numPr>
        <w:rPr>
          <w:rFonts w:ascii="Arial" w:cs="Arial" w:eastAsia="Arial" w:hAnsi="Arial"/>
          <w:sz w:val="11"/>
          <w:szCs w:val="11"/>
          <w:color w:val="auto"/>
        </w:rPr>
      </w:pPr>
      <w:r>
        <w:rPr>
          <w:rFonts w:ascii="Arial" w:cs="Arial" w:eastAsia="Arial" w:hAnsi="Arial"/>
          <w:sz w:val="14"/>
          <w:szCs w:val="14"/>
          <w:color w:val="auto"/>
        </w:rPr>
        <w:t>In May 2020, the Group terminated an interest rate swap with Nordea originally maturing in July 2024 and replaced it with a new swap with ING of the same notional amount of $100,000 and the same maturity date of July 2024 with an effective date of July 2020. The impact of these parallel transactions for the Group was a loss of $41.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88" w:name="page189"/>
    <w:bookmarkEnd w:id="188"/>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jc w:val="both"/>
        <w:ind w:left="20" w:right="200" w:firstLine="320"/>
        <w:spacing w:after="0" w:line="296" w:lineRule="auto"/>
        <w:rPr>
          <w:sz w:val="20"/>
          <w:szCs w:val="20"/>
          <w:color w:val="auto"/>
        </w:rPr>
      </w:pPr>
      <w:r>
        <w:rPr>
          <w:rFonts w:ascii="Arial" w:cs="Arial" w:eastAsia="Arial" w:hAnsi="Arial"/>
          <w:sz w:val="16"/>
          <w:szCs w:val="16"/>
          <w:color w:val="auto"/>
        </w:rPr>
        <w:t>The derivative instruments listed above were not designated as cash flow hedging instruments. The change in the fair value of these contracts for the year ended December 31, 2021 amounted to a net gain of $60,663 (December 31, 2020: $63,982 net loss, December 31, 2019: $55,865 net loss), which was recognized against profit or loss in the period incurred and is included in (Loss)/gain on derivatives. During the year ended December 31, 2021, the net gain of $60,663 derived from changes in the LIBOR curve.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Cross currency swap agreements</w:t>
      </w:r>
    </w:p>
    <w:p>
      <w:pPr>
        <w:spacing w:after="0" w:line="224" w:lineRule="exact"/>
        <w:rPr>
          <w:sz w:val="20"/>
          <w:szCs w:val="20"/>
          <w:color w:val="auto"/>
        </w:rPr>
      </w:pPr>
    </w:p>
    <w:p>
      <w:pPr>
        <w:ind w:left="20" w:right="160" w:firstLine="320"/>
        <w:spacing w:after="0" w:line="253" w:lineRule="auto"/>
        <w:rPr>
          <w:sz w:val="20"/>
          <w:szCs w:val="20"/>
          <w:color w:val="auto"/>
        </w:rPr>
      </w:pPr>
      <w:r>
        <w:rPr>
          <w:rFonts w:ascii="Arial" w:cs="Arial" w:eastAsia="Arial" w:hAnsi="Arial"/>
          <w:sz w:val="18"/>
          <w:szCs w:val="18"/>
          <w:color w:val="auto"/>
        </w:rPr>
        <w:t>The Group entered into CCSs which converted the floating interest rate exposure and the variability of the USD functional currency equivalent cash flows into a fixed interest rate and principal on maturity with respect to the NOK 2021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NOK.</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CCSs are designated as cash flow hedging instruments for accounting purposes.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Trade</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Effective</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Termination</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Interest</w:t>
            </w:r>
          </w:p>
        </w:tc>
        <w:tc>
          <w:tcPr>
            <w:tcW w:w="19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17"/>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Counterparty</w:t>
            </w:r>
          </w:p>
        </w:tc>
        <w:tc>
          <w:tcPr>
            <w:tcW w:w="10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40" w:type="dxa"/>
            <w:vAlign w:val="bottom"/>
            <w:gridSpan w:val="2"/>
          </w:tcPr>
          <w:p>
            <w:pPr>
              <w:jc w:val="right"/>
              <w:ind w:right="20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9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69"/>
        </w:trPr>
        <w:tc>
          <w:tcPr>
            <w:tcW w:w="2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w:t>
            </w: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900" w:type="dxa"/>
            <w:vAlign w:val="bottom"/>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900" w:type="dxa"/>
            <w:vAlign w:val="bottom"/>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0"/>
        </w:trPr>
        <w:tc>
          <w:tcPr>
            <w:tcW w:w="246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GasLog</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DNB</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300"/>
              <w:spacing w:after="0" w:line="140" w:lineRule="exact"/>
              <w:rPr>
                <w:sz w:val="20"/>
                <w:szCs w:val="20"/>
                <w:color w:val="auto"/>
              </w:rPr>
            </w:pPr>
            <w:r>
              <w:rPr>
                <w:rFonts w:ascii="Arial" w:cs="Arial" w:eastAsia="Arial" w:hAnsi="Arial"/>
                <w:sz w:val="14"/>
                <w:szCs w:val="14"/>
                <w:color w:val="auto"/>
              </w:rPr>
              <w:t>Nov 2019</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300"/>
              <w:spacing w:after="0" w:line="140" w:lineRule="exact"/>
              <w:rPr>
                <w:sz w:val="20"/>
                <w:szCs w:val="20"/>
                <w:color w:val="auto"/>
              </w:rPr>
            </w:pPr>
            <w:r>
              <w:rPr>
                <w:rFonts w:ascii="Arial" w:cs="Arial" w:eastAsia="Arial" w:hAnsi="Arial"/>
                <w:sz w:val="14"/>
                <w:szCs w:val="14"/>
                <w:color w:val="auto"/>
              </w:rPr>
              <w:t>Nov 2019</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360"/>
              <w:spacing w:after="0" w:line="140" w:lineRule="exact"/>
              <w:rPr>
                <w:sz w:val="20"/>
                <w:szCs w:val="20"/>
                <w:color w:val="auto"/>
              </w:rPr>
            </w:pPr>
            <w:r>
              <w:rPr>
                <w:rFonts w:ascii="Arial" w:cs="Arial" w:eastAsia="Arial" w:hAnsi="Arial"/>
                <w:sz w:val="14"/>
                <w:szCs w:val="14"/>
                <w:color w:val="auto"/>
              </w:rPr>
              <w:t>Nov 2024</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floating</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32,850</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32,850</w:t>
            </w:r>
          </w:p>
        </w:tc>
        <w:tc>
          <w:tcPr>
            <w:tcW w:w="0" w:type="dxa"/>
            <w:vAlign w:val="bottom"/>
          </w:tcPr>
          <w:p>
            <w:pPr>
              <w:spacing w:after="0"/>
              <w:rPr>
                <w:sz w:val="1"/>
                <w:szCs w:val="1"/>
                <w:color w:val="auto"/>
              </w:rPr>
            </w:pPr>
          </w:p>
        </w:tc>
      </w:tr>
      <w:tr>
        <w:trPr>
          <w:trHeight w:val="147"/>
        </w:trPr>
        <w:tc>
          <w:tcPr>
            <w:tcW w:w="2460" w:type="dxa"/>
            <w:vAlign w:val="bottom"/>
          </w:tcPr>
          <w:p>
            <w:pPr>
              <w:spacing w:after="0" w:line="147" w:lineRule="exact"/>
              <w:rPr>
                <w:sz w:val="20"/>
                <w:szCs w:val="20"/>
                <w:color w:val="auto"/>
              </w:rPr>
            </w:pPr>
            <w:r>
              <w:rPr>
                <w:rFonts w:ascii="Arial" w:cs="Arial" w:eastAsia="Arial" w:hAnsi="Arial"/>
                <w:sz w:val="14"/>
                <w:szCs w:val="14"/>
                <w:color w:val="auto"/>
              </w:rPr>
              <w:t>GasLog</w:t>
            </w:r>
          </w:p>
        </w:tc>
        <w:tc>
          <w:tcPr>
            <w:tcW w:w="1220" w:type="dxa"/>
            <w:vAlign w:val="bottom"/>
            <w:gridSpan w:val="3"/>
          </w:tcPr>
          <w:p>
            <w:pPr>
              <w:ind w:left="140"/>
              <w:spacing w:after="0" w:line="147" w:lineRule="exact"/>
              <w:rPr>
                <w:sz w:val="20"/>
                <w:szCs w:val="20"/>
                <w:color w:val="auto"/>
              </w:rPr>
            </w:pPr>
            <w:r>
              <w:rPr>
                <w:rFonts w:ascii="Arial" w:cs="Arial" w:eastAsia="Arial" w:hAnsi="Arial"/>
                <w:sz w:val="14"/>
                <w:szCs w:val="14"/>
                <w:color w:val="auto"/>
              </w:rPr>
              <w:t>SEB</w:t>
            </w:r>
          </w:p>
        </w:tc>
        <w:tc>
          <w:tcPr>
            <w:tcW w:w="106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Nov 2019</w:t>
            </w:r>
          </w:p>
        </w:tc>
        <w:tc>
          <w:tcPr>
            <w:tcW w:w="108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Nov 2019</w:t>
            </w:r>
          </w:p>
        </w:tc>
        <w:tc>
          <w:tcPr>
            <w:tcW w:w="1120" w:type="dxa"/>
            <w:vAlign w:val="bottom"/>
            <w:gridSpan w:val="2"/>
          </w:tcPr>
          <w:p>
            <w:pPr>
              <w:ind w:left="360"/>
              <w:spacing w:after="0" w:line="147" w:lineRule="exact"/>
              <w:rPr>
                <w:sz w:val="20"/>
                <w:szCs w:val="20"/>
                <w:color w:val="auto"/>
              </w:rPr>
            </w:pPr>
            <w:r>
              <w:rPr>
                <w:rFonts w:ascii="Arial" w:cs="Arial" w:eastAsia="Arial" w:hAnsi="Arial"/>
                <w:sz w:val="14"/>
                <w:szCs w:val="14"/>
                <w:color w:val="auto"/>
              </w:rPr>
              <w:t>Nov 2024</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floating</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32,850</w:t>
            </w:r>
          </w:p>
        </w:tc>
        <w:tc>
          <w:tcPr>
            <w:tcW w:w="14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32,850</w:t>
            </w:r>
          </w:p>
        </w:tc>
        <w:tc>
          <w:tcPr>
            <w:tcW w:w="0" w:type="dxa"/>
            <w:vAlign w:val="bottom"/>
          </w:tcPr>
          <w:p>
            <w:pPr>
              <w:spacing w:after="0"/>
              <w:rPr>
                <w:sz w:val="1"/>
                <w:szCs w:val="1"/>
                <w:color w:val="auto"/>
              </w:rPr>
            </w:pPr>
          </w:p>
        </w:tc>
      </w:tr>
      <w:tr>
        <w:trPr>
          <w:trHeight w:val="147"/>
        </w:trPr>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GasLog</w:t>
            </w:r>
          </w:p>
        </w:tc>
        <w:tc>
          <w:tcPr>
            <w:tcW w:w="122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4"/>
                <w:szCs w:val="14"/>
                <w:color w:val="auto"/>
              </w:rPr>
              <w:t>Nordea</w:t>
            </w:r>
          </w:p>
        </w:tc>
        <w:tc>
          <w:tcPr>
            <w:tcW w:w="106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Nov 2019</w:t>
            </w:r>
          </w:p>
        </w:tc>
        <w:tc>
          <w:tcPr>
            <w:tcW w:w="108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Nov 2019</w:t>
            </w:r>
          </w:p>
        </w:tc>
        <w:tc>
          <w:tcPr>
            <w:tcW w:w="112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4"/>
                <w:szCs w:val="14"/>
                <w:color w:val="auto"/>
              </w:rPr>
              <w:t>Nov 2024</w:t>
            </w: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floating</w:t>
            </w:r>
          </w:p>
        </w:tc>
        <w:tc>
          <w:tcPr>
            <w:tcW w:w="9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32,850</w:t>
            </w:r>
          </w:p>
        </w:tc>
        <w:tc>
          <w:tcPr>
            <w:tcW w:w="1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32,850</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0"/>
              <w:spacing w:after="0" w:line="140"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98,550</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98,550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 w:right="60" w:firstLine="320"/>
        <w:spacing w:after="0" w:line="289" w:lineRule="auto"/>
        <w:rPr>
          <w:sz w:val="20"/>
          <w:szCs w:val="20"/>
          <w:color w:val="auto"/>
        </w:rPr>
      </w:pPr>
      <w:r>
        <w:rPr>
          <w:rFonts w:ascii="Arial" w:cs="Arial" w:eastAsia="Arial" w:hAnsi="Arial"/>
          <w:sz w:val="16"/>
          <w:szCs w:val="16"/>
          <w:color w:val="auto"/>
        </w:rPr>
        <w:t>For the year ended December 31, 2021, the effective portion of changes in the fair value of CCSs amounting to a loss of $3,086 has been recognized in Other comprehensive loss (December 31, 2020: $1,873 gain, December 31, 2019: $3,215 loss). For the year ended December 31, 2021, a gain of $259 was recycled to profit or loss representing the realized loss on CCSs in relation to the interest expenses component of the hedge (December 31, 2020: $625 loss, December 31, 2019: $607 loss). Additionally, for the year ended December 31, 2021, a gain of $3,184 was recognized in Other comprehensive loss in relation to the retranslation of the NOK Bonds in USD as of December 31, 2021 (December 31, 2020: $3,248 loss, December 31, 2019: $325 loss).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 foreign exchange contracts</w:t>
      </w:r>
    </w:p>
    <w:p>
      <w:pPr>
        <w:spacing w:after="0" w:line="224" w:lineRule="exact"/>
        <w:rPr>
          <w:sz w:val="20"/>
          <w:szCs w:val="20"/>
          <w:color w:val="auto"/>
        </w:rPr>
      </w:pPr>
    </w:p>
    <w:p>
      <w:pPr>
        <w:ind w:left="20" w:right="120" w:firstLine="320"/>
        <w:spacing w:after="0" w:line="274" w:lineRule="auto"/>
        <w:rPr>
          <w:sz w:val="20"/>
          <w:szCs w:val="20"/>
          <w:color w:val="auto"/>
        </w:rPr>
      </w:pPr>
      <w:r>
        <w:rPr>
          <w:rFonts w:ascii="Arial" w:cs="Arial" w:eastAsia="Arial" w:hAnsi="Arial"/>
          <w:sz w:val="17"/>
          <w:szCs w:val="17"/>
          <w:color w:val="auto"/>
        </w:rPr>
        <w:t>The Group uses forward foreign exchange contracts to mitigate foreign exchange transaction exposures in EUR. Under these forward foreign exchange contracts, the bank counterparty will effect fixed payments in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352425</wp:posOffset>
            </wp:positionV>
            <wp:extent cx="628650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60"/>
          </w:cols>
          <w:pgMar w:left="960" w:top="659" w:right="97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0" w:firstLine="320"/>
        <w:spacing w:after="0" w:line="270" w:lineRule="auto"/>
        <w:rPr>
          <w:sz w:val="20"/>
          <w:szCs w:val="20"/>
          <w:color w:val="auto"/>
        </w:rPr>
      </w:pPr>
      <w:r>
        <w:rPr>
          <w:rFonts w:ascii="Arial" w:cs="Arial" w:eastAsia="Arial" w:hAnsi="Arial"/>
          <w:sz w:val="18"/>
          <w:szCs w:val="18"/>
          <w:color w:val="auto"/>
        </w:rPr>
        <w:t>The principal terms of the forward foreign exchange contracts held for trading which remain open and unsettled as of December 31, 2021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Fixed</w:t>
            </w: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0"/>
              </w:rPr>
              <w:t>Total Exchange</w:t>
            </w:r>
          </w:p>
        </w:tc>
        <w:tc>
          <w:tcPr>
            <w:tcW w:w="0" w:type="dxa"/>
            <w:vAlign w:val="bottom"/>
          </w:tcPr>
          <w:p>
            <w:pPr>
              <w:spacing w:after="0"/>
              <w:rPr>
                <w:sz w:val="1"/>
                <w:szCs w:val="1"/>
                <w:color w:val="auto"/>
              </w:rPr>
            </w:pPr>
          </w:p>
        </w:tc>
      </w:tr>
      <w:tr>
        <w:trPr>
          <w:trHeight w:val="147"/>
        </w:trPr>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Counterparty</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Trade Date</w:t>
            </w:r>
          </w:p>
        </w:tc>
        <w:tc>
          <w:tcPr>
            <w:tcW w:w="84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Settlement Dates</w:t>
            </w:r>
          </w:p>
        </w:tc>
        <w:tc>
          <w:tcPr>
            <w:tcW w:w="14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Exchange Rate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3"/>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126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contracts</w:t>
            </w:r>
          </w:p>
        </w:tc>
        <w:tc>
          <w:tcPr>
            <w:tcW w:w="2060" w:type="dxa"/>
            <w:vAlign w:val="bottom"/>
            <w:gridSpan w:val="2"/>
            <w:vMerge w:val="continue"/>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(EUR/USD)</w:t>
            </w:r>
          </w:p>
        </w:tc>
        <w:tc>
          <w:tcPr>
            <w:tcW w:w="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GasLog</w:t>
            </w:r>
          </w:p>
        </w:tc>
        <w:tc>
          <w:tcPr>
            <w:tcW w:w="16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Citibank Europe PLC UK</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 March 2022</w:t>
            </w:r>
          </w:p>
        </w:tc>
        <w:tc>
          <w:tcPr>
            <w:tcW w:w="1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1.1941 - 1.1955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Citibank Europe PLC UK</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August 2021</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January - June 2022</w:t>
            </w:r>
          </w:p>
        </w:tc>
        <w:tc>
          <w:tcPr>
            <w:tcW w:w="1260" w:type="dxa"/>
            <w:vAlign w:val="bottom"/>
          </w:tcPr>
          <w:p>
            <w:pPr>
              <w:jc w:val="right"/>
              <w:spacing w:after="0"/>
              <w:rPr>
                <w:sz w:val="20"/>
                <w:szCs w:val="20"/>
                <w:color w:val="auto"/>
              </w:rPr>
            </w:pPr>
            <w:r>
              <w:rPr>
                <w:rFonts w:ascii="Arial" w:cs="Arial" w:eastAsia="Arial" w:hAnsi="Arial"/>
                <w:sz w:val="18"/>
                <w:szCs w:val="18"/>
                <w:color w:val="auto"/>
                <w:w w:val="93"/>
              </w:rPr>
              <w:t>1.1784 - 1.1819</w:t>
            </w: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DNB</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August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January - March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1.1799 - 1.1815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Citibank Europe PLC UK</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September 2021</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January - September 2022</w:t>
            </w:r>
          </w:p>
        </w:tc>
        <w:tc>
          <w:tcPr>
            <w:tcW w:w="1260" w:type="dxa"/>
            <w:vAlign w:val="bottom"/>
          </w:tcPr>
          <w:p>
            <w:pPr>
              <w:jc w:val="right"/>
              <w:spacing w:after="0"/>
              <w:rPr>
                <w:sz w:val="20"/>
                <w:szCs w:val="20"/>
                <w:color w:val="auto"/>
              </w:rPr>
            </w:pPr>
            <w:r>
              <w:rPr>
                <w:rFonts w:ascii="Arial" w:cs="Arial" w:eastAsia="Arial" w:hAnsi="Arial"/>
                <w:sz w:val="18"/>
                <w:szCs w:val="18"/>
                <w:color w:val="auto"/>
                <w:w w:val="93"/>
              </w:rPr>
              <w:t>1.1725 - 1.1785</w:t>
            </w: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DNB</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October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July - December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ABN</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November 2021</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January - December 2022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1.1286 – 1.1489</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Citibank Europe PLC UK</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November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January - December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1.1325 - 1.1428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DNB</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November 2021</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January - December 2022</w:t>
            </w:r>
          </w:p>
        </w:tc>
        <w:tc>
          <w:tcPr>
            <w:tcW w:w="1260" w:type="dxa"/>
            <w:vAlign w:val="bottom"/>
          </w:tcPr>
          <w:p>
            <w:pPr>
              <w:jc w:val="right"/>
              <w:spacing w:after="0"/>
              <w:rPr>
                <w:sz w:val="20"/>
                <w:szCs w:val="20"/>
                <w:color w:val="auto"/>
              </w:rPr>
            </w:pPr>
            <w:r>
              <w:rPr>
                <w:rFonts w:ascii="Arial" w:cs="Arial" w:eastAsia="Arial" w:hAnsi="Arial"/>
                <w:sz w:val="18"/>
                <w:szCs w:val="18"/>
                <w:color w:val="auto"/>
              </w:rPr>
              <w:t>1.1446</w:t>
            </w: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OCBC</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November 2021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April - September 2022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1.1308 – 1.1354</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60" w:firstLine="320"/>
        <w:spacing w:after="0" w:line="255"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December 31, 2021. The change in the fair value of these contracts for the year ended December 31, 2021 amounted to a net loss of $1,256 (for the year ended December 31, 2020: $21 net loss, December 31, 2019: $1,815 net gain), which was recognized against profit or loss in the year incurred and is included in (Loss)/gain on derivatives.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(Loss)/gain on derivatives is as follows:</w:t>
      </w:r>
    </w:p>
    <w:p>
      <w:pPr>
        <w:spacing w:after="0" w:line="238"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For the year ended</w:t>
      </w:r>
    </w:p>
    <w:p>
      <w:pPr>
        <w:jc w:val="center"/>
        <w:ind w:left="558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0"/>
        </w:trPr>
        <w:tc>
          <w:tcPr>
            <w:tcW w:w="5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0"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2021</w:t>
            </w:r>
          </w:p>
        </w:tc>
      </w:tr>
      <w:tr>
        <w:trPr>
          <w:trHeight w:val="20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(loss)/gain on derivative financial instruments held for trading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(54,050)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(64,044)</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59,407</w:t>
            </w: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Realized gain/(loss) on interest rate swaps held for trading</w:t>
            </w:r>
          </w:p>
        </w:tc>
        <w:tc>
          <w:tcPr>
            <w:tcW w:w="660" w:type="dxa"/>
            <w:vAlign w:val="bottom"/>
          </w:tcPr>
          <w:p>
            <w:pPr>
              <w:jc w:val="right"/>
              <w:spacing w:after="0"/>
              <w:rPr>
                <w:sz w:val="20"/>
                <w:szCs w:val="20"/>
                <w:color w:val="auto"/>
              </w:rPr>
            </w:pPr>
            <w:r>
              <w:rPr>
                <w:rFonts w:ascii="Arial" w:cs="Arial" w:eastAsia="Arial" w:hAnsi="Arial"/>
                <w:sz w:val="18"/>
                <w:szCs w:val="18"/>
                <w:color w:val="auto"/>
              </w:rPr>
              <w:t>3,164</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(20,855)</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(35,585)</w:t>
            </w: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Realized (loss)/gain on forward foreign exchange contracts held for trading</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Ineffective portion of cash flow hedges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7"/>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(55,441)</w:t>
            </w: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(84,658)</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22,680</w:t>
            </w:r>
          </w:p>
        </w:tc>
      </w:tr>
      <w:tr>
        <w:trPr>
          <w:trHeight w:val="20"/>
        </w:trPr>
        <w:tc>
          <w:tcPr>
            <w:tcW w:w="5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the Group’s financial assets and liabilities approximate to their carrying amounts at the reporting date.</w:t>
      </w:r>
    </w:p>
    <w:p>
      <w:pPr>
        <w:spacing w:after="0" w:line="220" w:lineRule="exact"/>
        <w:rPr>
          <w:sz w:val="20"/>
          <w:szCs w:val="20"/>
          <w:color w:val="auto"/>
        </w:rPr>
      </w:pPr>
    </w:p>
    <w:p>
      <w:pPr>
        <w:ind w:right="60" w:firstLine="320"/>
        <w:spacing w:after="0" w:line="285" w:lineRule="auto"/>
        <w:rPr>
          <w:sz w:val="20"/>
          <w:szCs w:val="20"/>
          <w:color w:val="auto"/>
        </w:rPr>
      </w:pPr>
      <w:r>
        <w:rPr>
          <w:rFonts w:ascii="Arial" w:cs="Arial" w:eastAsia="Arial" w:hAnsi="Arial"/>
          <w:sz w:val="16"/>
          <w:szCs w:val="16"/>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swaps and CCSs. The interest rate swaps, the forward foreign exchange contracts and the CCSs meet Level 2 classification, according to the fair value hierarchy as defined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 cash and cash equivalents meet Level 1 classification. There were no financial instruments in Level 3 and no transfers between Levels 1, 2 or 3 during the periods presented. The definitions of the levels provided by IFRS 13 are based on the degree to which the fair value is observable:</w:t>
      </w:r>
    </w:p>
    <w:p>
      <w:pPr>
        <w:spacing w:after="0" w:line="168" w:lineRule="exact"/>
        <w:rPr>
          <w:sz w:val="20"/>
          <w:szCs w:val="20"/>
          <w:color w:val="auto"/>
        </w:rPr>
      </w:pPr>
    </w:p>
    <w:p>
      <w:pPr>
        <w:ind w:left="4800" w:right="380" w:hanging="4446"/>
        <w:spacing w:after="0" w:line="765" w:lineRule="auto"/>
        <w:tabs>
          <w:tab w:leader="none" w:pos="99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 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628650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1000" w:right="400" w:hanging="646"/>
        <w:spacing w:after="0" w:line="333"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29" w:lineRule="exact"/>
        <w:rPr>
          <w:rFonts w:ascii="Arial" w:cs="Arial" w:eastAsia="Arial" w:hAnsi="Arial"/>
          <w:sz w:val="16"/>
          <w:szCs w:val="16"/>
          <w:color w:val="auto"/>
        </w:rPr>
      </w:pPr>
    </w:p>
    <w:p>
      <w:pPr>
        <w:ind w:left="1000" w:right="80" w:hanging="646"/>
        <w:spacing w:after="0" w:line="270" w:lineRule="auto"/>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70" w:lineRule="exact"/>
        <w:rPr>
          <w:rFonts w:ascii="Arial" w:cs="Arial" w:eastAsia="Arial" w:hAnsi="Arial"/>
          <w:sz w:val="18"/>
          <w:szCs w:val="18"/>
          <w:color w:val="auto"/>
        </w:rPr>
      </w:pPr>
    </w:p>
    <w:p>
      <w:pPr>
        <w:ind w:left="280" w:hanging="273"/>
        <w:spacing w:after="0"/>
        <w:tabs>
          <w:tab w:leader="none" w:pos="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Reconciliations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reconciliation of the Group’s financing activities for the three years ended December 31, 2021 are presented in the tables below:</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Non-cash</w:t>
            </w: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Deferred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Cash flows</w:t>
            </w:r>
          </w:p>
        </w:tc>
        <w:tc>
          <w:tcPr>
            <w:tcW w:w="10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7"/>
              </w:rPr>
              <w:t>comprehensive</w:t>
            </w: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financing</w:t>
            </w: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Borrowings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loss/(income)</w:t>
            </w: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rPr>
              <w:t>items</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79"/>
              </w:rPr>
              <w:t>costs, assets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2,828,459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900" w:type="dxa"/>
            <w:vAlign w:val="bottom"/>
          </w:tcPr>
          <w:p>
            <w:pPr>
              <w:jc w:val="right"/>
              <w:spacing w:after="0"/>
              <w:rPr>
                <w:sz w:val="20"/>
                <w:szCs w:val="20"/>
                <w:color w:val="auto"/>
              </w:rPr>
            </w:pPr>
            <w:r>
              <w:rPr>
                <w:rFonts w:ascii="Arial" w:cs="Arial" w:eastAsia="Arial" w:hAnsi="Arial"/>
                <w:sz w:val="18"/>
                <w:szCs w:val="18"/>
                <w:color w:val="auto"/>
              </w:rPr>
              <w:t>905,730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905,730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bond repayments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Payment for bond repurchase</w:t>
            </w:r>
          </w:p>
        </w:tc>
        <w:tc>
          <w:tcPr>
            <w:tcW w:w="900" w:type="dxa"/>
            <w:vAlign w:val="bottom"/>
          </w:tcPr>
          <w:p>
            <w:pPr>
              <w:jc w:val="right"/>
              <w:spacing w:after="0"/>
              <w:rPr>
                <w:sz w:val="20"/>
                <w:szCs w:val="20"/>
                <w:color w:val="auto"/>
              </w:rPr>
            </w:pPr>
            <w:r>
              <w:rPr>
                <w:rFonts w:ascii="Arial" w:cs="Arial" w:eastAsia="Arial" w:hAnsi="Arial"/>
                <w:sz w:val="18"/>
                <w:szCs w:val="18"/>
                <w:color w:val="auto"/>
              </w:rPr>
              <w:t>(34,602)</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Additions in deferred loan/bond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tcPr>
          <w:p>
            <w:pPr>
              <w:spacing w:after="0" w:line="199" w:lineRule="exact"/>
              <w:rPr>
                <w:sz w:val="20"/>
                <w:szCs w:val="20"/>
                <w:color w:val="auto"/>
              </w:rPr>
            </w:pPr>
            <w:r>
              <w:rPr>
                <w:rFonts w:ascii="Arial" w:cs="Arial" w:eastAsia="Arial" w:hAnsi="Arial"/>
                <w:sz w:val="18"/>
                <w:szCs w:val="18"/>
                <w:color w:val="auto"/>
                <w:w w:val="96"/>
              </w:rPr>
              <w:t>Amortization of deferred loan and bond issuance costs and premium</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spacing w:after="0"/>
              <w:rPr>
                <w:sz w:val="20"/>
                <w:szCs w:val="20"/>
                <w:color w:val="auto"/>
              </w:rPr>
            </w:pPr>
            <w:r>
              <w:rPr>
                <w:rFonts w:ascii="Arial" w:cs="Arial" w:eastAsia="Arial" w:hAnsi="Arial"/>
                <w:sz w:val="18"/>
                <w:szCs w:val="18"/>
                <w:color w:val="auto"/>
              </w:rPr>
              <w:t>(Note 19)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14,154</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Retranslation of the NOK 2021 Bonds and the NOK 2024 Bonds in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USD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2019</w:t>
            </w:r>
          </w:p>
        </w:tc>
        <w:tc>
          <w:tcPr>
            <w:tcW w:w="9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3,147,395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 and bonds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2,138,035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Loans and bond repayments</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(1,481,709)</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(8,063)</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(1,489,772)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Payment for bond repurchase at premium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Additions in deferred loan fees</w:t>
            </w:r>
          </w:p>
        </w:tc>
        <w:tc>
          <w:tcPr>
            <w:tcW w:w="900" w:type="dxa"/>
            <w:vAlign w:val="bottom"/>
          </w:tcPr>
          <w:p>
            <w:pPr>
              <w:jc w:val="right"/>
              <w:spacing w:after="0"/>
              <w:rPr>
                <w:sz w:val="20"/>
                <w:szCs w:val="20"/>
                <w:color w:val="auto"/>
              </w:rPr>
            </w:pPr>
            <w:r>
              <w:rPr>
                <w:rFonts w:ascii="Arial" w:cs="Arial" w:eastAsia="Arial" w:hAnsi="Arial"/>
                <w:sz w:val="18"/>
                <w:szCs w:val="18"/>
                <w:color w:val="auto"/>
              </w:rPr>
              <w:t>(35,795)</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(6,442)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loan fees received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tcPr>
          <w:p>
            <w:pPr>
              <w:spacing w:after="0" w:line="199" w:lineRule="exact"/>
              <w:rPr>
                <w:sz w:val="20"/>
                <w:szCs w:val="20"/>
                <w:color w:val="auto"/>
              </w:rPr>
            </w:pPr>
            <w:r>
              <w:rPr>
                <w:rFonts w:ascii="Arial" w:cs="Arial" w:eastAsia="Arial" w:hAnsi="Arial"/>
                <w:sz w:val="18"/>
                <w:szCs w:val="18"/>
                <w:color w:val="auto"/>
              </w:rPr>
              <w:t>Amortization and write-off of deferred loan/bond issuance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spacing w:after="0"/>
              <w:rPr>
                <w:sz w:val="20"/>
                <w:szCs w:val="20"/>
                <w:color w:val="auto"/>
              </w:rPr>
            </w:pPr>
            <w:r>
              <w:rPr>
                <w:rFonts w:ascii="Arial" w:cs="Arial" w:eastAsia="Arial" w:hAnsi="Arial"/>
                <w:sz w:val="18"/>
                <w:szCs w:val="18"/>
                <w:color w:val="auto"/>
              </w:rPr>
              <w:t>costs/premium (Note 19)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22,876</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Retranslation of the NOK 2024 Bonds in USD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2020</w:t>
            </w:r>
          </w:p>
        </w:tc>
        <w:tc>
          <w:tcPr>
            <w:tcW w:w="9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3,773,221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471,867</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Loans and bond repayments</w:t>
            </w:r>
          </w:p>
        </w:tc>
        <w:tc>
          <w:tcPr>
            <w:tcW w:w="900" w:type="dxa"/>
            <w:vAlign w:val="bottom"/>
          </w:tcPr>
          <w:p>
            <w:pPr>
              <w:jc w:val="right"/>
              <w:spacing w:after="0"/>
              <w:rPr>
                <w:sz w:val="20"/>
                <w:szCs w:val="20"/>
                <w:color w:val="auto"/>
              </w:rPr>
            </w:pPr>
            <w:r>
              <w:rPr>
                <w:rFonts w:ascii="Arial" w:cs="Arial" w:eastAsia="Arial" w:hAnsi="Arial"/>
                <w:sz w:val="18"/>
                <w:szCs w:val="18"/>
                <w:color w:val="auto"/>
              </w:rPr>
              <w:t>(592,463)</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(592,463)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Additions in deferred loan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received</w:t>
            </w: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Amortization and write-off of deferred loan/bond issuance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costs/premium (Note 19)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20,286</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Retranslation of the NOK 2024 Bonds in USD</w:t>
            </w:r>
          </w:p>
        </w:tc>
        <w:tc>
          <w:tcPr>
            <w:tcW w:w="10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(3,184)</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3,658,220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780"/>
              <w:spacing w:after="0"/>
              <w:rPr>
                <w:sz w:val="20"/>
                <w:szCs w:val="20"/>
                <w:color w:val="auto"/>
              </w:rPr>
            </w:pPr>
            <w:r>
              <w:rPr>
                <w:rFonts w:ascii="Arial" w:cs="Arial" w:eastAsia="Arial" w:hAnsi="Arial"/>
                <w:sz w:val="18"/>
                <w:szCs w:val="18"/>
                <w:color w:val="auto"/>
              </w:rPr>
              <w:t>F-69</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9" w:right="99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pacing w:after="0" w:line="211" w:lineRule="exact"/>
        <w:rPr>
          <w:sz w:val="20"/>
          <w:szCs w:val="20"/>
          <w:color w:val="auto"/>
        </w:rPr>
      </w:pPr>
    </w:p>
    <w:tbl>
      <w:tblPr>
        <w:tblLayout w:type="fixed"/>
        <w:tblInd w:w="6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Cash</w:t>
            </w:r>
          </w:p>
        </w:tc>
        <w:tc>
          <w:tcPr>
            <w:tcW w:w="1220" w:type="dxa"/>
            <w:vAlign w:val="bottom"/>
          </w:tcPr>
          <w:p>
            <w:pPr>
              <w:ind w:left="42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Non-cash</w:t>
            </w:r>
          </w:p>
        </w:tc>
        <w:tc>
          <w:tcPr>
            <w:tcW w:w="118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Net derivative</w:t>
            </w:r>
          </w:p>
        </w:tc>
        <w:tc>
          <w:tcPr>
            <w:tcW w:w="0" w:type="dxa"/>
            <w:vAlign w:val="bottom"/>
          </w:tcPr>
          <w:p>
            <w:pPr>
              <w:spacing w:after="0"/>
              <w:rPr>
                <w:sz w:val="1"/>
                <w:szCs w:val="1"/>
                <w:color w:val="auto"/>
              </w:rPr>
            </w:pPr>
          </w:p>
        </w:tc>
      </w:tr>
      <w:tr>
        <w:trPr>
          <w:trHeight w:val="147"/>
        </w:trPr>
        <w:tc>
          <w:tcPr>
            <w:tcW w:w="540" w:type="dxa"/>
            <w:vAlign w:val="bottom"/>
            <w:vMerge w:val="continue"/>
          </w:tcPr>
          <w:p>
            <w:pPr>
              <w:spacing w:after="0"/>
              <w:rPr>
                <w:sz w:val="12"/>
                <w:szCs w:val="12"/>
                <w:color w:val="auto"/>
              </w:rPr>
            </w:pPr>
          </w:p>
        </w:tc>
        <w:tc>
          <w:tcPr>
            <w:tcW w:w="1220" w:type="dxa"/>
            <w:vAlign w:val="bottom"/>
          </w:tcPr>
          <w:p>
            <w:pPr>
              <w:jc w:val="center"/>
              <w:ind w:left="9"/>
              <w:spacing w:after="0" w:line="147" w:lineRule="exact"/>
              <w:rPr>
                <w:sz w:val="20"/>
                <w:szCs w:val="20"/>
                <w:color w:val="auto"/>
              </w:rPr>
            </w:pPr>
            <w:r>
              <w:rPr>
                <w:rFonts w:ascii="Arial" w:cs="Arial" w:eastAsia="Arial" w:hAnsi="Arial"/>
                <w:sz w:val="14"/>
                <w:szCs w:val="14"/>
                <w:b w:val="1"/>
                <w:bCs w:val="1"/>
                <w:color w:val="auto"/>
                <w:w w:val="87"/>
              </w:rPr>
              <w:t>comprehensive</w:t>
            </w:r>
          </w:p>
        </w:tc>
        <w:tc>
          <w:tcPr>
            <w:tcW w:w="8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flows</w:t>
            </w:r>
          </w:p>
        </w:tc>
        <w:tc>
          <w:tcPr>
            <w:tcW w:w="1220" w:type="dxa"/>
            <w:vAlign w:val="bottom"/>
          </w:tcPr>
          <w:p>
            <w:pPr>
              <w:jc w:val="center"/>
              <w:ind w:left="9"/>
              <w:spacing w:after="0"/>
              <w:rPr>
                <w:sz w:val="20"/>
                <w:szCs w:val="20"/>
                <w:color w:val="auto"/>
              </w:rPr>
            </w:pPr>
            <w:r>
              <w:rPr>
                <w:rFonts w:ascii="Arial" w:cs="Arial" w:eastAsia="Arial" w:hAnsi="Arial"/>
                <w:sz w:val="14"/>
                <w:szCs w:val="14"/>
                <w:b w:val="1"/>
                <w:bCs w:val="1"/>
                <w:color w:val="auto"/>
                <w:w w:val="86"/>
              </w:rPr>
              <w:t>(loss)/income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items</w:t>
            </w:r>
          </w:p>
        </w:tc>
        <w:tc>
          <w:tcPr>
            <w:tcW w:w="1180" w:type="dxa"/>
            <w:vAlign w:val="bottom"/>
          </w:tcPr>
          <w:p>
            <w:pPr>
              <w:jc w:val="center"/>
              <w:ind w:left="69"/>
              <w:spacing w:after="0"/>
              <w:rPr>
                <w:sz w:val="20"/>
                <w:szCs w:val="20"/>
                <w:color w:val="auto"/>
              </w:rPr>
            </w:pPr>
            <w:r>
              <w:rPr>
                <w:rFonts w:ascii="Arial" w:cs="Arial" w:eastAsia="Arial" w:hAnsi="Arial"/>
                <w:sz w:val="14"/>
                <w:szCs w:val="14"/>
                <w:b w:val="1"/>
                <w:bCs w:val="1"/>
                <w:u w:val="single" w:color="auto"/>
                <w:color w:val="auto"/>
                <w:w w:val="89"/>
              </w:rPr>
              <w:t>assets/(liabilities)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6295390" cy="144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295390" cy="144145"/>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line="193" w:lineRule="exact"/>
              <w:rPr>
                <w:sz w:val="20"/>
                <w:szCs w:val="20"/>
                <w:color w:val="auto"/>
              </w:rPr>
            </w:pPr>
            <w:r>
              <w:rPr>
                <w:rFonts w:ascii="Arial" w:cs="Arial" w:eastAsia="Arial" w:hAnsi="Arial"/>
                <w:sz w:val="18"/>
                <w:szCs w:val="18"/>
                <w:b w:val="1"/>
                <w:bCs w:val="1"/>
                <w:color w:val="auto"/>
              </w:rPr>
              <w:t>January 1, 2019</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Unrealized loss on derivative financial instruments held for trading (Note 26)</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(54,050)</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Ineffective portion of cash flow hedges (Note 26)</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Payment for CCS termination</w:t>
            </w:r>
          </w:p>
        </w:tc>
        <w:tc>
          <w:tcPr>
            <w:tcW w:w="620" w:type="dxa"/>
            <w:vAlign w:val="bottom"/>
          </w:tcPr>
          <w:p>
            <w:pPr>
              <w:jc w:val="right"/>
              <w:spacing w:after="0"/>
              <w:rPr>
                <w:sz w:val="20"/>
                <w:szCs w:val="20"/>
                <w:color w:val="auto"/>
              </w:rPr>
            </w:pPr>
            <w:r>
              <w:rPr>
                <w:rFonts w:ascii="Arial" w:cs="Arial" w:eastAsia="Arial" w:hAnsi="Arial"/>
                <w:sz w:val="18"/>
                <w:szCs w:val="18"/>
                <w:color w:val="auto"/>
              </w:rPr>
              <w:t>3,731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w w:val="97"/>
              </w:rPr>
              <w:t>Effective portion of changes in the fair value of derivatives designated as cash</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flow hedging instruments</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(2,608)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4"/>
        </w:trPr>
        <w:tc>
          <w:tcPr>
            <w:tcW w:w="6080" w:type="dxa"/>
            <w:vAlign w:val="bottom"/>
            <w:gridSpan w:val="2"/>
          </w:tcPr>
          <w:p>
            <w:pPr>
              <w:spacing w:after="0"/>
              <w:rPr>
                <w:sz w:val="20"/>
                <w:szCs w:val="20"/>
                <w:color w:val="auto"/>
              </w:rPr>
            </w:pPr>
            <w:r>
              <w:rPr>
                <w:rFonts w:ascii="Arial" w:cs="Arial" w:eastAsia="Arial" w:hAnsi="Arial"/>
                <w:sz w:val="18"/>
                <w:szCs w:val="18"/>
                <w:color w:val="auto"/>
              </w:rPr>
              <w:t>Unrealized loss on derivative financial instruments held for trading (Note 26)</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(64,044)</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Ineffective portion of cash flow hedges (Note 26)</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Payment for interest rate swaps termination</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31,662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Proceeds from entering into interest rate swaps</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(31,622)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Payment for CCS termination/modification</w:t>
            </w:r>
          </w:p>
        </w:tc>
        <w:tc>
          <w:tcPr>
            <w:tcW w:w="620" w:type="dxa"/>
            <w:vAlign w:val="bottom"/>
          </w:tcPr>
          <w:p>
            <w:pPr>
              <w:jc w:val="right"/>
              <w:spacing w:after="0"/>
              <w:rPr>
                <w:sz w:val="20"/>
                <w:szCs w:val="20"/>
                <w:color w:val="auto"/>
              </w:rPr>
            </w:pPr>
            <w:r>
              <w:rPr>
                <w:rFonts w:ascii="Arial" w:cs="Arial" w:eastAsia="Arial" w:hAnsi="Arial"/>
                <w:sz w:val="18"/>
                <w:szCs w:val="18"/>
                <w:color w:val="auto"/>
              </w:rPr>
              <w:t>4,052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w w:val="97"/>
              </w:rPr>
              <w:t>Effective portion of changes in the fair value of derivatives designated as cash</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flow hedging instruments</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4"/>
        </w:trPr>
        <w:tc>
          <w:tcPr>
            <w:tcW w:w="6080" w:type="dxa"/>
            <w:vAlign w:val="bottom"/>
            <w:gridSpan w:val="2"/>
          </w:tcPr>
          <w:p>
            <w:pPr>
              <w:spacing w:after="0"/>
              <w:rPr>
                <w:sz w:val="20"/>
                <w:szCs w:val="20"/>
                <w:color w:val="auto"/>
              </w:rPr>
            </w:pPr>
            <w:r>
              <w:rPr>
                <w:rFonts w:ascii="Arial" w:cs="Arial" w:eastAsia="Arial" w:hAnsi="Arial"/>
                <w:sz w:val="18"/>
                <w:szCs w:val="18"/>
                <w:color w:val="auto"/>
                <w:w w:val="99"/>
              </w:rPr>
              <w:t>Unrealized gain on derivative financial instruments held for trading (Note 26)</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59,407</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rPr>
              <w:t>Ineffective portion of cash flow hedges (Note 26)</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6080" w:type="dxa"/>
            <w:vAlign w:val="bottom"/>
            <w:gridSpan w:val="2"/>
          </w:tcPr>
          <w:p>
            <w:pPr>
              <w:spacing w:after="0"/>
              <w:rPr>
                <w:sz w:val="20"/>
                <w:szCs w:val="20"/>
                <w:color w:val="auto"/>
              </w:rPr>
            </w:pPr>
            <w:r>
              <w:rPr>
                <w:rFonts w:ascii="Arial" w:cs="Arial" w:eastAsia="Arial" w:hAnsi="Arial"/>
                <w:sz w:val="18"/>
                <w:szCs w:val="18"/>
                <w:color w:val="auto"/>
                <w:w w:val="97"/>
              </w:rPr>
              <w:t>Effective portion of changes in the fair value of derivatives designated as cash</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6"/>
        </w:trPr>
        <w:tc>
          <w:tcPr>
            <w:tcW w:w="6080" w:type="dxa"/>
            <w:vAlign w:val="bottom"/>
            <w:gridSpan w:val="2"/>
          </w:tcPr>
          <w:p>
            <w:pPr>
              <w:spacing w:after="0"/>
              <w:rPr>
                <w:sz w:val="20"/>
                <w:szCs w:val="20"/>
                <w:color w:val="auto"/>
              </w:rPr>
            </w:pPr>
            <w:r>
              <w:rPr>
                <w:rFonts w:ascii="Arial" w:cs="Arial" w:eastAsia="Arial" w:hAnsi="Arial"/>
                <w:sz w:val="18"/>
                <w:szCs w:val="18"/>
                <w:color w:val="auto"/>
              </w:rPr>
              <w:t>flow hedging instruments</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(3,345)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4"/>
        </w:trPr>
        <w:tc>
          <w:tcPr>
            <w:tcW w:w="6080" w:type="dxa"/>
            <w:vAlign w:val="bottom"/>
            <w:gridSpan w:val="2"/>
          </w:tcPr>
          <w:p>
            <w:pPr>
              <w:ind w:left="320"/>
              <w:spacing w:after="0"/>
              <w:rPr>
                <w:sz w:val="20"/>
                <w:szCs w:val="20"/>
                <w:color w:val="auto"/>
              </w:rPr>
            </w:pPr>
            <w:r>
              <w:rPr>
                <w:rFonts w:ascii="Arial" w:cs="Arial" w:eastAsia="Arial" w:hAnsi="Arial"/>
                <w:sz w:val="18"/>
                <w:szCs w:val="18"/>
                <w:color w:val="auto"/>
                <w:w w:val="92"/>
              </w:rPr>
              <w:t>A reconciliation of lease liabilities arising from financing activities is as follows: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5"/>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ind w:left="500"/>
              <w:spacing w:after="0"/>
              <w:rPr>
                <w:sz w:val="20"/>
                <w:szCs w:val="20"/>
                <w:color w:val="auto"/>
              </w:rPr>
            </w:pPr>
            <w:r>
              <w:rPr>
                <w:rFonts w:ascii="Arial" w:cs="Arial" w:eastAsia="Arial" w:hAnsi="Arial"/>
                <w:sz w:val="14"/>
                <w:szCs w:val="14"/>
                <w:b w:val="1"/>
                <w:bCs w:val="1"/>
                <w:color w:val="auto"/>
                <w:w w:val="86"/>
              </w:rPr>
              <w:t>Cash flows</w:t>
            </w:r>
          </w:p>
        </w:tc>
        <w:tc>
          <w:tcPr>
            <w:tcW w:w="148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Non-cash items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-3015615</wp:posOffset>
            </wp:positionV>
            <wp:extent cx="6295390" cy="135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295390" cy="135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-2744470</wp:posOffset>
            </wp:positionV>
            <wp:extent cx="6295390" cy="271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295390" cy="2711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-2049780</wp:posOffset>
            </wp:positionV>
            <wp:extent cx="6295390" cy="135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295390" cy="135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-1778635</wp:posOffset>
            </wp:positionV>
            <wp:extent cx="6295390" cy="135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295390" cy="135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-1083945</wp:posOffset>
            </wp:positionV>
            <wp:extent cx="6295390" cy="135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295390" cy="135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-676910</wp:posOffset>
            </wp:positionV>
            <wp:extent cx="6295390" cy="152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295390" cy="1524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-1372235</wp:posOffset>
            </wp:positionV>
            <wp:extent cx="6295390" cy="144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295390" cy="1441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-2329180</wp:posOffset>
            </wp:positionV>
            <wp:extent cx="6295390" cy="144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295390"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8"/>
          <w:szCs w:val="18"/>
          <w:b w:val="1"/>
          <w:bCs w:val="1"/>
          <w:color w:val="auto"/>
        </w:rPr>
        <w:t>3,096</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(54,050)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w:t>
      </w:r>
    </w:p>
    <w:p>
      <w:pPr>
        <w:spacing w:after="0" w:line="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7,782</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(2,608)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-130175</wp:posOffset>
            </wp:positionV>
            <wp:extent cx="677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(64,044)</w:t>
      </w:r>
    </w:p>
    <w:p>
      <w:pPr>
        <w:spacing w:after="0" w:line="19" w:lineRule="exact"/>
        <w:rPr>
          <w:sz w:val="20"/>
          <w:szCs w:val="20"/>
          <w:color w:val="auto"/>
        </w:rPr>
      </w:pPr>
    </w:p>
    <w:p>
      <w:pPr>
        <w:jc w:val="right"/>
        <w:ind w:left="400"/>
        <w:spacing w:after="0" w:line="291" w:lineRule="auto"/>
        <w:rPr>
          <w:sz w:val="20"/>
          <w:szCs w:val="20"/>
          <w:color w:val="auto"/>
        </w:rPr>
      </w:pPr>
      <w:r>
        <w:rPr>
          <w:rFonts w:ascii="Arial" w:cs="Arial" w:eastAsia="Arial" w:hAnsi="Arial"/>
          <w:sz w:val="16"/>
          <w:szCs w:val="16"/>
          <w:color w:val="auto"/>
        </w:rPr>
        <w:t>(323) 31,662 (31,622) —</w:t>
      </w:r>
    </w:p>
    <w:p>
      <w:pPr>
        <w:spacing w:after="0" w:line="16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2,498</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(107,760)</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59,407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-122555</wp:posOffset>
            </wp:positionV>
            <wp:extent cx="6775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(5)</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(3,345)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(51,703)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30480</wp:posOffset>
            </wp:positionV>
            <wp:extent cx="6775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 liabilities</w:t>
      </w:r>
    </w:p>
    <w:p>
      <w:pPr>
        <w:spacing w:after="0" w:line="20" w:lineRule="exact"/>
        <w:rPr>
          <w:sz w:val="20"/>
          <w:szCs w:val="20"/>
          <w:color w:val="auto"/>
        </w:rPr>
      </w:pPr>
    </w:p>
    <w:p>
      <w:pPr>
        <w:sectPr>
          <w:pgSz w:w="11900" w:h="16838" w:orient="portrait"/>
          <w:cols w:equalWidth="0" w:num="2">
            <w:col w:w="8720" w:space="200"/>
            <w:col w:w="1000"/>
          </w:cols>
          <w:pgMar w:left="980" w:top="659" w:right="9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213,374</w:t>
            </w:r>
          </w:p>
        </w:tc>
      </w:tr>
      <w:tr>
        <w:trPr>
          <w:trHeight w:val="213"/>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Lease charge (Note 19)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10,506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10,506</w:t>
            </w: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13"/>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Payments for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(10,521)</w:t>
            </w: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(10,521)</w:t>
            </w: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Payments for lease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(9,891)</w:t>
            </w:r>
          </w:p>
        </w:tc>
      </w:tr>
      <w:tr>
        <w:trPr>
          <w:trHeight w:val="207"/>
        </w:trPr>
        <w:tc>
          <w:tcPr>
            <w:tcW w:w="20" w:type="dxa"/>
            <w:vAlign w:val="bottom"/>
          </w:tcPr>
          <w:p>
            <w:pPr>
              <w:spacing w:after="0"/>
              <w:rPr>
                <w:sz w:val="17"/>
                <w:szCs w:val="17"/>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2019</w:t>
            </w: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204,930</w:t>
            </w: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 charge (Note 19)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r>
      <w:tr>
        <w:trPr>
          <w:trHeight w:val="213"/>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Additions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for lease liabilities</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(11,150)</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w:t>
            </w:r>
          </w:p>
        </w:tc>
      </w:tr>
      <w:tr>
        <w:trPr>
          <w:trHeight w:val="20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196,170</w:t>
            </w:r>
          </w:p>
        </w:tc>
      </w:tr>
      <w:tr>
        <w:trPr>
          <w:trHeight w:val="207"/>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Lease charge (Note 19)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10,269</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10,269</w:t>
            </w: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121,520</w:t>
            </w:r>
          </w:p>
        </w:tc>
      </w:tr>
      <w:tr>
        <w:trPr>
          <w:trHeight w:val="213"/>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Payments for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(10,269)</w:t>
            </w: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(10,269)</w:t>
            </w: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Payments for lease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r>
      <w:tr>
        <w:trPr>
          <w:trHeight w:val="207"/>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302,850</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Taxation</w:t>
      </w:r>
    </w:p>
    <w:p>
      <w:pPr>
        <w:spacing w:after="0" w:line="224" w:lineRule="exact"/>
        <w:rPr>
          <w:sz w:val="20"/>
          <w:szCs w:val="20"/>
          <w:color w:val="auto"/>
        </w:rPr>
      </w:pPr>
    </w:p>
    <w:p>
      <w:pPr>
        <w:ind w:right="60" w:firstLine="320"/>
        <w:spacing w:after="0" w:line="258" w:lineRule="auto"/>
        <w:rPr>
          <w:sz w:val="20"/>
          <w:szCs w:val="20"/>
          <w:color w:val="auto"/>
        </w:rPr>
      </w:pPr>
      <w:r>
        <w:rPr>
          <w:rFonts w:ascii="Arial" w:cs="Arial" w:eastAsia="Arial" w:hAnsi="Arial"/>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ectPr>
          <w:pgSz w:w="11900" w:h="16838" w:orient="portrait"/>
          <w:cols w:equalWidth="0" w:num="1">
            <w:col w:w="9920"/>
          </w:cols>
          <w:pgMar w:left="980" w:top="659" w:right="99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367030</wp:posOffset>
            </wp:positionV>
            <wp:extent cx="628650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type w:val="continuous"/>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00" w:firstLine="320"/>
        <w:spacing w:after="0" w:line="271" w:lineRule="auto"/>
        <w:rPr>
          <w:sz w:val="20"/>
          <w:szCs w:val="20"/>
          <w:color w:val="auto"/>
        </w:rPr>
      </w:pPr>
      <w:r>
        <w:rPr>
          <w:rFonts w:ascii="Arial" w:cs="Arial" w:eastAsia="Arial" w:hAnsi="Arial"/>
          <w:sz w:val="17"/>
          <w:szCs w:val="17"/>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77" w:lineRule="exact"/>
        <w:rPr>
          <w:sz w:val="20"/>
          <w:szCs w:val="20"/>
          <w:color w:val="auto"/>
        </w:rPr>
      </w:pPr>
    </w:p>
    <w:p>
      <w:pPr>
        <w:ind w:firstLine="320"/>
        <w:spacing w:after="0" w:line="333" w:lineRule="auto"/>
        <w:rPr>
          <w:sz w:val="20"/>
          <w:szCs w:val="20"/>
          <w:color w:val="auto"/>
        </w:rPr>
      </w:pPr>
      <w:r>
        <w:rPr>
          <w:rFonts w:ascii="Arial" w:cs="Arial" w:eastAsia="Arial" w:hAnsi="Arial"/>
          <w:sz w:val="16"/>
          <w:szCs w:val="16"/>
          <w:color w:val="auto"/>
        </w:rPr>
        <w:t>GasLog Partners did not qualify for this exemption for the three years ended December 31, 2021. During the year ended December 31, 2021, the estimated U.S. source gross transportation tax was $1,357 (December 31, 2020: $1,300 and December 31, 2019: $978).</w:t>
      </w:r>
    </w:p>
    <w:p>
      <w:pPr>
        <w:spacing w:after="0" w:line="130" w:lineRule="exact"/>
        <w:rPr>
          <w:sz w:val="20"/>
          <w:szCs w:val="20"/>
          <w:color w:val="auto"/>
        </w:rPr>
      </w:pPr>
    </w:p>
    <w:p>
      <w:pPr>
        <w:ind w:right="40" w:firstLine="320"/>
        <w:spacing w:after="0" w:line="258" w:lineRule="auto"/>
        <w:rPr>
          <w:sz w:val="20"/>
          <w:szCs w:val="20"/>
          <w:color w:val="auto"/>
        </w:rPr>
      </w:pPr>
      <w:r>
        <w:rPr>
          <w:rFonts w:ascii="Arial" w:cs="Arial" w:eastAsia="Arial" w:hAnsi="Arial"/>
          <w:sz w:val="18"/>
          <w:szCs w:val="18"/>
          <w:color w:val="auto"/>
        </w:rPr>
        <w:t>GasLog does not expect to qualify for the statutory tax exemption for the year ended December 31, 2021. During the year ended December 31, 2021, the estimated U.S. source gross transportation tax for GasLog's wholly owned subsidiaries was $3,300 (December 31, 2020: $0, December 31, 2019: $0).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Subsequent Events</w:t>
      </w:r>
    </w:p>
    <w:p>
      <w:pPr>
        <w:spacing w:after="0" w:line="224" w:lineRule="exact"/>
        <w:rPr>
          <w:sz w:val="20"/>
          <w:szCs w:val="20"/>
          <w:color w:val="auto"/>
        </w:rPr>
      </w:pPr>
    </w:p>
    <w:p>
      <w:pPr>
        <w:ind w:right="180" w:firstLine="320"/>
        <w:spacing w:after="0" w:line="274" w:lineRule="auto"/>
        <w:rPr>
          <w:sz w:val="20"/>
          <w:szCs w:val="20"/>
          <w:color w:val="auto"/>
        </w:rPr>
      </w:pPr>
      <w:r>
        <w:rPr>
          <w:rFonts w:ascii="Arial" w:cs="Arial" w:eastAsia="Arial" w:hAnsi="Arial"/>
          <w:sz w:val="17"/>
          <w:szCs w:val="17"/>
          <w:color w:val="auto"/>
        </w:rPr>
        <w:t xml:space="preserve">On January 28, 2022, GasLog through its subsidiary GAS-fifteen Ltd. signed an agreement with Keppel for the conversion of the </w:t>
      </w:r>
      <w:r>
        <w:rPr>
          <w:rFonts w:ascii="Arial" w:cs="Arial" w:eastAsia="Arial" w:hAnsi="Arial"/>
          <w:sz w:val="17"/>
          <w:szCs w:val="17"/>
          <w:i w:val="1"/>
          <w:iCs w:val="1"/>
          <w:color w:val="auto"/>
        </w:rPr>
        <w:t>GasLog Chelsea</w:t>
      </w:r>
      <w:r>
        <w:rPr>
          <w:rFonts w:ascii="Arial" w:cs="Arial" w:eastAsia="Arial" w:hAnsi="Arial"/>
          <w:sz w:val="17"/>
          <w:szCs w:val="17"/>
          <w:color w:val="auto"/>
        </w:rPr>
        <w:t>, a 153,600 cbm TFDE LNG carrier built in 2010, to an FSRU pursuant to the Final Investment Decision taken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of a regasification terminal in Alexandroupolis by Gastrade. On February, 3, 2022, GasLog issued a Final Notice to proceed with the conversion. The conversion is expected to be completed by the fourth quarter of 2023.</w:t>
      </w:r>
    </w:p>
    <w:p>
      <w:pPr>
        <w:spacing w:after="0" w:line="175" w:lineRule="exact"/>
        <w:rPr>
          <w:sz w:val="20"/>
          <w:szCs w:val="20"/>
          <w:color w:val="auto"/>
        </w:rPr>
      </w:pPr>
    </w:p>
    <w:p>
      <w:pPr>
        <w:ind w:right="200" w:firstLine="320"/>
        <w:spacing w:after="0" w:line="333" w:lineRule="auto"/>
        <w:rPr>
          <w:sz w:val="20"/>
          <w:szCs w:val="20"/>
          <w:color w:val="auto"/>
        </w:rPr>
      </w:pPr>
      <w:r>
        <w:rPr>
          <w:rFonts w:ascii="Arial" w:cs="Arial" w:eastAsia="Arial" w:hAnsi="Arial"/>
          <w:sz w:val="16"/>
          <w:szCs w:val="16"/>
          <w:color w:val="auto"/>
        </w:rPr>
        <w:t xml:space="preserve">On February 2, 2022, GasLog through its subsidiary GasLog Services UK Ltd. entered into an agreement for the sale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Chelsea </w:t>
      </w:r>
      <w:r>
        <w:rPr>
          <w:rFonts w:ascii="Arial" w:cs="Arial" w:eastAsia="Arial" w:hAnsi="Arial"/>
          <w:sz w:val="16"/>
          <w:szCs w:val="16"/>
          <w:color w:val="auto"/>
        </w:rPr>
        <w:t>to Gastrade for $265,086 following its conversion to an FSRU expected to be completed by the fourth quarter of 2023.</w:t>
      </w:r>
    </w:p>
    <w:p>
      <w:pPr>
        <w:spacing w:after="0" w:line="130" w:lineRule="exact"/>
        <w:rPr>
          <w:sz w:val="20"/>
          <w:szCs w:val="20"/>
          <w:color w:val="auto"/>
        </w:rPr>
      </w:pPr>
    </w:p>
    <w:p>
      <w:pPr>
        <w:ind w:right="80" w:firstLine="320"/>
        <w:spacing w:after="0" w:line="270" w:lineRule="auto"/>
        <w:rPr>
          <w:sz w:val="20"/>
          <w:szCs w:val="20"/>
          <w:color w:val="auto"/>
        </w:rPr>
      </w:pPr>
      <w:r>
        <w:rPr>
          <w:rFonts w:ascii="Arial" w:cs="Arial" w:eastAsia="Arial" w:hAnsi="Arial"/>
          <w:sz w:val="18"/>
          <w:szCs w:val="18"/>
          <w:color w:val="auto"/>
        </w:rPr>
        <w:t>On February 23, 2022, the board of directors declared a quarterly cash dividend of $0.15 per common share paid on March 1, 2022 to shareholders of record as of February 28,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2.2</w:t>
      </w:r>
    </w:p>
    <w:p>
      <w:pPr>
        <w:spacing w:after="0" w:line="220" w:lineRule="exact"/>
        <w:rPr>
          <w:sz w:val="20"/>
          <w:szCs w:val="20"/>
          <w:color w:val="auto"/>
        </w:rPr>
      </w:pPr>
    </w:p>
    <w:p>
      <w:pPr>
        <w:jc w:val="center"/>
        <w:ind w:left="1000" w:right="2260"/>
        <w:spacing w:after="0" w:line="261"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83"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i w:val="1"/>
          <w:iCs w:val="1"/>
          <w:color w:val="auto"/>
        </w:rPr>
        <w:t>GasLog Ltd. has one class of securities registered under Section 12 of the Securities Exchange Act of 1934, as amended: our Series A Preference Shares (the “Preference Shares”).</w:t>
      </w:r>
    </w:p>
    <w:p>
      <w:pPr>
        <w:spacing w:after="0" w:line="175" w:lineRule="exact"/>
        <w:rPr>
          <w:sz w:val="20"/>
          <w:szCs w:val="20"/>
          <w:color w:val="auto"/>
        </w:rPr>
      </w:pPr>
    </w:p>
    <w:p>
      <w:pPr>
        <w:ind w:right="60" w:firstLine="1281"/>
        <w:spacing w:after="0" w:line="250" w:lineRule="auto"/>
        <w:rPr>
          <w:sz w:val="20"/>
          <w:szCs w:val="20"/>
          <w:color w:val="auto"/>
        </w:rPr>
      </w:pPr>
      <w:r>
        <w:rPr>
          <w:rFonts w:ascii="Arial" w:cs="Arial" w:eastAsia="Arial" w:hAnsi="Arial"/>
          <w:sz w:val="18"/>
          <w:szCs w:val="18"/>
          <w:color w:val="auto"/>
        </w:rPr>
        <w:t>The following summarizes the material terms of the Preference Shares of GasLog Ltd. (the “</w:t>
      </w:r>
      <w:r>
        <w:rPr>
          <w:rFonts w:ascii="Arial" w:cs="Arial" w:eastAsia="Arial" w:hAnsi="Arial"/>
          <w:sz w:val="18"/>
          <w:szCs w:val="18"/>
          <w:u w:val="single" w:color="auto"/>
          <w:color w:val="auto"/>
        </w:rPr>
        <w:t>Company</w:t>
      </w:r>
      <w:r>
        <w:rPr>
          <w:rFonts w:ascii="Arial" w:cs="Arial" w:eastAsia="Arial" w:hAnsi="Arial"/>
          <w:sz w:val="18"/>
          <w:szCs w:val="18"/>
          <w:color w:val="auto"/>
        </w:rPr>
        <w:t>”) as set forth in the Company’s Memorandum of Association, as amended (the “</w:t>
      </w:r>
      <w:r>
        <w:rPr>
          <w:rFonts w:ascii="Arial" w:cs="Arial" w:eastAsia="Arial" w:hAnsi="Arial"/>
          <w:sz w:val="18"/>
          <w:szCs w:val="18"/>
          <w:u w:val="single" w:color="auto"/>
          <w:color w:val="auto"/>
        </w:rPr>
        <w:t>Memorandum of Association</w:t>
      </w:r>
      <w:r>
        <w:rPr>
          <w:rFonts w:ascii="Arial" w:cs="Arial" w:eastAsia="Arial" w:hAnsi="Arial"/>
          <w:sz w:val="18"/>
          <w:szCs w:val="18"/>
          <w:color w:val="auto"/>
        </w:rPr>
        <w:t>”) and the Company’s Bye-laws, as amended (the “</w:t>
      </w:r>
      <w:r>
        <w:rPr>
          <w:rFonts w:ascii="Arial" w:cs="Arial" w:eastAsia="Arial" w:hAnsi="Arial"/>
          <w:sz w:val="18"/>
          <w:szCs w:val="18"/>
          <w:u w:val="single" w:color="auto"/>
          <w:color w:val="auto"/>
        </w:rPr>
        <w:t>Bye-laws</w:t>
      </w:r>
      <w:r>
        <w:rPr>
          <w:rFonts w:ascii="Arial" w:cs="Arial" w:eastAsia="Arial" w:hAnsi="Arial"/>
          <w:sz w:val="18"/>
          <w:szCs w:val="18"/>
          <w:color w:val="auto"/>
        </w:rPr>
        <w:t>”) and the Certificate of Designations in respect of the Preference Shares (the “</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While we believe that the following description covers the material terms of such securities, such summary may not contain all of the information that may be important to you and is subject to, and qualified in its entirety by, reference to the Memorandum of Association and the Bye-laws, each of which is filed as an exhibit to the 20-F of which this Exhibit 2.2 is a part, as well as the Certificate of Designations. As used herein, unless otherwise expressly stated or the context otherwise requires, the terms “Company”, “we”, “our” and “us” refer to GasLog Ltd.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ind w:right="820" w:firstLine="1281"/>
        <w:spacing w:after="0" w:line="270" w:lineRule="auto"/>
        <w:rPr>
          <w:sz w:val="20"/>
          <w:szCs w:val="20"/>
          <w:color w:val="auto"/>
        </w:rPr>
      </w:pPr>
      <w:r>
        <w:rPr>
          <w:rFonts w:ascii="Arial" w:cs="Arial" w:eastAsia="Arial" w:hAnsi="Arial"/>
          <w:sz w:val="18"/>
          <w:szCs w:val="18"/>
          <w:color w:val="auto"/>
        </w:rPr>
        <w:t>We are incorporated under the laws of the Bermuda. The rights of shareholders are governed by the Bermuda Companies Act, the Memorandum of Association, the Bye-laws and the Certificate of Designations.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4" w:lineRule="exact"/>
        <w:rPr>
          <w:sz w:val="20"/>
          <w:szCs w:val="20"/>
          <w:color w:val="auto"/>
        </w:rPr>
      </w:pPr>
    </w:p>
    <w:p>
      <w:pPr>
        <w:ind w:right="140" w:firstLine="1281"/>
        <w:spacing w:after="0" w:line="292" w:lineRule="auto"/>
        <w:rPr>
          <w:sz w:val="20"/>
          <w:szCs w:val="20"/>
          <w:color w:val="auto"/>
        </w:rPr>
      </w:pPr>
      <w:r>
        <w:rPr>
          <w:rFonts w:ascii="Arial" w:cs="Arial" w:eastAsia="Arial" w:hAnsi="Arial"/>
          <w:sz w:val="16"/>
          <w:szCs w:val="16"/>
          <w:color w:val="auto"/>
        </w:rPr>
        <w:t>Under the Memorandum of Association, the Company’s authorized share capital is U.S.$5,000,000 comprised of 500,000,000 shares, par value $0.01 per share. Pursuant to our Bye-laws, subject to any resolution of the shareholders to the contrary, our board of directors is authorized to issue any of our authorized but unissued Common Shares. Our Memorandum of Association and Bye-laws currently authorize the issuance of preference shares out of any of the unissued share capital in one or more classes or series. There are no limitations on the right of non-Bermudians or non-residents of Bermuda to hold or vote our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0" w:lineRule="exact"/>
        <w:rPr>
          <w:sz w:val="20"/>
          <w:szCs w:val="20"/>
          <w:color w:val="auto"/>
        </w:rPr>
      </w:pPr>
    </w:p>
    <w:p>
      <w:pPr>
        <w:ind w:right="580" w:firstLine="1281"/>
        <w:spacing w:after="0" w:line="270" w:lineRule="auto"/>
        <w:rPr>
          <w:sz w:val="20"/>
          <w:szCs w:val="20"/>
          <w:color w:val="auto"/>
        </w:rPr>
      </w:pPr>
      <w:r>
        <w:rPr>
          <w:rFonts w:ascii="Arial" w:cs="Arial" w:eastAsia="Arial" w:hAnsi="Arial"/>
          <w:sz w:val="18"/>
          <w:szCs w:val="18"/>
          <w:color w:val="auto"/>
        </w:rPr>
        <w:t>Our Common Shares are the only class of our shares carrying full voting rights. Holders of the Preference Shares generally have no voting rights. However, if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594360</wp:posOffset>
            </wp:positionV>
            <wp:extent cx="628650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4" w:name="page195"/>
    <w:bookmarkEnd w:id="194"/>
    <w:p>
      <w:pPr>
        <w:spacing w:after="0" w:line="266" w:lineRule="auto"/>
        <w:rPr>
          <w:sz w:val="20"/>
          <w:szCs w:val="20"/>
          <w:color w:val="auto"/>
        </w:rPr>
      </w:pPr>
      <w:r>
        <w:rPr>
          <w:rFonts w:ascii="Arial" w:cs="Arial" w:eastAsia="Arial" w:hAnsi="Arial"/>
          <w:sz w:val="17"/>
          <w:szCs w:val="17"/>
          <w:color w:val="auto"/>
        </w:rPr>
        <w:t>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0" w:lineRule="exact"/>
        <w:rPr>
          <w:sz w:val="20"/>
          <w:szCs w:val="20"/>
          <w:color w:val="auto"/>
        </w:rPr>
      </w:pPr>
    </w:p>
    <w:p>
      <w:pPr>
        <w:ind w:right="100" w:firstLine="1281"/>
        <w:spacing w:after="0" w:line="292" w:lineRule="auto"/>
        <w:rPr>
          <w:sz w:val="20"/>
          <w:szCs w:val="20"/>
          <w:color w:val="auto"/>
        </w:rPr>
      </w:pPr>
      <w:r>
        <w:rPr>
          <w:rFonts w:ascii="Arial" w:cs="Arial" w:eastAsia="Arial" w:hAnsi="Arial"/>
          <w:sz w:val="16"/>
          <w:szCs w:val="16"/>
          <w:color w:val="auto"/>
        </w:rPr>
        <w:t>Dividends on the Preference Shares are cumulative from March 31, 2015 and will be payable quarterly in arrears on the 1st day of January, April, July and October of each year, when as and if declared by the board of directors. The initial dividend on Preference Shares was payable on July 1, 2015. Dividends will be payable in cash available for dividends at a rate equal to 8.75% per annum of the stated liquidation preference. No dividend may be declared or paid or set apart for payment on any junior securities unless full cumulative dividends have been or contemporaneously are being paid or provided for on all outstanding Preference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0" w:lineRule="exact"/>
        <w:rPr>
          <w:sz w:val="20"/>
          <w:szCs w:val="20"/>
          <w:color w:val="auto"/>
        </w:rPr>
      </w:pPr>
    </w:p>
    <w:p>
      <w:pPr>
        <w:ind w:right="40" w:firstLine="1281"/>
        <w:spacing w:after="0" w:line="253" w:lineRule="auto"/>
        <w:rPr>
          <w:sz w:val="20"/>
          <w:szCs w:val="20"/>
          <w:color w:val="auto"/>
        </w:rPr>
      </w:pPr>
      <w:r>
        <w:rPr>
          <w:rFonts w:ascii="Arial" w:cs="Arial" w:eastAsia="Arial" w:hAnsi="Arial"/>
          <w:sz w:val="18"/>
          <w:szCs w:val="18"/>
          <w:color w:val="auto"/>
        </w:rPr>
        <w:t>In the event of any liquidation, dissolution or winding up of our affairs, whether voluntary or involuntary, holders of the Preference Shares will have the right to receive the liquidation preference of $25.00 per share plus an amount equal to all accumulated and unpaid dividends thereon to the date of payment, whether or not declared, before any payments are made to holders of our Common Shares or any other junior securities. Preference Shares rank junior in all our indebtedness and other liabilities, and any other senior securities the Company may issue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0" w:lineRule="exact"/>
        <w:rPr>
          <w:sz w:val="20"/>
          <w:szCs w:val="20"/>
          <w:color w:val="auto"/>
        </w:rPr>
      </w:pPr>
    </w:p>
    <w:p>
      <w:pPr>
        <w:ind w:right="160" w:firstLine="1281"/>
        <w:spacing w:after="0" w:line="258" w:lineRule="auto"/>
        <w:rPr>
          <w:sz w:val="20"/>
          <w:szCs w:val="20"/>
          <w:color w:val="auto"/>
        </w:rPr>
      </w:pPr>
      <w:r>
        <w:rPr>
          <w:rFonts w:ascii="Arial" w:cs="Arial" w:eastAsia="Arial" w:hAnsi="Arial"/>
          <w:sz w:val="18"/>
          <w:szCs w:val="18"/>
          <w:color w:val="auto"/>
        </w:rPr>
        <w:t>As of April 7, 2020, the Preference Shares may be redeemed, in whole or in part, out of amounts available thereof, at a redemption price of $25.00 per share plus an amount equal to all accumulated and unpaid dividends thereon to the date of redemption, whether or not declared.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Preference Shares will not be subject to any sinking fund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628650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40" w:type="dxa"/>
            <w:vAlign w:val="bottom"/>
            <w:gridSpan w:val="4"/>
          </w:tcPr>
          <w:p>
            <w:pPr>
              <w:ind w:left="520"/>
              <w:spacing w:after="0"/>
              <w:rPr>
                <w:sz w:val="20"/>
                <w:szCs w:val="20"/>
                <w:color w:val="auto"/>
              </w:rPr>
            </w:pPr>
            <w:r>
              <w:rPr>
                <w:rFonts w:ascii="Arial" w:cs="Arial" w:eastAsia="Arial" w:hAnsi="Arial"/>
                <w:sz w:val="18"/>
                <w:szCs w:val="18"/>
                <w:b w:val="1"/>
                <w:bCs w:val="1"/>
                <w:color w:val="auto"/>
              </w:rPr>
              <w:t>SUBSIDIARIES OF GASLOG LTD.</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60" w:type="dxa"/>
            <w:vAlign w:val="bottom"/>
            <w:gridSpan w:val="5"/>
          </w:tcPr>
          <w:p>
            <w:pPr>
              <w:ind w:left="340"/>
              <w:spacing w:after="0"/>
              <w:rPr>
                <w:sz w:val="20"/>
                <w:szCs w:val="20"/>
                <w:color w:val="auto"/>
              </w:rPr>
            </w:pPr>
            <w:r>
              <w:rPr>
                <w:rFonts w:ascii="Arial" w:cs="Arial" w:eastAsia="Arial" w:hAnsi="Arial"/>
                <w:sz w:val="18"/>
                <w:szCs w:val="18"/>
                <w:color w:val="auto"/>
              </w:rPr>
              <w:t>The following companies are subsidiaries of GasLog Ltd.</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Proportion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Jurisdiction of</w:t>
            </w: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7"/>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69"/>
        </w:trPr>
        <w:tc>
          <w:tcPr>
            <w:tcW w:w="304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Incorporation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Gaslog Investments Ltd.</w:t>
            </w:r>
          </w:p>
        </w:tc>
        <w:tc>
          <w:tcPr>
            <w:tcW w:w="1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rPr>
              <w:t>BVI</w:t>
            </w:r>
          </w:p>
        </w:tc>
        <w:tc>
          <w:tcPr>
            <w:tcW w:w="320" w:type="dxa"/>
            <w:vAlign w:val="bottom"/>
          </w:tcPr>
          <w:p>
            <w:pPr>
              <w:spacing w:after="0"/>
              <w:rPr>
                <w:sz w:val="16"/>
                <w:szCs w:val="16"/>
                <w:color w:val="auto"/>
              </w:rPr>
            </w:pPr>
          </w:p>
        </w:tc>
        <w:tc>
          <w:tcPr>
            <w:tcW w:w="16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LNG Services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Carriers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Shipping Company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Services US Inc.</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Delaware, U.S.</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Services UK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England and Wales</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Asia Pte.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Singapore</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Cyprus Investments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Cyprus</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GAS-one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GAS-two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GAS-six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GAS-nine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GAS-fifteen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GAS-eighteen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two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three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four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five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six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eight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GAS-twenty nine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one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two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three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four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five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eight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GAS-thirty nine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GAS-forty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GAS-forty one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GAS-FFA Trading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GAS-FFA Partnership Trading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Hellas-1 SME</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Greece</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GAS-Two Panama S.A</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Panama</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Partners GP LLC</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Marshall Islands</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Partners LP</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Marshall Islands</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GasLog Partners Holdings LLC</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Marshall Islands</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GAS-three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GAS-five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GAS-eight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GAS-twelve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GAS-thirteen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GAS-fourteen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6"/>
        </w:trPr>
        <w:tc>
          <w:tcPr>
            <w:tcW w:w="304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Bermuda</w:t>
            </w: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982"/>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GAS-nineteen Ltd.</w:t>
            </w:r>
          </w:p>
        </w:tc>
        <w:tc>
          <w:tcPr>
            <w:tcW w:w="4200" w:type="dxa"/>
            <w:vAlign w:val="bottom"/>
          </w:tcPr>
          <w:p>
            <w:pPr>
              <w:ind w:left="2300"/>
              <w:spacing w:after="0"/>
              <w:rPr>
                <w:sz w:val="20"/>
                <w:szCs w:val="20"/>
                <w:color w:val="auto"/>
              </w:rPr>
            </w:pPr>
            <w:r>
              <w:rPr>
                <w:rFonts w:ascii="Arial" w:cs="Arial" w:eastAsia="Arial" w:hAnsi="Arial"/>
                <w:sz w:val="18"/>
                <w:szCs w:val="18"/>
                <w:color w:val="auto"/>
              </w:rPr>
              <w:t>Bermuda</w:t>
            </w:r>
          </w:p>
        </w:tc>
        <w:tc>
          <w:tcPr>
            <w:tcW w:w="17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GAS-twenty Ltd.</w:t>
            </w:r>
          </w:p>
        </w:tc>
        <w:tc>
          <w:tcPr>
            <w:tcW w:w="4200" w:type="dxa"/>
            <w:vAlign w:val="bottom"/>
          </w:tcPr>
          <w:p>
            <w:pPr>
              <w:ind w:left="2300"/>
              <w:spacing w:after="0"/>
              <w:rPr>
                <w:sz w:val="20"/>
                <w:szCs w:val="20"/>
                <w:color w:val="auto"/>
              </w:rPr>
            </w:pPr>
            <w:r>
              <w:rPr>
                <w:rFonts w:ascii="Arial" w:cs="Arial" w:eastAsia="Arial" w:hAnsi="Arial"/>
                <w:sz w:val="18"/>
                <w:szCs w:val="18"/>
                <w:color w:val="auto"/>
              </w:rPr>
              <w:t>Bermuda</w:t>
            </w:r>
          </w:p>
        </w:tc>
        <w:tc>
          <w:tcPr>
            <w:tcW w:w="17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GAS-twenty one Ltd.</w:t>
            </w:r>
          </w:p>
        </w:tc>
        <w:tc>
          <w:tcPr>
            <w:tcW w:w="4200" w:type="dxa"/>
            <w:vAlign w:val="bottom"/>
          </w:tcPr>
          <w:p>
            <w:pPr>
              <w:ind w:left="2300"/>
              <w:spacing w:after="0"/>
              <w:rPr>
                <w:sz w:val="20"/>
                <w:szCs w:val="20"/>
                <w:color w:val="auto"/>
              </w:rPr>
            </w:pPr>
            <w:r>
              <w:rPr>
                <w:rFonts w:ascii="Arial" w:cs="Arial" w:eastAsia="Arial" w:hAnsi="Arial"/>
                <w:sz w:val="18"/>
                <w:szCs w:val="18"/>
                <w:color w:val="auto"/>
              </w:rPr>
              <w:t>Bermuda</w:t>
            </w:r>
          </w:p>
        </w:tc>
        <w:tc>
          <w:tcPr>
            <w:tcW w:w="17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GAS-twenty seven Ltd.</w:t>
            </w:r>
          </w:p>
        </w:tc>
        <w:tc>
          <w:tcPr>
            <w:tcW w:w="4200" w:type="dxa"/>
            <w:vAlign w:val="bottom"/>
          </w:tcPr>
          <w:p>
            <w:pPr>
              <w:ind w:left="2300"/>
              <w:spacing w:after="0"/>
              <w:rPr>
                <w:sz w:val="20"/>
                <w:szCs w:val="20"/>
                <w:color w:val="auto"/>
              </w:rPr>
            </w:pPr>
            <w:r>
              <w:rPr>
                <w:rFonts w:ascii="Arial" w:cs="Arial" w:eastAsia="Arial" w:hAnsi="Arial"/>
                <w:sz w:val="18"/>
                <w:szCs w:val="18"/>
                <w:color w:val="auto"/>
              </w:rPr>
              <w:t>Bermuda</w:t>
            </w:r>
          </w:p>
        </w:tc>
        <w:tc>
          <w:tcPr>
            <w:tcW w:w="17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769"/>
        </w:trPr>
        <w:tc>
          <w:tcPr>
            <w:tcW w:w="40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9" w:right="9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Paul Wogan, certify that:</w:t>
      </w:r>
    </w:p>
    <w:p>
      <w:pPr>
        <w:spacing w:after="0" w:line="224" w:lineRule="exact"/>
        <w:rPr>
          <w:sz w:val="20"/>
          <w:szCs w:val="20"/>
          <w:color w:val="auto"/>
        </w:rPr>
      </w:pPr>
    </w:p>
    <w:p>
      <w:pPr>
        <w:ind w:left="320" w:hanging="313"/>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19" w:lineRule="exact"/>
        <w:rPr>
          <w:rFonts w:ascii="Arial" w:cs="Arial" w:eastAsia="Arial" w:hAnsi="Arial"/>
          <w:sz w:val="18"/>
          <w:szCs w:val="18"/>
          <w:color w:val="auto"/>
        </w:rPr>
      </w:pPr>
    </w:p>
    <w:p>
      <w:pPr>
        <w:ind w:left="320" w:right="20" w:hanging="313"/>
        <w:spacing w:after="0" w:line="258" w:lineRule="auto"/>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320" w:right="100" w:hanging="313"/>
        <w:spacing w:after="0" w:line="258" w:lineRule="auto"/>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6" w:lineRule="exact"/>
        <w:rPr>
          <w:rFonts w:ascii="Arial" w:cs="Arial" w:eastAsia="Arial" w:hAnsi="Arial"/>
          <w:sz w:val="18"/>
          <w:szCs w:val="18"/>
          <w:color w:val="auto"/>
        </w:rPr>
      </w:pPr>
    </w:p>
    <w:p>
      <w:pPr>
        <w:ind w:left="320" w:right="180" w:hanging="313"/>
        <w:spacing w:after="0" w:line="258" w:lineRule="auto"/>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Arial" w:cs="Arial" w:eastAsia="Arial" w:hAnsi="Arial"/>
          <w:sz w:val="18"/>
          <w:szCs w:val="18"/>
          <w:color w:val="auto"/>
        </w:rPr>
      </w:pPr>
    </w:p>
    <w:p>
      <w:pPr>
        <w:ind w:left="840" w:right="80" w:hanging="326"/>
        <w:spacing w:after="0" w:line="306" w:lineRule="auto"/>
        <w:tabs>
          <w:tab w:leader="none" w:pos="84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6"/>
          <w:szCs w:val="16"/>
          <w:color w:val="auto"/>
        </w:rPr>
      </w:pPr>
    </w:p>
    <w:p>
      <w:pPr>
        <w:ind w:left="840" w:right="120" w:hanging="326"/>
        <w:spacing w:after="0" w:line="281" w:lineRule="auto"/>
        <w:tabs>
          <w:tab w:leader="none" w:pos="84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7"/>
          <w:szCs w:val="17"/>
          <w:color w:val="auto"/>
        </w:rPr>
      </w:pPr>
    </w:p>
    <w:p>
      <w:pPr>
        <w:ind w:left="840" w:right="180" w:hanging="326"/>
        <w:spacing w:after="0" w:line="258" w:lineRule="auto"/>
        <w:tabs>
          <w:tab w:leader="none" w:pos="8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left="840" w:right="180" w:hanging="326"/>
        <w:spacing w:after="0" w:line="258" w:lineRule="auto"/>
        <w:tabs>
          <w:tab w:leader="none" w:pos="8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6" w:lineRule="exact"/>
        <w:rPr>
          <w:rFonts w:ascii="Arial" w:cs="Arial" w:eastAsia="Arial" w:hAnsi="Arial"/>
          <w:sz w:val="18"/>
          <w:szCs w:val="18"/>
          <w:color w:val="auto"/>
        </w:rPr>
      </w:pPr>
    </w:p>
    <w:p>
      <w:pPr>
        <w:ind w:left="320" w:right="300" w:hanging="313"/>
        <w:spacing w:after="0" w:line="258" w:lineRule="auto"/>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rFonts w:ascii="Arial" w:cs="Arial" w:eastAsia="Arial" w:hAnsi="Arial"/>
          <w:sz w:val="18"/>
          <w:szCs w:val="18"/>
          <w:color w:val="auto"/>
        </w:rPr>
      </w:pPr>
    </w:p>
    <w:p>
      <w:pPr>
        <w:ind w:left="840" w:right="460" w:hanging="326"/>
        <w:spacing w:after="0" w:line="258" w:lineRule="auto"/>
        <w:tabs>
          <w:tab w:leader="none" w:pos="8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6" w:lineRule="exact"/>
        <w:rPr>
          <w:rFonts w:ascii="Arial" w:cs="Arial" w:eastAsia="Arial" w:hAnsi="Arial"/>
          <w:sz w:val="18"/>
          <w:szCs w:val="18"/>
          <w:color w:val="auto"/>
        </w:rPr>
      </w:pPr>
    </w:p>
    <w:p>
      <w:pPr>
        <w:ind w:left="840" w:right="820" w:hanging="326"/>
        <w:spacing w:after="0" w:line="270" w:lineRule="auto"/>
        <w:tabs>
          <w:tab w:leader="none" w:pos="8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Dated: March 9, 2022</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Paul A. Wogan</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-130175</wp:posOffset>
            </wp:positionV>
            <wp:extent cx="27622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479425</wp:posOffset>
            </wp:positionV>
            <wp:extent cx="628650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Achilleas Tasioulas, certify that:</w:t>
      </w:r>
    </w:p>
    <w:p>
      <w:pPr>
        <w:spacing w:after="0" w:line="224" w:lineRule="exact"/>
        <w:rPr>
          <w:sz w:val="20"/>
          <w:szCs w:val="20"/>
          <w:color w:val="auto"/>
        </w:rPr>
      </w:pPr>
    </w:p>
    <w:p>
      <w:pPr>
        <w:ind w:left="320" w:hanging="313"/>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19" w:lineRule="exact"/>
        <w:rPr>
          <w:rFonts w:ascii="Arial" w:cs="Arial" w:eastAsia="Arial" w:hAnsi="Arial"/>
          <w:sz w:val="18"/>
          <w:szCs w:val="18"/>
          <w:color w:val="auto"/>
        </w:rPr>
      </w:pPr>
    </w:p>
    <w:p>
      <w:pPr>
        <w:ind w:left="320" w:right="20" w:hanging="313"/>
        <w:spacing w:after="0" w:line="258"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320" w:right="100" w:hanging="313"/>
        <w:spacing w:after="0" w:line="258"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6" w:lineRule="exact"/>
        <w:rPr>
          <w:rFonts w:ascii="Arial" w:cs="Arial" w:eastAsia="Arial" w:hAnsi="Arial"/>
          <w:sz w:val="18"/>
          <w:szCs w:val="18"/>
          <w:color w:val="auto"/>
        </w:rPr>
      </w:pPr>
    </w:p>
    <w:p>
      <w:pPr>
        <w:ind w:left="320" w:right="180" w:hanging="313"/>
        <w:spacing w:after="0" w:line="258"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Arial" w:cs="Arial" w:eastAsia="Arial" w:hAnsi="Arial"/>
          <w:sz w:val="18"/>
          <w:szCs w:val="18"/>
          <w:color w:val="auto"/>
        </w:rPr>
      </w:pPr>
    </w:p>
    <w:p>
      <w:pPr>
        <w:ind w:left="840" w:right="80" w:hanging="326"/>
        <w:spacing w:after="0" w:line="306" w:lineRule="auto"/>
        <w:tabs>
          <w:tab w:leader="none" w:pos="8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6"/>
          <w:szCs w:val="16"/>
          <w:color w:val="auto"/>
        </w:rPr>
      </w:pPr>
    </w:p>
    <w:p>
      <w:pPr>
        <w:ind w:left="840" w:right="120" w:hanging="326"/>
        <w:spacing w:after="0" w:line="281" w:lineRule="auto"/>
        <w:tabs>
          <w:tab w:leader="none" w:pos="84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7"/>
          <w:szCs w:val="17"/>
          <w:color w:val="auto"/>
        </w:rPr>
      </w:pPr>
    </w:p>
    <w:p>
      <w:pPr>
        <w:ind w:left="840" w:right="180" w:hanging="326"/>
        <w:spacing w:after="0" w:line="258"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left="840" w:right="180" w:hanging="326"/>
        <w:spacing w:after="0" w:line="258"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6" w:lineRule="exact"/>
        <w:rPr>
          <w:rFonts w:ascii="Arial" w:cs="Arial" w:eastAsia="Arial" w:hAnsi="Arial"/>
          <w:sz w:val="18"/>
          <w:szCs w:val="18"/>
          <w:color w:val="auto"/>
        </w:rPr>
      </w:pPr>
    </w:p>
    <w:p>
      <w:pPr>
        <w:ind w:left="320" w:right="300" w:hanging="313"/>
        <w:spacing w:after="0" w:line="258"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rFonts w:ascii="Arial" w:cs="Arial" w:eastAsia="Arial" w:hAnsi="Arial"/>
          <w:sz w:val="18"/>
          <w:szCs w:val="18"/>
          <w:color w:val="auto"/>
        </w:rPr>
      </w:pPr>
    </w:p>
    <w:p>
      <w:pPr>
        <w:ind w:left="840" w:right="460" w:hanging="326"/>
        <w:spacing w:after="0" w:line="258"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6" w:lineRule="exact"/>
        <w:rPr>
          <w:rFonts w:ascii="Arial" w:cs="Arial" w:eastAsia="Arial" w:hAnsi="Arial"/>
          <w:sz w:val="18"/>
          <w:szCs w:val="18"/>
          <w:color w:val="auto"/>
        </w:rPr>
      </w:pPr>
    </w:p>
    <w:p>
      <w:pPr>
        <w:ind w:left="840" w:right="820" w:hanging="326"/>
        <w:spacing w:after="0" w:line="270" w:lineRule="auto"/>
        <w:tabs>
          <w:tab w:leader="none" w:pos="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Dated: March 9, 2022</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/s/ Achilleas Tasioulas</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-130175</wp:posOffset>
            </wp:positionV>
            <wp:extent cx="27622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479425</wp:posOffset>
            </wp:positionV>
            <wp:extent cx="628650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7" w:lineRule="exact"/>
        <w:rPr>
          <w:sz w:val="20"/>
          <w:szCs w:val="20"/>
          <w:color w:val="auto"/>
        </w:rPr>
      </w:pPr>
    </w:p>
    <w:p>
      <w:pPr>
        <w:ind w:right="180" w:firstLine="358"/>
        <w:spacing w:after="0" w:line="255" w:lineRule="auto"/>
        <w:rPr>
          <w:sz w:val="20"/>
          <w:szCs w:val="20"/>
          <w:color w:val="auto"/>
        </w:rPr>
      </w:pPr>
      <w:r>
        <w:rPr>
          <w:rFonts w:ascii="Arial" w:cs="Arial" w:eastAsia="Arial" w:hAnsi="Arial"/>
          <w:sz w:val="18"/>
          <w:szCs w:val="18"/>
          <w:color w:val="auto"/>
        </w:rPr>
        <w:t>In connection with the annual report on Form 20-F of GasLog Ltd., a Bermuda exempted company (the “Company”), for the period ending December 31, 2021, as filed with the Securities and Exchange Commission on the date hereof (the “Report”), the undersigned officer of the Company certifies pursuant to 18 U.S.C. Section 1350, as adopted pursuant to Section 906 of the Sarbanes-Oxley Act of 2002, that:</w:t>
      </w:r>
    </w:p>
    <w:p>
      <w:pPr>
        <w:spacing w:after="0" w:line="188" w:lineRule="exact"/>
        <w:rPr>
          <w:sz w:val="20"/>
          <w:szCs w:val="20"/>
          <w:color w:val="auto"/>
        </w:rPr>
      </w:pPr>
    </w:p>
    <w:p>
      <w:pPr>
        <w:ind w:left="320" w:hanging="313"/>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320" w:right="100" w:hanging="313"/>
        <w:spacing w:after="0" w:line="270" w:lineRule="auto"/>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5" w:lineRule="exact"/>
        <w:rPr>
          <w:sz w:val="20"/>
          <w:szCs w:val="20"/>
          <w:color w:val="auto"/>
        </w:rPr>
      </w:pPr>
    </w:p>
    <w:p>
      <w:pPr>
        <w:ind w:right="280" w:firstLine="358"/>
        <w:spacing w:after="0" w:line="270"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March 9, 2022</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Paul A. Wogan</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-130175</wp:posOffset>
            </wp:positionV>
            <wp:extent cx="27622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479425</wp:posOffset>
            </wp:positionV>
            <wp:extent cx="628650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7"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In connection with the annual report on Form 20-F of GasLog Ltd., a Bermuda exempted company (the “Company”), for the period ending December 31, 2021, as filed with the Securities and Exchange Commission on the date hereof (the “Report”), the undersigned officer of the Company certifies pursuant to 18 U.S.C. Section 1350, as adopted pursuant to Section 906 of the Sarbanes-Oxley Act of 2002, that:</w:t>
      </w:r>
    </w:p>
    <w:p>
      <w:pPr>
        <w:spacing w:after="0" w:line="188" w:lineRule="exact"/>
        <w:rPr>
          <w:sz w:val="20"/>
          <w:szCs w:val="20"/>
          <w:color w:val="auto"/>
        </w:rPr>
      </w:pPr>
    </w:p>
    <w:p>
      <w:pPr>
        <w:ind w:left="680" w:hanging="326"/>
        <w:spacing w:after="0"/>
        <w:tabs>
          <w:tab w:leader="none" w:pos="6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680" w:hanging="326"/>
        <w:spacing w:after="0" w:line="270" w:lineRule="auto"/>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5" w:lineRule="exact"/>
        <w:rPr>
          <w:sz w:val="20"/>
          <w:szCs w:val="20"/>
          <w:color w:val="auto"/>
        </w:rPr>
      </w:pPr>
    </w:p>
    <w:p>
      <w:pPr>
        <w:ind w:firstLine="358"/>
        <w:spacing w:after="0" w:line="270"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March 9, 2022</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Achilleas Tasioulas</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-130175</wp:posOffset>
            </wp:positionV>
            <wp:extent cx="27622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479425</wp:posOffset>
            </wp:positionV>
            <wp:extent cx="628650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ind w:right="120" w:firstLine="320"/>
        <w:spacing w:after="0" w:line="255" w:lineRule="auto"/>
        <w:rPr>
          <w:sz w:val="20"/>
          <w:szCs w:val="20"/>
          <w:color w:val="auto"/>
        </w:rPr>
      </w:pPr>
      <w:r>
        <w:rPr>
          <w:rFonts w:ascii="Arial" w:cs="Arial" w:eastAsia="Arial" w:hAnsi="Arial"/>
          <w:sz w:val="18"/>
          <w:szCs w:val="18"/>
          <w:color w:val="auto"/>
        </w:rPr>
        <w:t>We consent to the incorporation by reference in Registration Statements No. 333-239797 on Form F-3, No. 333-230205 on Form F-3 and No. 333-187020 on Form S-8, of our reports dated March 5, 2021, relating to the consolidated financial statements of GasLog Ltd. as of December 31, 2020 and for the two years in the period then ended, appearing in this Annual Report on Form 20-F of GasLog Ltd. for the year ended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487680</wp:posOffset>
            </wp:positionV>
            <wp:extent cx="628650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We consent to the incorporation by reference in Registration Statements No. 333- 239797 on Form F-3, No. 333- 230205 on Form F-3 and No. 333-187020 on Form S-8, of our reports dated March 9, 2022, relating to the consolidated financial statements of GasLog Ltd appearing in this Annual Report on Form 20-F of GasLog Ltd. for the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487680</wp:posOffset>
            </wp:positionV>
            <wp:extent cx="628650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286500"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1."/>
      <w:numFmt w:val="upperLetter"/>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1)"/>
      <w:numFmt w:val="lowerRoman"/>
      <w:start w:val="2"/>
    </w:lvl>
  </w:abstractNum>
  <w:abstractNum w:abstractNumId="40">
    <w:nsid w:val="26F324BA"/>
    <w:multiLevelType w:val="hybridMultilevel"/>
    <w:lvl w:ilvl="0">
      <w:lvlJc w:val="left"/>
      <w:lvlText w:val="(%1)"/>
      <w:numFmt w:val="decimal"/>
      <w:start w:val="1"/>
    </w:lvl>
  </w:abstractNum>
  <w:abstractNum w:abstractNumId="41">
    <w:nsid w:val="7F01579B"/>
    <w:multiLevelType w:val="hybridMultilevel"/>
    <w:lvl w:ilvl="0">
      <w:lvlJc w:val="left"/>
      <w:lvlText w:val="(%1)"/>
      <w:numFmt w:val="decimal"/>
      <w:start w:val="10"/>
    </w:lvl>
  </w:abstractNum>
  <w:abstractNum w:abstractNumId="42">
    <w:nsid w:val="49DA307D"/>
    <w:multiLevelType w:val="hybridMultilevel"/>
    <w:lvl w:ilvl="0">
      <w:lvlJc w:val="left"/>
      <w:lvlText w:val="(%1)"/>
      <w:numFmt w:val="decimal"/>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lowerLetter"/>
      <w:start w:val="3"/>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1)"/>
      <w:numFmt w:val="decimal"/>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1)"/>
      <w:numFmt w:val="decimal"/>
      <w:start w:val="1"/>
    </w:lvl>
  </w:abstractNum>
  <w:abstractNum w:abstractNumId="65">
    <w:nsid w:val="1D545C4D"/>
    <w:multiLevelType w:val="hybridMultilevel"/>
    <w:lvl w:ilvl="0">
      <w:lvlJc w:val="left"/>
      <w:lvlText w:val="(%1)"/>
      <w:numFmt w:val="decimal"/>
      <w:start w:val="2"/>
    </w:lvl>
  </w:abstractNum>
  <w:abstractNum w:abstractNumId="66">
    <w:nsid w:val="59ADEA3D"/>
    <w:multiLevelType w:val="hybridMultilevel"/>
    <w:lvl w:ilvl="0">
      <w:lvlJc w:val="left"/>
      <w:lvlText w:val="(%1)"/>
      <w:numFmt w:val="decimal"/>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1)"/>
      <w:numFmt w:val="decimal"/>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
      <w:numFmt w:val="bullet"/>
      <w:start w:val="1"/>
    </w:lvl>
  </w:abstractNum>
  <w:abstractNum w:abstractNumId="76">
    <w:nsid w:val="23D86AAC"/>
    <w:multiLevelType w:val="hybridMultilevel"/>
    <w:lvl w:ilvl="0">
      <w:lvlJc w:val="left"/>
      <w:lvlText w:val="(%1)"/>
      <w:numFmt w:val="decimal"/>
      <w:start w:val="1"/>
    </w:lvl>
    <w:lvl w:ilvl="1">
      <w:lvlJc w:val="left"/>
      <w:lvlText w:val="(%2)"/>
      <w:numFmt w:val="lowerLetter"/>
      <w:start w:val="1"/>
    </w:lvl>
  </w:abstractNum>
  <w:abstractNum w:abstractNumId="77">
    <w:nsid w:val="45E6D486"/>
    <w:multiLevelType w:val="hybridMultilevel"/>
    <w:lvl w:ilvl="0">
      <w:lvlJc w:val="left"/>
      <w:lvlText w:val="(%1)"/>
      <w:numFmt w:val="decimal"/>
      <w:start w:val="5"/>
    </w:lvl>
  </w:abstractNum>
  <w:abstractNum w:abstractNumId="78">
    <w:nsid w:val="5C10FE21"/>
    <w:multiLevelType w:val="hybridMultilevel"/>
    <w:lvl w:ilvl="0">
      <w:lvlJc w:val="left"/>
      <w:lvlText w:val="(%1)"/>
      <w:numFmt w:val="decimal"/>
      <w:start w:val="1"/>
    </w:lvl>
    <w:lvl w:ilvl="1">
      <w:lvlJc w:val="left"/>
      <w:lvlText w:val="(%2)"/>
      <w:numFmt w:val="lowerLetter"/>
      <w:start w:val="1"/>
    </w:lvl>
  </w:abstractNum>
  <w:abstractNum w:abstractNumId="79">
    <w:nsid w:val="E7FFA2B"/>
    <w:multiLevelType w:val="hybridMultilevel"/>
    <w:lvl w:ilvl="0">
      <w:lvlJc w:val="left"/>
      <w:lvlText w:val="(%1)"/>
      <w:numFmt w:val="lowerRoman"/>
      <w:start w:val="2"/>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1."/>
      <w:numFmt w:val="upperLetter"/>
      <w:start w:val="1"/>
    </w:lvl>
  </w:abstractNum>
  <w:abstractNum w:abstractNumId="84">
    <w:nsid w:val="2B0D8DBE"/>
    <w:multiLevelType w:val="hybridMultilevel"/>
    <w:lvl w:ilvl="0">
      <w:lvlJc w:val="left"/>
      <w:lvlText w:val="(%1)"/>
      <w:numFmt w:val="lowerRoman"/>
      <w:start w:val="2"/>
    </w:lvl>
  </w:abstractNum>
  <w:abstractNum w:abstractNumId="85">
    <w:nsid w:val="6C80EC70"/>
    <w:multiLevelType w:val="hybridMultilevel"/>
    <w:lvl w:ilvl="0">
      <w:lvlJc w:val="left"/>
      <w:lvlText w:val="(%1)"/>
      <w:numFmt w:val="lowerLetter"/>
      <w:start w:val="1"/>
    </w:lvl>
  </w:abstractNum>
  <w:abstractNum w:abstractNumId="86">
    <w:nsid w:val="379E21B5"/>
    <w:multiLevelType w:val="hybridMultilevel"/>
    <w:lvl w:ilvl="0">
      <w:lvlJc w:val="left"/>
      <w:lvlText w:val="(%1)"/>
      <w:numFmt w:val="lowerLetter"/>
      <w:start w:val="9"/>
    </w:lvl>
  </w:abstractNum>
  <w:abstractNum w:abstractNumId="87">
    <w:nsid w:val="69E373"/>
    <w:multiLevelType w:val="hybridMultilevel"/>
    <w:lvl w:ilvl="0">
      <w:lvlJc w:val="left"/>
      <w:lvlText w:val="%1"/>
      <w:numFmt w:val="upperLetter"/>
      <w:start w:val="1"/>
    </w:lvl>
    <w:lvl w:ilvl="1">
      <w:lvlJc w:val="left"/>
      <w:lvlText w:val="(%2)"/>
      <w:numFmt w:val="lowerLetter"/>
      <w:start w:val="17"/>
    </w:lvl>
  </w:abstractNum>
  <w:abstractNum w:abstractNumId="88">
    <w:nsid w:val="2C27173B"/>
    <w:multiLevelType w:val="hybridMultilevel"/>
    <w:lvl w:ilvl="0">
      <w:lvlJc w:val="left"/>
      <w:lvlText w:val="%1."/>
      <w:numFmt w:val="upperLetter"/>
      <w:start w:val="4"/>
    </w:lvl>
    <w:lvl w:ilvl="1">
      <w:lvlJc w:val="left"/>
      <w:lvlText w:val="%2"/>
      <w:numFmt w:val="lowerLetter"/>
      <w:start w:val="1"/>
    </w:lvl>
  </w:abstractNum>
  <w:abstractNum w:abstractNumId="89">
    <w:nsid w:val="4C9B0904"/>
    <w:multiLevelType w:val="hybridMultilevel"/>
    <w:lvl w:ilvl="0">
      <w:lvlJc w:val="left"/>
      <w:lvlText w:val="(%1)"/>
      <w:numFmt w:val="lowerRoman"/>
      <w:start w:val="1"/>
    </w:lvl>
  </w:abstractNum>
  <w:abstractNum w:abstractNumId="90">
    <w:nsid w:val="6AA7B75C"/>
    <w:multiLevelType w:val="hybridMultilevel"/>
    <w:lvl w:ilvl="0">
      <w:lvlJc w:val="left"/>
      <w:lvlText w:val="(%1)"/>
      <w:numFmt w:val="lowerRoman"/>
      <w:start w:val="1"/>
    </w:lvl>
    <w:lvl w:ilvl="1">
      <w:lvlJc w:val="left"/>
      <w:lvlText w:val="(%2)"/>
      <w:numFmt w:val="lowerLetter"/>
      <w:start w:val="1"/>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1)"/>
      <w:numFmt w:val="lowerRoman"/>
      <w:start w:val="1"/>
    </w:lvl>
  </w:abstractNum>
  <w:abstractNum w:abstractNumId="93">
    <w:nsid w:val="3DD15094"/>
    <w:multiLevelType w:val="hybridMultilevel"/>
    <w:lvl w:ilvl="0">
      <w:lvlJc w:val="left"/>
      <w:lvlText w:val="(%1)"/>
      <w:numFmt w:val="lowerRoman"/>
      <w:start w:val="1"/>
    </w:lvl>
  </w:abstractNum>
  <w:abstractNum w:abstractNumId="94">
    <w:nsid w:val="3DB012B3"/>
    <w:multiLevelType w:val="hybridMultilevel"/>
    <w:lvl w:ilvl="0">
      <w:lvlJc w:val="left"/>
      <w:lvlText w:val="(%1)"/>
      <w:numFmt w:val="lowerRoman"/>
      <w:start w:val="1"/>
    </w:lvl>
  </w:abstractNum>
  <w:abstractNum w:abstractNumId="95">
    <w:nsid w:val="2708C9AF"/>
    <w:multiLevelType w:val="hybridMultilevel"/>
    <w:lvl w:ilvl="0">
      <w:lvlJc w:val="left"/>
      <w:lvlText w:val="(%1)"/>
      <w:numFmt w:val="lowerRoman"/>
      <w:start w:val="1"/>
    </w:lvl>
  </w:abstractNum>
  <w:abstractNum w:abstractNumId="96">
    <w:nsid w:val="5B25ACE2"/>
    <w:multiLevelType w:val="hybridMultilevel"/>
    <w:lvl w:ilvl="0">
      <w:lvlJc w:val="left"/>
      <w:lvlText w:val="(%1)"/>
      <w:numFmt w:val="lowerRoman"/>
      <w:start w:val="1"/>
    </w:lvl>
  </w:abstractNum>
  <w:abstractNum w:abstractNumId="97">
    <w:nsid w:val="175DFCF0"/>
    <w:multiLevelType w:val="hybridMultilevel"/>
    <w:lvl w:ilvl="0">
      <w:lvlJc w:val="left"/>
      <w:lvlText w:val="(%1)"/>
      <w:numFmt w:val="decimal"/>
      <w:start w:val="1"/>
    </w:lvl>
  </w:abstractNum>
  <w:abstractNum w:abstractNumId="98">
    <w:nsid w:val="4F97E3E4"/>
    <w:multiLevelType w:val="hybridMultilevel"/>
    <w:lvl w:ilvl="0">
      <w:lvlJc w:val="left"/>
      <w:lvlText w:val="%1"/>
      <w:numFmt w:val="decimal"/>
      <w:start w:val="1"/>
    </w:lvl>
    <w:lvl w:ilvl="1">
      <w:lvlJc w:val="left"/>
      <w:lvlText w:val="%2"/>
      <w:numFmt w:val="decimal"/>
      <w:start w:val="104"/>
    </w:lvl>
  </w:abstractNum>
  <w:abstractNum w:abstractNumId="99">
    <w:nsid w:val="53B0A9E"/>
    <w:multiLevelType w:val="hybridMultilevel"/>
    <w:lvl w:ilvl="0">
      <w:lvlJc w:val="left"/>
      <w:lvlText w:val="(%1)"/>
      <w:numFmt w:val="decimal"/>
      <w:start w:val="1"/>
    </w:lvl>
    <w:lvl w:ilvl="1">
      <w:lvlJc w:val="left"/>
      <w:lvlText w:val="%2"/>
      <w:numFmt w:val="decimal"/>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lvl w:ilvl="1">
      <w:lvlJc w:val="left"/>
      <w:lvlText w:val="-"/>
      <w:numFmt w:val="bullet"/>
      <w:start w:val="1"/>
    </w:lvl>
  </w:abstractNum>
  <w:abstractNum w:abstractNumId="104">
    <w:nsid w:val="2C6E4AFD"/>
    <w:multiLevelType w:val="hybridMultilevel"/>
    <w:lvl w:ilvl="0">
      <w:lvlJc w:val="left"/>
      <w:lvlText w:val="(%1)"/>
      <w:numFmt w:val="decimal"/>
      <w:start w:val="1"/>
    </w:lvl>
  </w:abstractNum>
  <w:abstractNum w:abstractNumId="105">
    <w:nsid w:val="17A1B582"/>
    <w:multiLevelType w:val="hybridMultilevel"/>
    <w:lvl w:ilvl="0">
      <w:lvlJc w:val="left"/>
      <w:lvlText w:val="(%1)"/>
      <w:numFmt w:val="decimal"/>
      <w:start w:val="1"/>
    </w:lvl>
  </w:abstractNum>
  <w:abstractNum w:abstractNumId="106">
    <w:nsid w:val="4DF72E4E"/>
    <w:multiLevelType w:val="hybridMultilevel"/>
    <w:lvl w:ilvl="0">
      <w:lvlJc w:val="left"/>
      <w:lvlText w:val="(%1)"/>
      <w:numFmt w:val="lowerRoman"/>
      <w:start w:val="1"/>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
      <w:numFmt w:val="bullet"/>
      <w:start w:val="1"/>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2"/>
    </w:lvl>
  </w:abstractNum>
  <w:abstractNum w:abstractNumId="122">
    <w:nsid w:val="E3E47A8"/>
    <w:multiLevelType w:val="hybridMultilevel"/>
    <w:lvl w:ilvl="0">
      <w:lvlJc w:val="left"/>
      <w:lvlText w:val="(%1)"/>
      <w:numFmt w:val="lowerRoman"/>
      <w:start w:val="1"/>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2"/>
    </w:lvl>
  </w:abstractNum>
  <w:abstractNum w:abstractNumId="126">
    <w:nsid w:val="5551B9F3"/>
    <w:multiLevelType w:val="hybridMultilevel"/>
    <w:lvl w:ilvl="0">
      <w:lvlJc w:val="left"/>
      <w:lvlText w:val="(%1)"/>
      <w:numFmt w:val="lowerLetter"/>
      <w:start w:val="3"/>
    </w:lvl>
  </w:abstractNum>
  <w:abstractNum w:abstractNumId="127">
    <w:nsid w:val="24F6AB8E"/>
    <w:multiLevelType w:val="hybridMultilevel"/>
    <w:lvl w:ilvl="0">
      <w:lvlJc w:val="left"/>
      <w:lvlText w:val="(%1)"/>
      <w:numFmt w:val="lowerLetter"/>
      <w:start w:val="1"/>
    </w:lvl>
  </w:abstractNum>
  <w:abstractNum w:abstractNumId="128">
    <w:nsid w:val="634C574C"/>
    <w:multiLevelType w:val="hybridMultilevel"/>
    <w:lvl w:ilvl="0">
      <w:lvlJc w:val="left"/>
      <w:lvlText w:val="(%1)"/>
      <w:numFmt w:val="lowerLetter"/>
      <w:start w:val="2"/>
    </w:lvl>
  </w:abstractNum>
  <w:abstractNum w:abstractNumId="129">
    <w:nsid w:val="24E99DD7"/>
    <w:multiLevelType w:val="hybridMultilevel"/>
    <w:lvl w:ilvl="0">
      <w:lvlJc w:val="left"/>
      <w:lvlText w:val="(%1)"/>
      <w:numFmt w:val="lowerLetter"/>
      <w:start w:val="3"/>
    </w:lvl>
  </w:abstractNum>
  <w:abstractNum w:abstractNumId="130">
    <w:nsid w:val="2A31B62D"/>
    <w:multiLevelType w:val="hybridMultilevel"/>
    <w:lvl w:ilvl="0">
      <w:lvlJc w:val="left"/>
      <w:lvlText w:val="(%1)"/>
      <w:numFmt w:val="lowerLetter"/>
      <w:start w:val="4"/>
    </w:lvl>
  </w:abstractNum>
  <w:abstractNum w:abstractNumId="131">
    <w:nsid w:val="1849C29B"/>
    <w:multiLevelType w:val="hybridMultilevel"/>
    <w:lvl w:ilvl="0">
      <w:lvlJc w:val="left"/>
      <w:lvlText w:val="(%1)"/>
      <w:numFmt w:val="lowerLetter"/>
      <w:start w:val="7"/>
    </w:lvl>
  </w:abstractNum>
  <w:abstractNum w:abstractNumId="132">
    <w:nsid w:val="7DFF9D09"/>
    <w:multiLevelType w:val="hybridMultilevel"/>
    <w:lvl w:ilvl="0">
      <w:lvlJc w:val="left"/>
      <w:lvlText w:val="(%1)"/>
      <w:numFmt w:val="lowerRoman"/>
      <w:start w:val="1"/>
    </w:lvl>
  </w:abstractNum>
  <w:abstractNum w:abstractNumId="133">
    <w:nsid w:val="754342"/>
    <w:multiLevelType w:val="hybridMultilevel"/>
    <w:lvl w:ilvl="0">
      <w:lvlJc w:val="left"/>
      <w:lvlText w:val="(%1)"/>
      <w:numFmt w:val="lowerRoman"/>
      <w:start w:val="1"/>
    </w:lvl>
  </w:abstractNum>
  <w:abstractNum w:abstractNumId="134">
    <w:nsid w:val="69E7F3E5"/>
    <w:multiLevelType w:val="hybridMultilevel"/>
    <w:lvl w:ilvl="0">
      <w:lvlJc w:val="left"/>
      <w:lvlText w:val="(%1)"/>
      <w:numFmt w:val="lowerRoman"/>
      <w:start w:val="1"/>
    </w:lvl>
  </w:abstractNum>
  <w:abstractNum w:abstractNumId="135">
    <w:nsid w:val="2A6DE806"/>
    <w:multiLevelType w:val="hybridMultilevel"/>
    <w:lvl w:ilvl="0">
      <w:lvlJc w:val="left"/>
      <w:lvlText w:val="(%1)"/>
      <w:numFmt w:val="lowerLetter"/>
      <w:start w:val="1"/>
    </w:lvl>
  </w:abstractNum>
  <w:abstractNum w:abstractNumId="136">
    <w:nsid w:val="1816F8C4"/>
    <w:multiLevelType w:val="hybridMultilevel"/>
    <w:lvl w:ilvl="0">
      <w:lvlJc w:val="left"/>
      <w:lvlText w:val="%1."/>
      <w:numFmt w:val="decimal"/>
      <w:start w:val="23"/>
    </w:lvl>
    <w:lvl w:ilvl="1">
      <w:lvlJc w:val="left"/>
      <w:lvlText w:val="(%2)"/>
      <w:numFmt w:val="lowerLetter"/>
      <w:start w:val="1"/>
    </w:lvl>
  </w:abstractNum>
  <w:abstractNum w:abstractNumId="137">
    <w:nsid w:val="37DF2233"/>
    <w:multiLevelType w:val="hybridMultilevel"/>
    <w:lvl w:ilvl="0">
      <w:lvlJc w:val="left"/>
      <w:lvlText w:val="(%1)"/>
      <w:numFmt w:val="lowerLetter"/>
      <w:start w:val="2"/>
    </w:lvl>
  </w:abstractNum>
  <w:abstractNum w:abstractNumId="138">
    <w:nsid w:val="7AB49DAF"/>
    <w:multiLevelType w:val="hybridMultilevel"/>
    <w:lvl w:ilvl="0">
      <w:lvlJc w:val="left"/>
      <w:lvlText w:val="(%1)"/>
      <w:numFmt w:val="lowerLetter"/>
      <w:start w:val="3"/>
    </w:lvl>
  </w:abstractNum>
  <w:abstractNum w:abstractNumId="139">
    <w:nsid w:val="759F82CD"/>
    <w:multiLevelType w:val="hybridMultilevel"/>
    <w:lvl w:ilvl="0">
      <w:lvlJc w:val="left"/>
      <w:lvlText w:val="%1."/>
      <w:numFmt w:val="decimal"/>
      <w:start w:val="23"/>
    </w:lvl>
    <w:lvl w:ilvl="1">
      <w:lvlJc w:val="left"/>
      <w:lvlText w:val="●"/>
      <w:numFmt w:val="bullet"/>
      <w:start w:val="1"/>
    </w:lvl>
    <w:lvl w:ilvl="2">
      <w:lvlJc w:val="left"/>
      <w:lvlText w:val="●"/>
      <w:numFmt w:val="bullet"/>
      <w:start w:val="1"/>
    </w:lvl>
  </w:abstractNum>
  <w:abstractNum w:abstractNumId="140">
    <w:nsid w:val="61E74EA3"/>
    <w:multiLevelType w:val="hybridMultilevel"/>
    <w:lvl w:ilvl="0">
      <w:lvlJc w:val="left"/>
      <w:lvlText w:val="*"/>
      <w:numFmt w:val="bullet"/>
      <w:start w:val="1"/>
    </w:lvl>
  </w:abstractNum>
  <w:abstractNum w:abstractNumId="141">
    <w:nsid w:val="597B4D84"/>
    <w:multiLevelType w:val="hybridMultilevel"/>
    <w:lvl w:ilvl="0">
      <w:lvlJc w:val="left"/>
      <w:lvlText w:val="(%1)"/>
      <w:numFmt w:val="decimal"/>
      <w:start w:val="1"/>
    </w:lvl>
  </w:abstractNum>
  <w:abstractNum w:abstractNumId="142">
    <w:nsid w:val="F819E7F"/>
    <w:multiLevelType w:val="hybridMultilevel"/>
    <w:lvl w:ilvl="0">
      <w:lvlJc w:val="left"/>
      <w:lvlText w:val="●"/>
      <w:numFmt w:val="bullet"/>
      <w:start w:val="1"/>
    </w:lvl>
  </w:abstractNum>
  <w:abstractNum w:abstractNumId="143">
    <w:nsid w:val="57C7D42D"/>
    <w:multiLevelType w:val="hybridMultilevel"/>
    <w:lvl w:ilvl="0">
      <w:lvlJc w:val="left"/>
      <w:lvlText w:val="%1."/>
      <w:numFmt w:val="decimal"/>
      <w:start w:val="26"/>
    </w:lvl>
    <w:lvl w:ilvl="1">
      <w:lvlJc w:val="left"/>
      <w:lvlText w:val="●"/>
      <w:numFmt w:val="bullet"/>
      <w:start w:val="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3"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151" Type="http://schemas.openxmlformats.org/officeDocument/2006/relationships/hyperlink" Target="https://www.sec.gov/Archives/edgar/data/1534126/000093041312001544/c67840_ex3-1.htm" TargetMode="External"/><Relationship Id="rId152" Type="http://schemas.openxmlformats.org/officeDocument/2006/relationships/hyperlink" Target="https://www.sec.gov/Archives/edgar/data/1534126/000093041312001544/c67840_ex3-2.htm" TargetMode="External"/><Relationship Id="rId153" Type="http://schemas.openxmlformats.org/officeDocument/2006/relationships/hyperlink" Target="https://www.sec.gov/Archives/edgar/data/1534126/000093041312001544/c67840_ex10-20.htm" TargetMode="External"/><Relationship Id="rId154" Type="http://schemas.openxmlformats.org/officeDocument/2006/relationships/hyperlink" Target="https://www.sec.gov/Archives/edgar/data/1534126/000093041316006011/c84192_ex4-5.htm" TargetMode="External"/><Relationship Id="rId155" Type="http://schemas.openxmlformats.org/officeDocument/2006/relationships/hyperlink" Target="https://www.sec.gov/Archives/edgar/data/1534126/000093041312001612/c67840_ex10-23.htm" TargetMode="External"/><Relationship Id="rId156" Type="http://schemas.openxmlformats.org/officeDocument/2006/relationships/hyperlink" Target="https://www.sec.gov/Archives/edgar/data/1534126/000093041313001382/c72925_ex4-5.htm" TargetMode="External"/><Relationship Id="rId157" Type="http://schemas.openxmlformats.org/officeDocument/2006/relationships/hyperlink" Target="https://www.sec.gov/Archives/edgar/data/1534126/000093041316006011/c84192_ex4-10.htm" TargetMode="External"/><Relationship Id="rId158" Type="http://schemas.openxmlformats.org/officeDocument/2006/relationships/hyperlink" Target="https://www.sec.gov/Archives/edgar/data/1534126/000093041316006011/c84192_ex4-11.htm" TargetMode="External"/><Relationship Id="rId159" Type="http://schemas.openxmlformats.org/officeDocument/2006/relationships/hyperlink" Target="https://www.sec.gov/Archives/edgar/data/1534126/000093041316006011/c84192_ex4-13.htm" TargetMode="External"/><Relationship Id="rId160" Type="http://schemas.openxmlformats.org/officeDocument/2006/relationships/hyperlink" Target="https://www.sec.gov/Archives/edgar/data/1534126/000093041316006011/c84192_ex4-14.htm" TargetMode="External"/><Relationship Id="rId161" Type="http://schemas.openxmlformats.org/officeDocument/2006/relationships/hyperlink" Target="https://www.sec.gov/Archives/edgar/data/1534126/000093041316007781/c85737_ex99-3.htm" TargetMode="External"/><Relationship Id="rId162" Type="http://schemas.openxmlformats.org/officeDocument/2006/relationships/hyperlink" Target="https://www.sec.gov/Archives/edgar/data/1598655/000104746919000676/a2237744zex-4_23.htm" TargetMode="External"/><Relationship Id="rId164" Type="http://schemas.openxmlformats.org/officeDocument/2006/relationships/hyperlink" Target="https://www.sec.gov/Archives/edgar/data/1534126/000104746920001264/a2240842zex-4_14.htm" TargetMode="External"/><Relationship Id="rId165" Type="http://schemas.openxmlformats.org/officeDocument/2006/relationships/hyperlink" Target="https://www.sec.gov/Archives/edgar/data/1534126/000104746920001264/a2240842zex-4_15.htm" TargetMode="External"/><Relationship Id="rId166" Type="http://schemas.openxmlformats.org/officeDocument/2006/relationships/hyperlink" Target="https://www.sec.gov/Archives/edgar/data/1598655/000104746920001174/a2240809zex-4_18.htm" TargetMode="External"/><Relationship Id="rId167" Type="http://schemas.openxmlformats.org/officeDocument/2006/relationships/hyperlink" Target="https://www.sec.gov/Archives/edgar/data/1534126/000110465920090544/a20-22823_1ex4d1.htm" TargetMode="External"/><Relationship Id="rId168" Type="http://schemas.openxmlformats.org/officeDocument/2006/relationships/hyperlink" Target="https://www.sec.gov/Archives/edgar/data/1598655/000110465920090543/a20-22824_1ex4d1.htm" TargetMode="External"/><Relationship Id="rId169" Type="http://schemas.openxmlformats.org/officeDocument/2006/relationships/hyperlink" Target="https://www.sec.gov/Archives/edgar/data/1598655/000110465920090543/a20-22824_1ex4d2.htm" TargetMode="External"/><Relationship Id="rId170" Type="http://schemas.openxmlformats.org/officeDocument/2006/relationships/hyperlink" Target="https://www.sec.gov/Archives/edgar/data/1534126/000104746921000509/a2242982zex-4_21.htm" TargetMode="External"/><Relationship Id="rId171" Type="http://schemas.openxmlformats.org/officeDocument/2006/relationships/hyperlink" Target="https://www.sec.gov/Archives/edgar/data/1534126/000095015721000283/ex2-1.htm" TargetMode="External"/><Relationship Id="rId172" Type="http://schemas.openxmlformats.org/officeDocument/2006/relationships/hyperlink" Target="https://www.sec.gov/Archives/edgar/data/1534126/000095015721000283/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2022-03-09T15:37:24Z</dcterms:created>
  <dcterms:modified xsi:type="dcterms:W3CDTF">2022-03-09T15:37:24Z</dcterms:modified>
</cp:coreProperties>
</file>