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20" w:type="dxa"/>
            <w:vAlign w:val="bottom"/>
          </w:tcPr>
          <w:p>
            <w:pPr>
              <w:jc w:val="center"/>
              <w:ind w:left="730"/>
              <w:spacing w:after="0"/>
              <w:rPr>
                <w:sz w:val="20"/>
                <w:szCs w:val="20"/>
                <w:color w:val="auto"/>
              </w:rPr>
            </w:pPr>
            <w:r>
              <w:rPr>
                <w:rFonts w:ascii="Arial" w:cs="Arial" w:eastAsia="Arial" w:hAnsi="Arial"/>
                <w:sz w:val="18"/>
                <w:szCs w:val="18"/>
                <w:b w:val="1"/>
                <w:bCs w:val="1"/>
                <w:color w:val="auto"/>
                <w:w w:val="96"/>
              </w:rPr>
              <w:t>Form 6-K</w:t>
            </w:r>
          </w:p>
        </w:tc>
        <w:tc>
          <w:tcPr>
            <w:tcW w:w="840" w:type="dxa"/>
            <w:vAlign w:val="bottom"/>
          </w:tcPr>
          <w:p>
            <w:pPr>
              <w:spacing w:after="0"/>
              <w:rPr>
                <w:sz w:val="20"/>
                <w:szCs w:val="20"/>
                <w:color w:val="auto"/>
              </w:rPr>
            </w:pPr>
          </w:p>
        </w:tc>
      </w:tr>
      <w:tr>
        <w:trPr>
          <w:trHeight w:val="414"/>
        </w:trPr>
        <w:tc>
          <w:tcPr>
            <w:tcW w:w="10620" w:type="dxa"/>
            <w:vAlign w:val="bottom"/>
          </w:tcPr>
          <w:p>
            <w:pPr>
              <w:jc w:val="center"/>
              <w:ind w:left="71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840" w:type="dxa"/>
            <w:vAlign w:val="bottom"/>
          </w:tcPr>
          <w:p>
            <w:pPr>
              <w:spacing w:after="0"/>
              <w:rPr>
                <w:sz w:val="24"/>
                <w:szCs w:val="24"/>
                <w:color w:val="auto"/>
              </w:rPr>
            </w:pPr>
          </w:p>
        </w:tc>
      </w:tr>
      <w:tr>
        <w:trPr>
          <w:trHeight w:val="234"/>
        </w:trPr>
        <w:tc>
          <w:tcPr>
            <w:tcW w:w="10620" w:type="dxa"/>
            <w:vAlign w:val="bottom"/>
          </w:tcPr>
          <w:p>
            <w:pPr>
              <w:jc w:val="center"/>
              <w:ind w:left="730"/>
              <w:spacing w:after="0"/>
              <w:rPr>
                <w:sz w:val="20"/>
                <w:szCs w:val="20"/>
                <w:color w:val="auto"/>
              </w:rPr>
            </w:pPr>
            <w:r>
              <w:rPr>
                <w:rFonts w:ascii="Arial" w:cs="Arial" w:eastAsia="Arial" w:hAnsi="Arial"/>
                <w:sz w:val="18"/>
                <w:szCs w:val="18"/>
                <w:b w:val="1"/>
                <w:bCs w:val="1"/>
                <w:color w:val="auto"/>
                <w:w w:val="98"/>
              </w:rPr>
              <w:t>EXCHANGE ACT OF 1934</w:t>
            </w:r>
          </w:p>
        </w:tc>
        <w:tc>
          <w:tcPr>
            <w:tcW w:w="840" w:type="dxa"/>
            <w:vAlign w:val="bottom"/>
          </w:tcPr>
          <w:p>
            <w:pPr>
              <w:spacing w:after="0"/>
              <w:rPr>
                <w:sz w:val="20"/>
                <w:szCs w:val="20"/>
                <w:color w:val="auto"/>
              </w:rPr>
            </w:pPr>
          </w:p>
        </w:tc>
      </w:tr>
      <w:tr>
        <w:trPr>
          <w:trHeight w:val="432"/>
        </w:trPr>
        <w:tc>
          <w:tcPr>
            <w:tcW w:w="10620" w:type="dxa"/>
            <w:vAlign w:val="bottom"/>
          </w:tcPr>
          <w:p>
            <w:pPr>
              <w:spacing w:after="0"/>
              <w:rPr>
                <w:sz w:val="20"/>
                <w:szCs w:val="20"/>
                <w:color w:val="auto"/>
              </w:rPr>
            </w:pPr>
            <w:r>
              <w:rPr>
                <w:rFonts w:ascii="Arial" w:cs="Arial" w:eastAsia="Arial" w:hAnsi="Arial"/>
                <w:sz w:val="18"/>
                <w:szCs w:val="18"/>
                <w:color w:val="auto"/>
              </w:rPr>
              <w:t>For the month of May 2019</w:t>
            </w:r>
          </w:p>
        </w:tc>
        <w:tc>
          <w:tcPr>
            <w:tcW w:w="840" w:type="dxa"/>
            <w:vAlign w:val="bottom"/>
          </w:tcPr>
          <w:p>
            <w:pPr>
              <w:spacing w:after="0"/>
              <w:rPr>
                <w:sz w:val="24"/>
                <w:szCs w:val="24"/>
                <w:color w:val="auto"/>
              </w:rPr>
            </w:pPr>
          </w:p>
        </w:tc>
      </w:tr>
      <w:tr>
        <w:trPr>
          <w:trHeight w:val="432"/>
        </w:trPr>
        <w:tc>
          <w:tcPr>
            <w:tcW w:w="106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840" w:type="dxa"/>
            <w:vAlign w:val="bottom"/>
          </w:tcPr>
          <w:p>
            <w:pPr>
              <w:spacing w:after="0"/>
              <w:rPr>
                <w:sz w:val="24"/>
                <w:szCs w:val="24"/>
                <w:color w:val="auto"/>
              </w:rPr>
            </w:pPr>
          </w:p>
        </w:tc>
      </w:tr>
      <w:tr>
        <w:trPr>
          <w:trHeight w:val="418"/>
        </w:trPr>
        <w:tc>
          <w:tcPr>
            <w:tcW w:w="106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GasLog Ltd</w:t>
            </w:r>
          </w:p>
        </w:tc>
        <w:tc>
          <w:tcPr>
            <w:tcW w:w="840" w:type="dxa"/>
            <w:vAlign w:val="bottom"/>
          </w:tcPr>
          <w:p>
            <w:pPr>
              <w:spacing w:after="0"/>
              <w:rPr>
                <w:sz w:val="24"/>
                <w:szCs w:val="24"/>
                <w:color w:val="auto"/>
              </w:rPr>
            </w:pPr>
          </w:p>
        </w:tc>
      </w:tr>
      <w:tr>
        <w:trPr>
          <w:trHeight w:val="230"/>
        </w:trPr>
        <w:tc>
          <w:tcPr>
            <w:tcW w:w="10620" w:type="dxa"/>
            <w:vAlign w:val="bottom"/>
          </w:tcPr>
          <w:p>
            <w:pPr>
              <w:jc w:val="center"/>
              <w:ind w:left="730"/>
              <w:spacing w:after="0"/>
              <w:rPr>
                <w:sz w:val="20"/>
                <w:szCs w:val="20"/>
                <w:color w:val="auto"/>
              </w:rPr>
            </w:pPr>
            <w:r>
              <w:rPr>
                <w:rFonts w:ascii="Arial" w:cs="Arial" w:eastAsia="Arial" w:hAnsi="Arial"/>
                <w:sz w:val="18"/>
                <w:szCs w:val="18"/>
                <w:color w:val="auto"/>
                <w:w w:val="91"/>
              </w:rPr>
              <w:t>(Translation of registrant’s name into English)</w:t>
            </w:r>
          </w:p>
        </w:tc>
        <w:tc>
          <w:tcPr>
            <w:tcW w:w="840" w:type="dxa"/>
            <w:vAlign w:val="bottom"/>
          </w:tcPr>
          <w:p>
            <w:pPr>
              <w:spacing w:after="0"/>
              <w:rPr>
                <w:sz w:val="20"/>
                <w:szCs w:val="20"/>
                <w:color w:val="auto"/>
              </w:rPr>
            </w:pPr>
          </w:p>
        </w:tc>
      </w:tr>
      <w:tr>
        <w:trPr>
          <w:trHeight w:val="418"/>
        </w:trPr>
        <w:tc>
          <w:tcPr>
            <w:tcW w:w="10620" w:type="dxa"/>
            <w:vAlign w:val="bottom"/>
          </w:tcPr>
          <w:p>
            <w:pPr>
              <w:jc w:val="center"/>
              <w:ind w:left="710"/>
              <w:spacing w:after="0"/>
              <w:rPr>
                <w:sz w:val="20"/>
                <w:szCs w:val="20"/>
                <w:color w:val="auto"/>
              </w:rPr>
            </w:pPr>
            <w:r>
              <w:rPr>
                <w:rFonts w:ascii="Arial" w:cs="Arial" w:eastAsia="Arial" w:hAnsi="Arial"/>
                <w:sz w:val="18"/>
                <w:szCs w:val="18"/>
                <w:color w:val="auto"/>
                <w:w w:val="89"/>
              </w:rPr>
              <w:t>Gildo Pastor Center</w:t>
            </w:r>
          </w:p>
        </w:tc>
        <w:tc>
          <w:tcPr>
            <w:tcW w:w="840" w:type="dxa"/>
            <w:vAlign w:val="bottom"/>
          </w:tcPr>
          <w:p>
            <w:pPr>
              <w:spacing w:after="0"/>
              <w:rPr>
                <w:sz w:val="24"/>
                <w:szCs w:val="24"/>
                <w:color w:val="auto"/>
              </w:rPr>
            </w:pPr>
          </w:p>
        </w:tc>
      </w:tr>
      <w:tr>
        <w:trPr>
          <w:trHeight w:val="216"/>
        </w:trPr>
        <w:tc>
          <w:tcPr>
            <w:tcW w:w="10620" w:type="dxa"/>
            <w:vAlign w:val="bottom"/>
          </w:tcPr>
          <w:p>
            <w:pPr>
              <w:jc w:val="center"/>
              <w:ind w:left="710"/>
              <w:spacing w:after="0"/>
              <w:rPr>
                <w:sz w:val="20"/>
                <w:szCs w:val="20"/>
                <w:color w:val="auto"/>
              </w:rPr>
            </w:pPr>
            <w:r>
              <w:rPr>
                <w:rFonts w:ascii="Arial" w:cs="Arial" w:eastAsia="Arial" w:hAnsi="Arial"/>
                <w:sz w:val="18"/>
                <w:szCs w:val="18"/>
                <w:color w:val="auto"/>
                <w:w w:val="89"/>
              </w:rPr>
              <w:t>7 Rue du Gabian</w:t>
            </w:r>
          </w:p>
        </w:tc>
        <w:tc>
          <w:tcPr>
            <w:tcW w:w="840" w:type="dxa"/>
            <w:vAlign w:val="bottom"/>
          </w:tcPr>
          <w:p>
            <w:pPr>
              <w:spacing w:after="0"/>
              <w:rPr>
                <w:sz w:val="18"/>
                <w:szCs w:val="18"/>
                <w:color w:val="auto"/>
              </w:rPr>
            </w:pPr>
          </w:p>
        </w:tc>
      </w:tr>
      <w:tr>
        <w:trPr>
          <w:trHeight w:val="216"/>
        </w:trPr>
        <w:tc>
          <w:tcPr>
            <w:tcW w:w="10620" w:type="dxa"/>
            <w:vAlign w:val="bottom"/>
          </w:tcPr>
          <w:p>
            <w:pPr>
              <w:jc w:val="center"/>
              <w:ind w:left="710"/>
              <w:spacing w:after="0"/>
              <w:rPr>
                <w:sz w:val="20"/>
                <w:szCs w:val="20"/>
                <w:color w:val="auto"/>
              </w:rPr>
            </w:pPr>
            <w:r>
              <w:rPr>
                <w:rFonts w:ascii="Arial" w:cs="Arial" w:eastAsia="Arial" w:hAnsi="Arial"/>
                <w:sz w:val="18"/>
                <w:szCs w:val="18"/>
                <w:color w:val="auto"/>
                <w:w w:val="92"/>
              </w:rPr>
              <w:t>MC 98000, Monaco</w:t>
            </w:r>
          </w:p>
        </w:tc>
        <w:tc>
          <w:tcPr>
            <w:tcW w:w="840" w:type="dxa"/>
            <w:vAlign w:val="bottom"/>
          </w:tcPr>
          <w:p>
            <w:pPr>
              <w:spacing w:after="0"/>
              <w:rPr>
                <w:sz w:val="18"/>
                <w:szCs w:val="18"/>
                <w:color w:val="auto"/>
              </w:rPr>
            </w:pPr>
          </w:p>
        </w:tc>
      </w:tr>
      <w:tr>
        <w:trPr>
          <w:trHeight w:val="230"/>
        </w:trPr>
        <w:tc>
          <w:tcPr>
            <w:tcW w:w="10620" w:type="dxa"/>
            <w:vAlign w:val="bottom"/>
          </w:tcPr>
          <w:p>
            <w:pPr>
              <w:jc w:val="center"/>
              <w:ind w:left="710"/>
              <w:spacing w:after="0"/>
              <w:rPr>
                <w:sz w:val="20"/>
                <w:szCs w:val="20"/>
                <w:color w:val="auto"/>
              </w:rPr>
            </w:pPr>
            <w:r>
              <w:rPr>
                <w:rFonts w:ascii="Arial" w:cs="Arial" w:eastAsia="Arial" w:hAnsi="Arial"/>
                <w:sz w:val="18"/>
                <w:szCs w:val="18"/>
                <w:color w:val="auto"/>
                <w:w w:val="92"/>
              </w:rPr>
              <w:t>(Address of principal executive office)</w:t>
            </w:r>
          </w:p>
        </w:tc>
        <w:tc>
          <w:tcPr>
            <w:tcW w:w="840" w:type="dxa"/>
            <w:vAlign w:val="bottom"/>
          </w:tcPr>
          <w:p>
            <w:pPr>
              <w:spacing w:after="0"/>
              <w:rPr>
                <w:sz w:val="20"/>
                <w:szCs w:val="20"/>
                <w:color w:val="auto"/>
              </w:rPr>
            </w:pPr>
          </w:p>
        </w:tc>
      </w:tr>
      <w:tr>
        <w:trPr>
          <w:trHeight w:val="432"/>
        </w:trPr>
        <w:tc>
          <w:tcPr>
            <w:tcW w:w="106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840" w:type="dxa"/>
            <w:vAlign w:val="bottom"/>
          </w:tcPr>
          <w:p>
            <w:pPr>
              <w:spacing w:after="0"/>
              <w:rPr>
                <w:sz w:val="24"/>
                <w:szCs w:val="24"/>
                <w:color w:val="auto"/>
              </w:rPr>
            </w:pPr>
          </w:p>
        </w:tc>
      </w:tr>
      <w:tr>
        <w:trPr>
          <w:trHeight w:val="452"/>
        </w:trPr>
        <w:tc>
          <w:tcPr>
            <w:tcW w:w="106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840" w:type="dxa"/>
            <w:vAlign w:val="bottom"/>
          </w:tcPr>
          <w:p>
            <w:pPr>
              <w:spacing w:after="0"/>
              <w:rPr>
                <w:sz w:val="24"/>
                <w:szCs w:val="24"/>
                <w:color w:val="auto"/>
              </w:rPr>
            </w:pPr>
          </w:p>
        </w:tc>
      </w:tr>
      <w:tr>
        <w:trPr>
          <w:trHeight w:val="412"/>
        </w:trPr>
        <w:tc>
          <w:tcPr>
            <w:tcW w:w="106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840" w:type="dxa"/>
            <w:vAlign w:val="bottom"/>
          </w:tcPr>
          <w:p>
            <w:pPr>
              <w:ind w:left="420"/>
              <w:spacing w:after="0"/>
              <w:rPr>
                <w:sz w:val="20"/>
                <w:szCs w:val="20"/>
                <w:color w:val="auto"/>
              </w:rPr>
            </w:pPr>
            <w:r>
              <w:rPr>
                <w:rFonts w:ascii="Arial" w:cs="Arial" w:eastAsia="Arial" w:hAnsi="Arial"/>
                <w:sz w:val="18"/>
                <w:szCs w:val="18"/>
                <w:color w:val="auto"/>
              </w:rPr>
              <w:t>o</w:t>
            </w:r>
          </w:p>
        </w:tc>
      </w:tr>
      <w:tr>
        <w:trPr>
          <w:trHeight w:val="432"/>
        </w:trPr>
        <w:tc>
          <w:tcPr>
            <w:tcW w:w="106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840" w:type="dxa"/>
            <w:vAlign w:val="bottom"/>
          </w:tcPr>
          <w:p>
            <w:pPr>
              <w:ind w:left="420"/>
              <w:spacing w:after="0"/>
              <w:rPr>
                <w:sz w:val="20"/>
                <w:szCs w:val="20"/>
                <w:color w:val="auto"/>
              </w:rPr>
            </w:pPr>
            <w:r>
              <w:rPr>
                <w:rFonts w:ascii="Arial" w:cs="Arial" w:eastAsia="Arial" w:hAnsi="Arial"/>
                <w:sz w:val="18"/>
                <w:szCs w:val="18"/>
                <w:color w:val="auto"/>
              </w:rPr>
              <w:t>o</w:t>
            </w:r>
          </w:p>
        </w:tc>
      </w:tr>
      <w:tr>
        <w:trPr>
          <w:trHeight w:val="348"/>
        </w:trPr>
        <w:tc>
          <w:tcPr>
            <w:tcW w:w="106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The press release issued by GasLog Ltd. on May 10, 2019 relating to the results of its 2019 Annual General Meeting is attached hereto as Exhibit 99.1.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ind w:left="6100"/>
              <w:spacing w:after="0"/>
              <w:rPr>
                <w:sz w:val="20"/>
                <w:szCs w:val="20"/>
                <w:color w:val="auto"/>
              </w:rPr>
            </w:pPr>
            <w:r>
              <w:rPr>
                <w:rFonts w:ascii="Arial" w:cs="Arial" w:eastAsia="Arial" w:hAnsi="Arial"/>
                <w:sz w:val="18"/>
                <w:szCs w:val="18"/>
                <w:color w:val="auto"/>
              </w:rPr>
              <w:t>GASLOG LTD</w:t>
            </w:r>
          </w:p>
        </w:tc>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060" w:type="dxa"/>
            <w:vAlign w:val="bottom"/>
          </w:tcPr>
          <w:p>
            <w:pPr>
              <w:ind w:left="648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70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40" w:type="dxa"/>
            <w:vAlign w:val="bottom"/>
          </w:tcPr>
          <w:p>
            <w:pPr>
              <w:ind w:left="14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70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70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GasLog Ltd. Announces Election of Directors at 2019 Annual General Meeting of Shareholders</w:t>
      </w:r>
    </w:p>
    <w:p>
      <w:pPr>
        <w:spacing w:after="0" w:line="260" w:lineRule="exact"/>
        <w:rPr>
          <w:sz w:val="20"/>
          <w:szCs w:val="20"/>
          <w:color w:val="auto"/>
        </w:rPr>
      </w:pPr>
    </w:p>
    <w:p>
      <w:pPr>
        <w:jc w:val="both"/>
        <w:ind w:right="20"/>
        <w:spacing w:after="0" w:line="361" w:lineRule="auto"/>
        <w:rPr>
          <w:sz w:val="20"/>
          <w:szCs w:val="20"/>
          <w:color w:val="auto"/>
        </w:rPr>
      </w:pPr>
      <w:r>
        <w:rPr>
          <w:rFonts w:ascii="Arial" w:cs="Arial" w:eastAsia="Arial" w:hAnsi="Arial"/>
          <w:sz w:val="15"/>
          <w:szCs w:val="15"/>
          <w:b w:val="1"/>
          <w:bCs w:val="1"/>
          <w:color w:val="auto"/>
        </w:rPr>
        <w:t xml:space="preserve">Monaco – May 10, 2019 </w:t>
      </w:r>
      <w:r>
        <w:rPr>
          <w:rFonts w:ascii="Arial" w:cs="Arial" w:eastAsia="Arial" w:hAnsi="Arial"/>
          <w:sz w:val="15"/>
          <w:szCs w:val="15"/>
          <w:color w:val="auto"/>
        </w:rPr>
        <w:t>– GasLog Ltd. (GasLog or the “Company”) (NYSE: GLOG), an international owner and operator of liquefied natural gas (“LNG”) carriers,</w:t>
      </w:r>
      <w:r>
        <w:rPr>
          <w:rFonts w:ascii="Arial" w:cs="Arial" w:eastAsia="Arial" w:hAnsi="Arial"/>
          <w:sz w:val="15"/>
          <w:szCs w:val="15"/>
          <w:b w:val="1"/>
          <w:bCs w:val="1"/>
          <w:color w:val="auto"/>
        </w:rPr>
        <w:t xml:space="preserve"> </w:t>
      </w:r>
      <w:r>
        <w:rPr>
          <w:rFonts w:ascii="Arial" w:cs="Arial" w:eastAsia="Arial" w:hAnsi="Arial"/>
          <w:sz w:val="15"/>
          <w:szCs w:val="15"/>
          <w:color w:val="auto"/>
        </w:rPr>
        <w:t>announced the election of ten directors at the Company’s annual general meeting of shareholders held in Monaco today.</w:t>
      </w:r>
    </w:p>
    <w:p>
      <w:pPr>
        <w:spacing w:after="0" w:line="269"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The elected directors are Peter G. Livanos, Bruce L. Blythe, David P. Conner, William M. Friedrich, Dennis M. Houston, Donald J. Kintzer, Julian R. Metherell, Anthony S. Papadimitriou, Graham Westgarth and Paul A. Wogan. Each director was elected to hold office until the next annual general meeting of shareholders or until his successor has been duly elected and qualified.</w:t>
      </w:r>
    </w:p>
    <w:p>
      <w:pPr>
        <w:spacing w:after="0" w:line="294" w:lineRule="exact"/>
        <w:rPr>
          <w:sz w:val="20"/>
          <w:szCs w:val="20"/>
          <w:color w:val="auto"/>
        </w:rPr>
      </w:pPr>
    </w:p>
    <w:p>
      <w:pPr>
        <w:jc w:val="both"/>
        <w:ind w:right="20"/>
        <w:spacing w:after="0" w:line="327" w:lineRule="auto"/>
        <w:rPr>
          <w:sz w:val="20"/>
          <w:szCs w:val="20"/>
          <w:color w:val="auto"/>
        </w:rPr>
      </w:pPr>
      <w:r>
        <w:rPr>
          <w:rFonts w:ascii="Arial" w:cs="Arial" w:eastAsia="Arial" w:hAnsi="Arial"/>
          <w:sz w:val="15"/>
          <w:szCs w:val="15"/>
          <w:color w:val="auto"/>
        </w:rPr>
        <w:t>Shareholders also approved the appointment of Deloitte LLP as the Company’s independent auditors for the fiscal year ending December 31, 2019 and until the conclusion of the next annual general meeting, and authorized the Company’s board of directors, acting through the audit and risk committee, to determine the independent auditor fee.</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About GasLog Ltd</w:t>
      </w:r>
      <w:r>
        <w:rPr>
          <w:rFonts w:ascii="Arial" w:cs="Arial" w:eastAsia="Arial" w:hAnsi="Arial"/>
          <w:sz w:val="15"/>
          <w:szCs w:val="15"/>
          <w:color w:val="auto"/>
        </w:rPr>
        <w:t>.</w:t>
      </w:r>
    </w:p>
    <w:p>
      <w:pPr>
        <w:spacing w:after="0" w:line="34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GasLog is an international owner, operator and manager of LNG carriers providing support to international energy companies as part of their LNG logistics chain. GasLog’s consolidated fleet consists of 34 LNG carriers and an additional LNG carrier which was sold to a subsidiary of Mitsui Co. Ltd. and leased back under a long-term bareboat charter. 20 of these vessels (12 ships on the water and eight on order) are owned by GasLog with the remaining 15 LNG carriers owned by the Company’s subsidiary, GasLog Partners. GasLog’s principal executive offices are at Gildo Pastor Center, 7 Rue du Gabian, MC 98000, Monaco. Visit GasLog’s website at http://www.gaslogltd.com.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236" w:lineRule="auto"/>
        <w:rPr>
          <w:sz w:val="20"/>
          <w:szCs w:val="20"/>
          <w:color w:val="auto"/>
        </w:rPr>
      </w:pPr>
      <w:r>
        <w:rPr>
          <w:rFonts w:ascii="Arial" w:cs="Arial" w:eastAsia="Arial" w:hAnsi="Arial"/>
          <w:sz w:val="15"/>
          <w:szCs w:val="15"/>
          <w:color w:val="auto"/>
        </w:rPr>
        <w:t>Phil Corbett</w:t>
      </w:r>
    </w:p>
    <w:p>
      <w:pPr>
        <w:spacing w:after="0" w:line="225" w:lineRule="auto"/>
        <w:rPr>
          <w:sz w:val="20"/>
          <w:szCs w:val="20"/>
          <w:color w:val="auto"/>
        </w:rPr>
      </w:pPr>
      <w:r>
        <w:rPr>
          <w:rFonts w:ascii="Arial" w:cs="Arial" w:eastAsia="Arial" w:hAnsi="Arial"/>
          <w:sz w:val="15"/>
          <w:szCs w:val="15"/>
          <w:color w:val="auto"/>
        </w:rPr>
        <w:t>Head of Investor Relations</w:t>
      </w:r>
    </w:p>
    <w:p>
      <w:pPr>
        <w:spacing w:after="0"/>
        <w:rPr>
          <w:sz w:val="20"/>
          <w:szCs w:val="20"/>
          <w:color w:val="auto"/>
        </w:rPr>
      </w:pPr>
      <w:r>
        <w:rPr>
          <w:rFonts w:ascii="Arial" w:cs="Arial" w:eastAsia="Arial" w:hAnsi="Arial"/>
          <w:sz w:val="15"/>
          <w:szCs w:val="15"/>
          <w:color w:val="auto"/>
        </w:rPr>
        <w:t>Phone: +44-203-388-3116</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Joseph Nelson</w:t>
      </w:r>
    </w:p>
    <w:p>
      <w:pPr>
        <w:spacing w:after="0" w:line="225" w:lineRule="auto"/>
        <w:rPr>
          <w:sz w:val="20"/>
          <w:szCs w:val="20"/>
          <w:color w:val="auto"/>
        </w:rPr>
      </w:pPr>
      <w:r>
        <w:rPr>
          <w:rFonts w:ascii="Arial" w:cs="Arial" w:eastAsia="Arial" w:hAnsi="Arial"/>
          <w:sz w:val="15"/>
          <w:szCs w:val="15"/>
          <w:color w:val="auto"/>
        </w:rPr>
        <w:t>Deputy Head of Investor Relations</w:t>
      </w:r>
    </w:p>
    <w:p>
      <w:pPr>
        <w:spacing w:after="0"/>
        <w:rPr>
          <w:sz w:val="20"/>
          <w:szCs w:val="20"/>
          <w:color w:val="auto"/>
        </w:rPr>
      </w:pPr>
      <w:r>
        <w:rPr>
          <w:rFonts w:ascii="Arial" w:cs="Arial" w:eastAsia="Arial" w:hAnsi="Arial"/>
          <w:sz w:val="15"/>
          <w:szCs w:val="15"/>
          <w:color w:val="auto"/>
        </w:rPr>
        <w:t>Phone: +1-212-223-0643</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2019-12-02T20:59:04Z</dcterms:created>
  <dcterms:modified xsi:type="dcterms:W3CDTF">2019-12-02T20:59:04Z</dcterms:modified>
</cp:coreProperties>
</file>