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340" w:right="112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For the month of September 2021</w:t>
            </w:r>
          </w:p>
        </w:tc>
        <w:tc>
          <w:tcPr>
            <w:tcW w:w="1980" w:type="dxa"/>
            <w:vAlign w:val="bottom"/>
          </w:tcPr>
          <w:p>
            <w:pPr>
              <w:spacing w:after="0"/>
              <w:rPr>
                <w:sz w:val="20"/>
                <w:szCs w:val="20"/>
                <w:color w:val="auto"/>
              </w:rPr>
            </w:pPr>
          </w:p>
        </w:tc>
      </w:tr>
      <w:tr>
        <w:trPr>
          <w:trHeight w:val="432"/>
        </w:trPr>
        <w:tc>
          <w:tcPr>
            <w:tcW w:w="926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980" w:type="dxa"/>
            <w:vAlign w:val="bottom"/>
          </w:tcPr>
          <w:p>
            <w:pPr>
              <w:spacing w:after="0"/>
              <w:rPr>
                <w:sz w:val="24"/>
                <w:szCs w:val="24"/>
                <w:color w:val="auto"/>
              </w:rPr>
            </w:pPr>
          </w:p>
        </w:tc>
      </w:tr>
      <w:tr>
        <w:trPr>
          <w:trHeight w:val="418"/>
        </w:trPr>
        <w:tc>
          <w:tcPr>
            <w:tcW w:w="926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GasLog Ltd</w:t>
            </w:r>
          </w:p>
        </w:tc>
        <w:tc>
          <w:tcPr>
            <w:tcW w:w="1980" w:type="dxa"/>
            <w:vAlign w:val="bottom"/>
          </w:tcPr>
          <w:p>
            <w:pPr>
              <w:spacing w:after="0"/>
              <w:rPr>
                <w:sz w:val="24"/>
                <w:szCs w:val="24"/>
                <w:color w:val="auto"/>
              </w:rPr>
            </w:pPr>
          </w:p>
        </w:tc>
      </w:tr>
      <w:tr>
        <w:trPr>
          <w:trHeight w:val="230"/>
        </w:trPr>
        <w:tc>
          <w:tcPr>
            <w:tcW w:w="9260" w:type="dxa"/>
            <w:vAlign w:val="bottom"/>
          </w:tcPr>
          <w:p>
            <w:pPr>
              <w:jc w:val="center"/>
              <w:ind w:left="1890"/>
              <w:spacing w:after="0"/>
              <w:rPr>
                <w:sz w:val="20"/>
                <w:szCs w:val="20"/>
                <w:color w:val="auto"/>
              </w:rPr>
            </w:pPr>
            <w:r>
              <w:rPr>
                <w:rFonts w:ascii="Arial" w:cs="Arial" w:eastAsia="Arial" w:hAnsi="Arial"/>
                <w:sz w:val="18"/>
                <w:szCs w:val="18"/>
                <w:color w:val="auto"/>
                <w:w w:val="91"/>
              </w:rPr>
              <w:t>(Translation of registrant’s name into English)</w:t>
            </w:r>
          </w:p>
        </w:tc>
        <w:tc>
          <w:tcPr>
            <w:tcW w:w="1980" w:type="dxa"/>
            <w:vAlign w:val="bottom"/>
          </w:tcPr>
          <w:p>
            <w:pPr>
              <w:spacing w:after="0"/>
              <w:rPr>
                <w:sz w:val="20"/>
                <w:szCs w:val="20"/>
                <w:color w:val="auto"/>
              </w:rPr>
            </w:pPr>
          </w:p>
        </w:tc>
      </w:tr>
      <w:tr>
        <w:trPr>
          <w:trHeight w:val="418"/>
        </w:trPr>
        <w:tc>
          <w:tcPr>
            <w:tcW w:w="9260" w:type="dxa"/>
            <w:vAlign w:val="bottom"/>
          </w:tcPr>
          <w:p>
            <w:pPr>
              <w:jc w:val="center"/>
              <w:ind w:left="1890"/>
              <w:spacing w:after="0"/>
              <w:rPr>
                <w:sz w:val="20"/>
                <w:szCs w:val="20"/>
                <w:color w:val="auto"/>
              </w:rPr>
            </w:pPr>
            <w:r>
              <w:rPr>
                <w:rFonts w:ascii="Arial" w:cs="Arial" w:eastAsia="Arial" w:hAnsi="Arial"/>
                <w:sz w:val="18"/>
                <w:szCs w:val="18"/>
                <w:color w:val="auto"/>
                <w:w w:val="92"/>
              </w:rPr>
              <w:t>c/o GasLog Services LNG Ltd.</w:t>
            </w:r>
          </w:p>
        </w:tc>
        <w:tc>
          <w:tcPr>
            <w:tcW w:w="1980" w:type="dxa"/>
            <w:vAlign w:val="bottom"/>
          </w:tcPr>
          <w:p>
            <w:pPr>
              <w:spacing w:after="0"/>
              <w:rPr>
                <w:sz w:val="24"/>
                <w:szCs w:val="24"/>
                <w:color w:val="auto"/>
              </w:rPr>
            </w:pPr>
          </w:p>
        </w:tc>
      </w:tr>
      <w:tr>
        <w:trPr>
          <w:trHeight w:val="216"/>
        </w:trPr>
        <w:tc>
          <w:tcPr>
            <w:tcW w:w="9260" w:type="dxa"/>
            <w:vAlign w:val="bottom"/>
          </w:tcPr>
          <w:p>
            <w:pPr>
              <w:jc w:val="center"/>
              <w:ind w:left="1910"/>
              <w:spacing w:after="0"/>
              <w:rPr>
                <w:sz w:val="20"/>
                <w:szCs w:val="20"/>
                <w:color w:val="auto"/>
              </w:rPr>
            </w:pPr>
            <w:r>
              <w:rPr>
                <w:rFonts w:ascii="Arial" w:cs="Arial" w:eastAsia="Arial" w:hAnsi="Arial"/>
                <w:sz w:val="18"/>
                <w:szCs w:val="18"/>
                <w:color w:val="auto"/>
                <w:w w:val="96"/>
              </w:rPr>
              <w:t>69 Akti Miaouli 18537</w:t>
            </w:r>
          </w:p>
        </w:tc>
        <w:tc>
          <w:tcPr>
            <w:tcW w:w="1980" w:type="dxa"/>
            <w:vAlign w:val="bottom"/>
          </w:tcPr>
          <w:p>
            <w:pPr>
              <w:spacing w:after="0"/>
              <w:rPr>
                <w:sz w:val="18"/>
                <w:szCs w:val="18"/>
                <w:color w:val="auto"/>
              </w:rPr>
            </w:pPr>
          </w:p>
        </w:tc>
      </w:tr>
      <w:tr>
        <w:trPr>
          <w:trHeight w:val="216"/>
        </w:trPr>
        <w:tc>
          <w:tcPr>
            <w:tcW w:w="9260" w:type="dxa"/>
            <w:vAlign w:val="bottom"/>
          </w:tcPr>
          <w:p>
            <w:pPr>
              <w:jc w:val="center"/>
              <w:ind w:left="1890"/>
              <w:spacing w:after="0"/>
              <w:rPr>
                <w:sz w:val="20"/>
                <w:szCs w:val="20"/>
                <w:color w:val="auto"/>
              </w:rPr>
            </w:pPr>
            <w:r>
              <w:rPr>
                <w:rFonts w:ascii="Arial" w:cs="Arial" w:eastAsia="Arial" w:hAnsi="Arial"/>
                <w:sz w:val="18"/>
                <w:szCs w:val="18"/>
                <w:color w:val="auto"/>
                <w:w w:val="86"/>
              </w:rPr>
              <w:t>Piraeus Greece</w:t>
            </w:r>
          </w:p>
        </w:tc>
        <w:tc>
          <w:tcPr>
            <w:tcW w:w="1980" w:type="dxa"/>
            <w:vAlign w:val="bottom"/>
          </w:tcPr>
          <w:p>
            <w:pPr>
              <w:spacing w:after="0"/>
              <w:rPr>
                <w:sz w:val="18"/>
                <w:szCs w:val="18"/>
                <w:color w:val="auto"/>
              </w:rPr>
            </w:pPr>
          </w:p>
        </w:tc>
      </w:tr>
      <w:tr>
        <w:trPr>
          <w:trHeight w:val="230"/>
        </w:trPr>
        <w:tc>
          <w:tcPr>
            <w:tcW w:w="9260" w:type="dxa"/>
            <w:vAlign w:val="bottom"/>
          </w:tcPr>
          <w:p>
            <w:pPr>
              <w:jc w:val="center"/>
              <w:ind w:left="1910"/>
              <w:spacing w:after="0"/>
              <w:rPr>
                <w:sz w:val="20"/>
                <w:szCs w:val="20"/>
                <w:color w:val="auto"/>
              </w:rPr>
            </w:pPr>
            <w:r>
              <w:rPr>
                <w:rFonts w:ascii="Arial" w:cs="Arial" w:eastAsia="Arial" w:hAnsi="Arial"/>
                <w:sz w:val="18"/>
                <w:szCs w:val="18"/>
                <w:color w:val="auto"/>
                <w:w w:val="92"/>
              </w:rPr>
              <w:t>(Address of principal executive office)</w:t>
            </w:r>
          </w:p>
        </w:tc>
        <w:tc>
          <w:tcPr>
            <w:tcW w:w="1980" w:type="dxa"/>
            <w:vAlign w:val="bottom"/>
          </w:tcPr>
          <w:p>
            <w:pPr>
              <w:spacing w:after="0"/>
              <w:rPr>
                <w:sz w:val="20"/>
                <w:szCs w:val="20"/>
                <w:color w:val="auto"/>
              </w:rPr>
            </w:pPr>
          </w:p>
        </w:tc>
      </w:tr>
      <w:tr>
        <w:trPr>
          <w:trHeight w:val="432"/>
        </w:trPr>
        <w:tc>
          <w:tcPr>
            <w:tcW w:w="926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980" w:type="dxa"/>
            <w:vAlign w:val="bottom"/>
          </w:tcPr>
          <w:p>
            <w:pPr>
              <w:spacing w:after="0"/>
              <w:rPr>
                <w:sz w:val="24"/>
                <w:szCs w:val="24"/>
                <w:color w:val="auto"/>
              </w:rPr>
            </w:pPr>
          </w:p>
        </w:tc>
      </w:tr>
      <w:tr>
        <w:trPr>
          <w:trHeight w:val="452"/>
        </w:trPr>
        <w:tc>
          <w:tcPr>
            <w:tcW w:w="926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980" w:type="dxa"/>
            <w:vAlign w:val="bottom"/>
          </w:tcPr>
          <w:p>
            <w:pPr>
              <w:spacing w:after="0"/>
              <w:rPr>
                <w:sz w:val="24"/>
                <w:szCs w:val="24"/>
                <w:color w:val="auto"/>
              </w:rPr>
            </w:pPr>
          </w:p>
        </w:tc>
      </w:tr>
      <w:tr>
        <w:trPr>
          <w:trHeight w:val="432"/>
        </w:trPr>
        <w:tc>
          <w:tcPr>
            <w:tcW w:w="9260" w:type="dxa"/>
            <w:vAlign w:val="bottom"/>
          </w:tcPr>
          <w:p>
            <w:pPr>
              <w:spacing w:after="0"/>
              <w:rPr>
                <w:sz w:val="20"/>
                <w:szCs w:val="20"/>
                <w:color w:val="auto"/>
              </w:rPr>
            </w:pPr>
            <w:r>
              <w:rPr>
                <w:rFonts w:ascii="Arial" w:cs="Arial" w:eastAsia="Arial" w:hAnsi="Arial"/>
                <w:sz w:val="18"/>
                <w:szCs w:val="18"/>
                <w:color w:val="auto"/>
                <w:w w:val="95"/>
              </w:rPr>
              <w:t>Indicate by check mark if the registrant is submitting the Form 6-K in paper as permitted by Regulation S-T Rule 101(b)(1):</w:t>
            </w:r>
          </w:p>
        </w:tc>
        <w:tc>
          <w:tcPr>
            <w:tcW w:w="19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260" w:type="dxa"/>
            <w:vAlign w:val="bottom"/>
          </w:tcPr>
          <w:p>
            <w:pPr>
              <w:spacing w:after="0"/>
              <w:rPr>
                <w:sz w:val="20"/>
                <w:szCs w:val="20"/>
                <w:color w:val="auto"/>
              </w:rPr>
            </w:pPr>
            <w:r>
              <w:rPr>
                <w:rFonts w:ascii="Arial" w:cs="Arial" w:eastAsia="Arial" w:hAnsi="Arial"/>
                <w:sz w:val="18"/>
                <w:szCs w:val="18"/>
                <w:color w:val="auto"/>
                <w:w w:val="95"/>
              </w:rPr>
              <w:t>Indicate by check mark if the registrant is submitting the Form 6-K in paper as permitted by Regulation S-T Rule 101(b)(7):</w:t>
            </w:r>
          </w:p>
        </w:tc>
        <w:tc>
          <w:tcPr>
            <w:tcW w:w="19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412"/>
        </w:trPr>
        <w:tc>
          <w:tcPr>
            <w:tcW w:w="9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press release issued by GasLog Ltd. on September 17, 2021 announcing that GasLog Ltd. has declared a dividend on its Series A Preference Shares is attached hereto as Exhibit 99.1.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Description</w:t>
      </w:r>
    </w:p>
    <w:p>
      <w:pPr>
        <w:spacing w:after="0" w:line="225"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September 17,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17, 2021</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420"/>
        <w:spacing w:after="0"/>
        <w:tabs>
          <w:tab w:leader="none" w:pos="678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425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 w:lineRule="exact"/>
        <w:rPr>
          <w:sz w:val="20"/>
          <w:szCs w:val="20"/>
          <w:color w:val="auto"/>
        </w:rPr>
      </w:pPr>
    </w:p>
    <w:p>
      <w:pPr>
        <w:ind w:left="6760"/>
        <w:spacing w:after="0"/>
        <w:tabs>
          <w:tab w:leader="none" w:pos="7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A. Wogan</w:t>
      </w:r>
    </w:p>
    <w:p>
      <w:pPr>
        <w:spacing w:after="0" w:line="23" w:lineRule="exact"/>
        <w:rPr>
          <w:sz w:val="20"/>
          <w:szCs w:val="20"/>
          <w:color w:val="auto"/>
        </w:rPr>
      </w:pPr>
    </w:p>
    <w:p>
      <w:pPr>
        <w:ind w:left="6760"/>
        <w:spacing w:after="0"/>
        <w:tabs>
          <w:tab w:leader="none" w:pos="73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908"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GasLog Ltd. Declares Dividend on Series A Preference Shares</w:t>
      </w:r>
    </w:p>
    <w:p>
      <w:pPr>
        <w:spacing w:after="0" w:line="20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b w:val="1"/>
          <w:bCs w:val="1"/>
          <w:color w:val="auto"/>
        </w:rPr>
        <w:t xml:space="preserve">Hamilton, Bermuda September 17, 2021 — </w:t>
      </w:r>
      <w:r>
        <w:rPr>
          <w:rFonts w:ascii="Arial" w:cs="Arial" w:eastAsia="Arial" w:hAnsi="Arial"/>
          <w:sz w:val="20"/>
          <w:szCs w:val="20"/>
          <w:color w:val="auto"/>
        </w:rPr>
        <w:t>GasLog Ltd. (“GasLog” or “Company”) today announced a dividend of $0.546875</w:t>
      </w:r>
      <w:r>
        <w:rPr>
          <w:rFonts w:ascii="Arial" w:cs="Arial" w:eastAsia="Arial" w:hAnsi="Arial"/>
          <w:sz w:val="20"/>
          <w:szCs w:val="20"/>
          <w:b w:val="1"/>
          <w:bCs w:val="1"/>
          <w:color w:val="auto"/>
        </w:rPr>
        <w:t xml:space="preserve"> </w:t>
      </w:r>
      <w:r>
        <w:rPr>
          <w:rFonts w:ascii="Arial" w:cs="Arial" w:eastAsia="Arial" w:hAnsi="Arial"/>
          <w:sz w:val="20"/>
          <w:szCs w:val="20"/>
          <w:color w:val="auto"/>
        </w:rPr>
        <w:t>per share on its 8.75% Series A Cumulative Redeemable Perpetual Preference Shares, payable on October 1, 2021 for all shareholders of record as of September 30, 2021.</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Joseph Nelson</w:t>
      </w:r>
    </w:p>
    <w:p>
      <w:pPr>
        <w:spacing w:after="0" w:line="225" w:lineRule="auto"/>
        <w:rPr>
          <w:sz w:val="20"/>
          <w:szCs w:val="20"/>
          <w:color w:val="auto"/>
        </w:rPr>
      </w:pPr>
      <w:r>
        <w:rPr>
          <w:rFonts w:ascii="Arial" w:cs="Arial" w:eastAsia="Arial" w:hAnsi="Arial"/>
          <w:sz w:val="20"/>
          <w:szCs w:val="20"/>
          <w:color w:val="auto"/>
        </w:rPr>
        <w:t>Head of Investor Relations</w:t>
      </w:r>
    </w:p>
    <w:p>
      <w:pPr>
        <w:spacing w:after="0"/>
        <w:rPr>
          <w:sz w:val="20"/>
          <w:szCs w:val="20"/>
          <w:color w:val="auto"/>
        </w:rPr>
      </w:pPr>
      <w:r>
        <w:rPr>
          <w:rFonts w:ascii="Arial" w:cs="Arial" w:eastAsia="Arial" w:hAnsi="Arial"/>
          <w:sz w:val="20"/>
          <w:szCs w:val="20"/>
          <w:color w:val="auto"/>
        </w:rPr>
        <w:t>Phone: +1 212-223-0643</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Email: ir@gaslogltd.com</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GasLog</w:t>
      </w:r>
    </w:p>
    <w:p>
      <w:pPr>
        <w:spacing w:after="0" w:line="226"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GasLog is an international owner, operator and manager of LNG carriers providing support to international energy companies as part of their LNG logistics chain. GasLog’s consolidated fleet consists of 35 LNG carriers. Of these vessels, 17 are owned by GasLog, three have been sold to a subsidiary of Mitsui &amp; Co. Ltd. to CMBFL and ICBC respectively, and leased back by GasLog under long-term bareboat charters and the remaining 15 LNG carriers are owned by the Company’s subsidiary, GasLog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2021-09-17T05:52:43Z</dcterms:created>
  <dcterms:modified xsi:type="dcterms:W3CDTF">2021-09-17T05:52:43Z</dcterms:modified>
</cp:coreProperties>
</file>