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Form 6-K</w:t>
            </w:r>
          </w:p>
        </w:tc>
        <w:tc>
          <w:tcPr>
            <w:tcW w:w="640" w:type="dxa"/>
            <w:vAlign w:val="bottom"/>
          </w:tcPr>
          <w:p>
            <w:pPr>
              <w:spacing w:after="0"/>
              <w:rPr>
                <w:sz w:val="20"/>
                <w:szCs w:val="20"/>
                <w:color w:val="auto"/>
              </w:rPr>
            </w:pPr>
          </w:p>
        </w:tc>
      </w:tr>
      <w:tr>
        <w:trPr>
          <w:trHeight w:val="410"/>
        </w:trPr>
        <w:tc>
          <w:tcPr>
            <w:tcW w:w="106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REPORT OF FOREIGN PRIVATE ISSUER PURSUANT TO RULE 13a-16 OR 15d-16 UNDER THE SECURITIES</w:t>
            </w:r>
          </w:p>
        </w:tc>
        <w:tc>
          <w:tcPr>
            <w:tcW w:w="640" w:type="dxa"/>
            <w:vAlign w:val="bottom"/>
          </w:tcPr>
          <w:p>
            <w:pPr>
              <w:spacing w:after="0"/>
              <w:rPr>
                <w:sz w:val="24"/>
                <w:szCs w:val="24"/>
                <w:color w:val="auto"/>
              </w:rPr>
            </w:pPr>
          </w:p>
        </w:tc>
      </w:tr>
      <w:tr>
        <w:trPr>
          <w:trHeight w:val="238"/>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EXCHANGE ACT OF 1934</w:t>
            </w:r>
          </w:p>
        </w:tc>
        <w:tc>
          <w:tcPr>
            <w:tcW w:w="640" w:type="dxa"/>
            <w:vAlign w:val="bottom"/>
          </w:tcPr>
          <w:p>
            <w:pPr>
              <w:spacing w:after="0"/>
              <w:rPr>
                <w:sz w:val="20"/>
                <w:szCs w:val="20"/>
                <w:color w:val="auto"/>
              </w:rPr>
            </w:pPr>
          </w:p>
        </w:tc>
      </w:tr>
      <w:tr>
        <w:trPr>
          <w:trHeight w:val="432"/>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February 2023</w:t>
            </w:r>
          </w:p>
        </w:tc>
        <w:tc>
          <w:tcPr>
            <w:tcW w:w="640" w:type="dxa"/>
            <w:vAlign w:val="bottom"/>
          </w:tcPr>
          <w:p>
            <w:pPr>
              <w:spacing w:after="0"/>
              <w:rPr>
                <w:sz w:val="24"/>
                <w:szCs w:val="24"/>
                <w:color w:val="auto"/>
              </w:rPr>
            </w:pPr>
          </w:p>
        </w:tc>
      </w:tr>
      <w:tr>
        <w:trPr>
          <w:trHeight w:val="432"/>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640" w:type="dxa"/>
            <w:vAlign w:val="bottom"/>
          </w:tcPr>
          <w:p>
            <w:pPr>
              <w:spacing w:after="0"/>
              <w:rPr>
                <w:sz w:val="24"/>
                <w:szCs w:val="24"/>
                <w:color w:val="auto"/>
              </w:rPr>
            </w:pPr>
          </w:p>
        </w:tc>
      </w:tr>
      <w:tr>
        <w:trPr>
          <w:trHeight w:val="414"/>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640" w:type="dxa"/>
            <w:vAlign w:val="bottom"/>
          </w:tcPr>
          <w:p>
            <w:pPr>
              <w:spacing w:after="0"/>
              <w:rPr>
                <w:sz w:val="24"/>
                <w:szCs w:val="24"/>
                <w:color w:val="auto"/>
              </w:rPr>
            </w:pPr>
          </w:p>
        </w:tc>
      </w:tr>
      <w:tr>
        <w:trPr>
          <w:trHeight w:val="234"/>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640" w:type="dxa"/>
            <w:vAlign w:val="bottom"/>
          </w:tcPr>
          <w:p>
            <w:pPr>
              <w:spacing w:after="0"/>
              <w:rPr>
                <w:sz w:val="20"/>
                <w:szCs w:val="20"/>
                <w:color w:val="auto"/>
              </w:rPr>
            </w:pPr>
          </w:p>
        </w:tc>
      </w:tr>
      <w:tr>
        <w:trPr>
          <w:trHeight w:val="414"/>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640" w:type="dxa"/>
            <w:vAlign w:val="bottom"/>
          </w:tcPr>
          <w:p>
            <w:pPr>
              <w:spacing w:after="0"/>
              <w:rPr>
                <w:sz w:val="24"/>
                <w:szCs w:val="24"/>
                <w:color w:val="auto"/>
              </w:rPr>
            </w:pPr>
          </w:p>
        </w:tc>
      </w:tr>
      <w:tr>
        <w:trPr>
          <w:trHeight w:val="216"/>
        </w:trPr>
        <w:tc>
          <w:tcPr>
            <w:tcW w:w="106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640" w:type="dxa"/>
            <w:vAlign w:val="bottom"/>
          </w:tcPr>
          <w:p>
            <w:pPr>
              <w:spacing w:after="0"/>
              <w:rPr>
                <w:sz w:val="18"/>
                <w:szCs w:val="18"/>
                <w:color w:val="auto"/>
              </w:rPr>
            </w:pPr>
          </w:p>
        </w:tc>
      </w:tr>
      <w:tr>
        <w:trPr>
          <w:trHeight w:val="216"/>
        </w:trPr>
        <w:tc>
          <w:tcPr>
            <w:tcW w:w="1060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Piraeus, Greece</w:t>
            </w:r>
          </w:p>
        </w:tc>
        <w:tc>
          <w:tcPr>
            <w:tcW w:w="640" w:type="dxa"/>
            <w:vAlign w:val="bottom"/>
          </w:tcPr>
          <w:p>
            <w:pPr>
              <w:spacing w:after="0"/>
              <w:rPr>
                <w:sz w:val="18"/>
                <w:szCs w:val="18"/>
                <w:color w:val="auto"/>
              </w:rPr>
            </w:pPr>
          </w:p>
        </w:tc>
      </w:tr>
      <w:tr>
        <w:trPr>
          <w:trHeight w:val="234"/>
        </w:trPr>
        <w:tc>
          <w:tcPr>
            <w:tcW w:w="106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640" w:type="dxa"/>
            <w:vAlign w:val="bottom"/>
          </w:tcPr>
          <w:p>
            <w:pPr>
              <w:spacing w:after="0"/>
              <w:rPr>
                <w:sz w:val="20"/>
                <w:szCs w:val="20"/>
                <w:color w:val="auto"/>
              </w:rPr>
            </w:pPr>
          </w:p>
        </w:tc>
      </w:tr>
      <w:tr>
        <w:trPr>
          <w:trHeight w:val="432"/>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640" w:type="dxa"/>
            <w:vAlign w:val="bottom"/>
          </w:tcPr>
          <w:p>
            <w:pPr>
              <w:spacing w:after="0"/>
              <w:rPr>
                <w:sz w:val="24"/>
                <w:szCs w:val="24"/>
                <w:color w:val="auto"/>
              </w:rPr>
            </w:pPr>
          </w:p>
        </w:tc>
      </w:tr>
      <w:tr>
        <w:trPr>
          <w:trHeight w:val="452"/>
        </w:trPr>
        <w:tc>
          <w:tcPr>
            <w:tcW w:w="106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tc>
        <w:tc>
          <w:tcPr>
            <w:tcW w:w="640" w:type="dxa"/>
            <w:vAlign w:val="bottom"/>
          </w:tcPr>
          <w:p>
            <w:pPr>
              <w:spacing w:after="0"/>
              <w:rPr>
                <w:sz w:val="24"/>
                <w:szCs w:val="24"/>
                <w:color w:val="auto"/>
              </w:rPr>
            </w:pPr>
          </w:p>
        </w:tc>
      </w:tr>
      <w:tr>
        <w:trPr>
          <w:trHeight w:val="432"/>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060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640" w:type="dxa"/>
            <w:vAlign w:val="bottom"/>
          </w:tcPr>
          <w:p>
            <w:pPr>
              <w:ind w:left="4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655"/>
        </w:trPr>
        <w:tc>
          <w:tcPr>
            <w:tcW w:w="10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41" w:right="339" w:bottom="1440" w:gutter="0" w:footer="0" w:header="0"/>
        </w:sectPr>
      </w:pPr>
    </w:p>
    <w:bookmarkStart w:id="1" w:name="page2"/>
    <w:bookmarkEnd w:id="1"/>
    <w:p>
      <w:pPr>
        <w:ind w:left="360"/>
        <w:spacing w:after="0"/>
        <w:rPr>
          <w:sz w:val="20"/>
          <w:szCs w:val="20"/>
          <w:color w:val="auto"/>
        </w:rPr>
      </w:pPr>
      <w:r>
        <w:rPr>
          <w:rFonts w:ascii="Times New Roman" w:cs="Times New Roman" w:eastAsia="Times New Roman" w:hAnsi="Times New Roman"/>
          <w:sz w:val="16"/>
          <w:szCs w:val="16"/>
          <w:color w:val="auto"/>
        </w:rPr>
        <w:t>The press release issued by GasLog Ltd. on February 23, 2023, relating to its results for the three month period ended December 31, 2022, is attached hereto as 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99.1.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EXHIBIT LIST</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u w:val="single" w:color="auto"/>
          <w:color w:val="0000EE"/>
        </w:rPr>
        <w:t>99.1</w:t>
      </w:r>
      <w:r>
        <w:rPr>
          <w:sz w:val="20"/>
          <w:szCs w:val="20"/>
          <w:color w:val="auto"/>
        </w:rPr>
        <w:tab/>
      </w:r>
      <w:r>
        <w:rPr>
          <w:rFonts w:ascii="Times New Roman" w:cs="Times New Roman" w:eastAsia="Times New Roman" w:hAnsi="Times New Roman"/>
          <w:sz w:val="16"/>
          <w:szCs w:val="16"/>
          <w:u w:val="single" w:color="auto"/>
          <w:color w:val="0000EE"/>
        </w:rPr>
        <w:t>Press Release dated February 23, 2023</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6"/>
          <w:szCs w:val="16"/>
          <w:color w:val="auto"/>
        </w:rPr>
        <w:t>SIGNATURES</w:t>
      </w:r>
    </w:p>
    <w:p>
      <w:pPr>
        <w:spacing w:after="0" w:line="221" w:lineRule="exact"/>
        <w:rPr>
          <w:sz w:val="20"/>
          <w:szCs w:val="20"/>
          <w:color w:val="auto"/>
        </w:rPr>
      </w:pPr>
    </w:p>
    <w:p>
      <w:pPr>
        <w:ind w:firstLine="356"/>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23, 2023</w:t>
      </w:r>
    </w:p>
    <w:p>
      <w:pPr>
        <w:spacing w:after="0" w:line="24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p>
      <w:pPr>
        <w:ind w:left="6100"/>
        <w:spacing w:after="0"/>
        <w:tabs>
          <w:tab w:leader="none" w:pos="6420" w:val="left"/>
        </w:tabs>
        <w:rPr>
          <w:sz w:val="20"/>
          <w:szCs w:val="20"/>
          <w:color w:val="auto"/>
        </w:rPr>
      </w:pPr>
      <w:r>
        <w:rPr>
          <w:rFonts w:ascii="Times New Roman" w:cs="Times New Roman" w:eastAsia="Times New Roman" w:hAnsi="Times New Roman"/>
          <w:sz w:val="16"/>
          <w:szCs w:val="16"/>
          <w:color w:val="auto"/>
        </w:rPr>
        <w:t>by</w:t>
        <w:tab/>
        <w:t>/s/ Paolo Enoizi</w:t>
      </w:r>
    </w:p>
    <w:p>
      <w:pPr>
        <w:spacing w:after="0" w:line="46" w:lineRule="exact"/>
        <w:rPr>
          <w:sz w:val="20"/>
          <w:szCs w:val="20"/>
          <w:color w:val="auto"/>
        </w:rPr>
      </w:pPr>
    </w:p>
    <w:p>
      <w:pPr>
        <w:ind w:left="6440"/>
        <w:spacing w:after="0"/>
        <w:tabs>
          <w:tab w:leader="none" w:pos="7020" w:val="left"/>
        </w:tabs>
        <w:rPr>
          <w:sz w:val="20"/>
          <w:szCs w:val="20"/>
          <w:color w:val="auto"/>
        </w:rPr>
      </w:pPr>
      <w:r>
        <w:rPr>
          <w:rFonts w:ascii="Times New Roman" w:cs="Times New Roman" w:eastAsia="Times New Roman" w:hAnsi="Times New Roman"/>
          <w:sz w:val="16"/>
          <w:szCs w:val="16"/>
          <w:color w:val="auto"/>
        </w:rPr>
        <w:t>Name:</w:t>
        <w:tab/>
        <w:t>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-116205</wp:posOffset>
            </wp:positionV>
            <wp:extent cx="25546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6" w:lineRule="exact"/>
        <w:rPr>
          <w:sz w:val="20"/>
          <w:szCs w:val="20"/>
          <w:color w:val="auto"/>
        </w:rPr>
      </w:pPr>
    </w:p>
    <w:p>
      <w:pPr>
        <w:ind w:left="6440"/>
        <w:spacing w:after="0"/>
        <w:tabs>
          <w:tab w:leader="none" w:pos="702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895"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Reports Financial Results for the Three-Month Period Ended December 31, 2022</w:t>
      </w:r>
    </w:p>
    <w:p>
      <w:pPr>
        <w:spacing w:after="0" w:line="221" w:lineRule="exact"/>
        <w:rPr>
          <w:sz w:val="20"/>
          <w:szCs w:val="20"/>
          <w:color w:val="auto"/>
        </w:rPr>
      </w:pPr>
    </w:p>
    <w:p>
      <w:pPr>
        <w:ind w:right="580"/>
        <w:spacing w:after="0" w:line="301" w:lineRule="auto"/>
        <w:rPr>
          <w:sz w:val="20"/>
          <w:szCs w:val="20"/>
          <w:color w:val="auto"/>
        </w:rPr>
      </w:pPr>
      <w:r>
        <w:rPr>
          <w:rFonts w:ascii="Times New Roman" w:cs="Times New Roman" w:eastAsia="Times New Roman" w:hAnsi="Times New Roman"/>
          <w:sz w:val="16"/>
          <w:szCs w:val="16"/>
          <w:b w:val="1"/>
          <w:bCs w:val="1"/>
          <w:color w:val="auto"/>
        </w:rPr>
        <w:t>Hamilton, Bermuda, February 23, 2023, GasLog Ltd. and its subsidiaries (“GasLog”, “Group” or “Company”) (NYSE: GLOG-PA)</w:t>
      </w:r>
      <w:r>
        <w:rPr>
          <w:rFonts w:ascii="Times New Roman" w:cs="Times New Roman" w:eastAsia="Times New Roman" w:hAnsi="Times New Roman"/>
          <w:sz w:val="16"/>
          <w:szCs w:val="16"/>
          <w:color w:val="auto"/>
        </w:rPr>
        <w:t>, an international owner,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operator and manager of liquefied natural gas (“LNG”) carriers, today reported its financial results for the quarter ended December 31, 2022.</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xml:space="preserve">Agreement for Sale of </w:t>
      </w:r>
      <w:r>
        <w:rPr>
          <w:rFonts w:ascii="Times New Roman" w:cs="Times New Roman" w:eastAsia="Times New Roman" w:hAnsi="Times New Roman"/>
          <w:sz w:val="16"/>
          <w:szCs w:val="16"/>
          <w:b w:val="1"/>
          <w:bCs w:val="1"/>
          <w:i w:val="1"/>
          <w:iCs w:val="1"/>
          <w:u w:val="single" w:color="auto"/>
          <w:color w:val="auto"/>
        </w:rPr>
        <w:t>GasLog Athens</w:t>
      </w:r>
    </w:p>
    <w:p>
      <w:pPr>
        <w:spacing w:after="0" w:line="223" w:lineRule="exact"/>
        <w:rPr>
          <w:sz w:val="20"/>
          <w:szCs w:val="20"/>
          <w:color w:val="auto"/>
        </w:rPr>
      </w:pPr>
    </w:p>
    <w:p>
      <w:pPr>
        <w:ind w:right="160" w:firstLine="383"/>
        <w:spacing w:after="0" w:line="301" w:lineRule="auto"/>
        <w:rPr>
          <w:sz w:val="20"/>
          <w:szCs w:val="20"/>
          <w:color w:val="auto"/>
        </w:rPr>
      </w:pPr>
      <w:r>
        <w:rPr>
          <w:rFonts w:ascii="Times New Roman" w:cs="Times New Roman" w:eastAsia="Times New Roman" w:hAnsi="Times New Roman"/>
          <w:sz w:val="16"/>
          <w:szCs w:val="16"/>
          <w:color w:val="auto"/>
        </w:rPr>
        <w:t xml:space="preserve">On January 17, 2023, GasLog Hellas-2 Special Maritime Enterprise, the vessel-owning entity of the </w:t>
      </w:r>
      <w:r>
        <w:rPr>
          <w:rFonts w:ascii="Times New Roman" w:cs="Times New Roman" w:eastAsia="Times New Roman" w:hAnsi="Times New Roman"/>
          <w:sz w:val="16"/>
          <w:szCs w:val="16"/>
          <w:i w:val="1"/>
          <w:iCs w:val="1"/>
          <w:color w:val="auto"/>
        </w:rPr>
        <w:t>GasLog Athens</w:t>
      </w:r>
      <w:r>
        <w:rPr>
          <w:rFonts w:ascii="Times New Roman" w:cs="Times New Roman" w:eastAsia="Times New Roman" w:hAnsi="Times New Roman"/>
          <w:sz w:val="16"/>
          <w:szCs w:val="16"/>
          <w:color w:val="auto"/>
        </w:rPr>
        <w:t>, entered into a Memorandum of Agreement with respect to the sale of its vessel to an unrelated third party, with the transaction expected to be completed upon redelivery of the vessel from its current charterer.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Offer Letter</w:t>
      </w:r>
    </w:p>
    <w:p>
      <w:pPr>
        <w:spacing w:after="0" w:line="223" w:lineRule="exact"/>
        <w:rPr>
          <w:sz w:val="20"/>
          <w:szCs w:val="20"/>
          <w:color w:val="auto"/>
        </w:rPr>
      </w:pPr>
    </w:p>
    <w:p>
      <w:pPr>
        <w:ind w:right="40" w:firstLine="383"/>
        <w:spacing w:after="0" w:line="269" w:lineRule="auto"/>
        <w:rPr>
          <w:sz w:val="20"/>
          <w:szCs w:val="20"/>
          <w:color w:val="auto"/>
        </w:rPr>
      </w:pPr>
      <w:r>
        <w:rPr>
          <w:rFonts w:ascii="Times New Roman" w:cs="Times New Roman" w:eastAsia="Times New Roman" w:hAnsi="Times New Roman"/>
          <w:sz w:val="16"/>
          <w:szCs w:val="16"/>
          <w:color w:val="auto"/>
        </w:rPr>
        <w:t>On January 24, 2023, our board of directors extended to GasLog Partners LP (“GasLog Partners” or the “Partnership”) an unsolicited non-binding proposal to acquire all of the outstanding common units representing limited partner interests of the Partnership not already beneficially owned by GasLog, at an aggregate purchase price of $7.70 per common unit in cash, consisting in part of a special distribution by the Partnership of $2.33 per common unit in cash to be distributed to the Partnership’s unitholders immediately prior to the closing of the proposed transaction and the remainder to be paid by GasLog as merger consideration at the closing of the proposed transaction. The Partnership’s board of directors has authorized its conflicts committee, consisting only of non-GasLog affiliated directors, to review, evaluate, negotiate and accept or reject the proposed transaction. GasLog’s proposal is non-binding and is subject to the negotiation and execution of mutually acceptable definitive documentation. There can be no assurance that any definitive documentation will be executed or that any transaction will materialize.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New Charter Agreements</w:t>
      </w:r>
    </w:p>
    <w:p>
      <w:pPr>
        <w:spacing w:after="0" w:line="221" w:lineRule="exact"/>
        <w:rPr>
          <w:sz w:val="20"/>
          <w:szCs w:val="20"/>
          <w:color w:val="auto"/>
        </w:rPr>
      </w:pPr>
    </w:p>
    <w:p>
      <w:pPr>
        <w:ind w:right="320" w:firstLine="383"/>
        <w:spacing w:after="0" w:line="301" w:lineRule="auto"/>
        <w:rPr>
          <w:sz w:val="20"/>
          <w:szCs w:val="20"/>
          <w:color w:val="auto"/>
        </w:rPr>
      </w:pPr>
      <w:r>
        <w:rPr>
          <w:rFonts w:ascii="Times New Roman" w:cs="Times New Roman" w:eastAsia="Times New Roman" w:hAnsi="Times New Roman"/>
          <w:sz w:val="16"/>
          <w:szCs w:val="16"/>
          <w:color w:val="auto"/>
        </w:rPr>
        <w:t xml:space="preserve">GasLog has extended the time charter agreement of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a tri-fuel diesel electric (“TFDE”) LNG carrier, with Clearlake Shipping Pte Ltd., a wholly owned subsidiary of Gunvor Group Ltd. (“Gunvor”), for three years, with the contract now to expire in March 2026.</w:t>
      </w:r>
    </w:p>
    <w:p>
      <w:pPr>
        <w:spacing w:after="0" w:line="160" w:lineRule="exact"/>
        <w:rPr>
          <w:sz w:val="20"/>
          <w:szCs w:val="20"/>
          <w:color w:val="auto"/>
        </w:rPr>
      </w:pPr>
    </w:p>
    <w:p>
      <w:pPr>
        <w:ind w:right="80" w:firstLine="383"/>
        <w:spacing w:after="0" w:line="276" w:lineRule="auto"/>
        <w:rPr>
          <w:sz w:val="20"/>
          <w:szCs w:val="20"/>
          <w:color w:val="auto"/>
        </w:rPr>
      </w:pPr>
      <w:r>
        <w:rPr>
          <w:rFonts w:ascii="Times New Roman" w:cs="Times New Roman" w:eastAsia="Times New Roman" w:hAnsi="Times New Roman"/>
          <w:sz w:val="16"/>
          <w:szCs w:val="16"/>
          <w:color w:val="auto"/>
        </w:rPr>
        <w:t xml:space="preserve">During the fourth quarter of 2022, GasLog Partners extended the time charter agreement of the </w:t>
      </w:r>
      <w:r>
        <w:rPr>
          <w:rFonts w:ascii="Times New Roman" w:cs="Times New Roman" w:eastAsia="Times New Roman" w:hAnsi="Times New Roman"/>
          <w:sz w:val="16"/>
          <w:szCs w:val="16"/>
          <w:i w:val="1"/>
          <w:iCs w:val="1"/>
          <w:color w:val="auto"/>
        </w:rPr>
        <w:t>Methane Becki Anne</w:t>
      </w:r>
      <w:r>
        <w:rPr>
          <w:rFonts w:ascii="Times New Roman" w:cs="Times New Roman" w:eastAsia="Times New Roman" w:hAnsi="Times New Roman"/>
          <w:sz w:val="16"/>
          <w:szCs w:val="16"/>
          <w:color w:val="auto"/>
        </w:rPr>
        <w:t xml:space="preserve">, a TFDE LNG carrier, with a wholly owned subsidiary of Shell plc (“Shell”) exercising their five-year option to extend, with the contract now due to expire in 2029. In addition, extended the time charter agreement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 steam turbine propulsion (“Steam”) LNG carrier, with a subsidiary of Cheniere Energy Inc. (“Cheniere”) exercising their option to extend for another year and entered into a one-year time charter agreement for the TFDE LNG carrier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with a Swiss-headquartered energy trading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 Declarations</w:t>
      </w:r>
    </w:p>
    <w:p>
      <w:pPr>
        <w:spacing w:after="0" w:line="223" w:lineRule="exact"/>
        <w:rPr>
          <w:sz w:val="20"/>
          <w:szCs w:val="20"/>
          <w:color w:val="auto"/>
        </w:rPr>
      </w:pPr>
    </w:p>
    <w:p>
      <w:pPr>
        <w:ind w:right="220" w:firstLine="405"/>
        <w:spacing w:after="0" w:line="298" w:lineRule="auto"/>
        <w:rPr>
          <w:sz w:val="20"/>
          <w:szCs w:val="20"/>
          <w:color w:val="auto"/>
        </w:rPr>
      </w:pPr>
      <w:r>
        <w:rPr>
          <w:rFonts w:ascii="Times New Roman" w:cs="Times New Roman" w:eastAsia="Times New Roman" w:hAnsi="Times New Roman"/>
          <w:sz w:val="16"/>
          <w:szCs w:val="16"/>
          <w:color w:val="auto"/>
        </w:rPr>
        <w:t>On February 22, 2023, the board of directors declared a quarterly cash dividend of $0.15 per common share, or $14.3 million in the aggregate, payable on February 24, 2023, to shareholders of record as of February 23,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09"/>
        </w:trPr>
        <w:tc>
          <w:tcPr>
            <w:tcW w:w="856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120" w:type="dxa"/>
            <w:vAlign w:val="bottom"/>
          </w:tcPr>
          <w:p>
            <w:pPr>
              <w:spacing w:after="0"/>
              <w:rPr>
                <w:sz w:val="24"/>
                <w:szCs w:val="24"/>
                <w:color w:val="auto"/>
              </w:rPr>
            </w:pPr>
          </w:p>
        </w:tc>
        <w:tc>
          <w:tcPr>
            <w:tcW w:w="2560" w:type="dxa"/>
            <w:vAlign w:val="bottom"/>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8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2"/>
        </w:trPr>
        <w:tc>
          <w:tcPr>
            <w:tcW w:w="8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2"/>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223,078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244,847</w:t>
            </w:r>
          </w:p>
        </w:tc>
      </w:tr>
      <w:tr>
        <w:trPr>
          <w:trHeight w:val="203"/>
        </w:trPr>
        <w:tc>
          <w:tcPr>
            <w:tcW w:w="8560" w:type="dxa"/>
            <w:vAlign w:val="bottom"/>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(59,981)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68,703</w:t>
            </w:r>
          </w:p>
        </w:tc>
      </w:tr>
      <w:tr>
        <w:trPr>
          <w:trHeight w:val="243"/>
        </w:trPr>
        <w:tc>
          <w:tcPr>
            <w:tcW w:w="85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164,896</w:t>
            </w:r>
          </w:p>
        </w:tc>
        <w:tc>
          <w:tcPr>
            <w:tcW w:w="14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190,750</w:t>
            </w:r>
          </w:p>
        </w:tc>
      </w:tr>
      <w:tr>
        <w:trPr>
          <w:trHeight w:val="244"/>
        </w:trPr>
        <w:tc>
          <w:tcPr>
            <w:tcW w:w="8560" w:type="dxa"/>
            <w:vAlign w:val="bottom"/>
          </w:tcPr>
          <w:p>
            <w:pPr>
              <w:spacing w:after="0" w:line="245"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63,344</w:t>
            </w:r>
          </w:p>
        </w:tc>
        <w:tc>
          <w:tcPr>
            <w:tcW w:w="1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75,569</w:t>
            </w:r>
          </w:p>
        </w:tc>
      </w:tr>
    </w:tbl>
    <w:p>
      <w:pPr>
        <w:spacing w:after="0" w:line="62" w:lineRule="exact"/>
        <w:rPr>
          <w:sz w:val="20"/>
          <w:szCs w:val="20"/>
          <w:color w:val="auto"/>
        </w:rPr>
      </w:pPr>
    </w:p>
    <w:p>
      <w:pPr>
        <w:jc w:val="both"/>
        <w:ind w:firstLine="48"/>
        <w:spacing w:after="0" w:line="181" w:lineRule="auto"/>
        <w:tabs>
          <w:tab w:leader="none" w:pos="153"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color w:val="auto"/>
        </w:rPr>
        <w:t>Adjusted EBITDA and Adjusted Profit are non-GAAP financial measures and should not be used in isolation or as substitutes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79" w:lineRule="exact"/>
        <w:rPr>
          <w:sz w:val="20"/>
          <w:szCs w:val="20"/>
          <w:color w:val="auto"/>
        </w:rPr>
      </w:pPr>
    </w:p>
    <w:p>
      <w:pPr>
        <w:ind w:right="80" w:firstLine="383"/>
        <w:spacing w:after="0" w:line="272" w:lineRule="auto"/>
        <w:rPr>
          <w:sz w:val="20"/>
          <w:szCs w:val="20"/>
          <w:color w:val="auto"/>
        </w:rPr>
      </w:pPr>
      <w:r>
        <w:rPr>
          <w:rFonts w:ascii="Times New Roman" w:cs="Times New Roman" w:eastAsia="Times New Roman" w:hAnsi="Times New Roman"/>
          <w:sz w:val="16"/>
          <w:szCs w:val="16"/>
          <w:color w:val="auto"/>
        </w:rPr>
        <w:t xml:space="preserve">There were 3,105 available days for the quarter ended December 31, 2022, as compared to 3,220 available days for the quarter ended December 31, 2021. Available days represent total calendar days in the period after deducting off-hire days where vessels are undergoing dry-dockings and unavailable days (for example, days before and after a dry-docking where the vessel has limited practical ability for chartering opportunities). The decrease in available days was attributable to the sale of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Shirley Elisabeth </w:t>
      </w:r>
      <w:r>
        <w:rPr>
          <w:rFonts w:ascii="Times New Roman" w:cs="Times New Roman" w:eastAsia="Times New Roman" w:hAnsi="Times New Roman"/>
          <w:sz w:val="16"/>
          <w:szCs w:val="16"/>
          <w:color w:val="auto"/>
        </w:rPr>
        <w:t>in September 2022 and the increase in off-hire days for scheduled dry-dockings (nil dry-docking off-hire days in the three-month period ended December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31, 2021 compared to 23 dry-docking off-hire days in the three-month period ended December 31, 2022).</w:t>
      </w:r>
    </w:p>
    <w:p>
      <w:pPr>
        <w:spacing w:after="0" w:line="172" w:lineRule="exact"/>
        <w:rPr>
          <w:sz w:val="20"/>
          <w:szCs w:val="20"/>
          <w:color w:val="auto"/>
        </w:rPr>
      </w:pPr>
    </w:p>
    <w:p>
      <w:pPr>
        <w:ind w:right="20" w:firstLine="383"/>
        <w:spacing w:after="0" w:line="275" w:lineRule="auto"/>
        <w:rPr>
          <w:sz w:val="20"/>
          <w:szCs w:val="20"/>
          <w:color w:val="auto"/>
        </w:rPr>
      </w:pPr>
      <w:r>
        <w:rPr>
          <w:rFonts w:ascii="Times New Roman" w:cs="Times New Roman" w:eastAsia="Times New Roman" w:hAnsi="Times New Roman"/>
          <w:sz w:val="16"/>
          <w:szCs w:val="16"/>
          <w:color w:val="auto"/>
        </w:rPr>
        <w:t xml:space="preserve">Revenues were $244.8 million for the quarter ended December 31, 2022 ($223.1 million for the quarter ended December 31, 2021). The increase in revenues is mainly attributable to our vessels operating in the spot and short-term markets in the fourth quarter of 2022, in line with the continued strength of the LNG shipping spot and short-term markets. This increase was partially offset by a decrease in revenues due to the sale of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in the third quarter of 2022 and the off-hire days due to the scheduled dry-docking of one of our vessels in the fourth quarter of 2022 (nil dry-dockings in the same period in 2021).</w:t>
      </w: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 w:name="page5"/>
    <w:bookmarkEnd w:id="4"/>
    <w:p>
      <w:pPr>
        <w:ind w:right="260" w:firstLine="383"/>
        <w:spacing w:after="0" w:line="275" w:lineRule="auto"/>
        <w:rPr>
          <w:sz w:val="20"/>
          <w:szCs w:val="20"/>
          <w:color w:val="auto"/>
        </w:rPr>
      </w:pPr>
      <w:r>
        <w:rPr>
          <w:rFonts w:ascii="Times New Roman" w:cs="Times New Roman" w:eastAsia="Times New Roman" w:hAnsi="Times New Roman"/>
          <w:sz w:val="16"/>
          <w:szCs w:val="16"/>
          <w:color w:val="auto"/>
        </w:rPr>
        <w:t>Profit for the period was $68.7 million for the quarter ended December 31, 2022 (loss of $60.0 million for the quarter ended December 31, 2021). The increase in profit is mainly attributable to the decrease in non-cash impairment loss recognized in the fourth quarter ended December 31, 2022 compared to the same quarter in 2021 and the increase in revenues, as discussed above, partially offset by an increase in financial costs which is mainly attributable to the increase in interest expense on loans, primarily due to an increase in interest rates in the fourth quarter of 2022 as compared to the same period in 2021.</w:t>
      </w:r>
    </w:p>
    <w:p>
      <w:pPr>
        <w:spacing w:after="0" w:line="169" w:lineRule="exact"/>
        <w:rPr>
          <w:sz w:val="20"/>
          <w:szCs w:val="20"/>
          <w:color w:val="auto"/>
        </w:rPr>
      </w:pPr>
    </w:p>
    <w:p>
      <w:pPr>
        <w:ind w:right="120" w:firstLine="383"/>
        <w:spacing w:after="0" w:line="298" w:lineRule="auto"/>
        <w:rPr>
          <w:sz w:val="20"/>
          <w:szCs w:val="20"/>
          <w:color w:val="auto"/>
        </w:rPr>
      </w:pPr>
      <w:r>
        <w:rPr>
          <w:rFonts w:ascii="Times New Roman" w:cs="Times New Roman" w:eastAsia="Times New Roman" w:hAnsi="Times New Roman"/>
          <w:sz w:val="16"/>
          <w:szCs w:val="16"/>
          <w:color w:val="auto"/>
        </w:rPr>
        <w:t>Adjusted EBITDA was $190.8 million for the quarter ended December 31, 2022 ($164.9 million for the quarter ended December 31, 2021). The increase in Adjusted EBITDA is mainly attributable to the increase in revenues of $21.7 million, as discussed above and an increase of $3.6 million in share of profit of associates.</w:t>
      </w:r>
    </w:p>
    <w:p>
      <w:pPr>
        <w:spacing w:after="0" w:line="151" w:lineRule="exact"/>
        <w:rPr>
          <w:sz w:val="20"/>
          <w:szCs w:val="20"/>
          <w:color w:val="auto"/>
        </w:rPr>
      </w:pPr>
    </w:p>
    <w:p>
      <w:pPr>
        <w:ind w:firstLine="383"/>
        <w:spacing w:after="0" w:line="281" w:lineRule="auto"/>
        <w:rPr>
          <w:sz w:val="20"/>
          <w:szCs w:val="20"/>
          <w:color w:val="auto"/>
        </w:rPr>
      </w:pPr>
      <w:r>
        <w:rPr>
          <w:rFonts w:ascii="Times New Roman" w:cs="Times New Roman" w:eastAsia="Times New Roman" w:hAnsi="Times New Roman"/>
          <w:sz w:val="16"/>
          <w:szCs w:val="16"/>
          <w:color w:val="auto"/>
        </w:rPr>
        <w:t>Adjusted Profit was $75.6 million for the quarter ended December 31, 2022 ($63.3 million for the quarter ended December 31, 2021). The increase in Adjusted Profit is mainly attributable to the increase in Adjusted EBITDA, the decrease in realized loss from derivatives held for trading and the increase in financial income, partially offset by the increase in financial costs, all as a result of the increase in interest rates in the fourth quarter of 2022 as compared to the same period in 2021.</w:t>
      </w:r>
    </w:p>
    <w:p>
      <w:pPr>
        <w:spacing w:after="0" w:line="164" w:lineRule="exact"/>
        <w:rPr>
          <w:sz w:val="20"/>
          <w:szCs w:val="20"/>
          <w:color w:val="auto"/>
        </w:rPr>
      </w:pPr>
    </w:p>
    <w:p>
      <w:pPr>
        <w:ind w:right="120" w:firstLine="383"/>
        <w:spacing w:after="0" w:line="298" w:lineRule="auto"/>
        <w:rPr>
          <w:sz w:val="20"/>
          <w:szCs w:val="20"/>
          <w:color w:val="auto"/>
        </w:rPr>
      </w:pPr>
      <w:r>
        <w:rPr>
          <w:rFonts w:ascii="Times New Roman" w:cs="Times New Roman" w:eastAsia="Times New Roman" w:hAnsi="Times New Roman"/>
          <w:sz w:val="16"/>
          <w:szCs w:val="16"/>
          <w:color w:val="auto"/>
        </w:rPr>
        <w:t>As of December 31, 2022, GasLog had $368.3 million of cash and cash equivalents. An additional amount of $36.0 million of time deposits with an original duration greater than three months was classified under short-term cash deposits.</w:t>
      </w:r>
    </w:p>
    <w:p>
      <w:pPr>
        <w:spacing w:after="0" w:line="151" w:lineRule="exact"/>
        <w:rPr>
          <w:sz w:val="20"/>
          <w:szCs w:val="20"/>
          <w:color w:val="auto"/>
        </w:rPr>
      </w:pPr>
    </w:p>
    <w:p>
      <w:pPr>
        <w:ind w:firstLine="383"/>
        <w:spacing w:after="0" w:line="270" w:lineRule="auto"/>
        <w:rPr>
          <w:sz w:val="20"/>
          <w:szCs w:val="20"/>
          <w:color w:val="auto"/>
        </w:rPr>
      </w:pPr>
      <w:r>
        <w:rPr>
          <w:rFonts w:ascii="Times New Roman" w:cs="Times New Roman" w:eastAsia="Times New Roman" w:hAnsi="Times New Roman"/>
          <w:sz w:val="16"/>
          <w:szCs w:val="16"/>
          <w:color w:val="auto"/>
        </w:rPr>
        <w:t xml:space="preserve">As of December 31, 2022, GasLog had an aggregate of $3.3 billion of indebtedness outstanding under its credit facilities and bond agreements, of which $295.0 million is repayable within one year. Current bank borrowings include an amount of $79.8 million with respect to the associated debt of the </w:t>
      </w:r>
      <w:r>
        <w:rPr>
          <w:rFonts w:ascii="Times New Roman" w:cs="Times New Roman" w:eastAsia="Times New Roman" w:hAnsi="Times New Roman"/>
          <w:sz w:val="16"/>
          <w:szCs w:val="16"/>
          <w:i w:val="1"/>
          <w:iCs w:val="1"/>
          <w:color w:val="auto"/>
        </w:rPr>
        <w:t>GasLog Chelsea</w:t>
      </w:r>
      <w:r>
        <w:rPr>
          <w:rFonts w:ascii="Times New Roman" w:cs="Times New Roman" w:eastAsia="Times New Roman" w:hAnsi="Times New Roman"/>
          <w:sz w:val="16"/>
          <w:szCs w:val="16"/>
          <w:color w:val="auto"/>
        </w:rPr>
        <w:t xml:space="preserve">, which has been renamed to </w:t>
      </w:r>
      <w:r>
        <w:rPr>
          <w:rFonts w:ascii="Times New Roman" w:cs="Times New Roman" w:eastAsia="Times New Roman" w:hAnsi="Times New Roman"/>
          <w:sz w:val="16"/>
          <w:szCs w:val="16"/>
          <w:i w:val="1"/>
          <w:iCs w:val="1"/>
          <w:color w:val="auto"/>
        </w:rPr>
        <w:t>Alexandroupoli</w:t>
      </w:r>
      <w:r>
        <w:rPr>
          <w:rFonts w:ascii="Times New Roman" w:cs="Times New Roman" w:eastAsia="Times New Roman" w:hAnsi="Times New Roman"/>
          <w:sz w:val="16"/>
          <w:szCs w:val="16"/>
          <w:color w:val="auto"/>
        </w:rPr>
        <w:t xml:space="preserve"> and which GasLog agreed to sell following its conversion to a Floating Storage Regasification Unit (“FSRU”). The debt was prepaid in February 2023 when the vessel entered the shipyard for conversion using the proceeds received from Gastrade S.A in connection with the sale. The sale is expected to be completed by the fourth quarter of 2023. Furthermore, as of December 31, 2022, we also had an aggregate of $336.4 million of lease liabilities mainly related to the sale and leaseback of the </w:t>
      </w:r>
      <w:r>
        <w:rPr>
          <w:rFonts w:ascii="Times New Roman" w:cs="Times New Roman" w:eastAsia="Times New Roman" w:hAnsi="Times New Roman"/>
          <w:sz w:val="16"/>
          <w:szCs w:val="16"/>
          <w:i w:val="1"/>
          <w:iCs w:val="1"/>
          <w:color w:val="auto"/>
        </w:rPr>
        <w:t>Methane Julia Louise,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of which $48.5 million is payable within one year.</w:t>
      </w:r>
    </w:p>
    <w:p>
      <w:pPr>
        <w:spacing w:after="0" w:line="378" w:lineRule="exact"/>
        <w:rPr>
          <w:sz w:val="20"/>
          <w:szCs w:val="20"/>
          <w:color w:val="auto"/>
        </w:rPr>
      </w:pPr>
    </w:p>
    <w:p>
      <w:pPr>
        <w:ind w:right="360" w:firstLine="383"/>
        <w:spacing w:after="0" w:line="298" w:lineRule="auto"/>
        <w:rPr>
          <w:sz w:val="20"/>
          <w:szCs w:val="20"/>
          <w:color w:val="auto"/>
        </w:rPr>
      </w:pPr>
      <w:r>
        <w:rPr>
          <w:rFonts w:ascii="Times New Roman" w:cs="Times New Roman" w:eastAsia="Times New Roman" w:hAnsi="Times New Roman"/>
          <w:sz w:val="16"/>
          <w:szCs w:val="16"/>
          <w:color w:val="auto"/>
        </w:rPr>
        <w:t>As of December 31, 2022, the total remaining balance of the contract prices of the four LNG carriers on order was $700.6 million, of which $123.9 million is due within 12 months and will be funded by the four sale and leaseback agreements entered into on July 6, 2022 with CMB Financial Leasing Co., Ltd. (“CMBFL”).</w:t>
      </w:r>
    </w:p>
    <w:p>
      <w:pPr>
        <w:spacing w:after="0" w:line="151" w:lineRule="exact"/>
        <w:rPr>
          <w:sz w:val="20"/>
          <w:szCs w:val="20"/>
          <w:color w:val="auto"/>
        </w:rPr>
      </w:pPr>
    </w:p>
    <w:p>
      <w:pPr>
        <w:ind w:right="40" w:firstLine="383"/>
        <w:spacing w:after="0" w:line="275" w:lineRule="auto"/>
        <w:rPr>
          <w:sz w:val="20"/>
          <w:szCs w:val="20"/>
          <w:color w:val="auto"/>
        </w:rPr>
      </w:pPr>
      <w:r>
        <w:rPr>
          <w:rFonts w:ascii="Times New Roman" w:cs="Times New Roman" w:eastAsia="Times New Roman" w:hAnsi="Times New Roman"/>
          <w:sz w:val="16"/>
          <w:szCs w:val="16"/>
          <w:color w:val="auto"/>
        </w:rPr>
        <w:t xml:space="preserve">As of December 31, 2022, GasLog’s current assets totaled $468.4 million, while current liabilities totaled $533.1 million, resulting in a negative working capital position of $64.7 million. Current liabilities include (a) $71.2 million of unearned revenue in relation to hires received in advance of December 31, 2022 (which represents a non-cash liability that will be recognized as revenue in January 2023 as the services are rendered) and (b) $79.8 million with respect to the associated debt of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Chelsea</w:t>
      </w:r>
      <w:r>
        <w:rPr>
          <w:rFonts w:ascii="Times New Roman" w:cs="Times New Roman" w:eastAsia="Times New Roman" w:hAnsi="Times New Roman"/>
          <w:sz w:val="16"/>
          <w:szCs w:val="16"/>
          <w:color w:val="auto"/>
        </w:rPr>
        <w:t>, which has been renamed to</w:t>
      </w:r>
      <w:r>
        <w:rPr>
          <w:rFonts w:ascii="Times New Roman" w:cs="Times New Roman" w:eastAsia="Times New Roman" w:hAnsi="Times New Roman"/>
          <w:sz w:val="16"/>
          <w:szCs w:val="16"/>
          <w:i w:val="1"/>
          <w:iCs w:val="1"/>
          <w:color w:val="auto"/>
        </w:rPr>
        <w:t xml:space="preserve"> Alexandroupoli</w:t>
      </w:r>
      <w:r>
        <w:rPr>
          <w:rFonts w:ascii="Times New Roman" w:cs="Times New Roman" w:eastAsia="Times New Roman" w:hAnsi="Times New Roman"/>
          <w:sz w:val="16"/>
          <w:szCs w:val="16"/>
          <w:color w:val="auto"/>
        </w:rPr>
        <w:t>.</w:t>
      </w:r>
    </w:p>
    <w:p>
      <w:pPr>
        <w:spacing w:after="0" w:line="169" w:lineRule="exact"/>
        <w:rPr>
          <w:sz w:val="20"/>
          <w:szCs w:val="20"/>
          <w:color w:val="auto"/>
        </w:rPr>
      </w:pPr>
    </w:p>
    <w:p>
      <w:pPr>
        <w:ind w:right="60" w:firstLine="383"/>
        <w:spacing w:after="0" w:line="272" w:lineRule="auto"/>
        <w:rPr>
          <w:sz w:val="20"/>
          <w:szCs w:val="20"/>
          <w:color w:val="auto"/>
        </w:rPr>
      </w:pPr>
      <w:r>
        <w:rPr>
          <w:rFonts w:ascii="Times New Roman" w:cs="Times New Roman" w:eastAsia="Times New Roman" w:hAnsi="Times New Roman"/>
          <w:sz w:val="16"/>
          <w:szCs w:val="16"/>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We anticipate that our primary sources of funds for at least twelve months from the date of this report will be available cash, cash from operations, existing and future borrowings and future sale and leaseback transactions. We believe that these anticipated sources of funds will be sufficient to meet our liquidity needs and to comply with our financial covenants for at least twelve months from the date of this report and therefore it is appropriate to prepare the financial statements on a going concern basis.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GasLog Partners Preference Unit Repurchase Programme</w:t>
      </w:r>
    </w:p>
    <w:p>
      <w:pPr>
        <w:spacing w:after="0" w:line="223" w:lineRule="exact"/>
        <w:rPr>
          <w:sz w:val="20"/>
          <w:szCs w:val="20"/>
          <w:color w:val="auto"/>
        </w:rPr>
      </w:pPr>
    </w:p>
    <w:p>
      <w:pPr>
        <w:ind w:right="340" w:firstLine="383"/>
        <w:spacing w:after="0" w:line="272" w:lineRule="auto"/>
        <w:rPr>
          <w:sz w:val="20"/>
          <w:szCs w:val="20"/>
          <w:color w:val="auto"/>
        </w:rPr>
      </w:pPr>
      <w:r>
        <w:rPr>
          <w:rFonts w:ascii="Times New Roman" w:cs="Times New Roman" w:eastAsia="Times New Roman" w:hAnsi="Times New Roman"/>
          <w:sz w:val="16"/>
          <w:szCs w:val="16"/>
          <w:color w:val="auto"/>
        </w:rPr>
        <w:t>In the quarter ended December 31, 2022, under the GasLog Partners’ preference unit repurchase programme (the “Repurchase Programme”) established in March 2021, GasLog Partners repurchased and cancelled 351,237 8.625% Series A Cumulative Redeemable Perpetual Fixed to Floating Rate Preference Units (the “Series A Preference Units”), 127,652 8.200% Series B Cumulative Redeemable Perpetual Fixed to Floating Rate Preference Units (the “Series B Preference Units”) and 144,812 8.500% Series C Cumulative Redeemable Perpetual Fixed to Floating Rate Preference Units (the “Series C Preference Units”). The aggregate amount paid under the Repurchase Programme in the fourth quarter of 2022 was $10.5 million, including commissions.</w:t>
      </w:r>
    </w:p>
    <w:p>
      <w:pPr>
        <w:spacing w:after="0" w:line="172" w:lineRule="exact"/>
        <w:rPr>
          <w:sz w:val="20"/>
          <w:szCs w:val="20"/>
          <w:color w:val="auto"/>
        </w:rPr>
      </w:pPr>
    </w:p>
    <w:p>
      <w:pPr>
        <w:ind w:right="100" w:firstLine="383"/>
        <w:spacing w:after="0" w:line="281" w:lineRule="auto"/>
        <w:rPr>
          <w:sz w:val="20"/>
          <w:szCs w:val="20"/>
          <w:color w:val="auto"/>
        </w:rPr>
      </w:pPr>
      <w:r>
        <w:rPr>
          <w:rFonts w:ascii="Times New Roman" w:cs="Times New Roman" w:eastAsia="Times New Roman" w:hAnsi="Times New Roman"/>
          <w:sz w:val="16"/>
          <w:szCs w:val="16"/>
          <w:color w:val="auto"/>
        </w:rPr>
        <w:t>Since inception of the Repurchase Programme in March 2021, and up to December 31, 2022, GasLog Partners has repurchased and cancelled 665,016 Series A Preference Units, 1,103,618 Series B Preference Units and 938,955 Series C Preference Units, at a weighted average price of $24.64, $25.01 and $25.03 per preference unit for Series A, Series B and Series C, respectively, for an aggregate amount of $67.6 million, including commissions.</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Fleet Update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February 23, 2023, our wholly owned fleet consisted of the following vessels: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Charter</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Optional</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2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56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Borders>
              <w:bottom w:val="single" w:sz="8" w:color="auto"/>
            </w:tcBorders>
          </w:tcPr>
          <w:p>
            <w:pPr>
              <w:spacing w:after="0"/>
              <w:rPr>
                <w:sz w:val="22"/>
                <w:szCs w:val="22"/>
                <w:color w:val="auto"/>
              </w:rPr>
            </w:pPr>
          </w:p>
        </w:tc>
        <w:tc>
          <w:tcPr>
            <w:tcW w:w="26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(1)</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ind w:left="240"/>
              <w:spacing w:after="0" w:line="256" w:lineRule="exact"/>
              <w:rPr>
                <w:sz w:val="20"/>
                <w:szCs w:val="20"/>
                <w:color w:val="auto"/>
              </w:rPr>
            </w:pP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3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2660" w:type="dxa"/>
            <w:vAlign w:val="bottom"/>
            <w:shd w:val="clear" w:color="auto" w:fill="CCEEFF"/>
          </w:tcPr>
          <w:p>
            <w:pPr>
              <w:ind w:left="20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Alexandroupoli </w:t>
            </w:r>
            <w:r>
              <w:rPr>
                <w:rFonts w:ascii="Times New Roman" w:cs="Times New Roman" w:eastAsia="Times New Roman" w:hAnsi="Times New Roman"/>
                <w:sz w:val="26"/>
                <w:szCs w:val="26"/>
                <w:i w:val="1"/>
                <w:iCs w:val="1"/>
                <w:color w:val="auto"/>
                <w:vertAlign w:val="superscript"/>
              </w:rPr>
              <w:t>(3)</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153,600</w:t>
            </w:r>
          </w:p>
        </w:tc>
        <w:tc>
          <w:tcPr>
            <w:tcW w:w="22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1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9"/>
        </w:trPr>
        <w:tc>
          <w:tcPr>
            <w:tcW w:w="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2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i w:val="1"/>
                <w:iCs w:val="1"/>
                <w:color w:val="auto"/>
              </w:rPr>
              <w:t xml:space="preserve">GasLog Singapore </w:t>
            </w:r>
            <w:r>
              <w:rPr>
                <w:rFonts w:ascii="Times New Roman" w:cs="Times New Roman" w:eastAsia="Times New Roman" w:hAnsi="Times New Roman"/>
                <w:sz w:val="26"/>
                <w:szCs w:val="26"/>
                <w:i w:val="1"/>
                <w:iCs w:val="1"/>
                <w:color w:val="auto"/>
                <w:vertAlign w:val="superscript"/>
              </w:rPr>
              <w:t>(4)</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Singapore LNG</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Corporation</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2023</w:t>
            </w:r>
          </w:p>
        </w:tc>
        <w:tc>
          <w:tcPr>
            <w:tcW w:w="11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2780" w:type="dxa"/>
            <w:vAlign w:val="bottom"/>
            <w:gridSpan w:val="2"/>
            <w:shd w:val="clear" w:color="auto" w:fill="CCEEFF"/>
          </w:tcPr>
          <w:p>
            <w:pPr>
              <w:ind w:left="20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Athens </w:t>
            </w:r>
            <w:r>
              <w:rPr>
                <w:rFonts w:ascii="Times New Roman" w:cs="Times New Roman" w:eastAsia="Times New Roman" w:hAnsi="Times New Roman"/>
                <w:sz w:val="26"/>
                <w:szCs w:val="26"/>
                <w:i w:val="1"/>
                <w:iCs w:val="1"/>
                <w:color w:val="auto"/>
                <w:vertAlign w:val="superscript"/>
              </w:rPr>
              <w:t>(5)</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2006</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0"/>
              </w:rPr>
              <w:t xml:space="preserve">DESFA </w:t>
            </w:r>
            <w:r>
              <w:rPr>
                <w:rFonts w:ascii="Times New Roman" w:cs="Times New Roman" w:eastAsia="Times New Roman" w:hAnsi="Times New Roman"/>
                <w:sz w:val="26"/>
                <w:szCs w:val="26"/>
                <w:color w:val="auto"/>
                <w:w w:val="90"/>
                <w:vertAlign w:val="superscript"/>
              </w:rPr>
              <w:t>(5)</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2023</w:t>
            </w:r>
          </w:p>
        </w:tc>
        <w:tc>
          <w:tcPr>
            <w:tcW w:w="1100" w:type="dxa"/>
            <w:vAlign w:val="bottom"/>
            <w:shd w:val="clear" w:color="auto" w:fill="CCEEFF"/>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2"/>
              </w:rPr>
              <w:t xml:space="preserve">2023 </w:t>
            </w:r>
            <w:r>
              <w:rPr>
                <w:rFonts w:ascii="Times New Roman" w:cs="Times New Roman" w:eastAsia="Times New Roman" w:hAnsi="Times New Roman"/>
                <w:sz w:val="26"/>
                <w:szCs w:val="26"/>
                <w:color w:val="auto"/>
                <w:w w:val="92"/>
                <w:vertAlign w:val="superscript"/>
              </w:rPr>
              <w:t>(5)</w:t>
            </w:r>
          </w:p>
        </w:tc>
        <w:tc>
          <w:tcPr>
            <w:tcW w:w="0" w:type="dxa"/>
            <w:vAlign w:val="bottom"/>
          </w:tcPr>
          <w:p>
            <w:pPr>
              <w:spacing w:after="0"/>
              <w:rPr>
                <w:sz w:val="1"/>
                <w:szCs w:val="1"/>
                <w:color w:val="auto"/>
              </w:rPr>
            </w:pPr>
          </w:p>
        </w:tc>
      </w:tr>
      <w:tr>
        <w:trPr>
          <w:trHeight w:val="190"/>
        </w:trPr>
        <w:tc>
          <w:tcPr>
            <w:tcW w:w="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Multinational Oil and</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Savannah</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tcPr>
          <w:p>
            <w:pPr>
              <w:spacing w:after="0"/>
              <w:rPr>
                <w:sz w:val="22"/>
                <w:szCs w:val="22"/>
                <w:color w:val="auto"/>
              </w:rPr>
            </w:pPr>
          </w:p>
        </w:tc>
        <w:tc>
          <w:tcPr>
            <w:tcW w:w="1560" w:type="dxa"/>
            <w:vAlign w:val="bottom"/>
            <w:gridSpan w:val="2"/>
          </w:tcPr>
          <w:p>
            <w:pPr>
              <w:jc w:val="center"/>
              <w:ind w:right="120"/>
              <w:spacing w:after="0" w:line="256" w:lineRule="exact"/>
              <w:rPr>
                <w:sz w:val="20"/>
                <w:szCs w:val="20"/>
                <w:color w:val="auto"/>
              </w:rPr>
            </w:pPr>
            <w:r>
              <w:rPr>
                <w:rFonts w:ascii="Times New Roman" w:cs="Times New Roman" w:eastAsia="Times New Roman" w:hAnsi="Times New Roman"/>
                <w:sz w:val="16"/>
                <w:szCs w:val="16"/>
                <w:color w:val="auto"/>
                <w:w w:val="97"/>
              </w:rPr>
              <w:t xml:space="preserve">Gas Company </w:t>
            </w:r>
            <w:r>
              <w:rPr>
                <w:rFonts w:ascii="Times New Roman" w:cs="Times New Roman" w:eastAsia="Times New Roman" w:hAnsi="Times New Roman"/>
                <w:sz w:val="26"/>
                <w:szCs w:val="26"/>
                <w:color w:val="auto"/>
                <w:w w:val="97"/>
                <w:vertAlign w:val="superscript"/>
              </w:rPr>
              <w:t>(6)</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July 2024</w:t>
            </w:r>
          </w:p>
        </w:tc>
        <w:tc>
          <w:tcPr>
            <w:tcW w:w="1100" w:type="dxa"/>
            <w:vAlign w:val="bottom"/>
          </w:tcPr>
          <w:p>
            <w:pPr>
              <w:jc w:val="center"/>
              <w:ind w:left="19"/>
              <w:spacing w:after="0" w:line="256" w:lineRule="exact"/>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(6)</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Saratoga</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00"/>
              <w:spacing w:after="0" w:line="243" w:lineRule="exact"/>
              <w:rPr>
                <w:sz w:val="20"/>
                <w:szCs w:val="20"/>
                <w:color w:val="auto"/>
              </w:rPr>
            </w:pPr>
            <w:r>
              <w:rPr>
                <w:rFonts w:ascii="Times New Roman" w:cs="Times New Roman" w:eastAsia="Times New Roman" w:hAnsi="Times New Roman"/>
                <w:sz w:val="16"/>
                <w:szCs w:val="16"/>
                <w:color w:val="auto"/>
                <w:w w:val="93"/>
              </w:rPr>
              <w:t xml:space="preserve">Mitsui </w:t>
            </w:r>
            <w:r>
              <w:rPr>
                <w:rFonts w:ascii="Times New Roman" w:cs="Times New Roman" w:eastAsia="Times New Roman" w:hAnsi="Times New Roman"/>
                <w:sz w:val="26"/>
                <w:szCs w:val="26"/>
                <w:color w:val="auto"/>
                <w:w w:val="93"/>
                <w:vertAlign w:val="superscript"/>
              </w:rPr>
              <w:t>(7)</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rPr>
              <w:t>September 2024</w:t>
            </w:r>
          </w:p>
        </w:tc>
        <w:tc>
          <w:tcPr>
            <w:tcW w:w="11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89"/>
        </w:trPr>
        <w:tc>
          <w:tcPr>
            <w:tcW w:w="38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Dual-fuel medium</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27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Genoa</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speed propulsion</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vMerge w:val="restart"/>
          </w:tcPr>
          <w:p>
            <w:pPr>
              <w:jc w:val="center"/>
              <w:ind w:left="39"/>
              <w:spacing w:after="0"/>
              <w:rPr>
                <w:sz w:val="20"/>
                <w:szCs w:val="20"/>
                <w:color w:val="auto"/>
              </w:rPr>
            </w:pPr>
            <w:r>
              <w:rPr>
                <w:rFonts w:ascii="Times New Roman" w:cs="Times New Roman" w:eastAsia="Times New Roman" w:hAnsi="Times New Roman"/>
                <w:sz w:val="16"/>
                <w:szCs w:val="16"/>
                <w:color w:val="auto"/>
                <w:w w:val="96"/>
              </w:rPr>
              <w:t xml:space="preserve">2030-2033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16"/>
        </w:trPr>
        <w:tc>
          <w:tcPr>
            <w:tcW w:w="380" w:type="dxa"/>
            <w:vAlign w:val="bottom"/>
            <w:vMerge w:val="continue"/>
          </w:tcPr>
          <w:p>
            <w:pPr>
              <w:spacing w:after="0"/>
              <w:rPr>
                <w:sz w:val="18"/>
                <w:szCs w:val="18"/>
                <w:color w:val="auto"/>
              </w:rPr>
            </w:pPr>
          </w:p>
        </w:tc>
        <w:tc>
          <w:tcPr>
            <w:tcW w:w="2780" w:type="dxa"/>
            <w:vAlign w:val="bottom"/>
            <w:gridSpan w:val="2"/>
            <w:vMerge w:val="continue"/>
          </w:tcPr>
          <w:p>
            <w:pPr>
              <w:spacing w:after="0"/>
              <w:rPr>
                <w:sz w:val="18"/>
                <w:szCs w:val="18"/>
                <w:color w:val="auto"/>
              </w:rPr>
            </w:pP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(“X-DF”)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March 2027</w:t>
            </w: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Windsor</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6"/>
              </w:rPr>
              <w:t xml:space="preserve">Centrica </w:t>
            </w:r>
            <w:r>
              <w:rPr>
                <w:rFonts w:ascii="Times New Roman" w:cs="Times New Roman" w:eastAsia="Times New Roman" w:hAnsi="Times New Roman"/>
                <w:sz w:val="26"/>
                <w:szCs w:val="26"/>
                <w:color w:val="auto"/>
                <w:w w:val="96"/>
                <w:vertAlign w:val="superscript"/>
              </w:rPr>
              <w:t>(9)</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April 2027</w:t>
            </w:r>
          </w:p>
        </w:tc>
        <w:tc>
          <w:tcPr>
            <w:tcW w:w="1100" w:type="dxa"/>
            <w:vAlign w:val="bottom"/>
            <w:shd w:val="clear" w:color="auto" w:fill="CCEE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Westminster</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Centrica</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July 2027</w:t>
            </w:r>
          </w:p>
        </w:tc>
        <w:tc>
          <w:tcPr>
            <w:tcW w:w="1100" w:type="dxa"/>
            <w:vAlign w:val="bottom"/>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2029-2033 </w:t>
            </w:r>
            <w:r>
              <w:rPr>
                <w:rFonts w:ascii="Times New Roman" w:cs="Times New Roman" w:eastAsia="Times New Roman" w:hAnsi="Times New Roman"/>
                <w:sz w:val="26"/>
                <w:szCs w:val="26"/>
                <w:color w:val="auto"/>
                <w:w w:val="96"/>
                <w:vertAlign w:val="superscript"/>
              </w:rPr>
              <w:t>(9)</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Georgetown</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November 2027</w:t>
            </w:r>
          </w:p>
        </w:tc>
        <w:tc>
          <w:tcPr>
            <w:tcW w:w="1100" w:type="dxa"/>
            <w:vAlign w:val="bottom"/>
            <w:shd w:val="clear" w:color="auto" w:fill="CCEEFF"/>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2030-2034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Galveston</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January 2028</w:t>
            </w:r>
          </w:p>
        </w:tc>
        <w:tc>
          <w:tcPr>
            <w:tcW w:w="1100" w:type="dxa"/>
            <w:vAlign w:val="bottom"/>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Wellington</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2028</w:t>
            </w:r>
          </w:p>
        </w:tc>
        <w:tc>
          <w:tcPr>
            <w:tcW w:w="1100" w:type="dxa"/>
            <w:vAlign w:val="bottom"/>
            <w:shd w:val="clear" w:color="auto" w:fill="CCEEFF"/>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Winchester</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2021</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August 2028</w:t>
            </w:r>
          </w:p>
        </w:tc>
        <w:tc>
          <w:tcPr>
            <w:tcW w:w="1100" w:type="dxa"/>
            <w:vAlign w:val="bottom"/>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2031-2035 </w:t>
            </w:r>
            <w:r>
              <w:rPr>
                <w:rFonts w:ascii="Times New Roman" w:cs="Times New Roman" w:eastAsia="Times New Roman" w:hAnsi="Times New Roman"/>
                <w:sz w:val="26"/>
                <w:szCs w:val="26"/>
                <w:color w:val="auto"/>
                <w:w w:val="93"/>
                <w:vertAlign w:val="superscript"/>
              </w:rPr>
              <w:t>(10)</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13</w:t>
            </w:r>
          </w:p>
        </w:tc>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Gladstone</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January 2029</w:t>
            </w:r>
          </w:p>
        </w:tc>
        <w:tc>
          <w:tcPr>
            <w:tcW w:w="1100" w:type="dxa"/>
            <w:vAlign w:val="bottom"/>
            <w:shd w:val="clear" w:color="auto" w:fill="CCEE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 xml:space="preserve">2032-2035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14</w:t>
            </w:r>
          </w:p>
        </w:tc>
        <w:tc>
          <w:tcPr>
            <w:tcW w:w="278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Warsaw</w:t>
            </w:r>
          </w:p>
        </w:tc>
        <w:tc>
          <w:tcPr>
            <w:tcW w:w="11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2019</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0"/>
              </w:rPr>
              <w:t xml:space="preserve">Endesa </w:t>
            </w:r>
            <w:r>
              <w:rPr>
                <w:rFonts w:ascii="Times New Roman" w:cs="Times New Roman" w:eastAsia="Times New Roman" w:hAnsi="Times New Roman"/>
                <w:sz w:val="26"/>
                <w:szCs w:val="26"/>
                <w:color w:val="auto"/>
                <w:w w:val="90"/>
                <w:vertAlign w:val="superscript"/>
              </w:rPr>
              <w:t>(11)</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May 2029</w:t>
            </w:r>
          </w:p>
        </w:tc>
        <w:tc>
          <w:tcPr>
            <w:tcW w:w="1100" w:type="dxa"/>
            <w:vAlign w:val="bottom"/>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2035-2041 </w:t>
            </w:r>
            <w:r>
              <w:rPr>
                <w:rFonts w:ascii="Times New Roman" w:cs="Times New Roman" w:eastAsia="Times New Roman" w:hAnsi="Times New Roman"/>
                <w:sz w:val="26"/>
                <w:szCs w:val="26"/>
                <w:color w:val="auto"/>
                <w:w w:val="93"/>
                <w:vertAlign w:val="superscript"/>
              </w:rPr>
              <w:t>(11)</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15</w:t>
            </w:r>
          </w:p>
        </w:tc>
        <w:tc>
          <w:tcPr>
            <w:tcW w:w="27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Wales</w:t>
            </w:r>
          </w:p>
        </w:tc>
        <w:tc>
          <w:tcPr>
            <w:tcW w:w="11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2020</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180,000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88"/>
              </w:rPr>
              <w:t xml:space="preserve">Jera </w:t>
            </w:r>
            <w:r>
              <w:rPr>
                <w:rFonts w:ascii="Times New Roman" w:cs="Times New Roman" w:eastAsia="Times New Roman" w:hAnsi="Times New Roman"/>
                <w:sz w:val="26"/>
                <w:szCs w:val="26"/>
                <w:color w:val="auto"/>
                <w:w w:val="88"/>
                <w:vertAlign w:val="superscript"/>
              </w:rPr>
              <w:t>(12)</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March 2032</w:t>
            </w:r>
          </w:p>
        </w:tc>
        <w:tc>
          <w:tcPr>
            <w:tcW w:w="1100" w:type="dxa"/>
            <w:vAlign w:val="bottom"/>
            <w:shd w:val="clear" w:color="auto" w:fill="CCEEFF"/>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2035-2038 </w:t>
            </w:r>
            <w:r>
              <w:rPr>
                <w:rFonts w:ascii="Times New Roman" w:cs="Times New Roman" w:eastAsia="Times New Roman" w:hAnsi="Times New Roman"/>
                <w:sz w:val="26"/>
                <w:szCs w:val="26"/>
                <w:color w:val="auto"/>
                <w:w w:val="93"/>
                <w:vertAlign w:val="superscript"/>
              </w:rPr>
              <w:t>(12)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2023, the Partnership’s owned fleet consisted of the following vessels: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 (for</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Charter</w:t>
            </w:r>
          </w:p>
        </w:tc>
        <w:tc>
          <w:tcPr>
            <w:tcW w:w="11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Optional</w:t>
            </w:r>
          </w:p>
        </w:tc>
        <w:tc>
          <w:tcPr>
            <w:tcW w:w="0" w:type="dxa"/>
            <w:vAlign w:val="bottom"/>
          </w:tcPr>
          <w:p>
            <w:pPr>
              <w:spacing w:after="0"/>
              <w:rPr>
                <w:sz w:val="1"/>
                <w:szCs w:val="1"/>
                <w:color w:val="auto"/>
              </w:rPr>
            </w:pPr>
          </w:p>
        </w:tc>
      </w:tr>
      <w:tr>
        <w:trPr>
          <w:trHeight w:val="164"/>
        </w:trPr>
        <w:tc>
          <w:tcPr>
            <w:tcW w:w="3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ind w:left="400"/>
              <w:spacing w:after="0" w:line="165" w:lineRule="exact"/>
              <w:rPr>
                <w:sz w:val="20"/>
                <w:szCs w:val="20"/>
                <w:color w:val="auto"/>
              </w:rPr>
            </w:pPr>
            <w:r>
              <w:rPr>
                <w:rFonts w:ascii="Times New Roman" w:cs="Times New Roman" w:eastAsia="Times New Roman" w:hAnsi="Times New Roman"/>
                <w:sz w:val="16"/>
                <w:szCs w:val="16"/>
                <w:b w:val="1"/>
                <w:bCs w:val="1"/>
                <w:color w:val="auto"/>
              </w:rPr>
              <w:t>Year</w:t>
            </w:r>
          </w:p>
        </w:tc>
        <w:tc>
          <w:tcPr>
            <w:tcW w:w="1220" w:type="dxa"/>
            <w:vAlign w:val="bottom"/>
            <w:gridSpan w:val="2"/>
          </w:tcPr>
          <w:p>
            <w:pPr>
              <w:jc w:val="center"/>
              <w:ind w:right="28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560" w:type="dxa"/>
            <w:vAlign w:val="bottom"/>
            <w:gridSpan w:val="2"/>
          </w:tcPr>
          <w:p>
            <w:pPr>
              <w:jc w:val="center"/>
              <w:ind w:right="120"/>
              <w:spacing w:after="0" w:line="165" w:lineRule="exact"/>
              <w:rPr>
                <w:sz w:val="20"/>
                <w:szCs w:val="20"/>
                <w:color w:val="auto"/>
              </w:rPr>
            </w:pPr>
            <w:r>
              <w:rPr>
                <w:rFonts w:ascii="Times New Roman" w:cs="Times New Roman" w:eastAsia="Times New Roman" w:hAnsi="Times New Roman"/>
                <w:sz w:val="16"/>
                <w:szCs w:val="16"/>
                <w:b w:val="1"/>
                <w:bCs w:val="1"/>
                <w:color w:val="auto"/>
                <w:w w:val="99"/>
              </w:rPr>
              <w:t>contracts of more</w:t>
            </w: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38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2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than six months)</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Propulsion</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(1)</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59"/>
              <w:spacing w:after="0" w:line="256" w:lineRule="exact"/>
              <w:rPr>
                <w:sz w:val="20"/>
                <w:szCs w:val="20"/>
                <w:color w:val="auto"/>
              </w:rPr>
            </w:pP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236"/>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Sydney</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line="236" w:lineRule="exact"/>
              <w:rPr>
                <w:sz w:val="20"/>
                <w:szCs w:val="20"/>
                <w:color w:val="auto"/>
              </w:rPr>
            </w:pPr>
            <w:r>
              <w:rPr>
                <w:rFonts w:ascii="Times New Roman" w:cs="Times New Roman" w:eastAsia="Times New Roman" w:hAnsi="Times New Roman"/>
                <w:sz w:val="16"/>
                <w:szCs w:val="16"/>
                <w:color w:val="auto"/>
                <w:w w:val="93"/>
              </w:rPr>
              <w:t xml:space="preserve">Naturgy </w:t>
            </w:r>
            <w:r>
              <w:rPr>
                <w:rFonts w:ascii="Times New Roman" w:cs="Times New Roman" w:eastAsia="Times New Roman" w:hAnsi="Times New Roman"/>
                <w:sz w:val="26"/>
                <w:szCs w:val="26"/>
                <w:color w:val="auto"/>
                <w:w w:val="93"/>
                <w:vertAlign w:val="superscript"/>
              </w:rPr>
              <w:t>(13)</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April 2023</w:t>
            </w:r>
          </w:p>
        </w:tc>
        <w:tc>
          <w:tcPr>
            <w:tcW w:w="11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2</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Geneva</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2023</w:t>
            </w:r>
          </w:p>
        </w:tc>
        <w:tc>
          <w:tcPr>
            <w:tcW w:w="1100" w:type="dxa"/>
            <w:vAlign w:val="bottom"/>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 xml:space="preserve">2028-2031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3</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Methane Rita Andrea</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2006</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Energy Major</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1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4</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Methane Alison Victoria</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2007</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6"/>
              </w:rPr>
              <w:t xml:space="preserve">CNTIC VPower </w:t>
            </w:r>
            <w:r>
              <w:rPr>
                <w:rFonts w:ascii="Times New Roman" w:cs="Times New Roman" w:eastAsia="Times New Roman" w:hAnsi="Times New Roman"/>
                <w:sz w:val="26"/>
                <w:szCs w:val="26"/>
                <w:color w:val="auto"/>
                <w:w w:val="96"/>
                <w:vertAlign w:val="superscript"/>
              </w:rPr>
              <w:t>(14)</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100" w:type="dxa"/>
            <w:vAlign w:val="bottom"/>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3"/>
              </w:rPr>
              <w:t xml:space="preserve">2024-2025 </w:t>
            </w:r>
            <w:r>
              <w:rPr>
                <w:rFonts w:ascii="Times New Roman" w:cs="Times New Roman" w:eastAsia="Times New Roman" w:hAnsi="Times New Roman"/>
                <w:sz w:val="26"/>
                <w:szCs w:val="26"/>
                <w:color w:val="auto"/>
                <w:w w:val="93"/>
                <w:vertAlign w:val="superscript"/>
              </w:rPr>
              <w:t>(14)</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5</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Gibraltar</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100" w:type="dxa"/>
            <w:vAlign w:val="bottom"/>
            <w:shd w:val="clear" w:color="auto" w:fill="CCEEFF"/>
          </w:tcPr>
          <w:p>
            <w:pPr>
              <w:jc w:val="center"/>
              <w:ind w:left="39"/>
              <w:spacing w:after="0" w:line="243" w:lineRule="exact"/>
              <w:rPr>
                <w:sz w:val="20"/>
                <w:szCs w:val="20"/>
                <w:color w:val="auto"/>
              </w:rPr>
            </w:pPr>
            <w:r>
              <w:rPr>
                <w:rFonts w:ascii="Times New Roman" w:cs="Times New Roman" w:eastAsia="Times New Roman" w:hAnsi="Times New Roman"/>
                <w:sz w:val="16"/>
                <w:szCs w:val="16"/>
                <w:color w:val="auto"/>
                <w:w w:val="96"/>
              </w:rPr>
              <w:t xml:space="preserve">2028-2031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Solaris</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2014</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Energy Major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October 2023</w:t>
            </w:r>
          </w:p>
        </w:tc>
        <w:tc>
          <w:tcPr>
            <w:tcW w:w="11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7</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Santiago</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Trafigura </w:t>
            </w:r>
            <w:r>
              <w:rPr>
                <w:rFonts w:ascii="Times New Roman" w:cs="Times New Roman" w:eastAsia="Times New Roman" w:hAnsi="Times New Roman"/>
                <w:sz w:val="26"/>
                <w:szCs w:val="26"/>
                <w:color w:val="auto"/>
                <w:w w:val="94"/>
                <w:vertAlign w:val="superscript"/>
              </w:rPr>
              <w:t>(15)</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December 2023</w:t>
            </w:r>
          </w:p>
        </w:tc>
        <w:tc>
          <w:tcPr>
            <w:tcW w:w="1100" w:type="dxa"/>
            <w:vAlign w:val="bottom"/>
            <w:shd w:val="clear" w:color="auto" w:fill="CCEEFF"/>
          </w:tcPr>
          <w:p>
            <w:pPr>
              <w:jc w:val="right"/>
              <w:ind w:right="159"/>
              <w:spacing w:after="0" w:line="243" w:lineRule="exact"/>
              <w:rPr>
                <w:sz w:val="20"/>
                <w:szCs w:val="20"/>
                <w:color w:val="auto"/>
              </w:rPr>
            </w:pPr>
            <w:r>
              <w:rPr>
                <w:rFonts w:ascii="Times New Roman" w:cs="Times New Roman" w:eastAsia="Times New Roman" w:hAnsi="Times New Roman"/>
                <w:sz w:val="16"/>
                <w:szCs w:val="16"/>
                <w:color w:val="auto"/>
              </w:rPr>
              <w:t xml:space="preserve">2028 </w:t>
            </w:r>
            <w:r>
              <w:rPr>
                <w:rFonts w:ascii="Times New Roman" w:cs="Times New Roman" w:eastAsia="Times New Roman" w:hAnsi="Times New Roman"/>
                <w:sz w:val="26"/>
                <w:szCs w:val="26"/>
                <w:color w:val="auto"/>
                <w:vertAlign w:val="superscript"/>
              </w:rPr>
              <w:t>(15)</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8</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Seattle</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Major Trading House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2023</w:t>
            </w:r>
          </w:p>
        </w:tc>
        <w:tc>
          <w:tcPr>
            <w:tcW w:w="110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0"/>
        </w:trPr>
        <w:tc>
          <w:tcPr>
            <w:tcW w:w="38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Energy Trading</w:t>
            </w: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0" w:type="dxa"/>
            <w:vAlign w:val="bottom"/>
            <w:shd w:val="clear" w:color="auto" w:fill="CCEEFF"/>
          </w:tcPr>
          <w:p>
            <w:pPr>
              <w:spacing w:after="0"/>
              <w:rPr>
                <w:sz w:val="22"/>
                <w:szCs w:val="22"/>
                <w:color w:val="auto"/>
              </w:rPr>
            </w:pPr>
          </w:p>
        </w:tc>
        <w:tc>
          <w:tcPr>
            <w:tcW w:w="2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60" w:type="dxa"/>
            <w:vAlign w:val="bottom"/>
            <w:gridSpan w:val="2"/>
            <w:shd w:val="clear" w:color="auto" w:fill="CCEEFF"/>
          </w:tcPr>
          <w:p>
            <w:pPr>
              <w:jc w:val="center"/>
              <w:ind w:right="120"/>
              <w:spacing w:after="0" w:line="256" w:lineRule="exact"/>
              <w:rPr>
                <w:sz w:val="20"/>
                <w:szCs w:val="20"/>
                <w:color w:val="auto"/>
              </w:rPr>
            </w:pPr>
            <w:r>
              <w:rPr>
                <w:rFonts w:ascii="Times New Roman" w:cs="Times New Roman" w:eastAsia="Times New Roman" w:hAnsi="Times New Roman"/>
                <w:sz w:val="16"/>
                <w:szCs w:val="16"/>
                <w:color w:val="auto"/>
                <w:w w:val="92"/>
              </w:rPr>
              <w:t xml:space="preserve">Company </w:t>
            </w:r>
            <w:r>
              <w:rPr>
                <w:rFonts w:ascii="Times New Roman" w:cs="Times New Roman" w:eastAsia="Times New Roman" w:hAnsi="Times New Roman"/>
                <w:sz w:val="26"/>
                <w:szCs w:val="26"/>
                <w:color w:val="auto"/>
                <w:w w:val="92"/>
                <w:vertAlign w:val="superscript"/>
              </w:rPr>
              <w:t>(16)</w:t>
            </w: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1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9</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Methane Jane Elizabeth</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2006</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Cheniere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Steam</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2024</w:t>
            </w:r>
          </w:p>
        </w:tc>
        <w:tc>
          <w:tcPr>
            <w:tcW w:w="1100" w:type="dxa"/>
            <w:vAlign w:val="bottom"/>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2"/>
              </w:rPr>
              <w:t xml:space="preserve">2025 </w:t>
            </w:r>
            <w:r>
              <w:rPr>
                <w:rFonts w:ascii="Times New Roman" w:cs="Times New Roman" w:eastAsia="Times New Roman" w:hAnsi="Times New Roman"/>
                <w:sz w:val="26"/>
                <w:szCs w:val="26"/>
                <w:color w:val="auto"/>
                <w:w w:val="92"/>
                <w:vertAlign w:val="superscript"/>
              </w:rPr>
              <w:t>(10)</w:t>
            </w:r>
          </w:p>
        </w:tc>
        <w:tc>
          <w:tcPr>
            <w:tcW w:w="0" w:type="dxa"/>
            <w:vAlign w:val="bottom"/>
          </w:tcPr>
          <w:p>
            <w:pPr>
              <w:spacing w:after="0"/>
              <w:rPr>
                <w:sz w:val="1"/>
                <w:szCs w:val="1"/>
                <w:color w:val="auto"/>
              </w:rPr>
            </w:pPr>
          </w:p>
        </w:tc>
      </w:tr>
      <w:tr>
        <w:trPr>
          <w:trHeight w:val="24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10</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Greece</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100" w:type="dxa"/>
            <w:vAlign w:val="bottom"/>
            <w:shd w:val="clear" w:color="auto" w:fill="CCEEFF"/>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11</w:t>
            </w:r>
          </w:p>
        </w:tc>
        <w:tc>
          <w:tcPr>
            <w:tcW w:w="2800" w:type="dxa"/>
            <w:vAlign w:val="bottom"/>
            <w:gridSpan w:val="2"/>
          </w:tcPr>
          <w:p>
            <w:pPr>
              <w:ind w:left="200"/>
              <w:spacing w:after="0"/>
              <w:rPr>
                <w:sz w:val="20"/>
                <w:szCs w:val="20"/>
                <w:color w:val="auto"/>
              </w:rPr>
            </w:pPr>
            <w:r>
              <w:rPr>
                <w:rFonts w:ascii="Times New Roman" w:cs="Times New Roman" w:eastAsia="Times New Roman" w:hAnsi="Times New Roman"/>
                <w:sz w:val="16"/>
                <w:szCs w:val="16"/>
                <w:i w:val="1"/>
                <w:iCs w:val="1"/>
                <w:color w:val="auto"/>
              </w:rPr>
              <w:t>GasLog Glasgow</w:t>
            </w:r>
          </w:p>
        </w:tc>
        <w:tc>
          <w:tcPr>
            <w:tcW w:w="112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2026</w:t>
            </w:r>
          </w:p>
        </w:tc>
        <w:tc>
          <w:tcPr>
            <w:tcW w:w="1100" w:type="dxa"/>
            <w:vAlign w:val="bottom"/>
          </w:tcPr>
          <w:p>
            <w:pPr>
              <w:jc w:val="center"/>
              <w:ind w:left="19"/>
              <w:spacing w:after="0" w:line="243" w:lineRule="exact"/>
              <w:rPr>
                <w:sz w:val="20"/>
                <w:szCs w:val="20"/>
                <w:color w:val="auto"/>
              </w:rPr>
            </w:pPr>
            <w:r>
              <w:rPr>
                <w:rFonts w:ascii="Times New Roman" w:cs="Times New Roman" w:eastAsia="Times New Roman" w:hAnsi="Times New Roman"/>
                <w:sz w:val="16"/>
                <w:szCs w:val="16"/>
                <w:color w:val="auto"/>
                <w:w w:val="92"/>
              </w:rPr>
              <w:t xml:space="preserve">2031 </w:t>
            </w:r>
            <w:r>
              <w:rPr>
                <w:rFonts w:ascii="Times New Roman" w:cs="Times New Roman" w:eastAsia="Times New Roman" w:hAnsi="Times New Roman"/>
                <w:sz w:val="26"/>
                <w:szCs w:val="26"/>
                <w:color w:val="auto"/>
                <w:w w:val="92"/>
                <w:vertAlign w:val="superscript"/>
              </w:rPr>
              <w:t>(8)</w:t>
            </w:r>
          </w:p>
        </w:tc>
        <w:tc>
          <w:tcPr>
            <w:tcW w:w="0" w:type="dxa"/>
            <w:vAlign w:val="bottom"/>
          </w:tcPr>
          <w:p>
            <w:pPr>
              <w:spacing w:after="0"/>
              <w:rPr>
                <w:sz w:val="1"/>
                <w:szCs w:val="1"/>
                <w:color w:val="auto"/>
              </w:rPr>
            </w:pPr>
          </w:p>
        </w:tc>
      </w:tr>
      <w:tr>
        <w:trPr>
          <w:trHeight w:val="203"/>
        </w:trPr>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12</w:t>
            </w:r>
          </w:p>
        </w:tc>
        <w:tc>
          <w:tcPr>
            <w:tcW w:w="28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i w:val="1"/>
                <w:iCs w:val="1"/>
                <w:color w:val="auto"/>
              </w:rPr>
              <w:t>Methane Becki Anne</w:t>
            </w:r>
          </w:p>
        </w:tc>
        <w:tc>
          <w:tcPr>
            <w:tcW w:w="11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2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2029</w:t>
            </w:r>
          </w:p>
        </w:tc>
        <w:tc>
          <w:tcPr>
            <w:tcW w:w="110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2023, our bareboat fleet consisted of the following vessels: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Cargo</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Charterer (for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Charter</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Optional</w:t>
            </w: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b w:val="1"/>
                <w:bCs w:val="1"/>
                <w:color w:val="auto"/>
              </w:rPr>
              <w:t>Year</w:t>
            </w:r>
          </w:p>
        </w:tc>
        <w:tc>
          <w:tcPr>
            <w:tcW w:w="12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56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contracts of more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40" w:type="dxa"/>
            <w:vAlign w:val="bottom"/>
            <w:tcBorders>
              <w:bottom w:val="single" w:sz="8" w:color="auto"/>
            </w:tcBorders>
          </w:tcPr>
          <w:p>
            <w:pPr>
              <w:spacing w:after="0"/>
              <w:rPr>
                <w:sz w:val="23"/>
                <w:szCs w:val="23"/>
                <w:color w:val="auto"/>
              </w:rPr>
            </w:pPr>
          </w:p>
        </w:tc>
        <w:tc>
          <w:tcPr>
            <w:tcW w:w="27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12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b w:val="1"/>
                <w:bCs w:val="1"/>
                <w:color w:val="auto"/>
              </w:rPr>
              <w:t>Built</w:t>
            </w:r>
          </w:p>
        </w:tc>
        <w:tc>
          <w:tcPr>
            <w:tcW w:w="22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(cbm)</w:t>
            </w:r>
          </w:p>
        </w:tc>
        <w:tc>
          <w:tcPr>
            <w:tcW w:w="220" w:type="dxa"/>
            <w:vAlign w:val="bottom"/>
            <w:tcBorders>
              <w:bottom w:val="single" w:sz="8" w:color="CCEEFF"/>
            </w:tcBorders>
          </w:tcPr>
          <w:p>
            <w:pPr>
              <w:spacing w:after="0"/>
              <w:rPr>
                <w:sz w:val="23"/>
                <w:szCs w:val="2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six months)</w:t>
            </w:r>
          </w:p>
        </w:tc>
        <w:tc>
          <w:tcPr>
            <w:tcW w:w="12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ind w:left="60"/>
              <w:spacing w:after="0" w:line="270" w:lineRule="exact"/>
              <w:rPr>
                <w:sz w:val="20"/>
                <w:szCs w:val="20"/>
                <w:color w:val="auto"/>
              </w:rPr>
            </w:pP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Period</w:t>
            </w:r>
            <w:r>
              <w:rPr>
                <w:rFonts w:ascii="Times New Roman" w:cs="Times New Roman" w:eastAsia="Times New Roman" w:hAnsi="Times New Roman"/>
                <w:sz w:val="29"/>
                <w:szCs w:val="29"/>
                <w:b w:val="1"/>
                <w:bCs w:val="1"/>
                <w:color w:val="auto"/>
                <w:w w:val="92"/>
                <w:vertAlign w:val="superscript"/>
              </w:rPr>
              <w:t>(2)</w:t>
            </w:r>
          </w:p>
        </w:tc>
        <w:tc>
          <w:tcPr>
            <w:tcW w:w="0" w:type="dxa"/>
            <w:vAlign w:val="bottom"/>
          </w:tcPr>
          <w:p>
            <w:pPr>
              <w:spacing w:after="0"/>
              <w:rPr>
                <w:sz w:val="1"/>
                <w:szCs w:val="1"/>
                <w:color w:val="auto"/>
              </w:rPr>
            </w:pPr>
          </w:p>
        </w:tc>
      </w:tr>
      <w:tr>
        <w:trPr>
          <w:trHeight w:val="236"/>
        </w:trPr>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1</w:t>
            </w:r>
          </w:p>
        </w:tc>
        <w:tc>
          <w:tcPr>
            <w:tcW w:w="2720" w:type="dxa"/>
            <w:vAlign w:val="bottom"/>
            <w:shd w:val="clear" w:color="auto" w:fill="CCEEFF"/>
          </w:tcPr>
          <w:p>
            <w:pPr>
              <w:ind w:left="24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Skagen </w:t>
            </w:r>
            <w:r>
              <w:rPr>
                <w:rFonts w:ascii="Times New Roman" w:cs="Times New Roman" w:eastAsia="Times New Roman" w:hAnsi="Times New Roman"/>
                <w:sz w:val="26"/>
                <w:szCs w:val="26"/>
                <w:i w:val="1"/>
                <w:iCs w:val="1"/>
                <w:color w:val="auto"/>
                <w:vertAlign w:val="superscript"/>
              </w:rPr>
              <w:t>(17)</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6"/>
                <w:szCs w:val="16"/>
                <w:color w:val="auto"/>
              </w:rPr>
              <w:t>2013</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center"/>
              <w:spacing w:after="0" w:line="236" w:lineRule="exact"/>
              <w:rPr>
                <w:sz w:val="20"/>
                <w:szCs w:val="20"/>
                <w:color w:val="auto"/>
              </w:rPr>
            </w:pPr>
            <w:r>
              <w:rPr>
                <w:rFonts w:ascii="Times New Roman" w:cs="Times New Roman" w:eastAsia="Times New Roman" w:hAnsi="Times New Roman"/>
                <w:sz w:val="16"/>
                <w:szCs w:val="16"/>
                <w:color w:val="auto"/>
                <w:w w:val="93"/>
              </w:rPr>
              <w:t xml:space="preserve">Tokyo LNG </w:t>
            </w:r>
            <w:r>
              <w:rPr>
                <w:rFonts w:ascii="Times New Roman" w:cs="Times New Roman" w:eastAsia="Times New Roman" w:hAnsi="Times New Roman"/>
                <w:sz w:val="26"/>
                <w:szCs w:val="26"/>
                <w:color w:val="auto"/>
                <w:w w:val="93"/>
                <w:vertAlign w:val="superscript"/>
              </w:rPr>
              <w:t>(18)</w:t>
            </w: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September 2024</w:t>
            </w:r>
          </w:p>
        </w:tc>
        <w:tc>
          <w:tcPr>
            <w:tcW w:w="11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2</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Hong Kong </w:t>
            </w:r>
            <w:r>
              <w:rPr>
                <w:rFonts w:ascii="Times New Roman" w:cs="Times New Roman" w:eastAsia="Times New Roman" w:hAnsi="Times New Roman"/>
                <w:sz w:val="26"/>
                <w:szCs w:val="26"/>
                <w:i w:val="1"/>
                <w:iCs w:val="1"/>
                <w:color w:val="auto"/>
                <w:vertAlign w:val="superscript"/>
              </w:rPr>
              <w:t>(17)</w:t>
            </w: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line="243" w:lineRule="exact"/>
              <w:rPr>
                <w:sz w:val="20"/>
                <w:szCs w:val="20"/>
                <w:color w:val="auto"/>
              </w:rPr>
            </w:pPr>
            <w:r>
              <w:rPr>
                <w:rFonts w:ascii="Times New Roman" w:cs="Times New Roman" w:eastAsia="Times New Roman" w:hAnsi="Times New Roman"/>
                <w:sz w:val="16"/>
                <w:szCs w:val="16"/>
                <w:color w:val="auto"/>
                <w:w w:val="94"/>
              </w:rPr>
              <w:t xml:space="preserve">TotalEnergies </w:t>
            </w:r>
            <w:r>
              <w:rPr>
                <w:rFonts w:ascii="Times New Roman" w:cs="Times New Roman" w:eastAsia="Times New Roman" w:hAnsi="Times New Roman"/>
                <w:sz w:val="26"/>
                <w:szCs w:val="26"/>
                <w:color w:val="auto"/>
                <w:w w:val="94"/>
                <w:vertAlign w:val="superscript"/>
              </w:rPr>
              <w:t>(19)</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December 2025</w:t>
            </w:r>
          </w:p>
        </w:tc>
        <w:tc>
          <w:tcPr>
            <w:tcW w:w="1100" w:type="dxa"/>
            <w:vAlign w:val="bottom"/>
          </w:tcPr>
          <w:p>
            <w:pPr>
              <w:jc w:val="center"/>
              <w:ind w:left="16"/>
              <w:spacing w:after="0" w:line="243" w:lineRule="exact"/>
              <w:rPr>
                <w:sz w:val="20"/>
                <w:szCs w:val="20"/>
                <w:color w:val="auto"/>
              </w:rPr>
            </w:pPr>
            <w:r>
              <w:rPr>
                <w:rFonts w:ascii="Times New Roman" w:cs="Times New Roman" w:eastAsia="Times New Roman" w:hAnsi="Times New Roman"/>
                <w:sz w:val="16"/>
                <w:szCs w:val="16"/>
                <w:color w:val="auto"/>
                <w:w w:val="92"/>
              </w:rPr>
              <w:t xml:space="preserve">2028 </w:t>
            </w:r>
            <w:r>
              <w:rPr>
                <w:rFonts w:ascii="Times New Roman" w:cs="Times New Roman" w:eastAsia="Times New Roman" w:hAnsi="Times New Roman"/>
                <w:sz w:val="26"/>
                <w:szCs w:val="26"/>
                <w:color w:val="auto"/>
                <w:w w:val="92"/>
                <w:vertAlign w:val="superscript"/>
              </w:rPr>
              <w:t>(19)</w:t>
            </w:r>
          </w:p>
        </w:tc>
        <w:tc>
          <w:tcPr>
            <w:tcW w:w="0" w:type="dxa"/>
            <w:vAlign w:val="bottom"/>
          </w:tcPr>
          <w:p>
            <w:pPr>
              <w:spacing w:after="0"/>
              <w:rPr>
                <w:sz w:val="1"/>
                <w:szCs w:val="1"/>
                <w:color w:val="auto"/>
              </w:rPr>
            </w:pPr>
          </w:p>
        </w:tc>
      </w:tr>
      <w:tr>
        <w:trPr>
          <w:trHeight w:val="243"/>
        </w:trPr>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3</w:t>
            </w:r>
          </w:p>
        </w:tc>
        <w:tc>
          <w:tcPr>
            <w:tcW w:w="2840" w:type="dxa"/>
            <w:vAlign w:val="bottom"/>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Salem </w:t>
            </w:r>
            <w:r>
              <w:rPr>
                <w:rFonts w:ascii="Times New Roman" w:cs="Times New Roman" w:eastAsia="Times New Roman" w:hAnsi="Times New Roman"/>
                <w:sz w:val="26"/>
                <w:szCs w:val="26"/>
                <w:i w:val="1"/>
                <w:iCs w:val="1"/>
                <w:color w:val="auto"/>
                <w:vertAlign w:val="superscript"/>
              </w:rPr>
              <w:t>(17)</w:t>
            </w:r>
          </w:p>
        </w:tc>
        <w:tc>
          <w:tcPr>
            <w:tcW w:w="11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6"/>
                <w:szCs w:val="16"/>
                <w:color w:val="auto"/>
              </w:rPr>
              <w:t>2015</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Gunvor</w:t>
            </w:r>
          </w:p>
        </w:tc>
        <w:tc>
          <w:tcPr>
            <w:tcW w:w="14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100" w:type="dxa"/>
            <w:vAlign w:val="bottom"/>
            <w:shd w:val="clear" w:color="auto" w:fill="CCEEFF"/>
          </w:tcPr>
          <w:p>
            <w:pPr>
              <w:jc w:val="center"/>
              <w:ind w:left="16"/>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4</w:t>
            </w:r>
          </w:p>
        </w:tc>
        <w:tc>
          <w:tcPr>
            <w:tcW w:w="2840" w:type="dxa"/>
            <w:vAlign w:val="bottom"/>
            <w:gridSpan w:val="2"/>
          </w:tcPr>
          <w:p>
            <w:pPr>
              <w:ind w:left="24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Methane Julia Louise </w:t>
            </w:r>
            <w:r>
              <w:rPr>
                <w:rFonts w:ascii="Times New Roman" w:cs="Times New Roman" w:eastAsia="Times New Roman" w:hAnsi="Times New Roman"/>
                <w:sz w:val="26"/>
                <w:szCs w:val="26"/>
                <w:i w:val="1"/>
                <w:iCs w:val="1"/>
                <w:color w:val="auto"/>
                <w:vertAlign w:val="superscript"/>
              </w:rPr>
              <w:t>(17)</w:t>
            </w:r>
          </w:p>
        </w:tc>
        <w:tc>
          <w:tcPr>
            <w:tcW w:w="1120" w:type="dxa"/>
            <w:vAlign w:val="bottom"/>
          </w:tcPr>
          <w:p>
            <w:pPr>
              <w:jc w:val="right"/>
              <w:ind w:right="256"/>
              <w:spacing w:after="0"/>
              <w:rPr>
                <w:sz w:val="20"/>
                <w:szCs w:val="20"/>
                <w:color w:val="auto"/>
              </w:rPr>
            </w:pPr>
            <w:r>
              <w:rPr>
                <w:rFonts w:ascii="Times New Roman" w:cs="Times New Roman" w:eastAsia="Times New Roman" w:hAnsi="Times New Roman"/>
                <w:sz w:val="16"/>
                <w:szCs w:val="16"/>
                <w:color w:val="auto"/>
              </w:rPr>
              <w:t>2010</w:t>
            </w:r>
          </w:p>
        </w:tc>
        <w:tc>
          <w:tcPr>
            <w:tcW w:w="22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170,000</w:t>
            </w:r>
          </w:p>
        </w:tc>
        <w:tc>
          <w:tcPr>
            <w:tcW w:w="220" w:type="dxa"/>
            <w:vAlign w:val="bottom"/>
          </w:tcPr>
          <w:p>
            <w:pPr>
              <w:spacing w:after="0"/>
              <w:rPr>
                <w:sz w:val="21"/>
                <w:szCs w:val="21"/>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9"/>
              </w:rPr>
              <w:t>TFDE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March 2026</w:t>
            </w:r>
          </w:p>
        </w:tc>
        <w:tc>
          <w:tcPr>
            <w:tcW w:w="1100" w:type="dxa"/>
            <w:vAlign w:val="bottom"/>
          </w:tcPr>
          <w:p>
            <w:pPr>
              <w:jc w:val="center"/>
              <w:ind w:left="36"/>
              <w:spacing w:after="0" w:line="243" w:lineRule="exact"/>
              <w:rPr>
                <w:sz w:val="20"/>
                <w:szCs w:val="20"/>
                <w:color w:val="auto"/>
              </w:rPr>
            </w:pPr>
            <w:r>
              <w:rPr>
                <w:rFonts w:ascii="Times New Roman" w:cs="Times New Roman" w:eastAsia="Times New Roman" w:hAnsi="Times New Roman"/>
                <w:sz w:val="16"/>
                <w:szCs w:val="16"/>
                <w:color w:val="auto"/>
                <w:w w:val="96"/>
              </w:rPr>
              <w:t xml:space="preserve">2029-2031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r>
        <w:trPr>
          <w:trHeight w:val="243"/>
        </w:trPr>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74"/>
              </w:rPr>
              <w:t>5</w:t>
            </w:r>
          </w:p>
        </w:tc>
        <w:tc>
          <w:tcPr>
            <w:tcW w:w="2840" w:type="dxa"/>
            <w:vAlign w:val="bottom"/>
            <w:gridSpan w:val="2"/>
            <w:shd w:val="clear" w:color="auto" w:fill="CCEEFF"/>
          </w:tcPr>
          <w:p>
            <w:pPr>
              <w:ind w:left="240"/>
              <w:spacing w:after="0" w:line="243" w:lineRule="exact"/>
              <w:rPr>
                <w:sz w:val="20"/>
                <w:szCs w:val="20"/>
                <w:color w:val="auto"/>
              </w:rPr>
            </w:pPr>
            <w:r>
              <w:rPr>
                <w:rFonts w:ascii="Times New Roman" w:cs="Times New Roman" w:eastAsia="Times New Roman" w:hAnsi="Times New Roman"/>
                <w:sz w:val="16"/>
                <w:szCs w:val="16"/>
                <w:i w:val="1"/>
                <w:iCs w:val="1"/>
                <w:color w:val="auto"/>
              </w:rPr>
              <w:t xml:space="preserve">GasLog Houston </w:t>
            </w:r>
            <w:r>
              <w:rPr>
                <w:rFonts w:ascii="Times New Roman" w:cs="Times New Roman" w:eastAsia="Times New Roman" w:hAnsi="Times New Roman"/>
                <w:sz w:val="26"/>
                <w:szCs w:val="26"/>
                <w:i w:val="1"/>
                <w:iCs w:val="1"/>
                <w:color w:val="auto"/>
                <w:vertAlign w:val="superscript"/>
              </w:rPr>
              <w:t>(17)</w:t>
            </w:r>
          </w:p>
        </w:tc>
        <w:tc>
          <w:tcPr>
            <w:tcW w:w="11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6"/>
                <w:szCs w:val="16"/>
                <w:color w:val="auto"/>
              </w:rPr>
              <w:t>2018</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7"/>
              </w:rPr>
              <w:t>Shell</w:t>
            </w:r>
          </w:p>
        </w:tc>
        <w:tc>
          <w:tcPr>
            <w:tcW w:w="1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X-DF</w:t>
            </w:r>
          </w:p>
        </w:tc>
        <w:tc>
          <w:tcPr>
            <w:tcW w:w="1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May 2028</w:t>
            </w:r>
          </w:p>
        </w:tc>
        <w:tc>
          <w:tcPr>
            <w:tcW w:w="1100" w:type="dxa"/>
            <w:vAlign w:val="bottom"/>
            <w:shd w:val="clear" w:color="auto" w:fill="CCEEFF"/>
          </w:tcPr>
          <w:p>
            <w:pPr>
              <w:jc w:val="center"/>
              <w:ind w:left="36"/>
              <w:spacing w:after="0" w:line="243" w:lineRule="exact"/>
              <w:rPr>
                <w:sz w:val="20"/>
                <w:szCs w:val="20"/>
                <w:color w:val="auto"/>
              </w:rPr>
            </w:pPr>
            <w:r>
              <w:rPr>
                <w:rFonts w:ascii="Times New Roman" w:cs="Times New Roman" w:eastAsia="Times New Roman" w:hAnsi="Times New Roman"/>
                <w:sz w:val="16"/>
                <w:szCs w:val="16"/>
                <w:color w:val="auto"/>
                <w:w w:val="96"/>
              </w:rPr>
              <w:t xml:space="preserve">2031-2034 </w:t>
            </w:r>
            <w:r>
              <w:rPr>
                <w:rFonts w:ascii="Times New Roman" w:cs="Times New Roman" w:eastAsia="Times New Roman" w:hAnsi="Times New Roman"/>
                <w:sz w:val="26"/>
                <w:szCs w:val="26"/>
                <w:color w:val="auto"/>
                <w:w w:val="96"/>
                <w:vertAlign w:val="superscript"/>
              </w:rPr>
              <w:t>(8)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February 23, 2023, the Partnership’s bareboat fleet consisted of the following vessels: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Cargo</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Charterer (for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Charter</w:t>
            </w:r>
          </w:p>
        </w:tc>
        <w:tc>
          <w:tcPr>
            <w:tcW w:w="11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Optional</w:t>
            </w: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ind w:left="380"/>
              <w:spacing w:after="0" w:line="184" w:lineRule="exact"/>
              <w:rPr>
                <w:sz w:val="20"/>
                <w:szCs w:val="20"/>
                <w:color w:val="auto"/>
              </w:rPr>
            </w:pPr>
            <w:r>
              <w:rPr>
                <w:rFonts w:ascii="Times New Roman" w:cs="Times New Roman" w:eastAsia="Times New Roman" w:hAnsi="Times New Roman"/>
                <w:sz w:val="18"/>
                <w:szCs w:val="18"/>
                <w:b w:val="1"/>
                <w:bCs w:val="1"/>
                <w:color w:val="auto"/>
              </w:rPr>
              <w:t>Year</w:t>
            </w:r>
          </w:p>
        </w:tc>
        <w:tc>
          <w:tcPr>
            <w:tcW w:w="12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8"/>
              </w:rPr>
              <w:t>Capacity</w:t>
            </w:r>
          </w:p>
        </w:tc>
        <w:tc>
          <w:tcPr>
            <w:tcW w:w="15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contracts of more</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Vessel Name</w:t>
            </w:r>
          </w:p>
        </w:tc>
        <w:tc>
          <w:tcPr>
            <w:tcW w:w="120" w:type="dxa"/>
            <w:vAlign w:val="bottom"/>
            <w:tcBorders>
              <w:bottom w:val="single" w:sz="8" w:color="CCEEFF"/>
            </w:tcBorders>
          </w:tcPr>
          <w:p>
            <w:pPr>
              <w:spacing w:after="0"/>
              <w:rPr>
                <w:sz w:val="23"/>
                <w:szCs w:val="23"/>
                <w:color w:val="auto"/>
              </w:rPr>
            </w:pPr>
          </w:p>
        </w:tc>
        <w:tc>
          <w:tcPr>
            <w:tcW w:w="11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Built</w:t>
            </w:r>
          </w:p>
        </w:tc>
        <w:tc>
          <w:tcPr>
            <w:tcW w:w="240" w:type="dxa"/>
            <w:vAlign w:val="bottom"/>
            <w:tcBorders>
              <w:bottom w:val="single" w:sz="8" w:color="CCEEFF"/>
            </w:tcBorders>
          </w:tcPr>
          <w:p>
            <w:pPr>
              <w:spacing w:after="0"/>
              <w:rPr>
                <w:sz w:val="23"/>
                <w:szCs w:val="23"/>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(cbm)</w:t>
            </w:r>
          </w:p>
        </w:tc>
        <w:tc>
          <w:tcPr>
            <w:tcW w:w="240" w:type="dxa"/>
            <w:vAlign w:val="bottom"/>
            <w:tcBorders>
              <w:bottom w:val="single" w:sz="8" w:color="CCEEFF"/>
            </w:tcBorders>
          </w:tcPr>
          <w:p>
            <w:pPr>
              <w:spacing w:after="0"/>
              <w:rPr>
                <w:sz w:val="23"/>
                <w:szCs w:val="2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than six months)</w:t>
            </w:r>
          </w:p>
        </w:tc>
        <w:tc>
          <w:tcPr>
            <w:tcW w:w="100" w:type="dxa"/>
            <w:vAlign w:val="bottom"/>
            <w:tcBorders>
              <w:bottom w:val="single" w:sz="8" w:color="CCEEFF"/>
            </w:tcBorders>
          </w:tcPr>
          <w:p>
            <w:pPr>
              <w:spacing w:after="0"/>
              <w:rPr>
                <w:sz w:val="23"/>
                <w:szCs w:val="23"/>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Propulsion</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rPr>
              <w:t>Expiration</w:t>
            </w:r>
            <w:r>
              <w:rPr>
                <w:rFonts w:ascii="Times New Roman" w:cs="Times New Roman" w:eastAsia="Times New Roman" w:hAnsi="Times New Roman"/>
                <w:sz w:val="29"/>
                <w:szCs w:val="29"/>
                <w:b w:val="1"/>
                <w:bCs w:val="1"/>
                <w:color w:val="auto"/>
                <w:vertAlign w:val="superscript"/>
              </w:rPr>
              <w:t>(1)</w:t>
            </w:r>
          </w:p>
        </w:tc>
        <w:tc>
          <w:tcPr>
            <w:tcW w:w="220" w:type="dxa"/>
            <w:vAlign w:val="bottom"/>
            <w:tcBorders>
              <w:bottom w:val="single" w:sz="8" w:color="CCEEFF"/>
            </w:tcBorders>
          </w:tcPr>
          <w:p>
            <w:pPr>
              <w:spacing w:after="0"/>
              <w:rPr>
                <w:sz w:val="23"/>
                <w:szCs w:val="23"/>
                <w:color w:val="auto"/>
              </w:rPr>
            </w:pPr>
          </w:p>
        </w:tc>
        <w:tc>
          <w:tcPr>
            <w:tcW w:w="1100" w:type="dxa"/>
            <w:vAlign w:val="bottom"/>
            <w:tcBorders>
              <w:bottom w:val="single" w:sz="8" w:color="auto"/>
            </w:tcBorders>
          </w:tcPr>
          <w:p>
            <w:pPr>
              <w:ind w:left="160"/>
              <w:spacing w:after="0" w:line="270" w:lineRule="exact"/>
              <w:rPr>
                <w:sz w:val="20"/>
                <w:szCs w:val="20"/>
                <w:color w:val="auto"/>
              </w:rPr>
            </w:pP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29"/>
                <w:szCs w:val="29"/>
                <w:b w:val="1"/>
                <w:bCs w:val="1"/>
                <w:color w:val="auto"/>
                <w:vertAlign w:val="superscript"/>
              </w:rPr>
              <w:t>(2)</w:t>
            </w:r>
          </w:p>
        </w:tc>
        <w:tc>
          <w:tcPr>
            <w:tcW w:w="0" w:type="dxa"/>
            <w:vAlign w:val="bottom"/>
          </w:tcPr>
          <w:p>
            <w:pPr>
              <w:spacing w:after="0"/>
              <w:rPr>
                <w:sz w:val="1"/>
                <w:szCs w:val="1"/>
                <w:color w:val="auto"/>
              </w:rPr>
            </w:pPr>
          </w:p>
        </w:tc>
      </w:tr>
      <w:tr>
        <w:trPr>
          <w:trHeight w:val="236"/>
        </w:trPr>
        <w:tc>
          <w:tcPr>
            <w:tcW w:w="3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1</w:t>
            </w:r>
          </w:p>
        </w:tc>
        <w:tc>
          <w:tcPr>
            <w:tcW w:w="2700" w:type="dxa"/>
            <w:vAlign w:val="bottom"/>
            <w:shd w:val="clear" w:color="auto" w:fill="CCEEFF"/>
          </w:tcPr>
          <w:p>
            <w:pPr>
              <w:ind w:left="280"/>
              <w:spacing w:after="0" w:line="236" w:lineRule="exact"/>
              <w:rPr>
                <w:sz w:val="20"/>
                <w:szCs w:val="20"/>
                <w:color w:val="auto"/>
              </w:rPr>
            </w:pPr>
            <w:r>
              <w:rPr>
                <w:rFonts w:ascii="Times New Roman" w:cs="Times New Roman" w:eastAsia="Times New Roman" w:hAnsi="Times New Roman"/>
                <w:sz w:val="16"/>
                <w:szCs w:val="16"/>
                <w:i w:val="1"/>
                <w:iCs w:val="1"/>
                <w:color w:val="auto"/>
              </w:rPr>
              <w:t xml:space="preserve">GasLog Shanghai </w:t>
            </w:r>
            <w:r>
              <w:rPr>
                <w:rFonts w:ascii="Times New Roman" w:cs="Times New Roman" w:eastAsia="Times New Roman" w:hAnsi="Times New Roman"/>
                <w:sz w:val="26"/>
                <w:szCs w:val="26"/>
                <w:i w:val="1"/>
                <w:iCs w:val="1"/>
                <w:color w:val="auto"/>
                <w:vertAlign w:val="superscript"/>
              </w:rPr>
              <w:t>(17)</w:t>
            </w: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6"/>
                <w:szCs w:val="16"/>
                <w:color w:val="auto"/>
              </w:rPr>
              <w:t>2013</w:t>
            </w: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155,000</w:t>
            </w:r>
          </w:p>
        </w:tc>
        <w:tc>
          <w:tcPr>
            <w:tcW w:w="240" w:type="dxa"/>
            <w:vAlign w:val="bottom"/>
            <w:shd w:val="clear" w:color="auto" w:fill="CCEEFF"/>
          </w:tcPr>
          <w:p>
            <w:pPr>
              <w:spacing w:after="0"/>
              <w:rPr>
                <w:sz w:val="20"/>
                <w:szCs w:val="20"/>
                <w:color w:val="auto"/>
              </w:rPr>
            </w:pPr>
          </w:p>
        </w:tc>
        <w:tc>
          <w:tcPr>
            <w:tcW w:w="1460" w:type="dxa"/>
            <w:vAlign w:val="bottom"/>
            <w:shd w:val="clear" w:color="auto" w:fill="CCEEFF"/>
          </w:tcPr>
          <w:p>
            <w:pPr>
              <w:jc w:val="center"/>
              <w:spacing w:after="0" w:line="236" w:lineRule="exact"/>
              <w:rPr>
                <w:sz w:val="20"/>
                <w:szCs w:val="20"/>
                <w:color w:val="auto"/>
              </w:rPr>
            </w:pPr>
            <w:r>
              <w:rPr>
                <w:rFonts w:ascii="Times New Roman" w:cs="Times New Roman" w:eastAsia="Times New Roman" w:hAnsi="Times New Roman"/>
                <w:sz w:val="16"/>
                <w:szCs w:val="16"/>
                <w:color w:val="auto"/>
                <w:w w:val="94"/>
              </w:rPr>
              <w:t xml:space="preserve">Woodside </w:t>
            </w:r>
            <w:r>
              <w:rPr>
                <w:rFonts w:ascii="Times New Roman" w:cs="Times New Roman" w:eastAsia="Times New Roman" w:hAnsi="Times New Roman"/>
                <w:sz w:val="26"/>
                <w:szCs w:val="26"/>
                <w:color w:val="auto"/>
                <w:w w:val="94"/>
                <w:vertAlign w:val="superscript"/>
              </w:rPr>
              <w:t>(20)</w:t>
            </w:r>
          </w:p>
        </w:tc>
        <w:tc>
          <w:tcPr>
            <w:tcW w:w="1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TFDE</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2025</w:t>
            </w:r>
          </w:p>
        </w:tc>
        <w:tc>
          <w:tcPr>
            <w:tcW w:w="1100" w:type="dxa"/>
            <w:vAlign w:val="bottom"/>
            <w:shd w:val="clear" w:color="auto" w:fill="CCEEFF"/>
          </w:tcPr>
          <w:p>
            <w:pPr>
              <w:jc w:val="center"/>
              <w:ind w:right="95"/>
              <w:spacing w:after="0" w:line="236" w:lineRule="exact"/>
              <w:rPr>
                <w:sz w:val="20"/>
                <w:szCs w:val="20"/>
                <w:color w:val="auto"/>
              </w:rPr>
            </w:pPr>
            <w:r>
              <w:rPr>
                <w:rFonts w:ascii="Times New Roman" w:cs="Times New Roman" w:eastAsia="Times New Roman" w:hAnsi="Times New Roman"/>
                <w:sz w:val="16"/>
                <w:szCs w:val="16"/>
                <w:color w:val="auto"/>
              </w:rPr>
              <w:t xml:space="preserve">2026 </w:t>
            </w:r>
            <w:r>
              <w:rPr>
                <w:rFonts w:ascii="Times New Roman" w:cs="Times New Roman" w:eastAsia="Times New Roman" w:hAnsi="Times New Roman"/>
                <w:sz w:val="26"/>
                <w:szCs w:val="26"/>
                <w:color w:val="auto"/>
                <w:vertAlign w:val="superscript"/>
              </w:rPr>
              <w:t>(20)</w:t>
            </w:r>
          </w:p>
        </w:tc>
        <w:tc>
          <w:tcPr>
            <w:tcW w:w="0" w:type="dxa"/>
            <w:vAlign w:val="bottom"/>
          </w:tcPr>
          <w:p>
            <w:pPr>
              <w:spacing w:after="0"/>
              <w:rPr>
                <w:sz w:val="1"/>
                <w:szCs w:val="1"/>
                <w:color w:val="auto"/>
              </w:rPr>
            </w:pPr>
          </w:p>
        </w:tc>
      </w:tr>
      <w:tr>
        <w:trPr>
          <w:trHeight w:val="357"/>
        </w:trPr>
        <w:tc>
          <w:tcPr>
            <w:tcW w:w="36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74"/>
              </w:rPr>
              <w:t>2</w:t>
            </w:r>
          </w:p>
        </w:tc>
        <w:tc>
          <w:tcPr>
            <w:tcW w:w="2820" w:type="dxa"/>
            <w:vAlign w:val="bottom"/>
            <w:gridSpan w:val="2"/>
          </w:tcPr>
          <w:p>
            <w:pPr>
              <w:ind w:left="280"/>
              <w:spacing w:after="0"/>
              <w:rPr>
                <w:sz w:val="20"/>
                <w:szCs w:val="20"/>
                <w:color w:val="auto"/>
              </w:rPr>
            </w:pPr>
            <w:r>
              <w:rPr>
                <w:rFonts w:ascii="Times New Roman" w:cs="Times New Roman" w:eastAsia="Times New Roman" w:hAnsi="Times New Roman"/>
                <w:sz w:val="16"/>
                <w:szCs w:val="16"/>
                <w:i w:val="1"/>
                <w:iCs w:val="1"/>
                <w:color w:val="auto"/>
              </w:rPr>
              <w:t xml:space="preserve">Methane Heather Sally </w:t>
            </w:r>
            <w:r>
              <w:rPr>
                <w:rFonts w:ascii="Times New Roman" w:cs="Times New Roman" w:eastAsia="Times New Roman" w:hAnsi="Times New Roman"/>
                <w:sz w:val="26"/>
                <w:szCs w:val="26"/>
                <w:i w:val="1"/>
                <w:iCs w:val="1"/>
                <w:color w:val="auto"/>
                <w:vertAlign w:val="superscript"/>
              </w:rPr>
              <w:t>(17)</w:t>
            </w:r>
          </w:p>
        </w:tc>
        <w:tc>
          <w:tcPr>
            <w:tcW w:w="1140" w:type="dxa"/>
            <w:vAlign w:val="bottom"/>
          </w:tcPr>
          <w:p>
            <w:pPr>
              <w:jc w:val="right"/>
              <w:ind w:right="255"/>
              <w:spacing w:after="0"/>
              <w:rPr>
                <w:sz w:val="20"/>
                <w:szCs w:val="20"/>
                <w:color w:val="auto"/>
              </w:rPr>
            </w:pPr>
            <w:r>
              <w:rPr>
                <w:rFonts w:ascii="Times New Roman" w:cs="Times New Roman" w:eastAsia="Times New Roman" w:hAnsi="Times New Roman"/>
                <w:sz w:val="16"/>
                <w:szCs w:val="16"/>
                <w:color w:val="auto"/>
              </w:rPr>
              <w:t>2007</w:t>
            </w:r>
          </w:p>
        </w:tc>
        <w:tc>
          <w:tcPr>
            <w:tcW w:w="2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145,000</w:t>
            </w:r>
          </w:p>
        </w:tc>
        <w:tc>
          <w:tcPr>
            <w:tcW w:w="240" w:type="dxa"/>
            <w:vAlign w:val="bottom"/>
          </w:tcPr>
          <w:p>
            <w:pPr>
              <w:spacing w:after="0"/>
              <w:rPr>
                <w:sz w:val="24"/>
                <w:szCs w:val="24"/>
                <w:color w:val="auto"/>
              </w:rPr>
            </w:pP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7"/>
              </w:rPr>
              <w:t xml:space="preserve">SEA Charterer </w:t>
            </w:r>
            <w:r>
              <w:rPr>
                <w:rFonts w:ascii="Times New Roman" w:cs="Times New Roman" w:eastAsia="Times New Roman" w:hAnsi="Times New Roman"/>
                <w:sz w:val="26"/>
                <w:szCs w:val="26"/>
                <w:color w:val="auto"/>
                <w:w w:val="97"/>
                <w:vertAlign w:val="superscript"/>
              </w:rPr>
              <w:t>(21)</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Steam</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July 2025</w:t>
            </w:r>
          </w:p>
        </w:tc>
        <w:tc>
          <w:tcPr>
            <w:tcW w:w="1100" w:type="dxa"/>
            <w:vAlign w:val="bottom"/>
          </w:tcPr>
          <w:p>
            <w:pPr>
              <w:jc w:val="center"/>
              <w:ind w:left="15"/>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ectPr>
          <w:pgSz w:w="11900" w:h="16838" w:orient="portrait"/>
          <w:cols w:equalWidth="0" w:num="1">
            <w:col w:w="11240"/>
          </w:cols>
          <w:pgMar w:left="320" w:top="893" w:right="339" w:bottom="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20955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Indicates the expiration of the initial term.</w:t>
      </w:r>
    </w:p>
    <w:p>
      <w:pPr>
        <w:spacing w:after="0" w:line="149"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period shown reflects the expiration of the minimum optional period and the maximum optional period.</w:t>
      </w:r>
    </w:p>
    <w:p>
      <w:pPr>
        <w:spacing w:after="0" w:line="147"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GasLog Chelsea</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Alexandroupoli</w:t>
      </w:r>
      <w:r>
        <w:rPr>
          <w:rFonts w:ascii="Times New Roman" w:cs="Times New Roman" w:eastAsia="Times New Roman" w:hAnsi="Times New Roman"/>
          <w:sz w:val="14"/>
          <w:szCs w:val="14"/>
          <w:color w:val="auto"/>
        </w:rPr>
        <w:t xml:space="preserve"> in February 2023. The vessel is currently undergoing conversion into an FSRU.</w:t>
      </w:r>
    </w:p>
    <w:p>
      <w:pPr>
        <w:spacing w:after="0" w:line="165" w:lineRule="exact"/>
        <w:rPr>
          <w:rFonts w:ascii="Times New Roman" w:cs="Times New Roman" w:eastAsia="Times New Roman" w:hAnsi="Times New Roman"/>
          <w:sz w:val="12"/>
          <w:szCs w:val="12"/>
          <w:color w:val="auto"/>
        </w:rPr>
      </w:pPr>
    </w:p>
    <w:p>
      <w:pPr>
        <w:ind w:left="340" w:right="80" w:hanging="332"/>
        <w:spacing w:after="0" w:line="24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LNG Corporation. In September 2019, GasLog announced the signing of a 10-year time charter with Sinolam LNG Terminal, S.A. (“Sinolam”) for the provision of a floating storage unit (“FSU”) to a gas-fired power project being developed in Panama. On January 23, 2023, GasLog received a notice of termination of the above charter from Sinolam.</w:t>
      </w:r>
    </w:p>
    <w:p>
      <w:pPr>
        <w:spacing w:after="0" w:line="107" w:lineRule="exact"/>
        <w:rPr>
          <w:rFonts w:ascii="Times New Roman" w:cs="Times New Roman" w:eastAsia="Times New Roman" w:hAnsi="Times New Roman"/>
          <w:sz w:val="12"/>
          <w:szCs w:val="12"/>
          <w:color w:val="auto"/>
        </w:rPr>
      </w:pPr>
    </w:p>
    <w:p>
      <w:pPr>
        <w:ind w:left="340" w:right="20" w:hanging="332"/>
        <w:spacing w:after="0" w:line="243"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vessel </w:t>
      </w:r>
      <w:r>
        <w:rPr>
          <w:rFonts w:ascii="Times New Roman" w:cs="Times New Roman" w:eastAsia="Times New Roman" w:hAnsi="Times New Roman"/>
          <w:sz w:val="14"/>
          <w:szCs w:val="14"/>
          <w:i w:val="1"/>
          <w:iCs w:val="1"/>
          <w:color w:val="auto"/>
        </w:rPr>
        <w:t>Methane Lydon Volney</w:t>
      </w:r>
      <w:r>
        <w:rPr>
          <w:rFonts w:ascii="Times New Roman" w:cs="Times New Roman" w:eastAsia="Times New Roman" w:hAnsi="Times New Roman"/>
          <w:sz w:val="14"/>
          <w:szCs w:val="14"/>
          <w:color w:val="auto"/>
        </w:rPr>
        <w:t xml:space="preserve"> was renamed to </w:t>
      </w:r>
      <w:r>
        <w:rPr>
          <w:rFonts w:ascii="Times New Roman" w:cs="Times New Roman" w:eastAsia="Times New Roman" w:hAnsi="Times New Roman"/>
          <w:sz w:val="14"/>
          <w:szCs w:val="14"/>
          <w:i w:val="1"/>
          <w:iCs w:val="1"/>
          <w:color w:val="auto"/>
        </w:rPr>
        <w:t>GasLog Athens</w:t>
      </w:r>
      <w:r>
        <w:rPr>
          <w:rFonts w:ascii="Times New Roman" w:cs="Times New Roman" w:eastAsia="Times New Roman" w:hAnsi="Times New Roman"/>
          <w:sz w:val="14"/>
          <w:szCs w:val="14"/>
          <w:color w:val="auto"/>
        </w:rPr>
        <w:t xml:space="preserve"> in August 2022. The vessel is chartered to the Hellenic Gas Transmission System Operator (DESFA) S.A. (“DESFA”) for a period of one year. DESFA has the right to extend the charter by six additional months provided that DESFA gives us advance notice of declaration. Upon redelivery from DESFA, the vessel will be sold to an unrelated third party.</w:t>
      </w:r>
    </w:p>
    <w:p>
      <w:pPr>
        <w:spacing w:after="0" w:line="120" w:lineRule="exact"/>
        <w:rPr>
          <w:rFonts w:ascii="Times New Roman" w:cs="Times New Roman" w:eastAsia="Times New Roman" w:hAnsi="Times New Roman"/>
          <w:sz w:val="12"/>
          <w:szCs w:val="12"/>
          <w:color w:val="auto"/>
        </w:rPr>
      </w:pPr>
    </w:p>
    <w:p>
      <w:pPr>
        <w:ind w:left="340" w:right="30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multinational oil and gas company. The charterer has the right to extend the charter by one additional period of one year, provided that the charterer gives us advance notice of the declaration.</w:t>
      </w:r>
    </w:p>
    <w:p>
      <w:pPr>
        <w:spacing w:after="0" w:line="95"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Mitsui &amp; Co., Ltd. (“Mitsui”).</w:t>
      </w:r>
    </w:p>
    <w:p>
      <w:pPr>
        <w:spacing w:after="0" w:line="147" w:lineRule="exact"/>
        <w:rPr>
          <w:rFonts w:ascii="Times New Roman" w:cs="Times New Roman" w:eastAsia="Times New Roman" w:hAnsi="Times New Roman"/>
          <w:sz w:val="12"/>
          <w:szCs w:val="12"/>
          <w:color w:val="auto"/>
        </w:rPr>
      </w:pPr>
    </w:p>
    <w:p>
      <w:pPr>
        <w:ind w:left="340" w:right="60" w:hanging="332"/>
        <w:spacing w:after="0" w:line="243"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Shell has the right to extend the charters of (a)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Gladstone</w:t>
      </w:r>
      <w:r>
        <w:rPr>
          <w:rFonts w:ascii="Times New Roman" w:cs="Times New Roman" w:eastAsia="Times New Roman" w:hAnsi="Times New Roman"/>
          <w:sz w:val="14"/>
          <w:szCs w:val="14"/>
          <w:color w:val="auto"/>
        </w:rPr>
        <w:t xml:space="preserve"> by two additional periods of three years, (b) the </w:t>
      </w:r>
      <w:r>
        <w:rPr>
          <w:rFonts w:ascii="Times New Roman" w:cs="Times New Roman" w:eastAsia="Times New Roman" w:hAnsi="Times New Roman"/>
          <w:sz w:val="14"/>
          <w:szCs w:val="14"/>
          <w:i w:val="1"/>
          <w:iCs w:val="1"/>
          <w:color w:val="auto"/>
        </w:rPr>
        <w:t>GasLog Geneva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 xml:space="preserve">GasLog Gibraltar </w:t>
      </w:r>
      <w:r>
        <w:rPr>
          <w:rFonts w:ascii="Times New Roman" w:cs="Times New Roman" w:eastAsia="Times New Roman" w:hAnsi="Times New Roman"/>
          <w:sz w:val="14"/>
          <w:szCs w:val="14"/>
          <w:color w:val="auto"/>
        </w:rPr>
        <w:t>by two additional periods of five and three years, respectively, (c) the</w:t>
      </w:r>
      <w:r>
        <w:rPr>
          <w:rFonts w:ascii="Times New Roman" w:cs="Times New Roman" w:eastAsia="Times New Roman" w:hAnsi="Times New Roman"/>
          <w:sz w:val="14"/>
          <w:szCs w:val="14"/>
          <w:i w:val="1"/>
          <w:iCs w:val="1"/>
          <w:color w:val="auto"/>
        </w:rPr>
        <w:t xml:space="preserve"> Methane Julia Louise </w:t>
      </w:r>
      <w:r>
        <w:rPr>
          <w:rFonts w:ascii="Times New Roman" w:cs="Times New Roman" w:eastAsia="Times New Roman" w:hAnsi="Times New Roman"/>
          <w:sz w:val="14"/>
          <w:szCs w:val="14"/>
          <w:color w:val="auto"/>
        </w:rPr>
        <w:t>for a period of either three or five years and (d) the</w:t>
      </w:r>
      <w:r>
        <w:rPr>
          <w:rFonts w:ascii="Times New Roman" w:cs="Times New Roman" w:eastAsia="Times New Roman" w:hAnsi="Times New Roman"/>
          <w:sz w:val="14"/>
          <w:szCs w:val="14"/>
          <w:i w:val="1"/>
          <w:iCs w:val="1"/>
          <w:color w:val="auto"/>
        </w:rPr>
        <w:t xml:space="preserve"> GasLog Greece </w:t>
      </w:r>
      <w:r>
        <w:rPr>
          <w:rFonts w:ascii="Times New Roman" w:cs="Times New Roman" w:eastAsia="Times New Roman" w:hAnsi="Times New Roman"/>
          <w:sz w:val="14"/>
          <w:szCs w:val="14"/>
          <w:color w:val="auto"/>
        </w:rPr>
        <w:t>and the</w:t>
      </w:r>
      <w:r>
        <w:rPr>
          <w:rFonts w:ascii="Times New Roman" w:cs="Times New Roman" w:eastAsia="Times New Roman" w:hAnsi="Times New Roman"/>
          <w:sz w:val="14"/>
          <w:szCs w:val="14"/>
          <w:i w:val="1"/>
          <w:iCs w:val="1"/>
          <w:color w:val="auto"/>
        </w:rPr>
        <w:t xml:space="preserve"> GasLog Glasgow </w:t>
      </w:r>
      <w:r>
        <w:rPr>
          <w:rFonts w:ascii="Times New Roman" w:cs="Times New Roman" w:eastAsia="Times New Roman" w:hAnsi="Times New Roman"/>
          <w:sz w:val="14"/>
          <w:szCs w:val="14"/>
          <w:color w:val="auto"/>
        </w:rPr>
        <w:t>for a period of five years, provided that Shell gives us advance notice of the declarations.</w:t>
      </w:r>
    </w:p>
    <w:p>
      <w:pPr>
        <w:spacing w:after="0" w:line="107" w:lineRule="exact"/>
        <w:rPr>
          <w:rFonts w:ascii="Times New Roman" w:cs="Times New Roman" w:eastAsia="Times New Roman" w:hAnsi="Times New Roman"/>
          <w:sz w:val="12"/>
          <w:szCs w:val="12"/>
          <w:color w:val="auto"/>
        </w:rPr>
      </w:pPr>
    </w:p>
    <w:p>
      <w:pPr>
        <w:ind w:left="340" w:right="20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vessels are chartered to Pioneer Shipping Limited, a wholly owned subsidiary of Centrica Plc (“Centrica”). Centrica has the right to extend the charters by three additional periods of two years, provided that Centrica gives us advance notice of declaration.</w:t>
      </w:r>
    </w:p>
    <w:p>
      <w:pPr>
        <w:spacing w:after="0" w:line="93" w:lineRule="exact"/>
        <w:rPr>
          <w:rFonts w:ascii="Times New Roman" w:cs="Times New Roman" w:eastAsia="Times New Roman" w:hAnsi="Times New Roman"/>
          <w:sz w:val="12"/>
          <w:szCs w:val="12"/>
          <w:color w:val="auto"/>
        </w:rPr>
      </w:pPr>
    </w:p>
    <w:p>
      <w:pPr>
        <w:ind w:left="340" w:right="20" w:hanging="332"/>
        <w:spacing w:after="0" w:line="264"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Cheniere has the right to extend the charters of (a) the </w:t>
      </w:r>
      <w:r>
        <w:rPr>
          <w:rFonts w:ascii="Times New Roman" w:cs="Times New Roman" w:eastAsia="Times New Roman" w:hAnsi="Times New Roman"/>
          <w:sz w:val="14"/>
          <w:szCs w:val="14"/>
          <w:i w:val="1"/>
          <w:iCs w:val="1"/>
          <w:color w:val="auto"/>
        </w:rPr>
        <w:t>GasLog Georgetown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Galveston,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Wellington</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Winchester</w:t>
      </w:r>
      <w:r>
        <w:rPr>
          <w:rFonts w:ascii="Times New Roman" w:cs="Times New Roman" w:eastAsia="Times New Roman" w:hAnsi="Times New Roman"/>
          <w:sz w:val="14"/>
          <w:szCs w:val="14"/>
          <w:color w:val="auto"/>
        </w:rPr>
        <w:t xml:space="preserve"> by three consecutive periods of three years, two years and two years, respectively and (b) the </w:t>
      </w:r>
      <w:r>
        <w:rPr>
          <w:rFonts w:ascii="Times New Roman" w:cs="Times New Roman" w:eastAsia="Times New Roman" w:hAnsi="Times New Roman"/>
          <w:sz w:val="14"/>
          <w:szCs w:val="14"/>
          <w:i w:val="1"/>
          <w:iCs w:val="1"/>
          <w:color w:val="auto"/>
        </w:rPr>
        <w:t>Methane Jane Elizabeth</w:t>
      </w:r>
      <w:r>
        <w:rPr>
          <w:rFonts w:ascii="Times New Roman" w:cs="Times New Roman" w:eastAsia="Times New Roman" w:hAnsi="Times New Roman"/>
          <w:sz w:val="14"/>
          <w:szCs w:val="14"/>
          <w:color w:val="auto"/>
        </w:rPr>
        <w:t xml:space="preserve"> by an additional period of one year, provided that Cheniere gives us advance notice of the declarations.</w:t>
      </w:r>
    </w:p>
    <w:p>
      <w:pPr>
        <w:spacing w:after="0" w:line="91" w:lineRule="exact"/>
        <w:rPr>
          <w:rFonts w:ascii="Times New Roman" w:cs="Times New Roman" w:eastAsia="Times New Roman" w:hAnsi="Times New Roman"/>
          <w:sz w:val="12"/>
          <w:szCs w:val="12"/>
          <w:color w:val="auto"/>
        </w:rPr>
      </w:pPr>
    </w:p>
    <w:p>
      <w:pPr>
        <w:ind w:left="340" w:right="280" w:hanging="332"/>
        <w:spacing w:after="0" w:line="264"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“Endesa” refers to Endesa S.A. Endesa has the right to extend the charter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by two additional periods of six years, provided that Endesa gives us advance notice of declaration.</w:t>
      </w:r>
    </w:p>
    <w:p>
      <w:pPr>
        <w:spacing w:after="0" w:line="93" w:lineRule="exact"/>
        <w:rPr>
          <w:rFonts w:ascii="Times New Roman" w:cs="Times New Roman" w:eastAsia="Times New Roman" w:hAnsi="Times New Roman"/>
          <w:sz w:val="12"/>
          <w:szCs w:val="12"/>
          <w:color w:val="auto"/>
        </w:rPr>
      </w:pPr>
    </w:p>
    <w:p>
      <w:pPr>
        <w:ind w:left="340" w:right="14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“Jera” refers to LNG Marine Transport Limited, the principal LNG shipping entity of Japan’s Jera Co., Inc. Jera has the right to extend the charter by two additional periods of three years, provided that Jera gives us advance notice of declaration.</w:t>
      </w:r>
    </w:p>
    <w:p>
      <w:pPr>
        <w:spacing w:after="0" w:line="38"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The vessel is chartered to Naturgy Aprovisionamientos S.A. </w:t>
      </w: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Naturgy”).</w:t>
      </w:r>
    </w:p>
    <w:p>
      <w:pPr>
        <w:spacing w:after="0" w:line="131" w:lineRule="exact"/>
        <w:rPr>
          <w:rFonts w:ascii="Times New Roman" w:cs="Times New Roman" w:eastAsia="Times New Roman" w:hAnsi="Times New Roman"/>
          <w:sz w:val="24"/>
          <w:szCs w:val="24"/>
          <w:color w:val="auto"/>
          <w:vertAlign w:val="superscript"/>
        </w:rPr>
      </w:pPr>
    </w:p>
    <w:p>
      <w:pPr>
        <w:ind w:left="340" w:right="22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CNTIC VPower may extend the term of the related charter by two additional periods of one year, provided that the charterer gives us advance notice of declaration.</w:t>
      </w:r>
    </w:p>
    <w:p>
      <w:pPr>
        <w:spacing w:after="0" w:line="95" w:lineRule="exact"/>
        <w:rPr>
          <w:rFonts w:ascii="Times New Roman" w:cs="Times New Roman" w:eastAsia="Times New Roman" w:hAnsi="Times New Roman"/>
          <w:sz w:val="12"/>
          <w:szCs w:val="12"/>
          <w:color w:val="auto"/>
        </w:rPr>
      </w:pPr>
    </w:p>
    <w:p>
      <w:pPr>
        <w:ind w:left="340" w:right="4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Trafigura Maritime Logistics PTE Ltd. (“Trafigura”). Trafigura may extend the term of this time charter for a five-year period, provided that the charterer gives us advance notice of declaration.</w:t>
      </w:r>
    </w:p>
    <w:p>
      <w:pPr>
        <w:spacing w:after="0" w:line="95"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expected to commence its time charter with a Swiss-headquartered energy trading company following expiration of its current charter with a major trading house.</w:t>
      </w:r>
    </w:p>
    <w:p>
      <w:pPr>
        <w:spacing w:after="0" w:line="147" w:lineRule="exact"/>
        <w:rPr>
          <w:rFonts w:ascii="Times New Roman" w:cs="Times New Roman" w:eastAsia="Times New Roman" w:hAnsi="Times New Roman"/>
          <w:sz w:val="12"/>
          <w:szCs w:val="12"/>
          <w:color w:val="auto"/>
        </w:rPr>
      </w:pPr>
    </w:p>
    <w:p>
      <w:pPr>
        <w:ind w:left="340" w:right="20" w:hanging="332"/>
        <w:spacing w:after="0" w:line="23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Gas-six Ltd., GAS-ten Ltd. and GAS-three Ltd. have sold the </w:t>
      </w:r>
      <w:r>
        <w:rPr>
          <w:rFonts w:ascii="Times New Roman" w:cs="Times New Roman" w:eastAsia="Times New Roman" w:hAnsi="Times New Roman"/>
          <w:sz w:val="14"/>
          <w:szCs w:val="14"/>
          <w:i w:val="1"/>
          <w:iCs w:val="1"/>
          <w:color w:val="auto"/>
        </w:rPr>
        <w:t>GasLog Skagen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Salem</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Shanghai</w:t>
      </w:r>
      <w:r>
        <w:rPr>
          <w:rFonts w:ascii="Times New Roman" w:cs="Times New Roman" w:eastAsia="Times New Roman" w:hAnsi="Times New Roman"/>
          <w:sz w:val="14"/>
          <w:szCs w:val="14"/>
          <w:color w:val="auto"/>
        </w:rPr>
        <w:t xml:space="preserve">, respectively, to a wholly owned subsidiary of China Development Bank Leasing and leased it back for a period of five years, with no repurchase option or obligation. GAS-twenty one Ltd. has sold the </w:t>
      </w:r>
      <w:r>
        <w:rPr>
          <w:rFonts w:ascii="Times New Roman" w:cs="Times New Roman" w:eastAsia="Times New Roman" w:hAnsi="Times New Roman"/>
          <w:sz w:val="14"/>
          <w:szCs w:val="14"/>
          <w:i w:val="1"/>
          <w:iCs w:val="1"/>
          <w:color w:val="auto"/>
        </w:rPr>
        <w:t>Methane Heather Sally</w:t>
      </w:r>
      <w:r>
        <w:rPr>
          <w:rFonts w:ascii="Times New Roman" w:cs="Times New Roman" w:eastAsia="Times New Roman" w:hAnsi="Times New Roman"/>
          <w:sz w:val="14"/>
          <w:szCs w:val="14"/>
          <w:color w:val="auto"/>
        </w:rPr>
        <w:t xml:space="preserve"> to an unrelated party and leased back under a bareboat charter until the middle of 2025 with no repurchase option or obligation. GAS-twenty five Ltd., GAS-twenty six Ltd. and GAS-twenty four Ltd. have sold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to Sea 190 Leasing Co. Limited</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to Lepta Shipping Co. Ltd. and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to Hai Kuo Shipping 2051G Limited, respectively, and leased them back for a period of up to twelve, 17 and eight years, respectively. GAS-twenty five Ltd. and GAS-twenty six Ltd. have the option and GAS-twenty four Ltd. has the option and the obligation to re-purchase the vessels on pre-agreed terms.</w:t>
      </w:r>
    </w:p>
    <w:p>
      <w:pPr>
        <w:spacing w:after="0" w:line="125"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Tokyo LNG Tanker Co. Ltd. (“Tokyo LNG”).</w:t>
      </w:r>
    </w:p>
    <w:p>
      <w:pPr>
        <w:spacing w:after="0" w:line="149" w:lineRule="exact"/>
        <w:rPr>
          <w:rFonts w:ascii="Times New Roman" w:cs="Times New Roman" w:eastAsia="Times New Roman" w:hAnsi="Times New Roman"/>
          <w:sz w:val="12"/>
          <w:szCs w:val="12"/>
          <w:color w:val="auto"/>
        </w:rPr>
      </w:pPr>
    </w:p>
    <w:p>
      <w:pPr>
        <w:ind w:left="340" w:right="30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TotalEnergies Gas &amp; Power Limited, a wholly owned subsidiary of TotalEnergies SE (“TotalEnergies”). TotalEnergies has the right to extend the charter for a period of three years, provided that TotalEnergies provides us with advance notice of declaration.</w:t>
      </w:r>
    </w:p>
    <w:p>
      <w:pPr>
        <w:spacing w:after="0" w:line="95" w:lineRule="exact"/>
        <w:rPr>
          <w:rFonts w:ascii="Times New Roman" w:cs="Times New Roman" w:eastAsia="Times New Roman" w:hAnsi="Times New Roman"/>
          <w:sz w:val="12"/>
          <w:szCs w:val="12"/>
          <w:color w:val="auto"/>
        </w:rPr>
      </w:pPr>
    </w:p>
    <w:p>
      <w:pPr>
        <w:ind w:left="340" w:right="80" w:hanging="332"/>
        <w:spacing w:after="0" w:line="261" w:lineRule="auto"/>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Woodside Energy Shipping Singapore Pte. Ltd. (“Woodside”). The charterer has the right to extend the charter by one additional period of one year, provided that the charterer gives us advance notice of declaration.</w:t>
      </w:r>
    </w:p>
    <w:p>
      <w:pPr>
        <w:spacing w:after="0" w:line="95"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a Southeast Asian charterer (“SEA Charterer”).</w:t>
      </w:r>
    </w:p>
    <w:p>
      <w:pPr>
        <w:spacing w:after="0" w:line="158" w:lineRule="exact"/>
        <w:rPr>
          <w:sz w:val="20"/>
          <w:szCs w:val="20"/>
          <w:color w:val="auto"/>
        </w:rPr>
      </w:pPr>
    </w:p>
    <w:p>
      <w:pPr>
        <w:ind w:firstLine="383"/>
        <w:spacing w:after="0" w:line="272" w:lineRule="auto"/>
        <w:rPr>
          <w:sz w:val="20"/>
          <w:szCs w:val="20"/>
          <w:color w:val="auto"/>
        </w:rPr>
      </w:pPr>
      <w:r>
        <w:rPr>
          <w:rFonts w:ascii="Times New Roman" w:cs="Times New Roman" w:eastAsia="Times New Roman" w:hAnsi="Times New Roman"/>
          <w:sz w:val="16"/>
          <w:szCs w:val="16"/>
          <w:color w:val="auto"/>
        </w:rPr>
        <w:t>Under the omnibus agreement entered into with GasLog Partners and certain of its subsidiaries in connection with the Partnership’s initial public offering, as amended, GasLog has agreed, and has caused our controlled affiliates (other than GasLog Partners, its general partner and its subsidiaries) to agree, not to acquire, own, operate or charter any LNG carrier with a cargo capacity greater than 75,000 cbm engaged in oceangoing LNG transportation under a charter for five full years or more without, within 30 calendar days after the consummation of the acquisition or the commencement of the operations or charter of such a vessel, notifying and offering GasLog Partners the opportunity to purchase such a vessel at fair market value.</w:t>
      </w:r>
    </w:p>
    <w:p>
      <w:pPr>
        <w:spacing w:after="0" w:line="3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color w:val="auto"/>
        </w:rPr>
        <w:t>Future Deliveries</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As of February 23, 2023, GasLog has four newbuildings on order at Daewoo Shipbuilding and Marine Engineering Co., Ltd.: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Estimated Charter</w:t>
            </w:r>
          </w:p>
        </w:tc>
        <w:tc>
          <w:tcPr>
            <w:tcW w:w="0" w:type="dxa"/>
            <w:vAlign w:val="bottom"/>
          </w:tcPr>
          <w:p>
            <w:pPr>
              <w:spacing w:after="0"/>
              <w:rPr>
                <w:sz w:val="1"/>
                <w:szCs w:val="1"/>
                <w:color w:val="auto"/>
              </w:rPr>
            </w:pPr>
          </w:p>
        </w:tc>
      </w:tr>
      <w:tr>
        <w:trPr>
          <w:trHeight w:val="164"/>
        </w:trPr>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6"/>
                <w:szCs w:val="16"/>
                <w:b w:val="1"/>
                <w:bCs w:val="1"/>
                <w:color w:val="auto"/>
              </w:rPr>
              <w:t>Capacity</w:t>
            </w: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b w:val="1"/>
                <w:bCs w:val="1"/>
                <w:color w:val="auto"/>
              </w:rPr>
              <w:t>Propulsion</w:t>
            </w:r>
            <w:r>
              <w:rPr>
                <w:rFonts w:ascii="Times New Roman" w:cs="Times New Roman" w:eastAsia="Times New Roman" w:hAnsi="Times New Roman"/>
                <w:sz w:val="26"/>
                <w:szCs w:val="26"/>
                <w:b w:val="1"/>
                <w:bCs w:val="1"/>
                <w:color w:val="auto"/>
                <w:vertAlign w:val="superscript"/>
              </w:rPr>
              <w:t>(1)</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2160" w:type="dxa"/>
            <w:vAlign w:val="bottom"/>
            <w:gridSpan w:val="2"/>
          </w:tcPr>
          <w:p>
            <w:pPr>
              <w:ind w:left="560"/>
              <w:spacing w:after="0"/>
              <w:rPr>
                <w:sz w:val="20"/>
                <w:szCs w:val="20"/>
                <w:color w:val="auto"/>
              </w:rPr>
            </w:pPr>
            <w:r>
              <w:rPr>
                <w:rFonts w:ascii="Times New Roman" w:cs="Times New Roman" w:eastAsia="Times New Roman" w:hAnsi="Times New Roman"/>
                <w:sz w:val="16"/>
                <w:szCs w:val="16"/>
                <w:b w:val="1"/>
                <w:bCs w:val="1"/>
                <w:color w:val="auto"/>
              </w:rPr>
              <w:t>LNG Carrier</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Expected Delivery</w:t>
            </w: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(cbm)</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1900" w:type="dxa"/>
            <w:vAlign w:val="bottom"/>
            <w:gridSpan w:val="2"/>
            <w:vMerge w:val="continue"/>
          </w:tcPr>
          <w:p>
            <w:pPr>
              <w:spacing w:after="0"/>
              <w:rPr>
                <w:sz w:val="22"/>
                <w:szCs w:val="22"/>
                <w:color w:val="auto"/>
              </w:rPr>
            </w:pPr>
          </w:p>
        </w:tc>
        <w:tc>
          <w:tcPr>
            <w:tcW w:w="1560" w:type="dxa"/>
            <w:vAlign w:val="bottom"/>
          </w:tcPr>
          <w:p>
            <w:pPr>
              <w:jc w:val="right"/>
              <w:ind w:right="259"/>
              <w:spacing w:after="0" w:line="256" w:lineRule="exact"/>
              <w:rPr>
                <w:sz w:val="20"/>
                <w:szCs w:val="20"/>
                <w:color w:val="auto"/>
              </w:rPr>
            </w:pPr>
            <w:r>
              <w:rPr>
                <w:rFonts w:ascii="Times New Roman" w:cs="Times New Roman" w:eastAsia="Times New Roman" w:hAnsi="Times New Roman"/>
                <w:sz w:val="16"/>
                <w:szCs w:val="16"/>
                <w:b w:val="1"/>
                <w:bCs w:val="1"/>
                <w:color w:val="auto"/>
              </w:rPr>
              <w:t>Expiration</w:t>
            </w:r>
            <w:r>
              <w:rPr>
                <w:rFonts w:ascii="Times New Roman" w:cs="Times New Roman" w:eastAsia="Times New Roman" w:hAnsi="Times New Roman"/>
                <w:sz w:val="26"/>
                <w:szCs w:val="26"/>
                <w:b w:val="1"/>
                <w:bCs w:val="1"/>
                <w:color w:val="auto"/>
                <w:vertAlign w:val="superscript"/>
              </w:rPr>
              <w:t>(2)</w:t>
            </w:r>
          </w:p>
        </w:tc>
        <w:tc>
          <w:tcPr>
            <w:tcW w:w="0" w:type="dxa"/>
            <w:vAlign w:val="bottom"/>
          </w:tcPr>
          <w:p>
            <w:pPr>
              <w:spacing w:after="0"/>
              <w:rPr>
                <w:sz w:val="1"/>
                <w:szCs w:val="1"/>
                <w:color w:val="auto"/>
              </w:rPr>
            </w:pPr>
          </w:p>
        </w:tc>
      </w:tr>
      <w:tr>
        <w:trPr>
          <w:trHeight w:val="182"/>
        </w:trPr>
        <w:tc>
          <w:tcPr>
            <w:tcW w:w="20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Multinational Oil and Gas</w:t>
            </w:r>
          </w:p>
        </w:tc>
        <w:tc>
          <w:tcPr>
            <w:tcW w:w="10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Hull No. 2532</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Q3 2024</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Company</w:t>
            </w:r>
          </w:p>
        </w:tc>
        <w:tc>
          <w:tcPr>
            <w:tcW w:w="1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MEGI</w:t>
            </w:r>
          </w:p>
        </w:tc>
        <w:tc>
          <w:tcPr>
            <w:tcW w:w="15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2031</w:t>
            </w:r>
          </w:p>
        </w:tc>
        <w:tc>
          <w:tcPr>
            <w:tcW w:w="0" w:type="dxa"/>
            <w:vAlign w:val="bottom"/>
          </w:tcPr>
          <w:p>
            <w:pPr>
              <w:spacing w:after="0"/>
              <w:rPr>
                <w:sz w:val="1"/>
                <w:szCs w:val="1"/>
                <w:color w:val="auto"/>
              </w:rPr>
            </w:pPr>
          </w:p>
        </w:tc>
      </w:tr>
      <w:tr>
        <w:trPr>
          <w:trHeight w:val="203"/>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2533</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Q3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Mitsui</w:t>
            </w:r>
          </w:p>
        </w:tc>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MEGI</w:t>
            </w:r>
          </w:p>
        </w:tc>
        <w:tc>
          <w:tcPr>
            <w:tcW w:w="15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2033</w:t>
            </w:r>
          </w:p>
        </w:tc>
        <w:tc>
          <w:tcPr>
            <w:tcW w:w="0" w:type="dxa"/>
            <w:vAlign w:val="bottom"/>
          </w:tcPr>
          <w:p>
            <w:pPr>
              <w:spacing w:after="0"/>
              <w:rPr>
                <w:sz w:val="1"/>
                <w:szCs w:val="1"/>
                <w:color w:val="auto"/>
              </w:rPr>
            </w:pPr>
          </w:p>
        </w:tc>
      </w:tr>
      <w:tr>
        <w:trPr>
          <w:trHeight w:val="203"/>
        </w:trPr>
        <w:tc>
          <w:tcPr>
            <w:tcW w:w="2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Hull No. 2534</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Q3 2025</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Woodside</w:t>
            </w:r>
          </w:p>
        </w:tc>
        <w:tc>
          <w:tcPr>
            <w:tcW w:w="19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MEGI</w:t>
            </w:r>
          </w:p>
        </w:tc>
        <w:tc>
          <w:tcPr>
            <w:tcW w:w="156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210"/>
        </w:trPr>
        <w:tc>
          <w:tcPr>
            <w:tcW w:w="2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Hull No. 2535</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Q4 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174,000</w:t>
            </w:r>
          </w:p>
        </w:tc>
        <w:tc>
          <w:tcPr>
            <w:tcW w:w="22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Woodside</w:t>
            </w:r>
          </w:p>
        </w:tc>
        <w:tc>
          <w:tcPr>
            <w:tcW w:w="190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MEGI</w:t>
            </w:r>
          </w:p>
        </w:tc>
        <w:tc>
          <w:tcPr>
            <w:tcW w:w="15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1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7"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M-type, Electronically controlled Gas Injection (“MEGI”) engine.</w:t>
      </w:r>
    </w:p>
    <w:p>
      <w:pPr>
        <w:spacing w:after="0" w:line="17"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Charter expiration to be determined based upon actual date of delivery.</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3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2021 and 2022</w:t>
            </w:r>
          </w:p>
        </w:tc>
        <w:tc>
          <w:tcPr>
            <w:tcW w:w="3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50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1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0" w:type="dxa"/>
            <w:vAlign w:val="bottom"/>
          </w:tcPr>
          <w:p>
            <w:pPr>
              <w:spacing w:after="0"/>
              <w:rPr>
                <w:sz w:val="1"/>
                <w:szCs w:val="1"/>
                <w:color w:val="auto"/>
              </w:rPr>
            </w:pPr>
          </w:p>
        </w:tc>
      </w:tr>
      <w:tr>
        <w:trPr>
          <w:trHeight w:val="212"/>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9,511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23,508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5,564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4,866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1,913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5,002,829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Vessels under construction</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22,939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363,035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3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5,434,165</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5,203,676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28,595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receivable and other amounts due from related parties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8,327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5,798</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Short-term cash deposits</w:t>
            </w:r>
          </w:p>
        </w:tc>
        <w:tc>
          <w:tcPr>
            <w:tcW w:w="3360" w:type="dxa"/>
            <w:vAlign w:val="bottom"/>
          </w:tcPr>
          <w:p>
            <w:pPr>
              <w:spacing w:after="0"/>
              <w:rPr>
                <w:sz w:val="17"/>
                <w:szCs w:val="17"/>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282,246</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36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325,580</w:t>
            </w:r>
          </w:p>
        </w:tc>
        <w:tc>
          <w:tcPr>
            <w:tcW w:w="2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468,372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5,759,745</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33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3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3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Preference shares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954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Contributed surplus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692,536</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deficit)/retained earnings</w:t>
            </w:r>
          </w:p>
        </w:tc>
        <w:tc>
          <w:tcPr>
            <w:tcW w:w="4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(65,117)</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owners of the Group</w:t>
            </w:r>
          </w:p>
        </w:tc>
        <w:tc>
          <w:tcPr>
            <w:tcW w:w="33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643,741</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785,037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924,630</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33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1,568,371</w:t>
            </w:r>
          </w:p>
        </w:tc>
        <w:tc>
          <w:tcPr>
            <w:tcW w:w="2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1,721,778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15,892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Ship management creditors</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119</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current portion</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25,518</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153,501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Borrowings, current portion</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553,161</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294,977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liabilities, current portion</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30,905</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36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779,123</w:t>
            </w:r>
          </w:p>
        </w:tc>
        <w:tc>
          <w:tcPr>
            <w:tcW w:w="2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533,056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portion</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28,694</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non-current portion</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3,105,059</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non-current portion</w:t>
            </w:r>
          </w:p>
        </w:tc>
        <w:tc>
          <w:tcPr>
            <w:tcW w:w="4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271,945</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6,553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360" w:type="dxa"/>
            <w:vAlign w:val="bottom"/>
            <w:tcBorders>
              <w:bottom w:val="single" w:sz="8" w:color="CCEEFF"/>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3,412,251</w:t>
            </w:r>
          </w:p>
        </w:tc>
        <w:tc>
          <w:tcPr>
            <w:tcW w:w="220" w:type="dxa"/>
            <w:vAlign w:val="bottom"/>
            <w:tcBorders>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3,417,214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3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5,759,745</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5,672,048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360" w:type="dxa"/>
            <w:vAlign w:val="bottom"/>
            <w:vMerge w:val="restart"/>
          </w:tcPr>
          <w:p>
            <w:pPr>
              <w:jc w:val="right"/>
              <w:ind w:right="2719"/>
              <w:spacing w:after="0"/>
              <w:rPr>
                <w:sz w:val="20"/>
                <w:szCs w:val="20"/>
                <w:color w:val="auto"/>
              </w:rPr>
            </w:pPr>
            <w:r>
              <w:rPr>
                <w:rFonts w:ascii="Times New Roman" w:cs="Times New Roman" w:eastAsia="Times New Roman" w:hAnsi="Times New Roman"/>
                <w:sz w:val="14"/>
                <w:szCs w:val="14"/>
                <w:color w:val="auto"/>
              </w:rPr>
              <w:t>9</w:t>
            </w: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50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9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months and years ended December 31,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223,078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244,847</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809,577</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915,625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(6,679)</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(4,135)</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(19,430)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(14,260)</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1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(44,562)</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(45,417)</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(166,432)</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(170,591)</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(55,386)</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(58,565)</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(202,953)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(228,639)</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(136,816)</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(11,376)</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(153,669)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(68,287)</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(Loss)/gain on disposal of non-current assets</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(1,100)</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338</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(11,030)</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(12,399)</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(43,313)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(35,007)</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(Loss)/profit from operations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(32,495</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113,293</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222,680</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398,435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(38,158)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(58,502)</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(166,955)</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26</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2,625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4,118</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10,444</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7,465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22,680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74,807</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202</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3,822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1,969</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4,562</w:t>
            </w:r>
          </w:p>
        </w:tc>
        <w:tc>
          <w:tcPr>
            <w:tcW w:w="0" w:type="dxa"/>
            <w:vAlign w:val="bottom"/>
          </w:tcPr>
          <w:p>
            <w:pPr>
              <w:spacing w:after="0"/>
              <w:rPr>
                <w:sz w:val="1"/>
                <w:szCs w:val="1"/>
                <w:color w:val="auto"/>
              </w:rPr>
            </w:pPr>
          </w:p>
        </w:tc>
      </w:tr>
      <w:tr>
        <w:trPr>
          <w:trHeight w:val="19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(27,486</w:t>
            </w:r>
          </w:p>
        </w:tc>
        <w:tc>
          <w:tcPr>
            <w:tcW w:w="240" w:type="dxa"/>
            <w:vAlign w:val="bottom"/>
            <w:tcBorders>
              <w:top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(44,590</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(142,164</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(101,188</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(Loss)/profit for the period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(59,981</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68,703</w:t>
            </w:r>
          </w:p>
        </w:tc>
        <w:tc>
          <w:tcPr>
            <w:tcW w:w="2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80,516</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297,247</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Attributable to:</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Owners of the Group</w:t>
            </w:r>
          </w:p>
        </w:tc>
        <w:tc>
          <w:tcPr>
            <w:tcW w:w="15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(13,518)</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39,009</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67,663</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207,450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(46,463)</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29,694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89,797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(59,981</w:t>
            </w:r>
          </w:p>
        </w:tc>
        <w:tc>
          <w:tcPr>
            <w:tcW w:w="240" w:type="dxa"/>
            <w:vAlign w:val="bottom"/>
            <w:vMerge w:val="continue"/>
          </w:tcPr>
          <w:p>
            <w:pPr>
              <w:spacing w:after="0"/>
              <w:rPr>
                <w:sz w:val="19"/>
                <w:szCs w:val="19"/>
                <w:color w:val="auto"/>
              </w:rPr>
            </w:pP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68,703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80,516</w:t>
            </w:r>
          </w:p>
        </w:tc>
        <w:tc>
          <w:tcPr>
            <w:tcW w:w="2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297,247</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19"/>
              <w:spacing w:after="0"/>
              <w:rPr>
                <w:sz w:val="20"/>
                <w:szCs w:val="20"/>
                <w:color w:val="auto"/>
              </w:rPr>
            </w:pPr>
            <w:r>
              <w:rPr>
                <w:rFonts w:ascii="Times New Roman" w:cs="Times New Roman" w:eastAsia="Times New Roman" w:hAnsi="Times New Roman"/>
                <w:sz w:val="14"/>
                <w:szCs w:val="14"/>
                <w:color w:val="auto"/>
                <w:w w:val="99"/>
              </w:rPr>
              <w:t>10</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years ended December 31, 2021 and 2022</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40" w:type="dxa"/>
            <w:vAlign w:val="bottom"/>
          </w:tcPr>
          <w:p>
            <w:pPr>
              <w:spacing w:after="0"/>
              <w:rPr>
                <w:sz w:val="17"/>
                <w:szCs w:val="17"/>
                <w:color w:val="auto"/>
              </w:rPr>
            </w:pPr>
          </w:p>
        </w:tc>
        <w:tc>
          <w:tcPr>
            <w:tcW w:w="2800" w:type="dxa"/>
            <w:vAlign w:val="bottom"/>
            <w:gridSpan w:val="4"/>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6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84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Profit for the year</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80,516</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297,247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202,953</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228,639</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153,669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68,287</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(1,969)</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(4,562)</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(4,118)</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166,955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184,675</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Gain on derivatives (excluding realized gain/loss on forward foreign exchange contracts held for trading)</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(23,817)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(80,742)</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3,448</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760</w:t>
            </w:r>
          </w:p>
        </w:tc>
        <w:tc>
          <w:tcPr>
            <w:tcW w:w="0" w:type="dxa"/>
            <w:vAlign w:val="bottom"/>
          </w:tcPr>
          <w:p>
            <w:pPr>
              <w:spacing w:after="0"/>
              <w:rPr>
                <w:sz w:val="1"/>
                <w:szCs w:val="1"/>
                <w:color w:val="auto"/>
              </w:rPr>
            </w:pPr>
          </w:p>
        </w:tc>
      </w:tr>
      <w:tr>
        <w:trPr>
          <w:trHeight w:val="207"/>
        </w:trPr>
        <w:tc>
          <w:tcPr>
            <w:tcW w:w="844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582,713</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690,592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9,394</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592,107</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698,912</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and vessels under construction</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(506,641)</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(193,464)</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 and sale and leaseback, net of commissions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242,979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225,429</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FSRU forthcoming sale</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108,632</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(230)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2"/>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received from associate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cash deposits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(2,500)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(61,000)</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Maturity of short-term cash deposits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3,554</w:t>
            </w:r>
          </w:p>
        </w:tc>
        <w:tc>
          <w:tcPr>
            <w:tcW w:w="0" w:type="dxa"/>
            <w:vAlign w:val="bottom"/>
          </w:tcPr>
          <w:p>
            <w:pPr>
              <w:spacing w:after="0"/>
              <w:rPr>
                <w:sz w:val="1"/>
                <w:szCs w:val="1"/>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in)/provided by investing activities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(262,050</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loans and bonds, net of discount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471,867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374,659</w:t>
            </w:r>
          </w:p>
        </w:tc>
        <w:tc>
          <w:tcPr>
            <w:tcW w:w="0" w:type="dxa"/>
            <w:vAlign w:val="bottom"/>
          </w:tcPr>
          <w:p>
            <w:pPr>
              <w:spacing w:after="0"/>
              <w:rPr>
                <w:sz w:val="1"/>
                <w:szCs w:val="1"/>
                <w:color w:val="auto"/>
              </w:rPr>
            </w:pPr>
          </w:p>
        </w:tc>
      </w:tr>
      <w:tr>
        <w:trPr>
          <w:trHeight w:val="202"/>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Loan and bond repayments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(592,463)</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(729,849)</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Principal elements of lease payments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(14,843)</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(42,262)</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(172,772)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(164,499)</w:t>
            </w:r>
          </w:p>
        </w:tc>
        <w:tc>
          <w:tcPr>
            <w:tcW w:w="0" w:type="dxa"/>
            <w:vAlign w:val="bottom"/>
          </w:tcPr>
          <w:p>
            <w:pPr>
              <w:spacing w:after="0"/>
              <w:rPr>
                <w:sz w:val="1"/>
                <w:szCs w:val="1"/>
                <w:color w:val="auto"/>
              </w:rPr>
            </w:pPr>
          </w:p>
        </w:tc>
      </w:tr>
      <w:tr>
        <w:trPr>
          <w:trHeight w:val="18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Loan/bond modification costs related to the take-private transaction with BlackRock’s Global Energy &amp; Power Infrastructure</w:t>
            </w: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team (the “Transaction”)</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(15,718)</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 of cash collaterals for swaps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(9,080)</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Release of cash collaterals for swaps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31,557</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990</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and bond issuance costs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(13,437)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(5,188)</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Loan issuance costs received</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Payment of equity raising costs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(347)</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GasLog Partners’ common unit offerings (net of underwriting discounts and commissions)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Dividends paid (common and preference)</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(91,499)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(105,277)</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GasLog Partners’ preference units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(18,388)</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(49,244)</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used in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(414,744</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(720,690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(Decrease)/increase in cash and cash equivalents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(85,023</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86,040</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year</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367,269</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282,246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year</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282,246</w:t>
            </w:r>
          </w:p>
        </w:tc>
        <w:tc>
          <w:tcPr>
            <w:tcW w:w="2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368,286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40"/>
              <w:spacing w:after="0"/>
              <w:rPr>
                <w:sz w:val="20"/>
                <w:szCs w:val="20"/>
                <w:color w:val="auto"/>
              </w:rPr>
            </w:pPr>
            <w:r>
              <w:rPr>
                <w:rFonts w:ascii="Times New Roman" w:cs="Times New Roman" w:eastAsia="Times New Roman" w:hAnsi="Times New Roman"/>
                <w:sz w:val="14"/>
                <w:szCs w:val="14"/>
                <w:color w:val="auto"/>
              </w:rPr>
              <w:t>11</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1"/>
        </w:trPr>
        <w:tc>
          <w:tcPr>
            <w:tcW w:w="844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EBITDA, Adjusted EBITDA and Adjusted Profit</w:t>
      </w:r>
    </w:p>
    <w:p>
      <w:pPr>
        <w:spacing w:after="0" w:line="22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color w:val="auto"/>
        </w:rPr>
        <w:t>EBITDA is defined as earnings before depreciation, amortization, financial income and costs, gain/loss on derivatives and taxes. Adjusted EBITDA is defined as EBITDA before foreign exchange gains/losses, impairment loss, gain/loss on disposal of non-current assets, restructuring costs and the costs relating to the Transaction (such costs, the “Transaction Costs”). Adjusted Profit represents earnings before write-off and accelerated amortization of unamortized loan fees/bond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that includes (if any) (a) unrealized gain/loss on derivative financial instruments held for trading, (b) recycled loss of cash flow hedges reclassified to profit or loss and (c) ineffective portion of cash flow hedges. EBITDA, Adjusted EBITDA and Adjusted Profit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and Adjusted Profit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gain/loss on disposal of non-current assets, restructuring costs and Transaction Costs; and in the case of Adjusted Profit, write-off and accelerated amortization of unamortized loan/bond fees and premium, foreign exchange gains/losses, unrealized foreign exchange losses on cash and bond, impairment loss, swap optimization costs (with respect to cash collateral amendments), gain/loss on disposal of non-current assets, restructuring costs, Transaction Costs and non-cash gain/loss on derivatives, which items are affected by various and possibly changing financing methods, financial market conditions, capital structure and historical cost basis, and which items may significantly affect results of operations between periods.</w:t>
      </w:r>
    </w:p>
    <w:p>
      <w:pPr>
        <w:spacing w:after="0" w:line="39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EBITDA, Adjusted EBITDA and Adjusted Profit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and Adjusted Profit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7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evaluating Adjusted EBITDA and Adjusted Profit, you should be aware that in the future we may incur expenses that are the same as, or similar to, some of the adjustments in this presentation. Our presentation of Adjusted EBITDA and Adjusted Profit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(Loss)/profit to EBITDA and Adjusted EBITDA: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2"/>
        </w:trPr>
        <w:tc>
          <w:tcPr>
            <w:tcW w:w="5520" w:type="dxa"/>
            <w:vAlign w:val="bottom"/>
          </w:tcPr>
          <w:p>
            <w:pPr>
              <w:spacing w:after="0"/>
              <w:rPr>
                <w:sz w:val="17"/>
                <w:szCs w:val="17"/>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(59,981)</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80,516</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297,247</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55,386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58,565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202,953</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228,639</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38,158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58,502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166,955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184,675</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(2,625)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(4,118)</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Gain on derivatives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(10,444)</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(7,465)</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(22,680)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(74,807)</w:t>
            </w:r>
          </w:p>
        </w:tc>
      </w:tr>
      <w:tr>
        <w:trPr>
          <w:trHeight w:val="19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23,093</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175,680</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427,602</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631,636</w:t>
            </w:r>
          </w:p>
        </w:tc>
        <w:tc>
          <w:tcPr>
            <w:tcW w:w="100" w:type="dxa"/>
            <w:vAlign w:val="bottom"/>
            <w:tcBorders>
              <w:bottom w:val="single" w:sz="8" w:color="CCEEFF"/>
            </w:tcBorders>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(gains)/losses, net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3,332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5,017</w:t>
            </w:r>
          </w:p>
        </w:tc>
      </w:tr>
      <w:tr>
        <w:trPr>
          <w:trHeight w:val="20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4,005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13,671</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845</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136,816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11,376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153,669</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68,287</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Loss/(gain) on disposal of non-current assets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1,100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406</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164,896</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190,750</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596,014</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706,654</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9"/>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4"/>
                <w:szCs w:val="14"/>
                <w:color w:val="auto"/>
                <w:w w:val="99"/>
              </w:rPr>
              <w:t>12</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color w:val="auto"/>
        </w:rPr>
        <w:t>Reconciliation of (Loss)/profit to Adjusted Profit: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For the years ended</w:t>
            </w:r>
          </w:p>
        </w:tc>
      </w:tr>
      <w:tr>
        <w:trPr>
          <w:trHeight w:val="203"/>
        </w:trPr>
        <w:tc>
          <w:tcPr>
            <w:tcW w:w="5520" w:type="dxa"/>
            <w:vAlign w:val="bottom"/>
          </w:tcPr>
          <w:p>
            <w:pPr>
              <w:spacing w:after="0"/>
              <w:rPr>
                <w:sz w:val="17"/>
                <w:szCs w:val="17"/>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(Loss)/profit for the period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(59,981)</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68,703</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80,516</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297,247</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Non-cash gain on derivatives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(20,383)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(7,263)</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(59,402)</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(92,807)</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 of unamortized loan/bond fees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1,906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360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1,804</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(gains)/losses, net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695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(843)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463</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5,017</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Transaction Costs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845</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136,816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11,376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153,669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68,287</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Loss/(gain) on disposal of non-current assets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406</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foreign exchange (gains)/losses, net on cash</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(1,301)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(445)</w:t>
            </w:r>
          </w:p>
        </w:tc>
      </w:tr>
      <w:tr>
        <w:trPr>
          <w:trHeight w:val="208"/>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63,344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75,569</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211,856</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280,817</w:t>
            </w:r>
          </w:p>
        </w:tc>
        <w:tc>
          <w:tcPr>
            <w:tcW w:w="10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9"/>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20"/>
              <w:spacing w:after="0"/>
              <w:rPr>
                <w:sz w:val="20"/>
                <w:szCs w:val="20"/>
                <w:color w:val="auto"/>
              </w:rPr>
            </w:pPr>
            <w:r>
              <w:rPr>
                <w:rFonts w:ascii="Times New Roman" w:cs="Times New Roman" w:eastAsia="Times New Roman" w:hAnsi="Times New Roman"/>
                <w:sz w:val="14"/>
                <w:szCs w:val="14"/>
                <w:color w:val="auto"/>
                <w:w w:val="99"/>
              </w:rPr>
              <w:t>13</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2023-02-23T05:51:41Z</dcterms:created>
  <dcterms:modified xsi:type="dcterms:W3CDTF">2023-02-23T05:51:41Z</dcterms:modified>
</cp:coreProperties>
</file>