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6"/>
              </w:rPr>
              <w:t>Form 6-K</w:t>
            </w:r>
          </w:p>
        </w:tc>
        <w:tc>
          <w:tcPr>
            <w:tcW w:w="720" w:type="dxa"/>
            <w:vAlign w:val="bottom"/>
          </w:tcPr>
          <w:p>
            <w:pPr>
              <w:spacing w:after="0"/>
              <w:rPr>
                <w:sz w:val="20"/>
                <w:szCs w:val="20"/>
                <w:color w:val="auto"/>
              </w:rPr>
            </w:pPr>
          </w:p>
        </w:tc>
      </w:tr>
      <w:tr>
        <w:trPr>
          <w:trHeight w:val="414"/>
        </w:trPr>
        <w:tc>
          <w:tcPr>
            <w:tcW w:w="10520" w:type="dxa"/>
            <w:vAlign w:val="bottom"/>
          </w:tcPr>
          <w:p>
            <w:pPr>
              <w:jc w:val="center"/>
              <w:ind w:left="650"/>
              <w:spacing w:after="0"/>
              <w:rPr>
                <w:sz w:val="20"/>
                <w:szCs w:val="20"/>
                <w:color w:val="auto"/>
              </w:rPr>
            </w:pPr>
            <w:r>
              <w:rPr>
                <w:rFonts w:ascii="Arial" w:cs="Arial" w:eastAsia="Arial" w:hAnsi="Arial"/>
                <w:sz w:val="18"/>
                <w:szCs w:val="18"/>
                <w:b w:val="1"/>
                <w:bCs w:val="1"/>
                <w:color w:val="auto"/>
                <w:w w:val="98"/>
              </w:rPr>
              <w:t>REPORT OF FOREIGN PRIVATE ISSUER PURSUANT TO RULE 13a-16 OR 15d-16 UNDER THE SECURITIES</w:t>
            </w:r>
          </w:p>
        </w:tc>
        <w:tc>
          <w:tcPr>
            <w:tcW w:w="720" w:type="dxa"/>
            <w:vAlign w:val="bottom"/>
          </w:tcPr>
          <w:p>
            <w:pPr>
              <w:spacing w:after="0"/>
              <w:rPr>
                <w:sz w:val="24"/>
                <w:szCs w:val="24"/>
                <w:color w:val="auto"/>
              </w:rPr>
            </w:pPr>
          </w:p>
        </w:tc>
      </w:tr>
      <w:tr>
        <w:trPr>
          <w:trHeight w:val="234"/>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8"/>
              </w:rPr>
              <w:t>EXCHANGE ACT OF 1934</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For the month of May 2021</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Commission File Number 001-35466</w:t>
            </w:r>
          </w:p>
        </w:tc>
        <w:tc>
          <w:tcPr>
            <w:tcW w:w="720" w:type="dxa"/>
            <w:vAlign w:val="bottom"/>
          </w:tcPr>
          <w:p>
            <w:pPr>
              <w:spacing w:after="0"/>
              <w:rPr>
                <w:sz w:val="24"/>
                <w:szCs w:val="24"/>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b w:val="1"/>
                <w:bCs w:val="1"/>
                <w:color w:val="auto"/>
                <w:w w:val="91"/>
              </w:rPr>
              <w:t>GasLog Ltd.</w:t>
            </w:r>
          </w:p>
        </w:tc>
        <w:tc>
          <w:tcPr>
            <w:tcW w:w="720" w:type="dxa"/>
            <w:vAlign w:val="bottom"/>
          </w:tcPr>
          <w:p>
            <w:pPr>
              <w:spacing w:after="0"/>
              <w:rPr>
                <w:sz w:val="24"/>
                <w:szCs w:val="24"/>
                <w:color w:val="auto"/>
              </w:rPr>
            </w:pPr>
          </w:p>
        </w:tc>
      </w:tr>
      <w:tr>
        <w:trPr>
          <w:trHeight w:val="230"/>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1"/>
              </w:rPr>
              <w:t>(Translation of registrant’s name into English)</w:t>
            </w:r>
          </w:p>
        </w:tc>
        <w:tc>
          <w:tcPr>
            <w:tcW w:w="720" w:type="dxa"/>
            <w:vAlign w:val="bottom"/>
          </w:tcPr>
          <w:p>
            <w:pPr>
              <w:spacing w:after="0"/>
              <w:rPr>
                <w:sz w:val="20"/>
                <w:szCs w:val="20"/>
                <w:color w:val="auto"/>
              </w:rPr>
            </w:pPr>
          </w:p>
        </w:tc>
      </w:tr>
      <w:tr>
        <w:trPr>
          <w:trHeight w:val="418"/>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92"/>
              </w:rPr>
              <w:t>c/o GasLog LNG Services Ltd.</w:t>
            </w:r>
          </w:p>
        </w:tc>
        <w:tc>
          <w:tcPr>
            <w:tcW w:w="720" w:type="dxa"/>
            <w:vAlign w:val="bottom"/>
          </w:tcPr>
          <w:p>
            <w:pPr>
              <w:spacing w:after="0"/>
              <w:rPr>
                <w:sz w:val="24"/>
                <w:szCs w:val="24"/>
                <w:color w:val="auto"/>
              </w:rPr>
            </w:pPr>
          </w:p>
        </w:tc>
      </w:tr>
      <w:tr>
        <w:trPr>
          <w:trHeight w:val="216"/>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6"/>
              </w:rPr>
              <w:t>69 Akti Miaouli 18537</w:t>
            </w:r>
          </w:p>
        </w:tc>
        <w:tc>
          <w:tcPr>
            <w:tcW w:w="720" w:type="dxa"/>
            <w:vAlign w:val="bottom"/>
          </w:tcPr>
          <w:p>
            <w:pPr>
              <w:spacing w:after="0"/>
              <w:rPr>
                <w:sz w:val="18"/>
                <w:szCs w:val="18"/>
                <w:color w:val="auto"/>
              </w:rPr>
            </w:pPr>
          </w:p>
        </w:tc>
      </w:tr>
      <w:tr>
        <w:trPr>
          <w:trHeight w:val="216"/>
        </w:trPr>
        <w:tc>
          <w:tcPr>
            <w:tcW w:w="10520" w:type="dxa"/>
            <w:vAlign w:val="bottom"/>
          </w:tcPr>
          <w:p>
            <w:pPr>
              <w:jc w:val="center"/>
              <w:ind w:left="630"/>
              <w:spacing w:after="0"/>
              <w:rPr>
                <w:sz w:val="20"/>
                <w:szCs w:val="20"/>
                <w:color w:val="auto"/>
              </w:rPr>
            </w:pPr>
            <w:r>
              <w:rPr>
                <w:rFonts w:ascii="Arial" w:cs="Arial" w:eastAsia="Arial" w:hAnsi="Arial"/>
                <w:sz w:val="18"/>
                <w:szCs w:val="18"/>
                <w:color w:val="auto"/>
                <w:w w:val="86"/>
              </w:rPr>
              <w:t>Piraeus, Greece</w:t>
            </w:r>
          </w:p>
        </w:tc>
        <w:tc>
          <w:tcPr>
            <w:tcW w:w="720" w:type="dxa"/>
            <w:vAlign w:val="bottom"/>
          </w:tcPr>
          <w:p>
            <w:pPr>
              <w:spacing w:after="0"/>
              <w:rPr>
                <w:sz w:val="18"/>
                <w:szCs w:val="18"/>
                <w:color w:val="auto"/>
              </w:rPr>
            </w:pPr>
          </w:p>
        </w:tc>
      </w:tr>
      <w:tr>
        <w:trPr>
          <w:trHeight w:val="230"/>
        </w:trPr>
        <w:tc>
          <w:tcPr>
            <w:tcW w:w="10520" w:type="dxa"/>
            <w:vAlign w:val="bottom"/>
          </w:tcPr>
          <w:p>
            <w:pPr>
              <w:jc w:val="center"/>
              <w:ind w:left="650"/>
              <w:spacing w:after="0"/>
              <w:rPr>
                <w:sz w:val="20"/>
                <w:szCs w:val="20"/>
                <w:color w:val="auto"/>
              </w:rPr>
            </w:pPr>
            <w:r>
              <w:rPr>
                <w:rFonts w:ascii="Arial" w:cs="Arial" w:eastAsia="Arial" w:hAnsi="Arial"/>
                <w:sz w:val="18"/>
                <w:szCs w:val="18"/>
                <w:color w:val="auto"/>
                <w:w w:val="92"/>
              </w:rPr>
              <w:t>(Address of principal executive office)</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72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Arial" w:cs="Arial" w:eastAsia="Arial" w:hAnsi="Arial"/>
                <w:sz w:val="18"/>
                <w:szCs w:val="18"/>
                <w:color w:val="auto"/>
              </w:rPr>
              <w:t xml:space="preserve">Form 20-F þ   Form 40-F </w:t>
            </w: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10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8"/>
        </w:trPr>
        <w:tc>
          <w:tcPr>
            <w:tcW w:w="10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675"/>
        </w:trPr>
        <w:tc>
          <w:tcPr>
            <w:tcW w:w="10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9" w:right="339" w:bottom="1440" w:gutter="0" w:footer="0" w:header="0"/>
        </w:sectPr>
      </w:pPr>
    </w:p>
    <w:bookmarkStart w:id="1" w:name="page2"/>
    <w:bookmarkEnd w:id="1"/>
    <w:p>
      <w:pPr>
        <w:ind w:firstLine="324"/>
        <w:spacing w:after="0" w:line="277" w:lineRule="auto"/>
        <w:rPr>
          <w:sz w:val="20"/>
          <w:szCs w:val="20"/>
          <w:color w:val="auto"/>
        </w:rPr>
      </w:pPr>
      <w:r>
        <w:rPr>
          <w:rFonts w:ascii="Arial" w:cs="Arial" w:eastAsia="Arial" w:hAnsi="Arial"/>
          <w:sz w:val="18"/>
          <w:szCs w:val="18"/>
          <w:color w:val="auto"/>
        </w:rPr>
        <w:t>The press release issued by GasLog Ltd. on May 6, 2021 announcing a cash dividend of $0.05 per common unit for the first quarter of 2021 is attached hereto as Exhibit 99.1.</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color w:val="auto"/>
        </w:rPr>
        <w:t>Exhibit</w:t>
        <w:tab/>
        <w:t>Description</w:t>
      </w:r>
    </w:p>
    <w:p>
      <w:pPr>
        <w:spacing w:after="0" w:line="225" w:lineRule="exact"/>
        <w:rPr>
          <w:sz w:val="20"/>
          <w:szCs w:val="20"/>
          <w:color w:val="auto"/>
        </w:rPr>
      </w:pPr>
    </w:p>
    <w:p>
      <w:pPr>
        <w:spacing w:after="0"/>
        <w:tabs>
          <w:tab w:leader="none" w:pos="780" w:val="left"/>
        </w:tabs>
        <w:rPr>
          <w:rFonts w:ascii="Arial" w:cs="Arial" w:eastAsia="Arial" w:hAnsi="Arial"/>
          <w:sz w:val="15"/>
          <w:szCs w:val="15"/>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5"/>
            <w:szCs w:val="15"/>
            <w:u w:val="single" w:color="auto"/>
            <w:color w:val="0000EE"/>
          </w:rPr>
          <w:t>Press Release dated May 6,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6, 2021</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GASLOG LTD.,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760" w:type="dxa"/>
            <w:vAlign w:val="bottom"/>
          </w:tcPr>
          <w:p>
            <w:pPr>
              <w:ind w:left="6200"/>
              <w:spacing w:after="0"/>
              <w:rPr>
                <w:sz w:val="20"/>
                <w:szCs w:val="20"/>
                <w:color w:val="auto"/>
              </w:rPr>
            </w:pPr>
            <w:r>
              <w:rPr>
                <w:rFonts w:ascii="Arial" w:cs="Arial" w:eastAsia="Arial" w:hAnsi="Arial"/>
                <w:sz w:val="18"/>
                <w:szCs w:val="18"/>
                <w:color w:val="auto"/>
              </w:rPr>
              <w:t>by</w:t>
            </w:r>
          </w:p>
        </w:tc>
        <w:tc>
          <w:tcPr>
            <w:tcW w:w="44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Paul Wogan</w:t>
            </w:r>
          </w:p>
        </w:tc>
      </w:tr>
      <w:tr>
        <w:trPr>
          <w:trHeight w:val="195"/>
        </w:trPr>
        <w:tc>
          <w:tcPr>
            <w:tcW w:w="6760" w:type="dxa"/>
            <w:vAlign w:val="bottom"/>
          </w:tcPr>
          <w:p>
            <w:pPr>
              <w:spacing w:after="0"/>
              <w:rPr>
                <w:sz w:val="16"/>
                <w:szCs w:val="16"/>
                <w:color w:val="auto"/>
              </w:rPr>
            </w:pPr>
          </w:p>
        </w:tc>
        <w:tc>
          <w:tcPr>
            <w:tcW w:w="4480" w:type="dxa"/>
            <w:vAlign w:val="bottom"/>
          </w:tcPr>
          <w:p>
            <w:pPr>
              <w:spacing w:after="0" w:line="195" w:lineRule="exact"/>
              <w:rPr>
                <w:sz w:val="20"/>
                <w:szCs w:val="20"/>
                <w:color w:val="auto"/>
              </w:rPr>
            </w:pPr>
            <w:r>
              <w:rPr>
                <w:rFonts w:ascii="Arial" w:cs="Arial" w:eastAsia="Arial" w:hAnsi="Arial"/>
                <w:sz w:val="18"/>
                <w:szCs w:val="18"/>
                <w:color w:val="auto"/>
              </w:rPr>
              <w:t>Name: Paul Wogan</w:t>
            </w:r>
          </w:p>
        </w:tc>
      </w:tr>
      <w:tr>
        <w:trPr>
          <w:trHeight w:val="230"/>
        </w:trPr>
        <w:tc>
          <w:tcPr>
            <w:tcW w:w="67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Arial" w:cs="Arial" w:eastAsia="Arial" w:hAnsi="Arial"/>
                <w:sz w:val="18"/>
                <w:szCs w:val="18"/>
                <w:color w:val="auto"/>
              </w:rPr>
              <w:t>Title: Chief Executive Officer</w:t>
            </w:r>
          </w:p>
        </w:tc>
      </w:tr>
      <w:tr>
        <w:trPr>
          <w:trHeight w:val="675"/>
        </w:trPr>
        <w:tc>
          <w:tcPr>
            <w:tcW w:w="676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Declares Dividend on Common Shares</w:t>
      </w:r>
    </w:p>
    <w:p>
      <w:pPr>
        <w:spacing w:after="0" w:line="22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Piraeus, Greece, May 6, 2021 — </w:t>
      </w:r>
      <w:r>
        <w:rPr>
          <w:rFonts w:ascii="Arial" w:cs="Arial" w:eastAsia="Arial" w:hAnsi="Arial"/>
          <w:sz w:val="18"/>
          <w:szCs w:val="18"/>
          <w:color w:val="auto"/>
        </w:rPr>
        <w:t>GasLog Ltd. (“GasLog” or “Company”) (NYSE: GLOG) today announced a cash dividend of $0.05 per common share</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quarter of 2021, payable on May 27, 2021 for all shareholders of record as of May 17, 2021.</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Email: 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35 LNG carriers. Of these vessels, 17 (15 on the water and two on order) are owned by GasLog, three have been sold to a subsidiary of Mitsui &amp; Co. Ltd. to CMBFL and ICBC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2021-05-06T06:08:05Z</dcterms:created>
  <dcterms:modified xsi:type="dcterms:W3CDTF">2021-05-06T06:08:05Z</dcterms:modified>
</cp:coreProperties>
</file>