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1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3"/>
              </w:rPr>
              <w:t>UNITED STATES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40" w:type="dxa"/>
            <w:vAlign w:val="bottom"/>
            <w:gridSpan w:val="3"/>
          </w:tcPr>
          <w:p>
            <w:pPr>
              <w:jc w:val="center"/>
              <w:ind w:right="1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6"/>
              </w:rPr>
              <w:t>SECURITIES AND EXCHANGE COMMISSION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0"/>
              </w:rPr>
              <w:t>Washington, D.C. 20549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1"/>
              </w:rPr>
              <w:t>Notice of Effectiveness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w w:val="94"/>
              </w:rPr>
              <w:t>Effectiveness Date: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March 22, 2019 4:00 P.M.</w:t>
            </w:r>
          </w:p>
        </w:tc>
      </w:tr>
      <w:tr>
        <w:trPr>
          <w:trHeight w:val="342"/>
        </w:trPr>
        <w:tc>
          <w:tcPr>
            <w:tcW w:w="2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F-3</w:t>
            </w:r>
          </w:p>
        </w:tc>
      </w:tr>
      <w:tr>
        <w:trPr>
          <w:trHeight w:val="32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0001534126</w:t>
              </w:r>
            </w:hyperlink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GasLog Ltd.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9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333-230205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2240" w:h="15840" w:orient="portrait"/>
      <w:cols w:equalWidth="0" w:num="1">
        <w:col w:w="10000"/>
      </w:cols>
      <w:pgMar w:left="1120" w:top="133" w:right="11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file:///cgi-bin/browse-edgar?action=getcompany&amp;CIK=0001534126" TargetMode="External"/><Relationship Id="rId9" Type="http://schemas.openxmlformats.org/officeDocument/2006/relationships/hyperlink" Target="http://www.sec.gov/cgi-bin/browse-edgar?action=getcompany&amp;filenum=333-2302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2019-11-26T07:35:26Z</dcterms:created>
  <dcterms:modified xsi:type="dcterms:W3CDTF">2019-11-26T07:35:26Z</dcterms:modified>
</cp:coreProperties>
</file>