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form6-k_a.htm"/>
      <w:bookmarkStart w:id="1" w:name="ksform6k_a"/>
      <w:bookmarkStart w:id="2" w:name="form6-k_a.htm"/>
      <w:bookmarkStart w:id="3" w:name="ksform6k_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6-K/A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(Amendment No. 1)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REPORT OF FOREIGN PRIVATE ISSUER PURSUANT TO RULE 13a-16 OR 15d-16 UNDER THE SECURITIES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EXCHANGE ACT OF 1934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 the month of March 2024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Commission File Number 001-35466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GasLog Ltd.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c/o GasLog LNG Services Ltd.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69 Akti Miaouli, 18537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Piraeus, Greece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(Address of principal executive office)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Indicate by check mark whether the registrant files or will file annual reports under cover of Form 20-F or Form 40-F.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 20-F  ☑     Form 40-F  □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Report on Form 6-K/A (this “Amendment”) amends the Report on Form 6-K of GasLog Ltd. (the “Company”) furnished with the Securities and Exchange Commission (the “SEC”) on March 7, 2024 (the “Original 6-K”). This Amendment is being furnished solely to correct the record date of the quarterly distribution to be paid on April 1, 2024 to holders of the Company’s Series A Cumulative Redeemable Perpetual Preference Shares. The reference to the record date of “March 31, 2024” in the Press Release, attached as Exhibit 99.1 to the Original 6-K, is hereby replaced with “March 28, 2024”. The Company acknowledges that Note 29 on page F-59 of the Annual Report on Form 20-F for the fiscal year ended December 31, 2023, filed with the SEC on March 7, 2024, also contained the same inadvertent error.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firstLine="396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6f71000702e54965921ceff82ff0e111"/>
      <w:bookmarkStart w:id="5" w:name="z6f71000702e54965921ceff82ff0e111"/>
      <w:bookmarkEnd w:id="5"/>
    </w:p>
    <w:tbl>
      <w:tblPr>
        <w:tblW w:w="52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260"/>
        <w:gridCol w:w="650"/>
        <w:gridCol w:w="2285"/>
        <w:gridCol w:w="60"/>
      </w:tblGrid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Date: March 7, 2024</w:t>
            </w:r>
          </w:p>
        </w:tc>
        <w:tc>
          <w:tcPr>
            <w:tcW w:w="32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GASLOG LTD.,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by</w:t>
            </w:r>
          </w:p>
        </w:tc>
        <w:tc>
          <w:tcPr>
            <w:tcW w:w="2935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/s/ Paolo Enoizi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Name:</w:t>
            </w:r>
          </w:p>
        </w:tc>
        <w:tc>
          <w:tcPr>
            <w:tcW w:w="2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Paolo Enoizi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Title:</w:t>
            </w:r>
          </w:p>
        </w:tc>
        <w:tc>
          <w:tcPr>
            <w:tcW w:w="2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Chief Executive Officer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276</Words>
  <Characters>1404</Characters>
  <CharactersWithSpaces>1683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