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2" w:lineRule="exact"/>
        <w:rPr>
          <w:sz w:val="24"/>
          <w:szCs w:val="24"/>
          <w:color w:val="auto"/>
        </w:rPr>
      </w:pPr>
    </w:p>
    <w:p>
      <w:pPr>
        <w:jc w:val="center"/>
        <w:ind w:right="-1200"/>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Washington, D.C. 20549</w:t>
      </w:r>
    </w:p>
    <w:p>
      <w:pPr>
        <w:spacing w:after="0" w:line="163"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Form 6-K</w:t>
      </w:r>
    </w:p>
    <w:p>
      <w:pPr>
        <w:spacing w:after="0" w:line="216" w:lineRule="exact"/>
        <w:rPr>
          <w:sz w:val="24"/>
          <w:szCs w:val="24"/>
          <w:color w:val="auto"/>
        </w:rPr>
      </w:pPr>
    </w:p>
    <w:p>
      <w:pPr>
        <w:jc w:val="center"/>
        <w:ind w:left="1820"/>
        <w:spacing w:after="0" w:line="261"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March 2017</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001-35466</w:t>
      </w:r>
    </w:p>
    <w:p>
      <w:pPr>
        <w:spacing w:after="0" w:line="146" w:lineRule="exact"/>
        <w:rPr>
          <w:sz w:val="24"/>
          <w:szCs w:val="24"/>
          <w:color w:val="auto"/>
        </w:rPr>
      </w:pPr>
    </w:p>
    <w:p>
      <w:pPr>
        <w:jc w:val="center"/>
        <w:ind w:right="-1200"/>
        <w:spacing w:after="0"/>
        <w:rPr>
          <w:sz w:val="20"/>
          <w:szCs w:val="20"/>
          <w:color w:val="auto"/>
        </w:rPr>
      </w:pPr>
      <w:r>
        <w:rPr>
          <w:rFonts w:ascii="Arial" w:cs="Arial" w:eastAsia="Arial" w:hAnsi="Arial"/>
          <w:sz w:val="43"/>
          <w:szCs w:val="43"/>
          <w:b w:val="1"/>
          <w:bCs w:val="1"/>
          <w:color w:val="auto"/>
        </w:rPr>
        <w:t>GasLog Ltd.</w:t>
      </w:r>
    </w:p>
    <w:p>
      <w:pPr>
        <w:spacing w:after="0" w:line="58"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(Translation of registrant’s name into English)</w:t>
      </w:r>
    </w:p>
    <w:p>
      <w:pPr>
        <w:spacing w:after="0" w:line="194" w:lineRule="exact"/>
        <w:rPr>
          <w:sz w:val="24"/>
          <w:szCs w:val="24"/>
          <w:color w:val="auto"/>
        </w:rPr>
      </w:pPr>
    </w:p>
    <w:p>
      <w:pPr>
        <w:ind w:left="4620"/>
        <w:spacing w:after="0"/>
        <w:rPr>
          <w:sz w:val="20"/>
          <w:szCs w:val="20"/>
          <w:color w:val="auto"/>
        </w:rPr>
      </w:pPr>
      <w:r>
        <w:rPr>
          <w:rFonts w:ascii="Arial" w:cs="Arial" w:eastAsia="Arial" w:hAnsi="Arial"/>
          <w:sz w:val="18"/>
          <w:szCs w:val="18"/>
          <w:color w:val="auto"/>
        </w:rPr>
        <w:t>c/o GasLog Monaco S.A.M.</w:t>
      </w:r>
    </w:p>
    <w:p>
      <w:pPr>
        <w:jc w:val="center"/>
        <w:ind w:right="-1200"/>
        <w:spacing w:after="0" w:line="234" w:lineRule="auto"/>
        <w:rPr>
          <w:sz w:val="20"/>
          <w:szCs w:val="20"/>
          <w:color w:val="auto"/>
        </w:rPr>
      </w:pPr>
      <w:r>
        <w:rPr>
          <w:rFonts w:ascii="Arial" w:cs="Arial" w:eastAsia="Arial" w:hAnsi="Arial"/>
          <w:sz w:val="18"/>
          <w:szCs w:val="18"/>
          <w:color w:val="auto"/>
        </w:rPr>
        <w:t>Gildo Pastor Center</w:t>
      </w:r>
    </w:p>
    <w:p>
      <w:pPr>
        <w:jc w:val="center"/>
        <w:ind w:right="-1200"/>
        <w:spacing w:after="0" w:line="235" w:lineRule="auto"/>
        <w:rPr>
          <w:sz w:val="20"/>
          <w:szCs w:val="20"/>
          <w:color w:val="auto"/>
        </w:rPr>
      </w:pPr>
      <w:r>
        <w:rPr>
          <w:rFonts w:ascii="Arial" w:cs="Arial" w:eastAsia="Arial" w:hAnsi="Arial"/>
          <w:sz w:val="18"/>
          <w:szCs w:val="18"/>
          <w:color w:val="auto"/>
        </w:rPr>
        <w:t>7 Rue du Gabian</w:t>
      </w:r>
    </w:p>
    <w:p>
      <w:pPr>
        <w:jc w:val="center"/>
        <w:ind w:right="-1200"/>
        <w:spacing w:after="0" w:line="235" w:lineRule="auto"/>
        <w:rPr>
          <w:sz w:val="20"/>
          <w:szCs w:val="20"/>
          <w:color w:val="auto"/>
        </w:rPr>
      </w:pPr>
      <w:r>
        <w:rPr>
          <w:rFonts w:ascii="Arial" w:cs="Arial" w:eastAsia="Arial" w:hAnsi="Arial"/>
          <w:sz w:val="18"/>
          <w:szCs w:val="18"/>
          <w:color w:val="auto"/>
        </w:rPr>
        <w:t>MC 98000, Monaco</w:t>
      </w:r>
    </w:p>
    <w:p>
      <w:pPr>
        <w:spacing w:after="0" w:line="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w:t>
      </w:r>
    </w:p>
    <w:p>
      <w:pPr>
        <w:spacing w:after="0" w:line="198" w:lineRule="exact"/>
        <w:rPr>
          <w:sz w:val="24"/>
          <w:szCs w:val="24"/>
          <w:color w:val="auto"/>
        </w:rPr>
      </w:pPr>
    </w:p>
    <w:p>
      <w:pPr>
        <w:ind w:right="999"/>
        <w:spacing w:after="0" w:line="321"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p>
      <w:pPr>
        <w:spacing w:after="0" w:line="19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486410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528" w:right="1440" w:bottom="1440" w:gutter="0" w:footer="0" w:header="0"/>
        </w:sectPr>
      </w:pPr>
    </w:p>
    <w:bookmarkStart w:id="1" w:name="page2"/>
    <w:bookmarkEnd w:id="1"/>
    <w:p>
      <w:pPr>
        <w:ind w:right="80" w:firstLine="648"/>
        <w:spacing w:after="0" w:line="246" w:lineRule="auto"/>
        <w:rPr>
          <w:sz w:val="20"/>
          <w:szCs w:val="20"/>
          <w:color w:val="auto"/>
        </w:rPr>
      </w:pPr>
      <w:r>
        <w:rPr>
          <w:rFonts w:ascii="Arial" w:cs="Arial" w:eastAsia="Arial" w:hAnsi="Arial"/>
          <w:sz w:val="18"/>
          <w:szCs w:val="18"/>
          <w:color w:val="auto"/>
        </w:rPr>
        <w:t>The press release issued by GasLog Ltd. on March 22, 2017 relating to the closing of its public offering of senior unsecured notes due 2022 is attached hereto as Exhibit 99.1.</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INCORPORATION BY REFERENCE</w:t>
      </w:r>
    </w:p>
    <w:p>
      <w:pPr>
        <w:spacing w:after="0" w:line="198"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Exhibits 1.1, 4.1, 4.2, 5.1 and 5.2 to this Report on Form 6-K shall be incorporated by reference into our registration statement on Form F-3, as declared effective by the Securities and Exchange Commission on March 25, 2016 (Registration No. 333-210169), as amended, to the extent not superseded by documents or reports subsequently filed by us under the Securities Act of 1933 or the Securities Exchange Act of 1934, in each case as amended.</w:t>
      </w:r>
    </w:p>
    <w:p>
      <w:pPr>
        <w:sectPr>
          <w:pgSz w:w="11900" w:h="16838" w:orient="portrait"/>
          <w:cols w:equalWidth="0" w:num="1">
            <w:col w:w="11380"/>
          </w:cols>
          <w:pgMar w:left="240" w:top="422"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Exhibit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4.1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4.2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5.1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EXHIBIT LIST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Description</w:t>
      </w:r>
    </w:p>
    <w:p>
      <w:pPr>
        <w:spacing w:after="0" w:line="225"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color w:val="auto"/>
        </w:rPr>
        <w:t>Underwriting Agreement, dated March 17, 2017, among Stifel, Nicolaus &amp; Company, Incorporated, DNB Markets Inc. and GasLog Ltd.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Indenture, dated March 22, 2017, between GasLog Ltd. and American Stock Transfer &amp; Trust Company, LLC as trustee.</w:t>
      </w:r>
    </w:p>
    <w:p>
      <w:pPr>
        <w:spacing w:after="0" w:line="212"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First Supplemental Indenture, dated March 22, 2017, between GasLog Ltd. and American Stock Transfer &amp; Trust Company, LLC as trustee.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Opinion of Cravath, Swaine &amp; Moore LLP, Unites States counsel to GasLog Ltd., dated March 22,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Opinion of Conyers Dill &amp; Pearman Limited, special counsel on matters of Bermuda law to GasLog Ltd., dated March 22, 2017.</w:t>
      </w:r>
    </w:p>
    <w:p>
      <w:pPr>
        <w:spacing w:after="0" w:line="200" w:lineRule="exact"/>
        <w:rPr>
          <w:sz w:val="20"/>
          <w:szCs w:val="20"/>
          <w:color w:val="auto"/>
        </w:rPr>
      </w:pPr>
    </w:p>
    <w:p>
      <w:pPr>
        <w:sectPr>
          <w:pgSz w:w="11900" w:h="16838" w:orient="portrait"/>
          <w:cols w:equalWidth="0" w:num="2">
            <w:col w:w="540" w:space="620"/>
            <w:col w:w="10220"/>
          </w:cols>
          <w:pgMar w:left="240" w:top="422" w:right="279" w:bottom="1440" w:gutter="0" w:footer="0" w:header="0"/>
          <w:type w:val="continuous"/>
        </w:sectPr>
      </w:pPr>
    </w:p>
    <w:p>
      <w:pPr>
        <w:spacing w:after="0" w:line="1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Press Release dated March 22,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22" w:right="279" w:bottom="1440" w:gutter="0" w:footer="0" w:header="0"/>
          <w:type w:val="continuous"/>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Date: March 22, 2017</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 /s/ Paul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-1905</wp:posOffset>
            </wp:positionV>
            <wp:extent cx="31813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ind w:left="6460"/>
        <w:spacing w:after="0"/>
        <w:tabs>
          <w:tab w:leader="none" w:pos="7180" w:val="left"/>
        </w:tabs>
        <w:rPr>
          <w:sz w:val="20"/>
          <w:szCs w:val="20"/>
          <w:color w:val="auto"/>
        </w:rPr>
      </w:pPr>
      <w:r>
        <w:rPr>
          <w:rFonts w:ascii="Arial" w:cs="Arial" w:eastAsia="Arial" w:hAnsi="Arial"/>
          <w:sz w:val="18"/>
          <w:szCs w:val="18"/>
          <w:color w:val="auto"/>
        </w:rPr>
        <w:t>Name:</w:t>
        <w:tab/>
        <w:t>Paul Wogan</w:t>
      </w:r>
    </w:p>
    <w:p>
      <w:pPr>
        <w:spacing w:after="0" w:line="9" w:lineRule="exact"/>
        <w:rPr>
          <w:sz w:val="20"/>
          <w:szCs w:val="20"/>
          <w:color w:val="auto"/>
        </w:rPr>
      </w:pPr>
    </w:p>
    <w:p>
      <w:pPr>
        <w:ind w:left="6460"/>
        <w:spacing w:after="0"/>
        <w:tabs>
          <w:tab w:leader="none" w:pos="7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000"/>
          </w:cols>
          <w:pgMar w:left="240" w:top="400" w:right="659" w:bottom="1440" w:gutter="0" w:footer="0" w:header="0"/>
        </w:sectPr>
      </w:pPr>
    </w:p>
    <w:bookmarkStart w:id="3" w:name="page4"/>
    <w:bookmarkEnd w:id="3"/>
    <w:p>
      <w:pPr>
        <w:ind w:left="9780"/>
        <w:spacing w:after="0"/>
        <w:rPr>
          <w:sz w:val="20"/>
          <w:szCs w:val="20"/>
          <w:color w:val="auto"/>
        </w:rPr>
      </w:pPr>
      <w:r>
        <w:rPr>
          <w:rFonts w:ascii="Arial" w:cs="Arial" w:eastAsia="Arial" w:hAnsi="Arial"/>
          <w:sz w:val="18"/>
          <w:szCs w:val="18"/>
          <w:b w:val="1"/>
          <w:bCs w:val="1"/>
          <w:color w:val="auto"/>
        </w:rPr>
        <w:t>EXECUTION COPY</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GasLog Ltd.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$250,000,000</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8.875% Senior Notes due 2022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Underwriting Agreement</w:t>
      </w: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17, 2017</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Stifel, Nicolaus &amp; Company,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787 7th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DNB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Park Avenue, 31st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10166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GasLog Ltd., a Bermuda exempted company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proposes to sell to the several underwriters named in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(the “</w:t>
      </w:r>
      <w:r>
        <w:rPr>
          <w:rFonts w:ascii="Arial" w:cs="Arial" w:eastAsia="Arial" w:hAnsi="Arial"/>
          <w:sz w:val="17"/>
          <w:szCs w:val="17"/>
          <w:u w:val="single" w:color="auto"/>
          <w:color w:val="auto"/>
        </w:rPr>
        <w:t>Underwriters</w:t>
      </w:r>
      <w:r>
        <w:rPr>
          <w:rFonts w:ascii="Arial" w:cs="Arial" w:eastAsia="Arial" w:hAnsi="Arial"/>
          <w:sz w:val="17"/>
          <w:szCs w:val="17"/>
          <w:color w:val="auto"/>
        </w:rPr>
        <w:t>”), for whom you (the “</w:t>
      </w:r>
      <w:r>
        <w:rPr>
          <w:rFonts w:ascii="Arial" w:cs="Arial" w:eastAsia="Arial" w:hAnsi="Arial"/>
          <w:sz w:val="17"/>
          <w:szCs w:val="17"/>
          <w:u w:val="single" w:color="auto"/>
          <w:color w:val="auto"/>
        </w:rPr>
        <w:t>Representatives</w:t>
      </w:r>
      <w:r>
        <w:rPr>
          <w:rFonts w:ascii="Arial" w:cs="Arial" w:eastAsia="Arial" w:hAnsi="Arial"/>
          <w:sz w:val="17"/>
          <w:szCs w:val="17"/>
          <w:color w:val="auto"/>
        </w:rPr>
        <w:t>”) are acting as representatives, $250,000,000 aggregate principal amount of its 8.875% Senior Notes due 2022 (the “</w:t>
      </w:r>
      <w:r>
        <w:rPr>
          <w:rFonts w:ascii="Arial" w:cs="Arial" w:eastAsia="Arial" w:hAnsi="Arial"/>
          <w:sz w:val="17"/>
          <w:szCs w:val="17"/>
          <w:u w:val="single" w:color="auto"/>
          <w:color w:val="auto"/>
        </w:rPr>
        <w:t>Securities</w:t>
      </w:r>
      <w:r>
        <w:rPr>
          <w:rFonts w:ascii="Arial" w:cs="Arial" w:eastAsia="Arial" w:hAnsi="Arial"/>
          <w:sz w:val="17"/>
          <w:szCs w:val="17"/>
          <w:color w:val="auto"/>
        </w:rPr>
        <w:t>”). The Securities are to be issued under a Base Indenture (the “</w:t>
      </w:r>
      <w:r>
        <w:rPr>
          <w:rFonts w:ascii="Arial" w:cs="Arial" w:eastAsia="Arial" w:hAnsi="Arial"/>
          <w:sz w:val="17"/>
          <w:szCs w:val="17"/>
          <w:u w:val="single" w:color="auto"/>
          <w:color w:val="auto"/>
        </w:rPr>
        <w:t>Base Indenture</w:t>
      </w:r>
      <w:r>
        <w:rPr>
          <w:rFonts w:ascii="Arial" w:cs="Arial" w:eastAsia="Arial" w:hAnsi="Arial"/>
          <w:sz w:val="17"/>
          <w:szCs w:val="17"/>
          <w:color w:val="auto"/>
        </w:rPr>
        <w:t>”) dated as of March 22, 2017, by and among the Company and American Stock Transfer &amp; Trust Company, LLC, as Trustee (the “</w:t>
      </w:r>
      <w:r>
        <w:rPr>
          <w:rFonts w:ascii="Arial" w:cs="Arial" w:eastAsia="Arial" w:hAnsi="Arial"/>
          <w:sz w:val="17"/>
          <w:szCs w:val="17"/>
          <w:u w:val="single" w:color="auto"/>
          <w:color w:val="auto"/>
        </w:rPr>
        <w:t>Trustee</w:t>
      </w:r>
      <w:r>
        <w:rPr>
          <w:rFonts w:ascii="Arial" w:cs="Arial" w:eastAsia="Arial" w:hAnsi="Arial"/>
          <w:sz w:val="17"/>
          <w:szCs w:val="17"/>
          <w:color w:val="auto"/>
        </w:rPr>
        <w:t>”), as supplemented by a Supplemental Indenture thereto, to be dated as of the Closing Date (as defined herein) (the “</w:t>
      </w:r>
      <w:r>
        <w:rPr>
          <w:rFonts w:ascii="Arial" w:cs="Arial" w:eastAsia="Arial" w:hAnsi="Arial"/>
          <w:sz w:val="17"/>
          <w:szCs w:val="17"/>
          <w:u w:val="single" w:color="auto"/>
          <w:color w:val="auto"/>
        </w:rPr>
        <w:t>Supplemental Indenture</w:t>
      </w:r>
      <w:r>
        <w:rPr>
          <w:rFonts w:ascii="Arial" w:cs="Arial" w:eastAsia="Arial" w:hAnsi="Arial"/>
          <w:sz w:val="17"/>
          <w:szCs w:val="17"/>
          <w:color w:val="auto"/>
        </w:rPr>
        <w:t>” and, together with the Base Indenture, the “</w:t>
      </w:r>
      <w:r>
        <w:rPr>
          <w:rFonts w:ascii="Arial" w:cs="Arial" w:eastAsia="Arial" w:hAnsi="Arial"/>
          <w:sz w:val="17"/>
          <w:szCs w:val="17"/>
          <w:u w:val="single" w:color="auto"/>
          <w:color w:val="auto"/>
        </w:rPr>
        <w:t>Indenture</w:t>
      </w:r>
      <w:r>
        <w:rPr>
          <w:rFonts w:ascii="Arial" w:cs="Arial" w:eastAsia="Arial" w:hAnsi="Arial"/>
          <w:sz w:val="17"/>
          <w:szCs w:val="17"/>
          <w:color w:val="auto"/>
        </w:rPr>
        <w:t xml:space="preserve">”). To the extent there are no additional Underwriters listed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other than you, the term Representatives as used herein shall mean you, as Underwriters, and the terms Representatives and Underwriters shall mean either the singular or plural as the context requires.</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Any reference herein to the Registration Statement, the Base Prospectus, any Preliminary Prospectus or the Final Prospectus shall be deemed to refer to and include the documents incorporated by reference therein pursuant to Item 6 of Form F-3 which were filed under the Exchange Act on or before the Effective Date of the Registration Statement or the issue date of the Base Prospectus, any Preliminary Prospectus or the Final Prospectus, as the case may be; and any reference herein to the terms “amend,” “amendment” or “supplement” with respect to the Registration Statement, the Base Prospectus, any Preliminary Prospectus or the Final Prospectus shall be deemed to refer to and include the filing of any document under the Exchange Act after the Effective Date of the Registration Statement or the issue date of the Base Prospectus,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line="277" w:lineRule="auto"/>
        <w:rPr>
          <w:sz w:val="20"/>
          <w:szCs w:val="20"/>
          <w:color w:val="auto"/>
        </w:rPr>
      </w:pPr>
      <w:r>
        <w:rPr>
          <w:rFonts w:ascii="Arial" w:cs="Arial" w:eastAsia="Arial" w:hAnsi="Arial"/>
          <w:sz w:val="18"/>
          <w:szCs w:val="18"/>
          <w:color w:val="auto"/>
        </w:rPr>
        <w:t>Preliminary Prospectus or the Final Prospectus, as the case may be, deemed to be incorporated therein by reference. Certain terms used herein are defined in Section 21 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The Company represents and warrants to, and agrees with, each of the Underwriters as set forth below in this Section 1.</w:t>
      </w:r>
    </w:p>
    <w:p>
      <w:pPr>
        <w:spacing w:after="0" w:line="225" w:lineRule="exact"/>
        <w:rPr>
          <w:sz w:val="20"/>
          <w:szCs w:val="20"/>
          <w:color w:val="auto"/>
        </w:rPr>
      </w:pPr>
    </w:p>
    <w:p>
      <w:pPr>
        <w:jc w:val="both"/>
        <w:ind w:firstLine="656"/>
        <w:spacing w:after="0" w:line="269" w:lineRule="auto"/>
        <w:tabs>
          <w:tab w:leader="none" w:pos="89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Company meets the requirements for use of Form F-3 under the Act and has prepared and filed with the Commission a registration statement on Form F-3 (File No. 333-210169), including a related Base Prospectus, for registration under the Act of the offering and sale of the Securities. Such Registration Statement including any amendments thereto filed prior to the Applicable Time, have become effective. The Company may have filed with the Commission, as part of an amendment to the Registration Statement or pursuant to Rule 424(b), one or more preliminary prospectus supplements relating to the Securities, each of which has previously been furnished to you. The Company will file with the Commission a final prospectus supplement relating to the Securities in accordance with Rule 424(b). As filed, such final prospectus supplement shall contain all information required by the Act, and, except to the extent the Representatives shall agree in writing to a modification, shall be in all substantive respects in the form furnished to you prior to the Applicable Time or, to the extent not completed at the Applicable Time, shall contain only such specific additional information and other changes (beyond that contained in the Base Prospectus and any Preliminary Prospectus) as the Company has advised you, prior to the Applicable Time, will be included or made therein. The Registration Statement, at the Applicable Time, meets the requirements set forth in Rule 415(a)(1)(x). The initial Effective Date of the Registration Statement was not earlier than the date three years before the date hereof.</w:t>
      </w:r>
    </w:p>
    <w:p>
      <w:pPr>
        <w:spacing w:after="0" w:line="182" w:lineRule="exact"/>
        <w:rPr>
          <w:rFonts w:ascii="Arial" w:cs="Arial" w:eastAsia="Arial" w:hAnsi="Arial"/>
          <w:sz w:val="17"/>
          <w:szCs w:val="17"/>
          <w:color w:val="auto"/>
        </w:rPr>
      </w:pPr>
    </w:p>
    <w:p>
      <w:pPr>
        <w:jc w:val="both"/>
        <w:ind w:firstLine="656"/>
        <w:spacing w:after="0" w:line="287" w:lineRule="auto"/>
        <w:tabs>
          <w:tab w:leader="none" w:pos="903"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On each Effective Date, the Registration Statement did, and when the Final Prospectus is first filed in accordance with Rule 424(b), on the date of the Final Prospectus, and on the Closing Date (as defined herein), the Final Prospectus (and any supplement thereto) will, comply in all material respects with the applicable requirements of the Act, the Exchange Act and the Trust Indenture Act; on each Effective Date and at the Applicable Time, the Registration Statement did not and will not contain any untrue statement of a material fact or omit to state any material fact required to be stated therein or necessary in order to make the statements therein not misleading; and on the date of any filing pursuant to Rule 424(b) on the date of the Final Prospectus and on the Closing Date, the Final Prospectus (together with any supplement thereto) will not include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makes no representations or warranties as to the information contained in or omitted from the Registration Statement or the Final Prospectus (or any supplement thereto) in reliance upon and in conformity with information furnished in writing to the Company by or on behalf of any Underwriter through the Representatives specifically for inclusion in the Registration Statement or the Final Prospectus (or any supplement thereto), it being understood and agreed that the only such information furnished by or on behalf of any Underwriter consists of the information described as such in Section 9 hereof, or to any statements in or omissions from the statement of eligibility of the Trustee on Form T-1, as it may then be amended, under the Trust Indenture Act filed as an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5" w:name="page6"/>
    <w:bookmarkEnd w:id="5"/>
    <w:p>
      <w:pPr>
        <w:spacing w:after="0" w:line="277" w:lineRule="auto"/>
        <w:rPr>
          <w:sz w:val="20"/>
          <w:szCs w:val="20"/>
          <w:color w:val="auto"/>
        </w:rPr>
      </w:pPr>
      <w:r>
        <w:rPr>
          <w:rFonts w:ascii="Arial" w:cs="Arial" w:eastAsia="Arial" w:hAnsi="Arial"/>
          <w:sz w:val="18"/>
          <w:szCs w:val="18"/>
          <w:color w:val="auto"/>
        </w:rPr>
        <w:t>exhibit to the Registration Statement (the “</w:t>
      </w:r>
      <w:r>
        <w:rPr>
          <w:rFonts w:ascii="Arial" w:cs="Arial" w:eastAsia="Arial" w:hAnsi="Arial"/>
          <w:sz w:val="18"/>
          <w:szCs w:val="18"/>
          <w:u w:val="single" w:color="auto"/>
          <w:color w:val="auto"/>
        </w:rPr>
        <w:t>Statement of Eligibility</w:t>
      </w:r>
      <w:r>
        <w:rPr>
          <w:rFonts w:ascii="Arial" w:cs="Arial" w:eastAsia="Arial" w:hAnsi="Arial"/>
          <w:sz w:val="18"/>
          <w:szCs w:val="18"/>
          <w:color w:val="auto"/>
        </w:rPr>
        <w:t>”). As of the Applicable Time, each of the Registration Statement and the Final Prospectus and any further amendments or supplements thereto complied or comply.</w:t>
      </w:r>
    </w:p>
    <w:p>
      <w:pPr>
        <w:spacing w:after="0" w:line="170" w:lineRule="exact"/>
        <w:rPr>
          <w:sz w:val="20"/>
          <w:szCs w:val="20"/>
          <w:color w:val="auto"/>
        </w:rPr>
      </w:pPr>
    </w:p>
    <w:p>
      <w:pPr>
        <w:jc w:val="both"/>
        <w:ind w:firstLine="656"/>
        <w:spacing w:after="0" w:line="273" w:lineRule="auto"/>
        <w:tabs>
          <w:tab w:leader="none" w:pos="895" w:val="left"/>
        </w:tabs>
        <w:numPr>
          <w:ilvl w:val="0"/>
          <w:numId w:val="2"/>
        </w:numPr>
        <w:rPr>
          <w:rFonts w:ascii="Arial" w:cs="Arial" w:eastAsia="Arial" w:hAnsi="Arial"/>
          <w:sz w:val="17"/>
          <w:szCs w:val="17"/>
          <w:color w:val="auto"/>
        </w:rPr>
      </w:pPr>
      <w:r>
        <w:rPr>
          <w:rFonts w:ascii="Arial" w:cs="Arial" w:eastAsia="Arial" w:hAnsi="Arial"/>
          <w:sz w:val="17"/>
          <w:szCs w:val="17"/>
          <w:color w:val="auto"/>
        </w:rPr>
        <w:t>As of the Applicable Time, (i) the Disclosure Package, when taken together as a whole and (ii) each electronic road show, when taken together as a whole with the Disclosure Package does not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the Disclosure Package based upon and in conformity with written information furnished to the Company by any Underwriter through the Representatives specifically for use therein, it being understood and agreed that the only such information furnished by or on behalf of any Underwriter consists of the information described as such in Section 9 hereof.</w:t>
      </w:r>
    </w:p>
    <w:p>
      <w:pPr>
        <w:spacing w:after="0" w:line="178" w:lineRule="exact"/>
        <w:rPr>
          <w:rFonts w:ascii="Arial" w:cs="Arial" w:eastAsia="Arial" w:hAnsi="Arial"/>
          <w:sz w:val="17"/>
          <w:szCs w:val="17"/>
          <w:color w:val="auto"/>
        </w:rPr>
      </w:pPr>
    </w:p>
    <w:p>
      <w:pPr>
        <w:jc w:val="both"/>
        <w:ind w:firstLine="656"/>
        <w:spacing w:after="0" w:line="279" w:lineRule="auto"/>
        <w:tabs>
          <w:tab w:leader="none" w:pos="923" w:val="left"/>
        </w:tabs>
        <w:numPr>
          <w:ilvl w:val="0"/>
          <w:numId w:val="2"/>
        </w:numPr>
        <w:rPr>
          <w:rFonts w:ascii="Arial" w:cs="Arial" w:eastAsia="Arial" w:hAnsi="Arial"/>
          <w:sz w:val="17"/>
          <w:szCs w:val="17"/>
          <w:color w:val="auto"/>
        </w:rPr>
      </w:pPr>
      <w:r>
        <w:rPr>
          <w:rFonts w:ascii="Arial" w:cs="Arial" w:eastAsia="Arial" w:hAnsi="Arial"/>
          <w:sz w:val="17"/>
          <w:szCs w:val="17"/>
          <w:color w:val="auto"/>
        </w:rPr>
        <w:t>(i) At the earliest time after the filing of the Registration Statement that the Company or another offering participant made a bona fide offer (within the meaning of Rule 164(h)(2)) of the Securities and (ii) as of the Applicable Time (with such date being used as the determination date for purposes of this clause (ii)), the Company was not and is not an Ineligible Issuer (as defined in Rule 405), without taking account of any determination by the Commission pursuant to Rule 405 that it is not necessary that the Company be considered an Ineligible Issuer.</w:t>
      </w:r>
    </w:p>
    <w:p>
      <w:pPr>
        <w:spacing w:after="0" w:line="171" w:lineRule="exact"/>
        <w:rPr>
          <w:rFonts w:ascii="Arial" w:cs="Arial" w:eastAsia="Arial" w:hAnsi="Arial"/>
          <w:sz w:val="17"/>
          <w:szCs w:val="17"/>
          <w:color w:val="auto"/>
        </w:rPr>
      </w:pPr>
    </w:p>
    <w:p>
      <w:pPr>
        <w:jc w:val="both"/>
        <w:ind w:firstLine="656"/>
        <w:spacing w:after="0" w:line="297" w:lineRule="auto"/>
        <w:tabs>
          <w:tab w:leader="none" w:pos="893" w:val="left"/>
        </w:tabs>
        <w:numPr>
          <w:ilvl w:val="0"/>
          <w:numId w:val="2"/>
        </w:numPr>
        <w:rPr>
          <w:rFonts w:ascii="Arial" w:cs="Arial" w:eastAsia="Arial" w:hAnsi="Arial"/>
          <w:sz w:val="16"/>
          <w:szCs w:val="16"/>
          <w:color w:val="auto"/>
        </w:rPr>
      </w:pPr>
      <w:r>
        <w:rPr>
          <w:rFonts w:ascii="Arial" w:cs="Arial" w:eastAsia="Arial" w:hAnsi="Arial"/>
          <w:sz w:val="16"/>
          <w:szCs w:val="16"/>
          <w:color w:val="auto"/>
        </w:rPr>
        <w:t>Each Issuer Free Writing Prospectus does not include any information that conflicts with the information contained in the Registration Statement, including any document incorporated therein by reference and any prospectus supplement deemed to be a part thereof that has not been superseded or modified. The foregoing sentence does not apply to statements in or omissions from any Issuer Free Writing Prospectus based upon and in conformity with written information furnished to the Company by any Underwriter through the Representatives specifically for use therein, it being understood and agreed that the only such information furnished by or on behalf of any Underwriter consists of the information described as such in Section 9 hereof.</w:t>
      </w:r>
    </w:p>
    <w:p>
      <w:pPr>
        <w:spacing w:after="0" w:line="158" w:lineRule="exact"/>
        <w:rPr>
          <w:rFonts w:ascii="Arial" w:cs="Arial" w:eastAsia="Arial" w:hAnsi="Arial"/>
          <w:sz w:val="16"/>
          <w:szCs w:val="16"/>
          <w:color w:val="auto"/>
        </w:rPr>
      </w:pPr>
    </w:p>
    <w:p>
      <w:pPr>
        <w:jc w:val="both"/>
        <w:ind w:firstLine="656"/>
        <w:spacing w:after="0" w:line="290" w:lineRule="auto"/>
        <w:tabs>
          <w:tab w:leader="none" w:pos="877" w:val="left"/>
        </w:tabs>
        <w:numPr>
          <w:ilvl w:val="0"/>
          <w:numId w:val="2"/>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sustained since the date of the latest audited financial statements included in the Registration Statement, Disclosure Package and the Final Prospectus any material loss or interference with its business from fire, explosion, flood, piracy, terrorism or other calamity, whether or not covered by insurance, or from any labor dispute or court or governmental action, order or decree, otherwise than as set forth or contemplated in Registration Statement, Disclosure Package and the Final Prospectus; and, since the respective dates as of which information is given in the Registration Statement, Disclosure Package and the Final Prospectus, there has not been any material adverse change, or any development that would reasonably be expected to involve a prospective material adverse change, in or affecting the general affairs, management, financial position, shareholders’ equity or results of operations of the Company and its subsidiaries, taken as a whole (a “</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or any change in the share capital or long-term debt of the Company or any of its subsidiaries, otherwise than as set forth or contemplated in the Disclosure Package.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6" w:name="page7"/>
    <w:bookmarkEnd w:id="6"/>
    <w:p>
      <w:pPr>
        <w:jc w:val="both"/>
        <w:ind w:firstLine="656"/>
        <w:spacing w:after="0" w:line="271" w:lineRule="auto"/>
        <w:tabs>
          <w:tab w:leader="none" w:pos="908" w:val="left"/>
        </w:tabs>
        <w:numPr>
          <w:ilvl w:val="0"/>
          <w:numId w:val="3"/>
        </w:numPr>
        <w:rPr>
          <w:rFonts w:ascii="Arial" w:cs="Arial" w:eastAsia="Arial" w:hAnsi="Arial"/>
          <w:sz w:val="17"/>
          <w:szCs w:val="17"/>
          <w:color w:val="auto"/>
        </w:rPr>
      </w:pPr>
      <w:r>
        <w:rPr>
          <w:rFonts w:ascii="Arial" w:cs="Arial" w:eastAsia="Arial" w:hAnsi="Arial"/>
          <w:sz w:val="17"/>
          <w:szCs w:val="17"/>
          <w:color w:val="auto"/>
        </w:rPr>
        <w:t>Neither the Company nor any of its subsidiaries owns an interest in any material real property. Each of them has good and marketable title to all personal property owned by them which is material to the business of the Company and its subsidiaries, including the vessels owned by them, in each case free and clear of all liens, encumbrances and defects except such as are described in the Registration Statement, Disclosure Package and the Final Prospectus, including those arising under credit facilities, or such as do not materially affect the value of such property and do not materially interfere with the use made and proposed to be made of such property taken as a whole by the Company and its subsidiaries; and any real property and buildings occupied by the Company and its subsidiaries are occupied by them under valid, subsisting and enforceable contractual arrangements with such exceptions as are not material and do not interfere with the use made and proposed to be made of such property and buildings by the Company and its subsidiaries, otherwise than as set forth or contemplated in the Disclosure Package.</w:t>
      </w:r>
    </w:p>
    <w:p>
      <w:pPr>
        <w:spacing w:after="0" w:line="178" w:lineRule="exact"/>
        <w:rPr>
          <w:rFonts w:ascii="Arial" w:cs="Arial" w:eastAsia="Arial" w:hAnsi="Arial"/>
          <w:sz w:val="17"/>
          <w:szCs w:val="17"/>
          <w:color w:val="auto"/>
        </w:rPr>
      </w:pPr>
    </w:p>
    <w:p>
      <w:pPr>
        <w:jc w:val="both"/>
        <w:ind w:firstLine="656"/>
        <w:spacing w:after="0" w:line="269" w:lineRule="auto"/>
        <w:tabs>
          <w:tab w:leader="none" w:pos="922" w:val="left"/>
        </w:tabs>
        <w:numPr>
          <w:ilvl w:val="0"/>
          <w:numId w:val="3"/>
        </w:numPr>
        <w:rPr>
          <w:rFonts w:ascii="Arial" w:cs="Arial" w:eastAsia="Arial" w:hAnsi="Arial"/>
          <w:sz w:val="17"/>
          <w:szCs w:val="17"/>
          <w:color w:val="auto"/>
        </w:rPr>
      </w:pPr>
      <w:r>
        <w:rPr>
          <w:rFonts w:ascii="Arial" w:cs="Arial" w:eastAsia="Arial" w:hAnsi="Arial"/>
          <w:sz w:val="17"/>
          <w:szCs w:val="17"/>
          <w:color w:val="auto"/>
        </w:rPr>
        <w:t>(A) The Company has been duly formed and is validly existing as an exempted company in good standing under the laws of Bermuda, with power and authority (corporate and other) to own its properties and conduct its business as described in the Registration Statement, Disclosure Package and the Final Prospectus, to enter into and perform its obligations under this Agreement and to issue, sell and deliver the Securities as contemplated herein and therein, and has been duly qualified as a foreign company for the transaction of business and is in good standing under the laws of each other jurisdiction in which it owns or leases properties or conducts any business so as to require such qualification, except to the extent that the failure to be so qualified in any such jurisdiction or be in good standing would not have a Material Adverse Effect; (B) each subsidiary of the Company has been duly formed or organized and is validly existing as a company in good standing under the laws of its jurisdiction of incorporation or organization, has the power and authority, corporate and other, to own its property and conduct its business as described in the Registration Statement, Disclosure Package and the Final Prospectus and is duly qualified to transact business and is in good standing under the laws of each other jurisdiction in which it owns or leases properties or conducts any business so as to require such qualification, except to the extent that the failure to be so qualified in any such jurisdiction or be in good standing would not have a Material Adverse Effect; and (C) the only subsidiaries of the Company are the subsidiaries listed on Exhibit 8.1 to the Company’s Annual Report on Form 20-F for the year ended December 31, 2016.</w:t>
      </w:r>
    </w:p>
    <w:p>
      <w:pPr>
        <w:spacing w:after="0" w:line="179" w:lineRule="exact"/>
        <w:rPr>
          <w:rFonts w:ascii="Arial" w:cs="Arial" w:eastAsia="Arial" w:hAnsi="Arial"/>
          <w:sz w:val="17"/>
          <w:szCs w:val="17"/>
          <w:color w:val="auto"/>
        </w:rPr>
      </w:pPr>
    </w:p>
    <w:p>
      <w:pPr>
        <w:jc w:val="both"/>
        <w:ind w:firstLine="656"/>
        <w:spacing w:after="0" w:line="272" w:lineRule="auto"/>
        <w:tabs>
          <w:tab w:leader="none" w:pos="867" w:val="left"/>
        </w:tabs>
        <w:numPr>
          <w:ilvl w:val="0"/>
          <w:numId w:val="3"/>
        </w:numPr>
        <w:rPr>
          <w:rFonts w:ascii="Arial" w:cs="Arial" w:eastAsia="Arial" w:hAnsi="Arial"/>
          <w:sz w:val="17"/>
          <w:szCs w:val="17"/>
          <w:color w:val="auto"/>
        </w:rPr>
      </w:pPr>
      <w:r>
        <w:rPr>
          <w:rFonts w:ascii="Arial" w:cs="Arial" w:eastAsia="Arial" w:hAnsi="Arial"/>
          <w:sz w:val="17"/>
          <w:szCs w:val="17"/>
          <w:color w:val="auto"/>
        </w:rPr>
        <w:t>(A) The Company has an authorized capitalization as set forth in the Registration Statement, Disclosure Package and the Final Prospectus and all of the issued share capital of the Company has been duly and validly authorized and issued, is fully paid and non-assessable and conforms to the description thereof contained in the Disclosure Package, the Final Prospectus and Registration Statement; (B) all of the issued share capital of each subsidiary of the Company has been duly and validly authorized and issued, is fully paid and non-assessable and (except as otherwise set forth in the Disclosure Package) is owned directly or indirectly by the Company, free and clear of all liens, encumbrances, equities or claims; (C) the Company owns twenty-five percent of the issued and outstanding share capital of Egypt LNG Shipping Limited (“Egypt LNG”), as described in the Disclosure Package, the Final Prospectus and Registration Statement, free and clear of all liens, encumbrances, equities or claims, except as disclosed in the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7" w:name="page8"/>
    <w:bookmarkEnd w:id="7"/>
    <w:p>
      <w:pPr>
        <w:jc w:val="both"/>
        <w:spacing w:after="0" w:line="273" w:lineRule="auto"/>
        <w:rPr>
          <w:sz w:val="20"/>
          <w:szCs w:val="20"/>
          <w:color w:val="auto"/>
        </w:rPr>
      </w:pPr>
      <w:r>
        <w:rPr>
          <w:rFonts w:ascii="Arial" w:cs="Arial" w:eastAsia="Arial" w:hAnsi="Arial"/>
          <w:sz w:val="17"/>
          <w:szCs w:val="17"/>
          <w:color w:val="auto"/>
        </w:rPr>
        <w:t>Registration Statement, Disclosure Package and the Final Prospectus; and (D) the Company owns 33.33% of the issued and outstanding share capital of The Cool Pool Limited (the “Cool Pool”), as described in the Disclosure Package, the Final Prospectus and Registration Statement, free and clear of all liens, encumbrances, equities or claims, except as disclosed in the Registration Statement, Disclosure Package and the Final Prospectus and (E) the Company owns 20.00% of the issued and outstanding share capital of Gastrade S.A. (“Gastrade” and, together with Egypt LNG and Cool Pool, the “Associates”), as described in the Disclosure Package, the Final Prospectus and Registration Statement, free and clear of all liens, encumbrances, equities or claims, except as disclosed in the Registration Statement, Disclosure Package and the Final Prospectus.</w:t>
      </w:r>
    </w:p>
    <w:p>
      <w:pPr>
        <w:spacing w:after="0" w:line="178" w:lineRule="exact"/>
        <w:rPr>
          <w:sz w:val="20"/>
          <w:szCs w:val="20"/>
          <w:color w:val="auto"/>
        </w:rPr>
      </w:pPr>
    </w:p>
    <w:p>
      <w:pPr>
        <w:jc w:val="both"/>
        <w:ind w:firstLine="656"/>
        <w:spacing w:after="0" w:line="286" w:lineRule="auto"/>
        <w:tabs>
          <w:tab w:leader="none" w:pos="872" w:val="left"/>
        </w:tabs>
        <w:numPr>
          <w:ilvl w:val="1"/>
          <w:numId w:val="4"/>
        </w:numPr>
        <w:rPr>
          <w:rFonts w:ascii="Arial" w:cs="Arial" w:eastAsia="Arial" w:hAnsi="Arial"/>
          <w:sz w:val="17"/>
          <w:szCs w:val="17"/>
          <w:color w:val="auto"/>
        </w:rPr>
      </w:pPr>
      <w:r>
        <w:rPr>
          <w:rFonts w:ascii="Arial" w:cs="Arial" w:eastAsia="Arial" w:hAnsi="Arial"/>
          <w:sz w:val="17"/>
          <w:szCs w:val="17"/>
          <w:color w:val="auto"/>
        </w:rPr>
        <w:t>Neither the Memorandum of Association or Bye-laws of the Company nor any agreement filed as an exhibit to the Registration Statement grant the holders of the issued and outstanding share capital of the Company any preemptive rights, and none of the issued and outstanding shares of the Company or any of its subsidiaries were issued in violation of any preemptive right or similar rights of any securityholder of the Company.</w:t>
      </w:r>
    </w:p>
    <w:p>
      <w:pPr>
        <w:spacing w:after="0" w:line="165" w:lineRule="exact"/>
        <w:rPr>
          <w:rFonts w:ascii="Arial" w:cs="Arial" w:eastAsia="Arial" w:hAnsi="Arial"/>
          <w:sz w:val="17"/>
          <w:szCs w:val="17"/>
          <w:color w:val="auto"/>
        </w:rPr>
      </w:pPr>
    </w:p>
    <w:p>
      <w:pPr>
        <w:jc w:val="both"/>
        <w:ind w:firstLine="656"/>
        <w:spacing w:after="0" w:line="284" w:lineRule="auto"/>
        <w:tabs>
          <w:tab w:leader="none" w:pos="926"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issue and sale of the Securities and any payment of interest or principal on the Securities or the compliance by the Company with this Agreement and the consummation of the transactions herein contemplated (i) will not conflict with or result in a breach or violation of any of the terms or provisions of, or require the consent of any person, or constitute a default or Debt Repayment Triggering Event (as defined below), or result in the imposition of any lien, charge or encumbrance on any property of the Company or any of its subsidiaries, under any indenture, mortgage, deed of trust, loan agreement or other agreement or instrument, or give any person the right to terminate any agreement or contract to which the Company or any of its subsidiaries is a party or by which the Company or any of its subsidiaries is bound or to which any of the property or assets of the Company or any of its subsidiaries is subject; and</w:t>
      </w:r>
    </w:p>
    <w:p>
      <w:pPr>
        <w:spacing w:after="0" w:line="4" w:lineRule="exact"/>
        <w:rPr>
          <w:rFonts w:ascii="Arial" w:cs="Arial" w:eastAsia="Arial" w:hAnsi="Arial"/>
          <w:sz w:val="16"/>
          <w:szCs w:val="16"/>
          <w:color w:val="auto"/>
        </w:rPr>
      </w:pPr>
    </w:p>
    <w:p>
      <w:pPr>
        <w:jc w:val="both"/>
        <w:ind w:firstLine="8"/>
        <w:spacing w:after="0" w:line="286" w:lineRule="auto"/>
        <w:tabs>
          <w:tab w:leader="none" w:pos="272" w:val="left"/>
        </w:tabs>
        <w:numPr>
          <w:ilvl w:val="0"/>
          <w:numId w:val="5"/>
        </w:numPr>
        <w:rPr>
          <w:rFonts w:ascii="Arial" w:cs="Arial" w:eastAsia="Arial" w:hAnsi="Arial"/>
          <w:sz w:val="16"/>
          <w:szCs w:val="16"/>
          <w:color w:val="auto"/>
        </w:rPr>
      </w:pPr>
      <w:r>
        <w:rPr>
          <w:rFonts w:ascii="Arial" w:cs="Arial" w:eastAsia="Arial" w:hAnsi="Arial"/>
          <w:sz w:val="16"/>
          <w:szCs w:val="16"/>
          <w:color w:val="auto"/>
        </w:rPr>
        <w:t>will not result in any violation of (A) the provisions of the Memorandum of Association or Bye-laws of the Company or the organizational or governing documents of any of the Company’s subsidiaries or (B) any statute or any order, rule or regulation of any court or governmental agency or body having jurisdiction over the Company or any of its subsidiaries or any of their properties or assets, except in the case of clause (i), for any conflict, breach, or violation that would not result in a Material Adverse Effect or have a material adverse effect on the consummation of the transactions contemplated hereby; and no consent, approval, authorization, order, registration or qualification of or with any such court or governmental agency or body is required for the issue and sale of the Securities and any payment of dividends on the Securities (if declared) or the consummation by the Company of the transactions contemplated by this Agreement, except the registration under the Exchange Act of the Securities and such consents, approvals, authorizations, registrations or qualifications as may be required under state securities or Blue Sky laws in connection with the purchase and distribution of the Securities by the Underwriters, and such other consents, approvals, authorizations, orders, registrations or qualifications that have already been obtained. A “Debt Repayment Triggering Event” means any event or condition that gives, or with the giving of notice or lapse of time would give, the holder of any loan, note, debenture or other evidence of indebtedness (or any person acting on such holder’s behalf) the right to accelerate the due date of any payment of, or to require the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repurchase, redemption or repayment of all or a portion of such indebtedness by the Company or any of its subsidiaries.</w:t>
      </w:r>
    </w:p>
    <w:p>
      <w:pPr>
        <w:spacing w:after="0" w:line="225" w:lineRule="exact"/>
        <w:rPr>
          <w:sz w:val="20"/>
          <w:szCs w:val="20"/>
          <w:color w:val="auto"/>
        </w:rPr>
      </w:pPr>
    </w:p>
    <w:p>
      <w:pPr>
        <w:ind w:left="880" w:hanging="224"/>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225" w:lineRule="exact"/>
        <w:rPr>
          <w:rFonts w:ascii="Arial" w:cs="Arial" w:eastAsia="Arial" w:hAnsi="Arial"/>
          <w:sz w:val="18"/>
          <w:szCs w:val="18"/>
          <w:color w:val="auto"/>
        </w:rPr>
      </w:pPr>
    </w:p>
    <w:p>
      <w:pPr>
        <w:jc w:val="both"/>
        <w:ind w:firstLine="656"/>
        <w:spacing w:after="0" w:line="255" w:lineRule="auto"/>
        <w:tabs>
          <w:tab w:leader="none" w:pos="95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Indenture has been duly authorized by the Company and has been duly qualified under the Trust Indenture Act, and the rules and regulations promulgated thereunder and, when duly authorized by the Trustee and executed and delivered in accordance with its terms by each of the parties thereto, will constitute a valid and legally binding agreement of the Company enforceable against the Company in accordance with its terms. The Securities to be issued and sold by the Company to the Underwriters hereunder have been duly and validly authorized and, when executed, authenticated, issued and delivered as provided in the Indenture against payment therefor as provided herein, will constitute valid and legally binding obligations of the Company enforceable against the Company in accordance with their terms, will be entitled to the benefits of the Indenture, and will conform to the description of the Securities contained in the Final Prospectus.</w:t>
      </w:r>
    </w:p>
    <w:p>
      <w:pPr>
        <w:spacing w:after="0" w:line="189" w:lineRule="exact"/>
        <w:rPr>
          <w:rFonts w:ascii="Arial" w:cs="Arial" w:eastAsia="Arial" w:hAnsi="Arial"/>
          <w:sz w:val="18"/>
          <w:szCs w:val="18"/>
          <w:color w:val="auto"/>
        </w:rPr>
      </w:pPr>
    </w:p>
    <w:p>
      <w:pPr>
        <w:jc w:val="both"/>
        <w:ind w:firstLine="656"/>
        <w:spacing w:after="0" w:line="255" w:lineRule="auto"/>
        <w:tabs>
          <w:tab w:leader="none" w:pos="904"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None of the Company, any of its subsidiaries or, to the Company’s knowledge, the Associates, is (i) in violation of its respective Memorandum of Association or Bye-laws, (ii) in violation of any applicable statute, law, rule, regulation, judgment, order or decree of any competent court, regulatory body, administrative agency, governmental body, arbitrator or other authority or (iii) in default (or with the giving of notice or lapse of time would be in default) under any existing obligation, agreement, covenant or condition contained in any indenture, mortgage, deed of trust, loan agreement, lease or other agreement or instrument to which any of them is a party or by which any of them is bound or to which any of the properties of any of them is subject, except in each case covered by clauses (ii) and (iii) such as would not result in a Material Adverse Effect or have a material adverse effect on the consummation of the transactions contemplated hereby.</w:t>
      </w:r>
    </w:p>
    <w:p>
      <w:pPr>
        <w:spacing w:after="0" w:line="189" w:lineRule="exact"/>
        <w:rPr>
          <w:rFonts w:ascii="Arial" w:cs="Arial" w:eastAsia="Arial" w:hAnsi="Arial"/>
          <w:sz w:val="18"/>
          <w:szCs w:val="18"/>
          <w:color w:val="auto"/>
        </w:rPr>
      </w:pPr>
    </w:p>
    <w:p>
      <w:pPr>
        <w:jc w:val="both"/>
        <w:ind w:firstLine="656"/>
        <w:spacing w:after="0" w:line="264" w:lineRule="auto"/>
        <w:tabs>
          <w:tab w:leader="none" w:pos="912"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subsidiary of the Company is currently prohibited, directly or indirectly, from paying any cash dividends to the Company, from making any other distribution on such subsidiary’s share capital, or from transferring any of such subsidiary’s property or assets to the Company or any other subsidiary of the Company, except as described in the Disclosure Package.</w:t>
      </w:r>
    </w:p>
    <w:p>
      <w:pPr>
        <w:spacing w:after="0" w:line="181" w:lineRule="exact"/>
        <w:rPr>
          <w:rFonts w:ascii="Arial" w:cs="Arial" w:eastAsia="Arial" w:hAnsi="Arial"/>
          <w:sz w:val="18"/>
          <w:szCs w:val="18"/>
          <w:color w:val="auto"/>
        </w:rPr>
      </w:pPr>
    </w:p>
    <w:p>
      <w:pPr>
        <w:jc w:val="both"/>
        <w:ind w:firstLine="656"/>
        <w:spacing w:after="0" w:line="312" w:lineRule="auto"/>
        <w:tabs>
          <w:tab w:leader="none" w:pos="91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Company has been designated as non-resident of Bermuda for the purposes of the Bermuda Exchange Control Act 1972 and as such is free to acquire, hold, transfer and sell foreign currency and securities without restriction under such legislation (including the payment of dividends, interests, premiums or additional amounts or other distributions which may be lawfully made by the Company under the Bermuda Companies Act 1981).</w:t>
      </w:r>
    </w:p>
    <w:p>
      <w:pPr>
        <w:spacing w:after="0" w:line="146" w:lineRule="exact"/>
        <w:rPr>
          <w:rFonts w:ascii="Arial" w:cs="Arial" w:eastAsia="Arial" w:hAnsi="Arial"/>
          <w:sz w:val="16"/>
          <w:szCs w:val="16"/>
          <w:color w:val="auto"/>
        </w:rPr>
      </w:pPr>
    </w:p>
    <w:p>
      <w:pPr>
        <w:ind w:firstLine="656"/>
        <w:spacing w:after="0" w:line="342" w:lineRule="auto"/>
        <w:tabs>
          <w:tab w:leader="none" w:pos="921"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There are no contracts, agreements or understandings between the Company and any person that would give rise to a valid claim against the Company or any Underwriter for a brokerage commission, finder’s fee or other like payment in connection with the issuance and sale of the Securities.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9" w:name="page10"/>
    <w:bookmarkEnd w:id="9"/>
    <w:p>
      <w:pPr>
        <w:jc w:val="both"/>
        <w:ind w:firstLine="656"/>
        <w:spacing w:after="0" w:line="255" w:lineRule="auto"/>
        <w:tabs>
          <w:tab w:leader="none" w:pos="88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statements set forth in the Registration Statement, Disclosure Package and the Final Prospectus under the caption “Description of Notes”, insofar as they purport to constitute a summary of the terms of the Securities, and under the caption “Service of Process and Enforcement of Liabilities”, and the information contained in the Company’s Annual Report on Form 20-F for the fiscal year ended December 31, 2016 under the captions “Business Overview – Ship Time Charters”, “Business Overview – Risk of Loss, Insurance and Risk Management”, “Business Overview – Environmental and Other Regulation”, and “Additional Information – Tax Considerations” insofar as they purport to describe the provisions of the laws and documents referred to therein, are accurate, complete and fair.</w:t>
      </w:r>
    </w:p>
    <w:p>
      <w:pPr>
        <w:spacing w:after="0" w:line="193" w:lineRule="exact"/>
        <w:rPr>
          <w:rFonts w:ascii="Arial" w:cs="Arial" w:eastAsia="Arial" w:hAnsi="Arial"/>
          <w:sz w:val="18"/>
          <w:szCs w:val="18"/>
          <w:color w:val="auto"/>
        </w:rPr>
      </w:pPr>
    </w:p>
    <w:p>
      <w:pPr>
        <w:ind w:firstLine="656"/>
        <w:spacing w:after="0" w:line="308" w:lineRule="auto"/>
        <w:tabs>
          <w:tab w:leader="none" w:pos="888"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There are no business relationships or related-party transactions involving the Company or any of its subsidiaries or any other person required to be described in the Registration Statement, the Disclosure Package and the Final Prospectus which have not been described as required.</w:t>
      </w:r>
    </w:p>
    <w:p>
      <w:pPr>
        <w:spacing w:after="0" w:line="146" w:lineRule="exact"/>
        <w:rPr>
          <w:rFonts w:ascii="Arial" w:cs="Arial" w:eastAsia="Arial" w:hAnsi="Arial"/>
          <w:sz w:val="17"/>
          <w:szCs w:val="17"/>
          <w:color w:val="auto"/>
        </w:rPr>
      </w:pPr>
    </w:p>
    <w:p>
      <w:pPr>
        <w:jc w:val="both"/>
        <w:ind w:firstLine="656"/>
        <w:spacing w:after="0" w:line="264" w:lineRule="auto"/>
        <w:tabs>
          <w:tab w:leader="none" w:pos="888"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statistical and market-related data included in the Registration Statement, Disclosure Package and the Final Prospectus are based on or derived from sources that the Company reasonably believes to be reliable and accurate, and the Company has obtained the written consent for the use of such data from such sources to the extent required.</w:t>
      </w:r>
    </w:p>
    <w:p>
      <w:pPr>
        <w:spacing w:after="0" w:line="181" w:lineRule="exact"/>
        <w:rPr>
          <w:rFonts w:ascii="Arial" w:cs="Arial" w:eastAsia="Arial" w:hAnsi="Arial"/>
          <w:sz w:val="18"/>
          <w:szCs w:val="18"/>
          <w:color w:val="auto"/>
        </w:rPr>
      </w:pPr>
    </w:p>
    <w:p>
      <w:pPr>
        <w:ind w:right="20" w:firstLine="656"/>
        <w:spacing w:after="0" w:line="342" w:lineRule="auto"/>
        <w:tabs>
          <w:tab w:leader="none" w:pos="903" w:val="left"/>
        </w:tabs>
        <w:numPr>
          <w:ilvl w:val="0"/>
          <w:numId w:val="7"/>
        </w:numPr>
        <w:rPr>
          <w:rFonts w:ascii="Arial" w:cs="Arial" w:eastAsia="Arial" w:hAnsi="Arial"/>
          <w:sz w:val="16"/>
          <w:szCs w:val="16"/>
          <w:color w:val="auto"/>
        </w:rPr>
      </w:pPr>
      <w:r>
        <w:rPr>
          <w:rFonts w:ascii="Arial" w:cs="Arial" w:eastAsia="Arial" w:hAnsi="Arial"/>
          <w:sz w:val="16"/>
          <w:szCs w:val="16"/>
          <w:color w:val="auto"/>
        </w:rPr>
        <w:t>No forward-looking statement (within the meaning of Section 27A of the Act and Section 21E of the Exchange Act) contained in the Registration Statement, Disclosure Package or the Final Prospectus has been made or reaffirmed without a reasonable basis or has been disclosed other than in good faith.</w:t>
      </w:r>
    </w:p>
    <w:p>
      <w:pPr>
        <w:spacing w:after="0" w:line="123" w:lineRule="exact"/>
        <w:rPr>
          <w:rFonts w:ascii="Arial" w:cs="Arial" w:eastAsia="Arial" w:hAnsi="Arial"/>
          <w:sz w:val="16"/>
          <w:szCs w:val="16"/>
          <w:color w:val="auto"/>
        </w:rPr>
      </w:pPr>
    </w:p>
    <w:p>
      <w:pPr>
        <w:jc w:val="both"/>
        <w:ind w:firstLine="656"/>
        <w:spacing w:after="0" w:line="257" w:lineRule="auto"/>
        <w:tabs>
          <w:tab w:leader="none" w:pos="91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are no legal or governmental proceedings pending to which the Company or any of its subsidiaries is a party or of which any property of the Company or any of its subsidiaries is the subject or, to the Company’s knowledge, after due inquiry, to which any of the Company’s or its subsidiaries’ directors or executive officers is a party, which, if determined adversely to the Company or any of its subsidiaries, would individually or in the aggregate have a Material Adverse Effect; and, to the Company’s knowledge, no such proceedings are threatened or contemplated by governmental authorities or threatened by others.</w:t>
      </w:r>
    </w:p>
    <w:p>
      <w:pPr>
        <w:spacing w:after="0" w:line="188" w:lineRule="exact"/>
        <w:rPr>
          <w:rFonts w:ascii="Arial" w:cs="Arial" w:eastAsia="Arial" w:hAnsi="Arial"/>
          <w:sz w:val="18"/>
          <w:szCs w:val="18"/>
          <w:color w:val="auto"/>
        </w:rPr>
      </w:pPr>
    </w:p>
    <w:p>
      <w:pPr>
        <w:jc w:val="both"/>
        <w:ind w:firstLine="656"/>
        <w:spacing w:after="0" w:line="290" w:lineRule="auto"/>
        <w:tabs>
          <w:tab w:leader="none" w:pos="961" w:val="left"/>
        </w:tabs>
        <w:numPr>
          <w:ilvl w:val="0"/>
          <w:numId w:val="7"/>
        </w:numPr>
        <w:rPr>
          <w:rFonts w:ascii="Arial" w:cs="Arial" w:eastAsia="Arial" w:hAnsi="Arial"/>
          <w:sz w:val="16"/>
          <w:szCs w:val="16"/>
          <w:color w:val="auto"/>
        </w:rPr>
      </w:pPr>
      <w:r>
        <w:rPr>
          <w:rFonts w:ascii="Arial" w:cs="Arial" w:eastAsia="Arial" w:hAnsi="Arial"/>
          <w:sz w:val="16"/>
          <w:szCs w:val="16"/>
          <w:color w:val="auto"/>
        </w:rPr>
        <w:t>Other than as set forth in the Disclosure Package, (A)(i) to the Company’s knowledge, after due inquiry, neither the Company nor any of its subsidiaries is in violation of any applicable United States federal, state, local or non-U.S. statute, law, rule, regulation, ordinance, code, other requirement or rule of law (including common law), or decision or order of any competent domestic or foreign governmental agency, governmental body or court applicable to them, relating to pollution, to the use, handling, transportation, treatment, storage, discharge, disposal or release of Hazardous Substances, to the protection or restoration of the environment or natural resources (including biota), to health and safety as such relates to exposure to Hazardous Substances, and to natural resource damages (collectively, “</w:t>
      </w:r>
      <w:r>
        <w:rPr>
          <w:rFonts w:ascii="Arial" w:cs="Arial" w:eastAsia="Arial" w:hAnsi="Arial"/>
          <w:sz w:val="16"/>
          <w:szCs w:val="16"/>
          <w:u w:val="single" w:color="auto"/>
          <w:color w:val="auto"/>
        </w:rPr>
        <w:t>Environmental Laws</w:t>
      </w:r>
      <w:r>
        <w:rPr>
          <w:rFonts w:ascii="Arial" w:cs="Arial" w:eastAsia="Arial" w:hAnsi="Arial"/>
          <w:sz w:val="16"/>
          <w:szCs w:val="16"/>
          <w:color w:val="auto"/>
        </w:rPr>
        <w:t>”), (ii) neither the Company nor any of its subsidiaries owns, operates or leases any real property contaminated with Hazardous Substances, (iii) neither the Company nor any of its subsidiaries is conducting or funding any investigation, remediation, remedial action or monitoring of actual or suspected Hazardous Substances in the environment, (iv) neither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0" w:name="page11"/>
    <w:bookmarkEnd w:id="10"/>
    <w:p>
      <w:pPr>
        <w:jc w:val="both"/>
        <w:spacing w:after="0" w:line="287" w:lineRule="auto"/>
        <w:rPr>
          <w:sz w:val="20"/>
          <w:szCs w:val="20"/>
          <w:color w:val="auto"/>
        </w:rPr>
      </w:pPr>
      <w:r>
        <w:rPr>
          <w:rFonts w:ascii="Arial" w:cs="Arial" w:eastAsia="Arial" w:hAnsi="Arial"/>
          <w:sz w:val="16"/>
          <w:szCs w:val="16"/>
          <w:color w:val="auto"/>
        </w:rPr>
        <w:t>Company nor any of its subsidiaries is liable or allegedly liable for any release or threatened release of Hazardous Substances, including at any off-site treatment, storage or disposal site, (v) neither the Company nor any of its subsidiaries is a party to any claim by any governmental agency or governmental body or person relating to Environmental Laws or Hazardous Substances, and (vi) the Company and its subsidiaries have received and are in compliance with all, and have no liability under any, permits, licenses, authorizations, identification numbers or other approvals required under applicable Environmental Laws to conduct their respective businesses, except in each case covered by clauses (i) – (vi) such as would not individually or in the aggregate have a Material Adverse Effect; (B) to the Company’s knowledge there are no facts or circumstances that would reasonably be expected to result in a violation of, liability under, or claim against the Company or any of its subsidiaries pursuant to any Environmental Law that would have a Material Adverse Effect; and (C) to the Company’s knowledge, there are no requirements proposed for adoption or implementation under any Environmental Law that would reasonably be expected to have a Material Adverse Effect. For purposes of this subsection, “Hazardous Substances” means (x) petroleum and petroleum products, by-products or breakdown products, radioactive materials, asbestos-containing materials, polychlorinated biphenyls and mold, and (y) any other chemical, material or substance defined or regulated as toxic or hazardous or as a pollutant, contaminant or waste under Environmental Laws.</w:t>
      </w:r>
    </w:p>
    <w:p>
      <w:pPr>
        <w:spacing w:after="0" w:line="173" w:lineRule="exact"/>
        <w:rPr>
          <w:sz w:val="20"/>
          <w:szCs w:val="20"/>
          <w:color w:val="auto"/>
        </w:rPr>
      </w:pPr>
    </w:p>
    <w:p>
      <w:pPr>
        <w:jc w:val="both"/>
        <w:ind w:firstLine="656"/>
        <w:spacing w:after="0" w:line="279" w:lineRule="auto"/>
        <w:tabs>
          <w:tab w:leader="none" w:pos="903" w:val="left"/>
        </w:tabs>
        <w:numPr>
          <w:ilvl w:val="0"/>
          <w:numId w:val="8"/>
        </w:numPr>
        <w:rPr>
          <w:rFonts w:ascii="Arial" w:cs="Arial" w:eastAsia="Arial" w:hAnsi="Arial"/>
          <w:sz w:val="17"/>
          <w:szCs w:val="17"/>
          <w:color w:val="auto"/>
        </w:rPr>
      </w:pPr>
      <w:r>
        <w:rPr>
          <w:rFonts w:ascii="Arial" w:cs="Arial" w:eastAsia="Arial" w:hAnsi="Arial"/>
          <w:sz w:val="17"/>
          <w:szCs w:val="17"/>
          <w:color w:val="auto"/>
        </w:rPr>
        <w:t>Other than as set forth in the Disclosure Package, the Company has reasonably concluded that neither the Company nor any of its subsidiaries has incurred any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individually or in the aggregate, have a Material Adverse Effect.</w:t>
      </w:r>
    </w:p>
    <w:p>
      <w:pPr>
        <w:spacing w:after="0" w:line="171" w:lineRule="exact"/>
        <w:rPr>
          <w:rFonts w:ascii="Arial" w:cs="Arial" w:eastAsia="Arial" w:hAnsi="Arial"/>
          <w:sz w:val="17"/>
          <w:szCs w:val="17"/>
          <w:color w:val="auto"/>
        </w:rPr>
      </w:pPr>
    </w:p>
    <w:p>
      <w:pPr>
        <w:jc w:val="both"/>
        <w:ind w:firstLine="656"/>
        <w:spacing w:after="0" w:line="276" w:lineRule="auto"/>
        <w:tabs>
          <w:tab w:leader="none" w:pos="911" w:val="left"/>
        </w:tabs>
        <w:numPr>
          <w:ilvl w:val="0"/>
          <w:numId w:val="8"/>
        </w:numPr>
        <w:rPr>
          <w:rFonts w:ascii="Arial" w:cs="Arial" w:eastAsia="Arial" w:hAnsi="Arial"/>
          <w:sz w:val="17"/>
          <w:szCs w:val="17"/>
          <w:color w:val="auto"/>
        </w:rPr>
      </w:pPr>
      <w:r>
        <w:rPr>
          <w:rFonts w:ascii="Arial" w:cs="Arial" w:eastAsia="Arial" w:hAnsi="Arial"/>
          <w:sz w:val="17"/>
          <w:szCs w:val="17"/>
          <w:color w:val="auto"/>
        </w:rPr>
        <w:t>Other than as set forth in the Disclosure Package, the Company and its subsidiaries possess all certificates, authorizations and permits issued by the appropriate federal, state or foreign regulatory authorities as necessary for the Company and its subsidiaries to conduct their respective businesses as currently conducted, except as would not individually or in the aggregate have a Material Adverse Effect; and neither the Company nor any of its subsidiaries has received any notice of proceedings relating to the revocation or modification of any such certificate, authorization or permit which, individually or in the aggregate, if the subject of an unfavorable decision, ruling or finding, would have a Material Adverse Effect.</w:t>
      </w:r>
    </w:p>
    <w:p>
      <w:pPr>
        <w:spacing w:after="0" w:line="172" w:lineRule="exact"/>
        <w:rPr>
          <w:rFonts w:ascii="Arial" w:cs="Arial" w:eastAsia="Arial" w:hAnsi="Arial"/>
          <w:sz w:val="17"/>
          <w:szCs w:val="17"/>
          <w:color w:val="auto"/>
        </w:rPr>
      </w:pPr>
    </w:p>
    <w:p>
      <w:pPr>
        <w:jc w:val="both"/>
        <w:ind w:firstLine="656"/>
        <w:spacing w:after="0" w:line="297" w:lineRule="auto"/>
        <w:tabs>
          <w:tab w:leader="none" w:pos="894"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and its subsidiaries own or possess, or hold a right or license to use, or can acquire on reasonable terms, all material patents, patent rights, licenses, inventions, copyrights, know-how (including trade secrets and other unpatented and/or unpatentable proprietary or confidential information, systems or procedures), trademarks, service marks and trade names currently employed by them in connection with the business now operated by them, and neither the Company nor any of its subsidiaries has received any notice of infringement of or conflict with asserted rights of others with respect to any of the foregoing, which if the subject of an unfavorable decision, ruling or finding, would have a Material Adverse Effect.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1" w:name="page12"/>
    <w:bookmarkEnd w:id="11"/>
    <w:p>
      <w:pPr>
        <w:ind w:right="20" w:firstLine="656"/>
        <w:spacing w:after="0" w:line="308" w:lineRule="auto"/>
        <w:tabs>
          <w:tab w:leader="none" w:pos="975" w:val="left"/>
        </w:tabs>
        <w:numPr>
          <w:ilvl w:val="1"/>
          <w:numId w:val="9"/>
        </w:numPr>
        <w:rPr>
          <w:rFonts w:ascii="Arial" w:cs="Arial" w:eastAsia="Arial" w:hAnsi="Arial"/>
          <w:sz w:val="17"/>
          <w:szCs w:val="17"/>
          <w:color w:val="auto"/>
        </w:rPr>
      </w:pPr>
      <w:r>
        <w:rPr>
          <w:rFonts w:ascii="Arial" w:cs="Arial" w:eastAsia="Arial" w:hAnsi="Arial"/>
          <w:sz w:val="17"/>
          <w:szCs w:val="17"/>
          <w:color w:val="auto"/>
        </w:rPr>
        <w:t>No material labor dispute, work stoppage, slow down or other conflict with the employees of the Company or any of its subsidiaries exists or, to the Company’s knowledge, is threatened or contemplated.</w:t>
      </w:r>
    </w:p>
    <w:p>
      <w:pPr>
        <w:spacing w:after="0" w:line="146" w:lineRule="exact"/>
        <w:rPr>
          <w:rFonts w:ascii="Arial" w:cs="Arial" w:eastAsia="Arial" w:hAnsi="Arial"/>
          <w:sz w:val="17"/>
          <w:szCs w:val="17"/>
          <w:color w:val="auto"/>
        </w:rPr>
      </w:pPr>
    </w:p>
    <w:p>
      <w:pPr>
        <w:jc w:val="both"/>
        <w:ind w:firstLine="656"/>
        <w:spacing w:after="0" w:line="257" w:lineRule="auto"/>
        <w:tabs>
          <w:tab w:leader="none" w:pos="1009"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Company, each of its subsidiaries and their vessels are insured by insurers of recognized financial responsibility against such losses and risks and in such amounts as are prudent and customary in the businesses in which they are engaged; neither the Company nor any of its subsidiaries has been refused any insurance coverage sought or applied for;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spacing w:after="0" w:line="188" w:lineRule="exact"/>
        <w:rPr>
          <w:rFonts w:ascii="Arial" w:cs="Arial" w:eastAsia="Arial" w:hAnsi="Arial"/>
          <w:sz w:val="18"/>
          <w:szCs w:val="18"/>
          <w:color w:val="auto"/>
        </w:rPr>
      </w:pPr>
    </w:p>
    <w:p>
      <w:pPr>
        <w:ind w:firstLine="656"/>
        <w:spacing w:after="0" w:line="277" w:lineRule="auto"/>
        <w:tabs>
          <w:tab w:leader="none" w:pos="981" w:val="left"/>
        </w:tabs>
        <w:numPr>
          <w:ilvl w:val="1"/>
          <w:numId w:val="9"/>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any off-balance sheet arrangements, except as described in the Registration Statement, the Disclosure Package and the Final Prospectus.</w:t>
      </w:r>
    </w:p>
    <w:p>
      <w:pPr>
        <w:spacing w:after="0" w:line="170" w:lineRule="exact"/>
        <w:rPr>
          <w:rFonts w:ascii="Arial" w:cs="Arial" w:eastAsia="Arial" w:hAnsi="Arial"/>
          <w:sz w:val="18"/>
          <w:szCs w:val="18"/>
          <w:color w:val="auto"/>
        </w:rPr>
      </w:pPr>
    </w:p>
    <w:p>
      <w:pPr>
        <w:jc w:val="both"/>
        <w:ind w:firstLine="656"/>
        <w:spacing w:after="0" w:line="283" w:lineRule="auto"/>
        <w:tabs>
          <w:tab w:leader="none" w:pos="997" w:val="left"/>
        </w:tabs>
        <w:numPr>
          <w:ilvl w:val="1"/>
          <w:numId w:val="9"/>
        </w:numPr>
        <w:rPr>
          <w:rFonts w:ascii="Arial" w:cs="Arial" w:eastAsia="Arial" w:hAnsi="Arial"/>
          <w:sz w:val="16"/>
          <w:szCs w:val="16"/>
          <w:color w:val="auto"/>
        </w:rPr>
      </w:pPr>
      <w:r>
        <w:rPr>
          <w:rFonts w:ascii="Arial" w:cs="Arial" w:eastAsia="Arial" w:hAnsi="Arial"/>
          <w:sz w:val="16"/>
          <w:szCs w:val="16"/>
          <w:color w:val="auto"/>
        </w:rPr>
        <w:t>(A) None of the Company, its subsidiaries or any of their respective directors or officers, nor, to the Company’s knowledge, the Associates, any of their respective directors or officers, or the respective affiliates, employees or agents of the Company, its subsidiaries and the Associates: (i) knowingly does any business with or involving the government of, or any person or project located in, any country targeted by any of the economic sanctions promulgated by any Executive Order issued by the President of the United States or administered by the United States Treasury Department’s Office of Foreign Assets Control (the “</w:t>
      </w:r>
      <w:r>
        <w:rPr>
          <w:rFonts w:ascii="Arial" w:cs="Arial" w:eastAsia="Arial" w:hAnsi="Arial"/>
          <w:sz w:val="16"/>
          <w:szCs w:val="16"/>
          <w:u w:val="single" w:color="auto"/>
          <w:color w:val="auto"/>
        </w:rPr>
        <w:t>OFAC</w:t>
      </w:r>
      <w:r>
        <w:rPr>
          <w:rFonts w:ascii="Arial" w:cs="Arial" w:eastAsia="Arial" w:hAnsi="Arial"/>
          <w:sz w:val="16"/>
          <w:szCs w:val="16"/>
          <w:color w:val="auto"/>
        </w:rPr>
        <w:t>”) (collectively, “</w:t>
      </w:r>
      <w:r>
        <w:rPr>
          <w:rFonts w:ascii="Arial" w:cs="Arial" w:eastAsia="Arial" w:hAnsi="Arial"/>
          <w:sz w:val="16"/>
          <w:szCs w:val="16"/>
          <w:u w:val="single" w:color="auto"/>
          <w:color w:val="auto"/>
        </w:rPr>
        <w:t>Sanctions</w:t>
      </w:r>
      <w:r>
        <w:rPr>
          <w:rFonts w:ascii="Arial" w:cs="Arial" w:eastAsia="Arial" w:hAnsi="Arial"/>
          <w:sz w:val="16"/>
          <w:szCs w:val="16"/>
          <w:color w:val="auto"/>
        </w:rPr>
        <w:t>”); or (ii) knowingly supports or facilitates any such business or project, in each case other than as permitted under such economic sanctions; (B) the Company is not controlled (within the meaning of the Executive Orders or regulations promulgating such economic sanctions or the laws authorizing such promulgation) by any such government or person; (C) the proceeds from the offering of the Securities contemplated hereby will not be used to fund any operations in, to finance any investments, projects or activities in, or to make any payments to, any country, or to make any payments to, or finance any activities with, any person targeted by any of such economic sanctions; and (D) the Company maintains and has implemented adequate internal controls and procedures to monitor and audit transactions that are reasonably designed to detect and prevent any use of the proceeds from the offering of the Securities contemplated hereby that is inconsistent with any of the Company’s representations and obligations under clause</w:t>
      </w:r>
    </w:p>
    <w:p>
      <w:pPr>
        <w:spacing w:after="0" w:line="4" w:lineRule="exact"/>
        <w:rPr>
          <w:rFonts w:ascii="Arial" w:cs="Arial" w:eastAsia="Arial" w:hAnsi="Arial"/>
          <w:sz w:val="16"/>
          <w:szCs w:val="16"/>
          <w:color w:val="auto"/>
        </w:rPr>
      </w:pPr>
    </w:p>
    <w:p>
      <w:pPr>
        <w:ind w:left="300" w:hanging="292"/>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of this paragraph or in the Registration Statement, Disclosure Package or Final Prospectus.</w:t>
      </w:r>
    </w:p>
    <w:p>
      <w:pPr>
        <w:spacing w:after="0" w:line="210" w:lineRule="exact"/>
        <w:rPr>
          <w:rFonts w:ascii="Arial" w:cs="Arial" w:eastAsia="Arial" w:hAnsi="Arial"/>
          <w:sz w:val="18"/>
          <w:szCs w:val="18"/>
          <w:color w:val="auto"/>
        </w:rPr>
      </w:pPr>
    </w:p>
    <w:p>
      <w:pPr>
        <w:jc w:val="both"/>
        <w:ind w:firstLine="656"/>
        <w:spacing w:after="0" w:line="276" w:lineRule="auto"/>
        <w:tabs>
          <w:tab w:leader="none" w:pos="992" w:val="left"/>
        </w:tabs>
        <w:numPr>
          <w:ilvl w:val="1"/>
          <w:numId w:val="10"/>
        </w:numPr>
        <w:rPr>
          <w:rFonts w:ascii="Arial" w:cs="Arial" w:eastAsia="Arial" w:hAnsi="Arial"/>
          <w:sz w:val="17"/>
          <w:szCs w:val="17"/>
          <w:color w:val="auto"/>
        </w:rPr>
      </w:pPr>
      <w:r>
        <w:rPr>
          <w:rFonts w:ascii="Arial" w:cs="Arial" w:eastAsia="Arial" w:hAnsi="Arial"/>
          <w:sz w:val="17"/>
          <w:szCs w:val="17"/>
          <w:color w:val="auto"/>
        </w:rPr>
        <w:t>None of the Company, any of its subsidiaries or any of the Company’s directors or executive officers, or, to the Company’s knowledge, the Associates or their respective directors or officers or the Company’s subsidiaries’ directors or executive officers or any agent, employee or other person associated with or acting on behalf of the Company, any of its subsidiaries or the Associates, has taken any action in furtherance of an offer, payment, promise to pay, or authorization or approval of the payment or giving of money, property, gifts or anything else of value, directly or indirectly, to any “government official” (including any officer or employee of a government or government-owned or controlled entity or of a public</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2" w:name="page13"/>
    <w:bookmarkEnd w:id="12"/>
    <w:p>
      <w:pPr>
        <w:jc w:val="both"/>
        <w:spacing w:after="0" w:line="257" w:lineRule="auto"/>
        <w:rPr>
          <w:sz w:val="20"/>
          <w:szCs w:val="20"/>
          <w:color w:val="auto"/>
        </w:rPr>
      </w:pPr>
      <w:r>
        <w:rPr>
          <w:rFonts w:ascii="Arial" w:cs="Arial" w:eastAsia="Arial" w:hAnsi="Arial"/>
          <w:sz w:val="18"/>
          <w:szCs w:val="18"/>
          <w:color w:val="auto"/>
        </w:rPr>
        <w:t>international organization, or any person acting in an official capacity for or on behalf of any of the foregoing, or any political party or party official or candidate for political office) to influence official action or secure an improper advantage in violation of any applicable law; and the Company and its subsidiaries and, to the knowledge of the Company, their respective affiliates have conducted their businesses in compliance with applicable anti-corruption laws and have instituted and maintain and will continue to maintain policies and procedures designed to promote and achieve compliance with such laws and with the representation and warranty contained herein.</w:t>
      </w:r>
    </w:p>
    <w:p>
      <w:pPr>
        <w:spacing w:after="0" w:line="188" w:lineRule="exact"/>
        <w:rPr>
          <w:sz w:val="20"/>
          <w:szCs w:val="20"/>
          <w:color w:val="auto"/>
        </w:rPr>
      </w:pPr>
    </w:p>
    <w:p>
      <w:pPr>
        <w:jc w:val="both"/>
        <w:ind w:firstLine="656"/>
        <w:spacing w:after="0" w:line="254" w:lineRule="auto"/>
        <w:tabs>
          <w:tab w:leader="none" w:pos="94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operations of the Company and its subsidiaries and, to the Company’s knowledge, of the Associates, are and have been conducted at all times in compliance with applicable financial recordkeeping and reporting requirements, including to the extent applicable those of the Currency and Foreign Transactions Reporting Act of 1970, as amended, the Bank Secrecy Act, as amended by Title III of the Uniting and Strengthening America by Providing Appropriate Tools Required to Intercept and Obstruct Terrorism Act of 2001 (USA PATRIOT Act), the money laundering statutes of all jurisdictions, the rules and regulations thereunder and any related or similar rules, regulations or guidelines, issued, administered or enforced by any governmental agency (collectively, the “</w:t>
      </w:r>
      <w:r>
        <w:rPr>
          <w:rFonts w:ascii="Arial" w:cs="Arial" w:eastAsia="Arial" w:hAnsi="Arial"/>
          <w:sz w:val="18"/>
          <w:szCs w:val="18"/>
          <w:u w:val="single" w:color="auto"/>
          <w:color w:val="auto"/>
        </w:rPr>
        <w:t>Money Laundering Laws</w:t>
      </w:r>
      <w:r>
        <w:rPr>
          <w:rFonts w:ascii="Arial" w:cs="Arial" w:eastAsia="Arial" w:hAnsi="Arial"/>
          <w:sz w:val="18"/>
          <w:szCs w:val="18"/>
          <w:color w:val="auto"/>
        </w:rPr>
        <w:t>”); and no action, suit or proceeding by or before any court or governmental agency, authority or body or any arbitrator or non-governmental authority involving the Company or any of its subsidiaries with respect to the Money Laundering Laws is pending or, to the Company’s knowledge, threatened.</w:t>
      </w:r>
    </w:p>
    <w:p>
      <w:pPr>
        <w:spacing w:after="0" w:line="192" w:lineRule="exact"/>
        <w:rPr>
          <w:rFonts w:ascii="Arial" w:cs="Arial" w:eastAsia="Arial" w:hAnsi="Arial"/>
          <w:sz w:val="18"/>
          <w:szCs w:val="18"/>
          <w:color w:val="auto"/>
        </w:rPr>
      </w:pPr>
    </w:p>
    <w:p>
      <w:pPr>
        <w:ind w:firstLine="656"/>
        <w:spacing w:after="0" w:line="277" w:lineRule="auto"/>
        <w:tabs>
          <w:tab w:leader="none" w:pos="10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incurred or is reasonably likely to incur any material liability under Title IV of the Employee Retirement Income Security Act of 1974, as amended.</w:t>
      </w:r>
    </w:p>
    <w:p>
      <w:pPr>
        <w:spacing w:after="0" w:line="170" w:lineRule="exact"/>
        <w:rPr>
          <w:rFonts w:ascii="Arial" w:cs="Arial" w:eastAsia="Arial" w:hAnsi="Arial"/>
          <w:sz w:val="18"/>
          <w:szCs w:val="18"/>
          <w:color w:val="auto"/>
        </w:rPr>
      </w:pPr>
    </w:p>
    <w:p>
      <w:pPr>
        <w:ind w:left="1000" w:hanging="344"/>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There are no restrictions on subsequent transfers of the Securities under the laws of Bermuda.</w:t>
      </w:r>
    </w:p>
    <w:p>
      <w:pPr>
        <w:spacing w:after="0" w:line="225" w:lineRule="exact"/>
        <w:rPr>
          <w:rFonts w:ascii="Arial" w:cs="Arial" w:eastAsia="Arial" w:hAnsi="Arial"/>
          <w:sz w:val="18"/>
          <w:szCs w:val="18"/>
          <w:color w:val="auto"/>
        </w:rPr>
      </w:pPr>
    </w:p>
    <w:p>
      <w:pPr>
        <w:jc w:val="both"/>
        <w:ind w:firstLine="656"/>
        <w:spacing w:after="0" w:line="264" w:lineRule="auto"/>
        <w:tabs>
          <w:tab w:leader="none" w:pos="939"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Except as disclosed in the Disclosure Package, there are no contracts, agreements or understandings between the Company and any person granting such person the right to require the Company to file a registration statement under the Act with respect to any securities of the Company or to require the Company to include such securities with the Securities registered pursuant to the Registration Statement.</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has taken all necessary actions to comply with all applicable corporate governance requirements of the New York Stock Exchange (the “</w:t>
      </w:r>
      <w:r>
        <w:rPr>
          <w:rFonts w:ascii="Arial" w:cs="Arial" w:eastAsia="Arial" w:hAnsi="Arial"/>
          <w:sz w:val="18"/>
          <w:szCs w:val="18"/>
          <w:u w:val="single" w:color="auto"/>
          <w:color w:val="auto"/>
        </w:rPr>
        <w:t>Exchange</w:t>
      </w:r>
      <w:r>
        <w:rPr>
          <w:rFonts w:ascii="Arial" w:cs="Arial" w:eastAsia="Arial" w:hAnsi="Arial"/>
          <w:sz w:val="18"/>
          <w:szCs w:val="18"/>
          <w:color w:val="auto"/>
        </w:rPr>
        <w:t>”) that are, or will be, applicable to the Company, except for such requirements that have been waived and disclosed in the Disclosure Package.</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99"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Neither the Company nor any other person acting on behalf of the Company has sold or issued any securities that would be integrated with the offering of the Notes contemplated by this Agreement pursuant to the Act, the rules and regulations thereunder or the interpretations thereof by the Commission.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3" w:name="page14"/>
    <w:bookmarkEnd w:id="13"/>
    <w:p>
      <w:pPr>
        <w:jc w:val="both"/>
        <w:ind w:firstLine="656"/>
        <w:spacing w:after="0" w:line="264" w:lineRule="auto"/>
        <w:tabs>
          <w:tab w:leader="none" w:pos="9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taken, directly or indirectly, any action which was designed to or which has constituted or which might reasonably be expected to cause or result in stabilization or manipulation of the price of any security of the Company to facilitate the sale or resale of the Securities.</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1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Securities and the application of the proceeds thereof, will not be required to register as an “investment company”, as such term is defined in the Investment Company Act of 1940, as amended (the “</w:t>
      </w:r>
      <w:r>
        <w:rPr>
          <w:rFonts w:ascii="Arial" w:cs="Arial" w:eastAsia="Arial" w:hAnsi="Arial"/>
          <w:sz w:val="18"/>
          <w:szCs w:val="18"/>
          <w:u w:val="single" w:color="auto"/>
          <w:color w:val="auto"/>
        </w:rPr>
        <w:t>Investment Company</w:t>
      </w:r>
      <w:r>
        <w:rPr>
          <w:rFonts w:ascii="Arial" w:cs="Arial" w:eastAsia="Arial" w:hAnsi="Arial"/>
          <w:sz w:val="18"/>
          <w:szCs w:val="18"/>
          <w:color w:val="auto"/>
        </w:rPr>
        <w:t xml:space="preserve"> </w:t>
      </w:r>
      <w:r>
        <w:rPr>
          <w:rFonts w:ascii="Arial" w:cs="Arial" w:eastAsia="Arial" w:hAnsi="Arial"/>
          <w:sz w:val="18"/>
          <w:szCs w:val="18"/>
          <w:u w:val="single" w:color="auto"/>
          <w:color w:val="auto"/>
        </w:rPr>
        <w:t>Act</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firstLine="656"/>
        <w:spacing w:after="0" w:line="342" w:lineRule="auto"/>
        <w:tabs>
          <w:tab w:leader="none" w:pos="1007"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 described in the Registration Statement and subject to the limitations and restrictions described therein, the Company believes neither the Company nor any of its subsidiaries should be a “passive foreign investment company” as defined in the Internal Revenue Code of 1986, as amended.</w:t>
      </w:r>
    </w:p>
    <w:p>
      <w:pPr>
        <w:spacing w:after="0" w:line="123" w:lineRule="exact"/>
        <w:rPr>
          <w:rFonts w:ascii="Arial" w:cs="Arial" w:eastAsia="Arial" w:hAnsi="Arial"/>
          <w:sz w:val="16"/>
          <w:szCs w:val="16"/>
          <w:color w:val="auto"/>
        </w:rPr>
      </w:pPr>
    </w:p>
    <w:p>
      <w:pPr>
        <w:ind w:left="1000" w:hanging="344"/>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is a “foreign private issuer” as defined in Rule 405 under the Act.</w:t>
      </w:r>
    </w:p>
    <w:p>
      <w:pPr>
        <w:spacing w:after="0" w:line="225" w:lineRule="exact"/>
        <w:rPr>
          <w:rFonts w:ascii="Arial" w:cs="Arial" w:eastAsia="Arial" w:hAnsi="Arial"/>
          <w:sz w:val="18"/>
          <w:szCs w:val="18"/>
          <w:color w:val="auto"/>
        </w:rPr>
      </w:pPr>
    </w:p>
    <w:p>
      <w:pPr>
        <w:jc w:val="both"/>
        <w:ind w:firstLine="656"/>
        <w:spacing w:after="0" w:line="257" w:lineRule="auto"/>
        <w:tabs>
          <w:tab w:leader="none" w:pos="1033"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Except as described in the Disclosure Package, there are no affiliations or associations between any member of the Financial Industry Regulatory Authority (“</w:t>
      </w:r>
      <w:r>
        <w:rPr>
          <w:rFonts w:ascii="Arial" w:cs="Arial" w:eastAsia="Arial" w:hAnsi="Arial"/>
          <w:sz w:val="18"/>
          <w:szCs w:val="18"/>
          <w:u w:val="single" w:color="auto"/>
          <w:color w:val="auto"/>
        </w:rPr>
        <w:t>FINRA</w:t>
      </w:r>
      <w:r>
        <w:rPr>
          <w:rFonts w:ascii="Arial" w:cs="Arial" w:eastAsia="Arial" w:hAnsi="Arial"/>
          <w:sz w:val="18"/>
          <w:szCs w:val="18"/>
          <w:color w:val="auto"/>
        </w:rPr>
        <w:t>”) and the Company and, to the Company’s knowledge, there are no affiliations or associations between (A) any member of FINRA and (b) any member of the Company’s officers, directors or 5% or greater security holders or any beneficial owner of the Company’s unregistered equity securities that were acquired at any time on or after the 180th day immediately preceding the date the Registration Statement was initially submitted to the Commission.</w:t>
      </w:r>
    </w:p>
    <w:p>
      <w:pPr>
        <w:spacing w:after="0" w:line="188" w:lineRule="exact"/>
        <w:rPr>
          <w:rFonts w:ascii="Arial" w:cs="Arial" w:eastAsia="Arial" w:hAnsi="Arial"/>
          <w:sz w:val="18"/>
          <w:szCs w:val="18"/>
          <w:color w:val="auto"/>
        </w:rPr>
      </w:pPr>
    </w:p>
    <w:p>
      <w:pPr>
        <w:jc w:val="both"/>
        <w:ind w:firstLine="656"/>
        <w:spacing w:after="0" w:line="264" w:lineRule="auto"/>
        <w:tabs>
          <w:tab w:leader="none" w:pos="1013"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Deloitte LLP, who has certified certain financial statements of the Company and its subsidiaries and delivered its report with respect to the audited consolidated financial statements and schedules included in the Registration Statement, Disclosure Package and the Final Prospectus, is an independent public accountant with respect to the Company and its subsidiaries as required by the Act.</w:t>
      </w:r>
    </w:p>
    <w:p>
      <w:pPr>
        <w:spacing w:after="0" w:line="181" w:lineRule="exact"/>
        <w:rPr>
          <w:rFonts w:ascii="Arial" w:cs="Arial" w:eastAsia="Arial" w:hAnsi="Arial"/>
          <w:sz w:val="18"/>
          <w:szCs w:val="18"/>
          <w:color w:val="auto"/>
        </w:rPr>
      </w:pPr>
    </w:p>
    <w:p>
      <w:pPr>
        <w:jc w:val="both"/>
        <w:ind w:firstLine="656"/>
        <w:spacing w:after="0" w:line="291" w:lineRule="auto"/>
        <w:tabs>
          <w:tab w:leader="none" w:pos="938"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 maintains a system of internal control over financial reporting (as such term is defined in Rule 13a-15(f) under the Exchange Act sufficient to provide reasonable assurance that (i) transactions are executed in accordance with management’s general or specific authorizations; (ii) transactions are recorded as necessary to permit preparation of financial statements in accordance with international financial reporting standards as adopted by the International Accounting Standards Board (“</w:t>
      </w:r>
      <w:r>
        <w:rPr>
          <w:rFonts w:ascii="Arial" w:cs="Arial" w:eastAsia="Arial" w:hAnsi="Arial"/>
          <w:sz w:val="16"/>
          <w:szCs w:val="16"/>
          <w:u w:val="single" w:color="auto"/>
          <w:color w:val="auto"/>
        </w:rPr>
        <w:t>IFRS</w:t>
      </w:r>
      <w:r>
        <w:rPr>
          <w:rFonts w:ascii="Arial" w:cs="Arial" w:eastAsia="Arial" w:hAnsi="Arial"/>
          <w:sz w:val="16"/>
          <w:szCs w:val="16"/>
          <w:color w:val="auto"/>
        </w:rPr>
        <w:t>”); (iii) access to assets is permitted only in accordance with management’s general or specific authorization; and (iv) the recorded accountability for assets is compared with the existing assets at reasonable intervals and appropriate action is taken with respect to any differences. Such system complies in all material respects with the requirements of the Exchange Act. The Company’s internal control over financial reporting is effective and the Company is not aware of any material weaknesses in its internal control over financial reporting.</w:t>
      </w:r>
    </w:p>
    <w:p>
      <w:pPr>
        <w:spacing w:after="0" w:line="167" w:lineRule="exact"/>
        <w:rPr>
          <w:rFonts w:ascii="Arial" w:cs="Arial" w:eastAsia="Arial" w:hAnsi="Arial"/>
          <w:sz w:val="16"/>
          <w:szCs w:val="16"/>
          <w:color w:val="auto"/>
        </w:rPr>
      </w:pPr>
    </w:p>
    <w:p>
      <w:pPr>
        <w:ind w:firstLine="656"/>
        <w:spacing w:after="0" w:line="277" w:lineRule="auto"/>
        <w:tabs>
          <w:tab w:leader="none" w:pos="959"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Since the date of the latest audited financial statements included in the Disclosure Package, there has been no change in the Company’s internal control over financial reporting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4" w:name="page15"/>
    <w:bookmarkEnd w:id="14"/>
    <w:p>
      <w:pPr>
        <w:spacing w:after="0" w:line="277" w:lineRule="auto"/>
        <w:rPr>
          <w:sz w:val="20"/>
          <w:szCs w:val="20"/>
          <w:color w:val="auto"/>
        </w:rPr>
      </w:pPr>
      <w:r>
        <w:rPr>
          <w:rFonts w:ascii="Arial" w:cs="Arial" w:eastAsia="Arial" w:hAnsi="Arial"/>
          <w:sz w:val="18"/>
          <w:szCs w:val="18"/>
          <w:color w:val="auto"/>
        </w:rPr>
        <w:t>that has materially affected, or is reasonably likely to materially affect, the Company’s internal control over financial reporting (each an “</w:t>
      </w:r>
      <w:r>
        <w:rPr>
          <w:rFonts w:ascii="Arial" w:cs="Arial" w:eastAsia="Arial" w:hAnsi="Arial"/>
          <w:sz w:val="18"/>
          <w:szCs w:val="18"/>
          <w:u w:val="single" w:color="auto"/>
          <w:color w:val="auto"/>
        </w:rPr>
        <w:t>Internal Control</w:t>
      </w:r>
      <w:r>
        <w:rPr>
          <w:rFonts w:ascii="Arial" w:cs="Arial" w:eastAsia="Arial" w:hAnsi="Arial"/>
          <w:sz w:val="18"/>
          <w:szCs w:val="18"/>
          <w:color w:val="auto"/>
        </w:rPr>
        <w:t xml:space="preserve"> </w:t>
      </w:r>
      <w:r>
        <w:rPr>
          <w:rFonts w:ascii="Arial" w:cs="Arial" w:eastAsia="Arial" w:hAnsi="Arial"/>
          <w:sz w:val="18"/>
          <w:szCs w:val="18"/>
          <w:u w:val="single" w:color="auto"/>
          <w:color w:val="auto"/>
        </w:rPr>
        <w:t>Event</w:t>
      </w:r>
      <w:r>
        <w:rPr>
          <w:rFonts w:ascii="Arial" w:cs="Arial" w:eastAsia="Arial" w:hAnsi="Arial"/>
          <w:sz w:val="18"/>
          <w:szCs w:val="18"/>
          <w:color w:val="auto"/>
        </w:rPr>
        <w:t>”).</w:t>
      </w:r>
    </w:p>
    <w:p>
      <w:pPr>
        <w:spacing w:after="0" w:line="170" w:lineRule="exact"/>
        <w:rPr>
          <w:sz w:val="20"/>
          <w:szCs w:val="20"/>
          <w:color w:val="auto"/>
        </w:rPr>
      </w:pPr>
    </w:p>
    <w:p>
      <w:pPr>
        <w:jc w:val="both"/>
        <w:ind w:firstLine="656"/>
        <w:spacing w:after="0" w:line="259" w:lineRule="auto"/>
        <w:tabs>
          <w:tab w:leader="none" w:pos="914"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Company maintains disclosure controls and procedures (as such term is defined in Rule 13a-15(e) under the Exchange Act) that comply with the requirements of the Exchange Act;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are effective.</w:t>
      </w:r>
    </w:p>
    <w:p>
      <w:pPr>
        <w:spacing w:after="0" w:line="186" w:lineRule="exact"/>
        <w:rPr>
          <w:rFonts w:ascii="Arial" w:cs="Arial" w:eastAsia="Arial" w:hAnsi="Arial"/>
          <w:sz w:val="18"/>
          <w:szCs w:val="18"/>
          <w:color w:val="auto"/>
        </w:rPr>
      </w:pPr>
    </w:p>
    <w:p>
      <w:pPr>
        <w:jc w:val="both"/>
        <w:ind w:firstLine="656"/>
        <w:spacing w:after="0" w:line="255" w:lineRule="auto"/>
        <w:tabs>
          <w:tab w:leader="none" w:pos="1007"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financial statements included in the Registration Statement, Disclosure Package and the Final Prospectus, together with the related notes thereto, present fairly in all material respects the consolidated financial position of the Company as of the date shown, and such financial statements have been prepared in conformity with IFRS, applied on a consistent basis throughout the periods involved; and the schedules included in the Registration Statement, Disclosure Package and the Final Prospectus, if any, present fairly the information required to be stated therein. The selected financial data and the summary financial information included in the Registration Statement, Disclosure Package and the Final Prospectus present fairly the information shown therein and have been compiled on a basis consistent with that of the audited and unaudited financial statements included in the Registration Statement, Disclosure Package and the Final Prospectus.</w:t>
      </w:r>
    </w:p>
    <w:p>
      <w:pPr>
        <w:spacing w:after="0" w:line="189" w:lineRule="exact"/>
        <w:rPr>
          <w:rFonts w:ascii="Arial" w:cs="Arial" w:eastAsia="Arial" w:hAnsi="Arial"/>
          <w:sz w:val="18"/>
          <w:szCs w:val="18"/>
          <w:color w:val="auto"/>
        </w:rPr>
      </w:pPr>
    </w:p>
    <w:p>
      <w:pPr>
        <w:jc w:val="both"/>
        <w:ind w:firstLine="656"/>
        <w:spacing w:after="0" w:line="291" w:lineRule="auto"/>
        <w:tabs>
          <w:tab w:leader="none" w:pos="1009" w:val="left"/>
        </w:tabs>
        <w:numPr>
          <w:ilvl w:val="1"/>
          <w:numId w:val="13"/>
        </w:numPr>
        <w:rPr>
          <w:rFonts w:ascii="Arial" w:cs="Arial" w:eastAsia="Arial" w:hAnsi="Arial"/>
          <w:sz w:val="16"/>
          <w:szCs w:val="16"/>
          <w:color w:val="auto"/>
        </w:rPr>
      </w:pPr>
      <w:r>
        <w:rPr>
          <w:rFonts w:ascii="Arial" w:cs="Arial" w:eastAsia="Arial" w:hAnsi="Arial"/>
          <w:sz w:val="16"/>
          <w:szCs w:val="16"/>
          <w:color w:val="auto"/>
        </w:rPr>
        <w:t>Neither the Company’s independent auditors nor any internal auditor has recommended that the Board of Directors review or investigate, (i) adding to, deleting, changing the application of, or changing the Company’s disclosure with respect to, any of the Company’s material accounting policies;</w:t>
      </w:r>
    </w:p>
    <w:p>
      <w:pPr>
        <w:ind w:firstLine="8"/>
        <w:spacing w:after="0" w:line="261" w:lineRule="auto"/>
        <w:tabs>
          <w:tab w:leader="none" w:pos="267"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matter which could result in a restatement of the Company’s audited balance sheet included in the Registration Statement; or (iii) any Internal Control Event.</w:t>
      </w:r>
    </w:p>
    <w:p>
      <w:pPr>
        <w:spacing w:after="0" w:line="183" w:lineRule="exact"/>
        <w:rPr>
          <w:rFonts w:ascii="Arial" w:cs="Arial" w:eastAsia="Arial" w:hAnsi="Arial"/>
          <w:sz w:val="18"/>
          <w:szCs w:val="18"/>
          <w:color w:val="auto"/>
        </w:rPr>
      </w:pPr>
    </w:p>
    <w:p>
      <w:pPr>
        <w:jc w:val="both"/>
        <w:ind w:firstLine="656"/>
        <w:spacing w:after="0" w:line="270" w:lineRule="auto"/>
        <w:tabs>
          <w:tab w:leader="none" w:pos="1080" w:val="left"/>
        </w:tabs>
        <w:numPr>
          <w:ilvl w:val="1"/>
          <w:numId w:val="14"/>
        </w:numPr>
        <w:rPr>
          <w:rFonts w:ascii="Arial" w:cs="Arial" w:eastAsia="Arial" w:hAnsi="Arial"/>
          <w:sz w:val="17"/>
          <w:szCs w:val="17"/>
          <w:color w:val="auto"/>
        </w:rPr>
      </w:pPr>
      <w:r>
        <w:rPr>
          <w:rFonts w:ascii="Arial" w:cs="Arial" w:eastAsia="Arial" w:hAnsi="Arial"/>
          <w:sz w:val="17"/>
          <w:szCs w:val="17"/>
          <w:color w:val="auto"/>
        </w:rPr>
        <w:t>Each of (i) the agreements to purchase newbuilding vessels, (each, a “</w:t>
      </w:r>
      <w:r>
        <w:rPr>
          <w:rFonts w:ascii="Arial" w:cs="Arial" w:eastAsia="Arial" w:hAnsi="Arial"/>
          <w:sz w:val="17"/>
          <w:szCs w:val="17"/>
          <w:u w:val="single" w:color="auto"/>
          <w:color w:val="auto"/>
        </w:rPr>
        <w:t>Newbuilding Contract</w:t>
      </w:r>
      <w:r>
        <w:rPr>
          <w:rFonts w:ascii="Arial" w:cs="Arial" w:eastAsia="Arial" w:hAnsi="Arial"/>
          <w:sz w:val="17"/>
          <w:szCs w:val="17"/>
          <w:color w:val="auto"/>
        </w:rPr>
        <w:t>”, and together, the “</w:t>
      </w:r>
      <w:r>
        <w:rPr>
          <w:rFonts w:ascii="Arial" w:cs="Arial" w:eastAsia="Arial" w:hAnsi="Arial"/>
          <w:sz w:val="17"/>
          <w:szCs w:val="17"/>
          <w:u w:val="single" w:color="auto"/>
          <w:color w:val="auto"/>
        </w:rPr>
        <w:t>Newbuilding Contracts</w:t>
      </w:r>
      <w:r>
        <w:rPr>
          <w:rFonts w:ascii="Arial" w:cs="Arial" w:eastAsia="Arial" w:hAnsi="Arial"/>
          <w:sz w:val="17"/>
          <w:szCs w:val="17"/>
          <w:color w:val="auto"/>
        </w:rPr>
        <w:t>”) for the construction of, the vessels to be acquired by the Company, (ii) the credit facilities to finance the purchase price of the vessels under the Newbuilding Contracts (the “</w:t>
      </w:r>
      <w:r>
        <w:rPr>
          <w:rFonts w:ascii="Arial" w:cs="Arial" w:eastAsia="Arial" w:hAnsi="Arial"/>
          <w:sz w:val="17"/>
          <w:szCs w:val="17"/>
          <w:u w:val="single" w:color="auto"/>
          <w:color w:val="auto"/>
        </w:rPr>
        <w:t>Credit Facilities</w:t>
      </w:r>
      <w:r>
        <w:rPr>
          <w:rFonts w:ascii="Arial" w:cs="Arial" w:eastAsia="Arial" w:hAnsi="Arial"/>
          <w:sz w:val="17"/>
          <w:szCs w:val="17"/>
          <w:color w:val="auto"/>
        </w:rPr>
        <w:t>”), (iii) the time charters for vessels contracted or owned by the Company (the “</w:t>
      </w:r>
      <w:r>
        <w:rPr>
          <w:rFonts w:ascii="Arial" w:cs="Arial" w:eastAsia="Arial" w:hAnsi="Arial"/>
          <w:sz w:val="17"/>
          <w:szCs w:val="17"/>
          <w:u w:val="single" w:color="auto"/>
          <w:color w:val="auto"/>
        </w:rPr>
        <w:t>Time Charters</w:t>
      </w:r>
      <w:r>
        <w:rPr>
          <w:rFonts w:ascii="Arial" w:cs="Arial" w:eastAsia="Arial" w:hAnsi="Arial"/>
          <w:sz w:val="17"/>
          <w:szCs w:val="17"/>
          <w:color w:val="auto"/>
        </w:rPr>
        <w:t>”), (iv) the management agreements relating to the vessels managed by the Company (the “</w:t>
      </w:r>
      <w:r>
        <w:rPr>
          <w:rFonts w:ascii="Arial" w:cs="Arial" w:eastAsia="Arial" w:hAnsi="Arial"/>
          <w:sz w:val="17"/>
          <w:szCs w:val="17"/>
          <w:u w:val="single" w:color="auto"/>
          <w:color w:val="auto"/>
        </w:rPr>
        <w:t>Management Agreements</w:t>
      </w:r>
      <w:r>
        <w:rPr>
          <w:rFonts w:ascii="Arial" w:cs="Arial" w:eastAsia="Arial" w:hAnsi="Arial"/>
          <w:sz w:val="17"/>
          <w:szCs w:val="17"/>
          <w:color w:val="auto"/>
        </w:rPr>
        <w:t>”), and (v) the bareboat charter for the vessel leased by the Company (the “</w:t>
      </w:r>
      <w:r>
        <w:rPr>
          <w:rFonts w:ascii="Arial" w:cs="Arial" w:eastAsia="Arial" w:hAnsi="Arial"/>
          <w:sz w:val="17"/>
          <w:szCs w:val="17"/>
          <w:u w:val="single" w:color="auto"/>
          <w:color w:val="auto"/>
        </w:rPr>
        <w:t>Bareboat Charter</w:t>
      </w:r>
      <w:r>
        <w:rPr>
          <w:rFonts w:ascii="Arial" w:cs="Arial" w:eastAsia="Arial" w:hAnsi="Arial"/>
          <w:sz w:val="17"/>
          <w:szCs w:val="17"/>
          <w:color w:val="auto"/>
        </w:rPr>
        <w:t>”), in each case, as described in the Registration Statement, the Disclosure Package and the Final Prospectus, has been duly authorized and has been executed and delivered by the Company or one of its subsidiaries, and assuming the due authorization, execution and delivery by the other parties thereto, the Company has no reason to believe that such Newbuilding Contracts, Credit Facilities, Time Charters, Management Agreements or Bareboat Charter do not constitute valid and binding agreements of each such party enforceable in all material respects against each such party in accordance with their terms, as may be amended.</w:t>
      </w:r>
    </w:p>
    <w:p>
      <w:pPr>
        <w:spacing w:after="0" w:line="181" w:lineRule="exact"/>
        <w:rPr>
          <w:rFonts w:ascii="Arial" w:cs="Arial" w:eastAsia="Arial" w:hAnsi="Arial"/>
          <w:sz w:val="17"/>
          <w:szCs w:val="17"/>
          <w:color w:val="auto"/>
        </w:rPr>
      </w:pPr>
    </w:p>
    <w:p>
      <w:pPr>
        <w:ind w:firstLine="656"/>
        <w:spacing w:after="0" w:line="277" w:lineRule="auto"/>
        <w:tabs>
          <w:tab w:leader="none" w:pos="1012"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The vessels listed on </w:t>
      </w:r>
      <w:r>
        <w:rPr>
          <w:rFonts w:ascii="Arial" w:cs="Arial" w:eastAsia="Arial" w:hAnsi="Arial"/>
          <w:sz w:val="18"/>
          <w:szCs w:val="18"/>
          <w:u w:val="single" w:color="auto"/>
          <w:color w:val="auto"/>
        </w:rPr>
        <w:t>Schedule IV(a)</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Owned Vessels</w:t>
      </w:r>
      <w:r>
        <w:rPr>
          <w:rFonts w:ascii="Arial" w:cs="Arial" w:eastAsia="Arial" w:hAnsi="Arial"/>
          <w:sz w:val="18"/>
          <w:szCs w:val="18"/>
          <w:color w:val="auto"/>
        </w:rPr>
        <w:t>”) are owned directly by subsidiaries of the Company; each of the Owned Vessels has been duly registered as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5" w:name="page16"/>
    <w:bookmarkEnd w:id="15"/>
    <w:p>
      <w:pPr>
        <w:jc w:val="both"/>
        <w:spacing w:after="0" w:line="285" w:lineRule="auto"/>
        <w:rPr>
          <w:sz w:val="20"/>
          <w:szCs w:val="20"/>
          <w:color w:val="auto"/>
        </w:rPr>
      </w:pPr>
      <w:r>
        <w:rPr>
          <w:rFonts w:ascii="Arial" w:cs="Arial" w:eastAsia="Arial" w:hAnsi="Arial"/>
          <w:sz w:val="16"/>
          <w:szCs w:val="16"/>
          <w:color w:val="auto"/>
        </w:rPr>
        <w:t xml:space="preserve">a vessel under the laws and regulations and flag of the jurisdiction set forth opposite its name on </w:t>
      </w:r>
      <w:r>
        <w:rPr>
          <w:rFonts w:ascii="Arial" w:cs="Arial" w:eastAsia="Arial" w:hAnsi="Arial"/>
          <w:sz w:val="16"/>
          <w:szCs w:val="16"/>
          <w:u w:val="single" w:color="auto"/>
          <w:color w:val="auto"/>
        </w:rPr>
        <w:t>Schedule IV(a)</w:t>
      </w:r>
      <w:r>
        <w:rPr>
          <w:rFonts w:ascii="Arial" w:cs="Arial" w:eastAsia="Arial" w:hAnsi="Arial"/>
          <w:sz w:val="16"/>
          <w:szCs w:val="16"/>
          <w:color w:val="auto"/>
        </w:rPr>
        <w:t xml:space="preserve"> in the sole ownership of the subsidiary set forth opposite its name on </w:t>
      </w:r>
      <w:r>
        <w:rPr>
          <w:rFonts w:ascii="Arial" w:cs="Arial" w:eastAsia="Arial" w:hAnsi="Arial"/>
          <w:sz w:val="16"/>
          <w:szCs w:val="16"/>
          <w:u w:val="single" w:color="auto"/>
          <w:color w:val="auto"/>
        </w:rPr>
        <w:t>Schedule IV(a)</w:t>
      </w:r>
      <w:r>
        <w:rPr>
          <w:rFonts w:ascii="Arial" w:cs="Arial" w:eastAsia="Arial" w:hAnsi="Arial"/>
          <w:sz w:val="16"/>
          <w:szCs w:val="16"/>
          <w:color w:val="auto"/>
        </w:rPr>
        <w:t xml:space="preserve"> and no other action is necessary to establish and perfect such entity’s title to and interest in such vessel as against any charterer or other third party; each such subsidiary has good title to the applicable Owned Vessel, free and clear of all mortgages, pledges, liens, security interests and claims and all defects of the title of record except for those mortgages, pledges, liens, security interests and claims arising under credit facilities or the Omnibus Agreement among the Company, GasLog Partners LP, GasLog Partners GP LLC and GasLog Partners Holdings LLC, each as disclosed in the Registration Statement, the Disclosure Package and the Final Prospectus, and any other encumbrances which would not, in the aggregate, result in a Material Adverse Effect; and each such Owned Vessel is in good standing with respect to the payment of past and current taxes, fees and other amounts payable under the laws of the jurisdiction where it is registered as would affect its registry with the ship registry of such jurisdiction except for failures to be in good standing which would not, in the aggregate, result in a Material Adverse Effect. The Company will use reasonable commercial efforts so that upon delivery to and acceptance by the Company or a subsidiary under the Newbuilding Contracts described in the Registration Statement, the Disclosure Package and the Final Prospectus, each of the newbuildings identified in </w:t>
      </w:r>
      <w:r>
        <w:rPr>
          <w:rFonts w:ascii="Arial" w:cs="Arial" w:eastAsia="Arial" w:hAnsi="Arial"/>
          <w:sz w:val="16"/>
          <w:szCs w:val="16"/>
          <w:u w:val="single" w:color="auto"/>
          <w:color w:val="auto"/>
        </w:rPr>
        <w:t>Schedule IV(b)</w:t>
      </w:r>
      <w:r>
        <w:rPr>
          <w:rFonts w:ascii="Arial" w:cs="Arial" w:eastAsia="Arial" w:hAnsi="Arial"/>
          <w:sz w:val="16"/>
          <w:szCs w:val="16"/>
          <w:color w:val="auto"/>
        </w:rPr>
        <w:t>, as described in the Registration Statement, the Disclosure Package and the Final Prospectus (collectively, the “</w:t>
      </w:r>
      <w:r>
        <w:rPr>
          <w:rFonts w:ascii="Arial" w:cs="Arial" w:eastAsia="Arial" w:hAnsi="Arial"/>
          <w:sz w:val="16"/>
          <w:szCs w:val="16"/>
          <w:u w:val="single" w:color="auto"/>
          <w:color w:val="auto"/>
        </w:rPr>
        <w:t>Contracted Vessels</w:t>
      </w:r>
      <w:r>
        <w:rPr>
          <w:rFonts w:ascii="Arial" w:cs="Arial" w:eastAsia="Arial" w:hAnsi="Arial"/>
          <w:sz w:val="16"/>
          <w:szCs w:val="16"/>
          <w:color w:val="auto"/>
        </w:rPr>
        <w:t>”) will be duly registered as a vessel under the laws of a generally accepted shipping industry flag jurisdiction in the sole ownership of a subsidiary of the Company; the Company will use reasonable commercial efforts so that, on such date, each such subsidiary of the Company will have good title to the applicable Contracted Vessel, free and clear of all mortgages, pledges, liens, security interests, claims and all defects of the title of record, except for any mortgages, pledges, liens, security interests or claims arising from any financing arrangement which the Company or subsidiary of the Company may enter into with respect to such Contracted Vessel and except such encumbrances which would not, in the aggregate, result in a Material Adverse Effect; and the Company will use reasonable commercial efforts so that, on such date, each such Contracted Vessel will be in good standing with respect to the payment of past and current taxes, fees and other amounts payable under the laws of the jurisdiction where it is registered as would affect its registry with the ship registry of such jurisdiction.</w:t>
      </w:r>
    </w:p>
    <w:p>
      <w:pPr>
        <w:spacing w:after="0" w:line="170" w:lineRule="exact"/>
        <w:rPr>
          <w:sz w:val="20"/>
          <w:szCs w:val="20"/>
          <w:color w:val="auto"/>
        </w:rPr>
      </w:pPr>
    </w:p>
    <w:p>
      <w:pPr>
        <w:jc w:val="both"/>
        <w:ind w:firstLine="656"/>
        <w:spacing w:after="0" w:line="290" w:lineRule="auto"/>
        <w:tabs>
          <w:tab w:leader="none" w:pos="995" w:val="left"/>
        </w:tabs>
        <w:numPr>
          <w:ilvl w:val="0"/>
          <w:numId w:val="15"/>
        </w:numPr>
        <w:rPr>
          <w:rFonts w:ascii="Arial" w:cs="Arial" w:eastAsia="Arial" w:hAnsi="Arial"/>
          <w:sz w:val="16"/>
          <w:szCs w:val="16"/>
          <w:color w:val="auto"/>
        </w:rPr>
      </w:pPr>
      <w:r>
        <w:rPr>
          <w:rFonts w:ascii="Arial" w:cs="Arial" w:eastAsia="Arial" w:hAnsi="Arial"/>
          <w:sz w:val="16"/>
          <w:szCs w:val="16"/>
          <w:color w:val="auto"/>
        </w:rPr>
        <w:t>Each Owned Vessel is, and the Company will use reasonable commercial efforts so that each Contracted Vessel will be as of its date of delivery, operated in compliance in all material respects with the rules, codes of practice, conventions, protocols, guidelines or similar requirements or restrictions imposed, published or promulgated by any governmental authority, classification society or insurer applicable to the respective vessel (collectively, “</w:t>
      </w:r>
      <w:r>
        <w:rPr>
          <w:rFonts w:ascii="Arial" w:cs="Arial" w:eastAsia="Arial" w:hAnsi="Arial"/>
          <w:sz w:val="16"/>
          <w:szCs w:val="16"/>
          <w:u w:val="single" w:color="auto"/>
          <w:color w:val="auto"/>
        </w:rPr>
        <w:t>Maritime</w:t>
      </w:r>
      <w:r>
        <w:rPr>
          <w:rFonts w:ascii="Arial" w:cs="Arial" w:eastAsia="Arial" w:hAnsi="Arial"/>
          <w:sz w:val="16"/>
          <w:szCs w:val="16"/>
          <w:color w:val="auto"/>
        </w:rPr>
        <w:t xml:space="preserve"> </w:t>
      </w:r>
      <w:r>
        <w:rPr>
          <w:rFonts w:ascii="Arial" w:cs="Arial" w:eastAsia="Arial" w:hAnsi="Arial"/>
          <w:sz w:val="16"/>
          <w:szCs w:val="16"/>
          <w:u w:val="single" w:color="auto"/>
          <w:color w:val="auto"/>
        </w:rPr>
        <w:t>Guidelines</w:t>
      </w:r>
      <w:r>
        <w:rPr>
          <w:rFonts w:ascii="Arial" w:cs="Arial" w:eastAsia="Arial" w:hAnsi="Arial"/>
          <w:sz w:val="16"/>
          <w:szCs w:val="16"/>
          <w:color w:val="auto"/>
        </w:rPr>
        <w:t>”) and all applicable international, national, state and local conventions, laws, regulations, orders, governmental licenses and other requirements (including, without limitation, all Environmental Laws) in the jurisdictions in which the Company and its subsidiaries operate or where such vessel is operated, in each case as in effect on the date hereof, except where such failure to be in compliance would not have, individually or in the aggregate, a Material Adverse Effect. The Company and each applicable subsidiary are, and the Company will use reasonable commercial efforts so that the Contracted Vessels will be on the date of delivery, qualified to own or lease, as the case may be, and operate such vessels under all applicable international,</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6" w:name="page17"/>
    <w:bookmarkEnd w:id="16"/>
    <w:p>
      <w:pPr>
        <w:jc w:val="both"/>
        <w:spacing w:after="0" w:line="286" w:lineRule="auto"/>
        <w:rPr>
          <w:sz w:val="20"/>
          <w:szCs w:val="20"/>
          <w:color w:val="auto"/>
        </w:rPr>
      </w:pPr>
      <w:r>
        <w:rPr>
          <w:rFonts w:ascii="Arial" w:cs="Arial" w:eastAsia="Arial" w:hAnsi="Arial"/>
          <w:sz w:val="17"/>
          <w:szCs w:val="17"/>
          <w:color w:val="auto"/>
        </w:rPr>
        <w:t>national, state and local conventions, laws, regulations, orders, governmental licenses and other requirements (including, without limitation, all Environmental Laws) and Maritime Guidelines, including the laws, regulations and orders of each such vessel’s flag state, in each case as in effect on the date hereof, except where such failure to be so qualified would not have, individually or in the aggregate, a Material Adverse Effect.</w:t>
      </w:r>
    </w:p>
    <w:p>
      <w:pPr>
        <w:spacing w:after="0" w:line="166" w:lineRule="exact"/>
        <w:rPr>
          <w:sz w:val="20"/>
          <w:szCs w:val="20"/>
          <w:color w:val="auto"/>
        </w:rPr>
      </w:pPr>
    </w:p>
    <w:p>
      <w:pPr>
        <w:ind w:firstLine="656"/>
        <w:spacing w:after="0" w:line="277" w:lineRule="auto"/>
        <w:tabs>
          <w:tab w:leader="none" w:pos="977"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Neither the Company nor its subsidiaries is entitled to any immunity, whether characterized as sovereign immunity or otherwise, from any legal proceedings in respect of themselves or their respective properties under the laws of the United States or Bermuda.</w:t>
      </w:r>
    </w:p>
    <w:p>
      <w:pPr>
        <w:spacing w:after="0" w:line="170" w:lineRule="exact"/>
        <w:rPr>
          <w:sz w:val="20"/>
          <w:szCs w:val="20"/>
          <w:color w:val="auto"/>
        </w:rPr>
      </w:pPr>
    </w:p>
    <w:p>
      <w:pPr>
        <w:jc w:val="both"/>
        <w:ind w:firstLine="656"/>
        <w:spacing w:after="0" w:line="270" w:lineRule="auto"/>
        <w:tabs>
          <w:tab w:leader="none" w:pos="1063"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Company and its subsidiaries have filed all United States federal, state and local and non-U.S. tax returns that are required to be filed or have requested extensions thereof (except in any case in which the failure so to file would not, individually or in the aggregate, have a Material Adverse Effect); except as set forth in the Disclosure Package, the Company and its subsidiaries have paid all taxes (including any assessments, fines or penalties that are currently owed and due) required to be paid by them and that are currently owed and due, except for any such taxes, assessments, fines or penalties currently being contested in good faith or as would not, individually or in the aggregate, have a Material Adverse Effect; and no capital gains, income, withholding or other taxes or stamp or other issuance or transfer taxes or duties or similar fees or charges are payable by or on behalf of the Underwriters to Bermuda or Monaco or to any political subdivision or taxing authority thereof or therein in connection with the execution, delivery and performance of this Agreement or the Indenture, the sale and delivery by the Company of the Securities to or for the respective accounts of the Underwriters or the sale and delivery by the Underwriters of the Securities to the initial purchasers thereof.</w:t>
      </w:r>
    </w:p>
    <w:p>
      <w:pPr>
        <w:spacing w:after="0" w:line="181" w:lineRule="exact"/>
        <w:rPr>
          <w:rFonts w:ascii="Arial" w:cs="Arial" w:eastAsia="Arial" w:hAnsi="Arial"/>
          <w:sz w:val="17"/>
          <w:szCs w:val="17"/>
          <w:color w:val="auto"/>
        </w:rPr>
      </w:pPr>
    </w:p>
    <w:p>
      <w:pPr>
        <w:jc w:val="both"/>
        <w:ind w:firstLine="656"/>
        <w:spacing w:after="0" w:line="302" w:lineRule="auto"/>
        <w:tabs>
          <w:tab w:leader="none" w:pos="1084"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enable the Underwriters to rely on FINRA Rule 5110(b)(7)(C)(i), (i) the Company was subject to the requirements of Section 12 or 15(d) of the Exchange Act and filed all the material required to be filed pursuant to Sections 13, 14 or 15(d) for a period of at least thirty-six calendar months immediately preceding the date of this Agreement, and (ii) the Company filed in a timely manner all reports required to be filed pursuant to Section 13, 14 or 15(d) of the Exchange Act during the twelve calendar months and any portion of a month immediately preceding the date of this Agreement.</w:t>
      </w:r>
    </w:p>
    <w:p>
      <w:pPr>
        <w:spacing w:after="0" w:line="154" w:lineRule="exact"/>
        <w:rPr>
          <w:sz w:val="20"/>
          <w:szCs w:val="20"/>
          <w:color w:val="auto"/>
        </w:rPr>
      </w:pPr>
    </w:p>
    <w:p>
      <w:pPr>
        <w:jc w:val="both"/>
        <w:ind w:firstLine="656"/>
        <w:spacing w:after="0" w:line="257" w:lineRule="auto"/>
        <w:tabs>
          <w:tab w:leader="none" w:pos="867"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herein set forth, the Company agrees to issue and sell to each of the Underwriters, and each of the Underwriters agrees, severally and not jointly, to purchase from the Company the principal amount of Securities set forth opposite such Underwriter’s name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at the purchase price set forth on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 provided, that, with respect to the $16,250,000 of Securities allocated at the direction of the Company to Blenheim Holdings Inc. and certain other investors (the “Directed Securities’), the Underwriters shall purchase such Securities at the public offering price of the Securities of 100%.</w:t>
      </w:r>
    </w:p>
    <w:p>
      <w:pPr>
        <w:spacing w:after="0" w:line="188" w:lineRule="exact"/>
        <w:rPr>
          <w:rFonts w:ascii="Arial" w:cs="Arial" w:eastAsia="Arial" w:hAnsi="Arial"/>
          <w:sz w:val="18"/>
          <w:szCs w:val="18"/>
          <w:color w:val="auto"/>
        </w:rPr>
      </w:pPr>
    </w:p>
    <w:p>
      <w:pPr>
        <w:ind w:firstLine="656"/>
        <w:spacing w:after="0" w:line="277" w:lineRule="auto"/>
        <w:tabs>
          <w:tab w:leader="none" w:pos="845" w:val="left"/>
        </w:tabs>
        <w:numPr>
          <w:ilvl w:val="0"/>
          <w:numId w:val="18"/>
        </w:numPr>
        <w:rPr>
          <w:rFonts w:ascii="Arial" w:cs="Arial" w:eastAsia="Arial" w:hAnsi="Arial"/>
          <w:sz w:val="18"/>
          <w:szCs w:val="18"/>
          <w:color w:val="auto"/>
        </w:rPr>
      </w:pPr>
      <w:r>
        <w:rPr>
          <w:rFonts w:ascii="Arial" w:cs="Arial" w:eastAsia="Arial" w:hAnsi="Arial"/>
          <w:sz w:val="18"/>
          <w:szCs w:val="18"/>
          <w:color w:val="auto"/>
        </w:rPr>
        <w:t>Upon the authorization by the Representatives of the release of the Securities, the several Underwriters propose to offer the Securities for sale upon the terms and conditions set forth in the Final Prospectus.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7" w:name="page18"/>
    <w:bookmarkEnd w:id="17"/>
    <w:p>
      <w:pPr>
        <w:jc w:val="both"/>
        <w:ind w:firstLine="656"/>
        <w:spacing w:after="0" w:line="253" w:lineRule="auto"/>
        <w:tabs>
          <w:tab w:leader="none" w:pos="83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The Securities to be purchased by each Underwriter hereunder, in definitive form, and in such authorized denominations and registered in such names as the Representatives may request upon at least forty-eight hours’ prior notice to the Company shall be delivered by or on behalf of the Company to the Representatives, through the facilities of the Depository Trust Company (“</w:t>
      </w:r>
      <w:r>
        <w:rPr>
          <w:rFonts w:ascii="Arial" w:cs="Arial" w:eastAsia="Arial" w:hAnsi="Arial"/>
          <w:sz w:val="18"/>
          <w:szCs w:val="18"/>
          <w:u w:val="single" w:color="auto"/>
          <w:color w:val="auto"/>
        </w:rPr>
        <w:t>DTC</w:t>
      </w:r>
      <w:r>
        <w:rPr>
          <w:rFonts w:ascii="Arial" w:cs="Arial" w:eastAsia="Arial" w:hAnsi="Arial"/>
          <w:sz w:val="18"/>
          <w:szCs w:val="18"/>
          <w:color w:val="auto"/>
        </w:rPr>
        <w:t>”), for the account of such Underwriter, against payment by or on behalf of such Underwriter of the purchase price therefor by wire transfer of Federal (same-day) funds to the account specified by the Company to the Representatives at least forty-eight hours in advance. The Company will cause the Securities to be made available for checking and packaging at least twenty-four hours prior to the Time of Delivery (as defined below) with respect thereto at the office of DTC or its designated custodian (the “</w:t>
      </w:r>
      <w:r>
        <w:rPr>
          <w:rFonts w:ascii="Arial" w:cs="Arial" w:eastAsia="Arial" w:hAnsi="Arial"/>
          <w:sz w:val="18"/>
          <w:szCs w:val="18"/>
          <w:u w:val="single" w:color="auto"/>
          <w:color w:val="auto"/>
        </w:rPr>
        <w:t>Designated Office</w:t>
      </w:r>
      <w:r>
        <w:rPr>
          <w:rFonts w:ascii="Arial" w:cs="Arial" w:eastAsia="Arial" w:hAnsi="Arial"/>
          <w:sz w:val="18"/>
          <w:szCs w:val="18"/>
          <w:color w:val="auto"/>
        </w:rPr>
        <w:t>”). The time and date of such delivery and payment shall be 9:30 a.m., New York City time, on March 22, 2017 or such other time and date as the Representatives and the Company may agree upon in writing, but not later than March 29, 2017. Such time and date for delivery of the Securities is herein called the “Closing Date” or “Time of Delivery”.</w:t>
      </w:r>
    </w:p>
    <w:p>
      <w:pPr>
        <w:spacing w:after="0" w:line="197" w:lineRule="exact"/>
        <w:rPr>
          <w:sz w:val="20"/>
          <w:szCs w:val="20"/>
          <w:color w:val="auto"/>
        </w:rPr>
      </w:pPr>
    </w:p>
    <w:p>
      <w:pPr>
        <w:jc w:val="both"/>
        <w:ind w:firstLine="656"/>
        <w:spacing w:after="0" w:line="291" w:lineRule="auto"/>
        <w:tabs>
          <w:tab w:leader="none" w:pos="919"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documents to be delivered at the Time of Delivery by or on behalf of the parties hereto pursuant to Section 8 hereof, including the cross receipt for the Securities and any additional documents requested by the Underwriters pursuant to Section 8(q) hereof, will be delivered at the offices of Morgan, Lewis &amp; Bockius LLP, 101 Park Avenue, New York, NY 10178 (the “</w:t>
      </w:r>
      <w:r>
        <w:rPr>
          <w:rFonts w:ascii="Arial" w:cs="Arial" w:eastAsia="Arial" w:hAnsi="Arial"/>
          <w:sz w:val="16"/>
          <w:szCs w:val="16"/>
          <w:u w:val="single" w:color="auto"/>
          <w:color w:val="auto"/>
        </w:rPr>
        <w:t>Closing Location</w:t>
      </w:r>
      <w:r>
        <w:rPr>
          <w:rFonts w:ascii="Arial" w:cs="Arial" w:eastAsia="Arial" w:hAnsi="Arial"/>
          <w:sz w:val="16"/>
          <w:szCs w:val="16"/>
          <w:color w:val="auto"/>
        </w:rPr>
        <w:t>”), and the Securities will be delivered at the Designated Office, all at the Time of Delivery. A meeting will be held at the Closing Location at 4:00 p.m., New York City time, on the New York Business Day next preceding the Time of Delivery, at which meeting the final drafts of the documents to be delivered pursuant to the preceding sentence will be available for review by the parties hereto. For the purposes of this Section 4, “New York Business Day” shall mean each Monday, Tuesday, Wednesday, Thursday and Friday which is not a day on which banking institutions in New York City are generally authorized or obligated by law or executive order to close.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 The Company agrees with each of the Underwriters:</w:t>
      </w:r>
    </w:p>
    <w:p>
      <w:pPr>
        <w:spacing w:after="0" w:line="225" w:lineRule="exact"/>
        <w:rPr>
          <w:sz w:val="20"/>
          <w:szCs w:val="20"/>
          <w:color w:val="auto"/>
        </w:rPr>
      </w:pPr>
    </w:p>
    <w:p>
      <w:pPr>
        <w:jc w:val="both"/>
        <w:ind w:firstLine="656"/>
        <w:spacing w:after="0" w:line="270" w:lineRule="auto"/>
        <w:tabs>
          <w:tab w:leader="none" w:pos="904" w:val="left"/>
        </w:tabs>
        <w:numPr>
          <w:ilvl w:val="0"/>
          <w:numId w:val="21"/>
        </w:numPr>
        <w:rPr>
          <w:rFonts w:ascii="Arial" w:cs="Arial" w:eastAsia="Arial" w:hAnsi="Arial"/>
          <w:sz w:val="17"/>
          <w:szCs w:val="17"/>
          <w:color w:val="auto"/>
        </w:rPr>
      </w:pPr>
      <w:r>
        <w:rPr>
          <w:rFonts w:ascii="Arial" w:cs="Arial" w:eastAsia="Arial" w:hAnsi="Arial"/>
          <w:sz w:val="17"/>
          <w:szCs w:val="17"/>
          <w:color w:val="auto"/>
        </w:rPr>
        <w:t>To prepare the Final Prospectus in a form approved by the Representatives and to file such Final Prospectus pursuant to Rule 424(b) under the Act not later than the Commission’s close of business on the second business day following the execution and delivery of this Agreement; to make no further amendment or any supplement to the Registration Statement, any Rule 462(b) Registration Statement or the Final Prospectus prior to the Time of Delivery which shall be disapproved by the Representatives promptly after reasonable notice thereof; to advise the Representatives, promptly after it receives notice thereof, of the time when any amendment to the Registration Statement or any Rule 462(b) Registration Statement has been filed or becomes effective or any amendment or supplement to the Final Prospectus has been filed and to furnish the Representatives with copies thereof; to file promptly all material required to be filed by the Company with the Commission pursuant to Rule 433(d) under the Act; to advise the Representatives, promptly after it receives notice thereof, of the issuance by the Commission of any stop order or of any order preventing or suspending the use of any Preliminary Prospectus or other prospectus in respect of the Securities, of the suspension of the qualification of the Securities for offering or sale in any jurisdiction, of the initiation or threatening of any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8" w:name="page19"/>
    <w:bookmarkEnd w:id="18"/>
    <w:p>
      <w:pPr>
        <w:jc w:val="both"/>
        <w:spacing w:after="0" w:line="259" w:lineRule="auto"/>
        <w:rPr>
          <w:sz w:val="20"/>
          <w:szCs w:val="20"/>
          <w:color w:val="auto"/>
        </w:rPr>
      </w:pPr>
      <w:r>
        <w:rPr>
          <w:rFonts w:ascii="Arial" w:cs="Arial" w:eastAsia="Arial" w:hAnsi="Arial"/>
          <w:sz w:val="18"/>
          <w:szCs w:val="18"/>
          <w:color w:val="auto"/>
        </w:rPr>
        <w:t>proceeding for any such purpose, or of any request by the Commission for the amending or supplementing of the Registration Statement, any Rule 462(b) Registration Statement, any Preliminary Prospectus, the Final Prospectus or Issuer Free Writing Prospectus or for additional information; and, in the event of the issuance of any stop order or of any order preventing or suspending the use of any Preliminary Prospectus or other prospectus or suspending any such qualification, to promptly use its best efforts to obtain the withdrawal of such order;</w:t>
      </w:r>
    </w:p>
    <w:p>
      <w:pPr>
        <w:spacing w:after="0" w:line="187" w:lineRule="exact"/>
        <w:rPr>
          <w:sz w:val="20"/>
          <w:szCs w:val="20"/>
          <w:color w:val="auto"/>
        </w:rPr>
      </w:pPr>
    </w:p>
    <w:p>
      <w:pPr>
        <w:jc w:val="both"/>
        <w:ind w:firstLine="656"/>
        <w:spacing w:after="0" w:line="257" w:lineRule="auto"/>
        <w:tabs>
          <w:tab w:leader="none" w:pos="9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Promptly from time to time to take such action as the Representatives may reasonably request to qualify the Securities for offering and sale under the securities laws of such jurisdictions as the Representatives may request and to comply with such laws so as to permit the continuance of sales and dealings therein in such jurisdictions for as long as may be necessary to complete the distribution of the Securities, provided that in connection therewith the Company shall not be required to qualify as a foreign corporation or to file a general consent to service of process or to subject itself to taxation for doing business in any jurisdiction if it is not otherwise so subject;</w:t>
      </w:r>
    </w:p>
    <w:p>
      <w:pPr>
        <w:spacing w:after="0" w:line="188" w:lineRule="exact"/>
        <w:rPr>
          <w:rFonts w:ascii="Arial" w:cs="Arial" w:eastAsia="Arial" w:hAnsi="Arial"/>
          <w:sz w:val="18"/>
          <w:szCs w:val="18"/>
          <w:color w:val="auto"/>
        </w:rPr>
      </w:pPr>
    </w:p>
    <w:p>
      <w:pPr>
        <w:jc w:val="both"/>
        <w:ind w:firstLine="656"/>
        <w:spacing w:after="0" w:line="286" w:lineRule="auto"/>
        <w:tabs>
          <w:tab w:leader="none" w:pos="903"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Prior to 10:00 a.m., New York City time, on the New York Business Day next succeeding the date of this Agreement and from time to time, to furnish the Underwriters with written and electronic copies of the Final Prospectus in New York City in such quantities as the Representatives may reasonably request, and, if the delivery of a prospectus (or in lieu thereof, the notice referred to in Rule 173(a) under the Act) is required, at any time prior to the expiration of nine months after the time of issue of the Final Prospectus in connection with the offering or sale of the Securities and if at such time any event shall have occurred as a result of which the Final Prospectus as then amended or supplemented would include an untrue statement of a material fact or omit to state any material fact necessary in order to make the statements therein, in the light of the circumstances under which they were made when such Final Prospectus (or in lieu thereof, the notice referred to in Rule 173(a) under the Act) is delivered, not misleading, or, if for any other reason it shall be necessary during such same period to amend or supplement the Final Prospectus in order to comply with the Act, to notify the Representatives and upon the request of the Representatives to prepare and furnish without charge to each Underwriter and to any dealer in securities as many written and electronic copies as the Representatives may from time to time reasonably request of an amended Final Prospectus or a supplement to the Final Prospectus which will correct such statement or omission or effect such compliance; and in case any Underwriter is required to deliver a prospectus (or in lieu thereof, the notice referred to in Rule 173(a) under the Act) in connection with sales of any of the Securities at any time nine months or more after the time of issue of the Final Prospectus, upon the request of the Representatives but at the expense of such Underwriter, to prepare and deliver to such Underwriter as many written and electronic copies as the Representatives may request of an amended or supplemented Final Prospectus complying with Section 10(a)(3) of the Act;</w:t>
      </w:r>
    </w:p>
    <w:p>
      <w:pPr>
        <w:spacing w:after="0" w:line="171" w:lineRule="exact"/>
        <w:rPr>
          <w:rFonts w:ascii="Arial" w:cs="Arial" w:eastAsia="Arial" w:hAnsi="Arial"/>
          <w:sz w:val="16"/>
          <w:szCs w:val="16"/>
          <w:color w:val="auto"/>
        </w:rPr>
      </w:pPr>
    </w:p>
    <w:p>
      <w:pPr>
        <w:jc w:val="both"/>
        <w:ind w:firstLine="656"/>
        <w:spacing w:after="0" w:line="264" w:lineRule="auto"/>
        <w:tabs>
          <w:tab w:leader="none" w:pos="909"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make generally available to its securityholders as soon as practicable, an earnings statement of the Company and its subsidiaries (which need not be audited) complying with Section 11(a) of the Act and the rules and regulations of the Commission thereunder (including, at the option of the Company, Rule 158);</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9" w:name="page20"/>
    <w:bookmarkEnd w:id="19"/>
    <w:p>
      <w:pPr>
        <w:jc w:val="both"/>
        <w:ind w:firstLine="656"/>
        <w:spacing w:after="0" w:line="25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During a period of three years from the date hereof, to furnish to the Representatives copies of all reports or other communications (financial or other) furnished to shareholders, and to deliver to the Representatives as soon as they are available, copies of any reports and financial statements furnished to or filed with the Commission or any national securities exchange on which any class of securities of the Company is listed;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may satisfy the requirements of this subsection by making any such reports, communications or information available on its website or by filing or furnishing such information with the Commission via EDGAR;</w:t>
      </w:r>
    </w:p>
    <w:p>
      <w:pPr>
        <w:spacing w:after="0" w:line="188" w:lineRule="exact"/>
        <w:rPr>
          <w:rFonts w:ascii="Arial" w:cs="Arial" w:eastAsia="Arial" w:hAnsi="Arial"/>
          <w:sz w:val="18"/>
          <w:szCs w:val="18"/>
          <w:color w:val="auto"/>
        </w:rPr>
      </w:pPr>
    </w:p>
    <w:p>
      <w:pPr>
        <w:ind w:firstLine="656"/>
        <w:spacing w:after="0" w:line="277" w:lineRule="auto"/>
        <w:tabs>
          <w:tab w:leader="none" w:pos="899"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use the net proceeds received by it from the sale of the Securities pursuant to this Agreement in the manner specified in the Disclosure Package under the caption “Use of Proceeds”;</w:t>
      </w:r>
    </w:p>
    <w:p>
      <w:pPr>
        <w:spacing w:after="0" w:line="170" w:lineRule="exact"/>
        <w:rPr>
          <w:rFonts w:ascii="Arial" w:cs="Arial" w:eastAsia="Arial" w:hAnsi="Arial"/>
          <w:sz w:val="18"/>
          <w:szCs w:val="18"/>
          <w:color w:val="auto"/>
        </w:rPr>
      </w:pPr>
    </w:p>
    <w:p>
      <w:pPr>
        <w:jc w:val="both"/>
        <w:ind w:firstLine="656"/>
        <w:spacing w:after="0" w:line="259" w:lineRule="auto"/>
        <w:tabs>
          <w:tab w:leader="none" w:pos="903"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the Company elects to rely upon Rule 462(b), the Company shall file a Rule 462(b) Registration Statement with the Commission in compliance with Rule 462(b) by 10:00 p.m., Washington D.C. time, on the date of this Agreement, and the Company shall at the time of filing either pay to the Commission the filing fee for the Rule 462(b) Registration Statement or give irrevocable instructions for the payment of such fee pursuant to Rule 111(b) under the Act;</w:t>
      </w:r>
    </w:p>
    <w:p>
      <w:pPr>
        <w:spacing w:after="0" w:line="186" w:lineRule="exact"/>
        <w:rPr>
          <w:rFonts w:ascii="Arial" w:cs="Arial" w:eastAsia="Arial" w:hAnsi="Arial"/>
          <w:sz w:val="18"/>
          <w:szCs w:val="18"/>
          <w:color w:val="auto"/>
        </w:rPr>
      </w:pPr>
    </w:p>
    <w:p>
      <w:pPr>
        <w:jc w:val="both"/>
        <w:ind w:firstLine="656"/>
        <w:spacing w:after="0" w:line="259" w:lineRule="auto"/>
        <w:tabs>
          <w:tab w:leader="none" w:pos="914" w:val="left"/>
        </w:tabs>
        <w:numPr>
          <w:ilvl w:val="0"/>
          <w:numId w:val="23"/>
        </w:numPr>
        <w:rPr>
          <w:rFonts w:ascii="Arial" w:cs="Arial" w:eastAsia="Arial" w:hAnsi="Arial"/>
          <w:sz w:val="18"/>
          <w:szCs w:val="18"/>
          <w:color w:val="auto"/>
        </w:rPr>
      </w:pPr>
      <w:r>
        <w:rPr>
          <w:rFonts w:ascii="Arial" w:cs="Arial" w:eastAsia="Arial" w:hAnsi="Arial"/>
          <w:sz w:val="18"/>
          <w:szCs w:val="18"/>
          <w:color w:val="auto"/>
        </w:rPr>
        <w:t>Upon request of any Underwriter, to furnish, or cause to be furnished, to such Underwriter an electronic version of the Company’s trademarks, servicemarks and corporate logo for use on the website, if any, operated by such Underwriter for the purpose of facilitating the on-line offering of the Securities (the “</w:t>
      </w:r>
      <w:r>
        <w:rPr>
          <w:rFonts w:ascii="Arial" w:cs="Arial" w:eastAsia="Arial" w:hAnsi="Arial"/>
          <w:sz w:val="18"/>
          <w:szCs w:val="18"/>
          <w:u w:val="single" w:color="auto"/>
          <w:color w:val="auto"/>
        </w:rPr>
        <w:t>License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License shall be used solely for the purpose described above, is granted without any fee and may not be assigned or transferred;</w:t>
      </w:r>
    </w:p>
    <w:p>
      <w:pPr>
        <w:spacing w:after="0" w:line="186" w:lineRule="exact"/>
        <w:rPr>
          <w:rFonts w:ascii="Arial" w:cs="Arial" w:eastAsia="Arial" w:hAnsi="Arial"/>
          <w:sz w:val="18"/>
          <w:szCs w:val="18"/>
          <w:color w:val="auto"/>
        </w:rPr>
      </w:pPr>
    </w:p>
    <w:p>
      <w:pPr>
        <w:ind w:firstLine="656"/>
        <w:spacing w:after="0" w:line="308" w:lineRule="auto"/>
        <w:tabs>
          <w:tab w:leader="none" w:pos="865" w:val="left"/>
        </w:tabs>
        <w:numPr>
          <w:ilvl w:val="0"/>
          <w:numId w:val="23"/>
        </w:numPr>
        <w:rPr>
          <w:rFonts w:ascii="Arial" w:cs="Arial" w:eastAsia="Arial" w:hAnsi="Arial"/>
          <w:sz w:val="17"/>
          <w:szCs w:val="17"/>
          <w:color w:val="auto"/>
        </w:rPr>
      </w:pPr>
      <w:r>
        <w:rPr>
          <w:rFonts w:ascii="Arial" w:cs="Arial" w:eastAsia="Arial" w:hAnsi="Arial"/>
          <w:sz w:val="17"/>
          <w:szCs w:val="17"/>
          <w:color w:val="auto"/>
        </w:rPr>
        <w:t>During a period of 30 days from the date of this Agreement, the Company will not, without the prior written consent of the Representatives, offer, sell, contract to sell or otherwise dispose of any debt securities of the Company that are substantially similar to the Securities.</w:t>
      </w:r>
    </w:p>
    <w:p>
      <w:pPr>
        <w:spacing w:after="0" w:line="146" w:lineRule="exact"/>
        <w:rPr>
          <w:rFonts w:ascii="Arial" w:cs="Arial" w:eastAsia="Arial" w:hAnsi="Arial"/>
          <w:sz w:val="17"/>
          <w:szCs w:val="17"/>
          <w:color w:val="auto"/>
        </w:rPr>
      </w:pPr>
    </w:p>
    <w:p>
      <w:pPr>
        <w:jc w:val="both"/>
        <w:ind w:firstLine="656"/>
        <w:spacing w:after="0" w:line="264"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will prepare a final term sheet relating to the Securities in the form of Exhibit A, and will file such final term sheet within the period required by Rule 433(d)(5)(ii) following the date such final terms have been established for the offering of the Securities. Any such final term sheet is an Issuer Free Writing Prospectus for the purposes of this Agreement; and</w:t>
      </w:r>
    </w:p>
    <w:p>
      <w:pPr>
        <w:spacing w:after="0" w:line="181" w:lineRule="exact"/>
        <w:rPr>
          <w:rFonts w:ascii="Arial" w:cs="Arial" w:eastAsia="Arial" w:hAnsi="Arial"/>
          <w:sz w:val="18"/>
          <w:szCs w:val="18"/>
          <w:color w:val="auto"/>
        </w:rPr>
      </w:pPr>
    </w:p>
    <w:p>
      <w:pPr>
        <w:ind w:right="20" w:firstLine="656"/>
        <w:spacing w:after="0" w:line="277" w:lineRule="auto"/>
        <w:tabs>
          <w:tab w:leader="none" w:pos="92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will use commercially reasonable efforts to assist the Underwriters in arranging for the Securities to be eligible for clearance, settlement and trading through the facilities of DTC.</w:t>
      </w:r>
    </w:p>
    <w:p>
      <w:pPr>
        <w:spacing w:after="0" w:line="170" w:lineRule="exact"/>
        <w:rPr>
          <w:sz w:val="20"/>
          <w:szCs w:val="20"/>
          <w:color w:val="auto"/>
        </w:rPr>
      </w:pPr>
    </w:p>
    <w:p>
      <w:pPr>
        <w:jc w:val="both"/>
        <w:ind w:firstLine="656"/>
        <w:spacing w:after="0" w:line="312" w:lineRule="auto"/>
        <w:tabs>
          <w:tab w:leader="none" w:pos="83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The Company represents and agrees that, without the prior consent of the Representatives, it has not made and will not make any offer relating to the Securities that would constitute a “free writing prospectus” as defined in Rule 405 under the Act; each Underwriter represents and agrees that, without the prior consent of the Company and the Representatives, it has not made and will not make any offer relating to the Securities that would constitute a free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0" w:name="page21"/>
    <w:bookmarkEnd w:id="20"/>
    <w:p>
      <w:pPr>
        <w:spacing w:after="0" w:line="277" w:lineRule="auto"/>
        <w:rPr>
          <w:sz w:val="20"/>
          <w:szCs w:val="20"/>
          <w:color w:val="auto"/>
        </w:rPr>
      </w:pPr>
      <w:r>
        <w:rPr>
          <w:rFonts w:ascii="Arial" w:cs="Arial" w:eastAsia="Arial" w:hAnsi="Arial"/>
          <w:sz w:val="18"/>
          <w:szCs w:val="18"/>
          <w:color w:val="auto"/>
        </w:rPr>
        <w:t xml:space="preserve">writing prospectus required to be filed with the Commission; any such free writing prospectus the use of which has been consented to by the Company and the Representatives is listed on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w:t>
      </w:r>
    </w:p>
    <w:p>
      <w:pPr>
        <w:spacing w:after="0" w:line="170" w:lineRule="exact"/>
        <w:rPr>
          <w:sz w:val="20"/>
          <w:szCs w:val="20"/>
          <w:color w:val="auto"/>
        </w:rPr>
      </w:pPr>
    </w:p>
    <w:p>
      <w:pPr>
        <w:ind w:firstLine="656"/>
        <w:spacing w:after="0" w:line="277" w:lineRule="auto"/>
        <w:tabs>
          <w:tab w:leader="none" w:pos="91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has complied and will comply with the requirements of Rule 433 under the Act applicable to any Issuer Free Writing Prospectus, including timely filing with the Commission or retention where required and legending.</w:t>
      </w:r>
    </w:p>
    <w:p>
      <w:pPr>
        <w:spacing w:after="0" w:line="170" w:lineRule="exact"/>
        <w:rPr>
          <w:rFonts w:ascii="Arial" w:cs="Arial" w:eastAsia="Arial" w:hAnsi="Arial"/>
          <w:sz w:val="18"/>
          <w:szCs w:val="18"/>
          <w:color w:val="auto"/>
        </w:rPr>
      </w:pPr>
    </w:p>
    <w:p>
      <w:pPr>
        <w:jc w:val="both"/>
        <w:ind w:firstLine="656"/>
        <w:spacing w:after="0" w:line="253" w:lineRule="auto"/>
        <w:tabs>
          <w:tab w:leader="none" w:pos="894"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The Company agrees that if at any time following issuance of an Issuer Free Writing Prospectus any event occurred or occurs as a result of which such Issuer Free Writing Prospectus would conflict with the information in the Registration Statement, the Disclosure Package or the Final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or other document which will correct such conflict, statement or omission;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representation and warranty shall not apply to any statements or omissions in an Issuer Free Writing Prospectus made in reliance upon and in conformity with information furnished in writing to the Company by an Underwriter through the Representatives expressly for use therein, it being understood and agreed that the only such information furnished by or on behalf of any Underwriter consists of the information described in Section 9 hereof.</w:t>
      </w:r>
    </w:p>
    <w:p>
      <w:pPr>
        <w:spacing w:after="0" w:line="197" w:lineRule="exact"/>
        <w:rPr>
          <w:sz w:val="20"/>
          <w:szCs w:val="20"/>
          <w:color w:val="auto"/>
        </w:rPr>
      </w:pPr>
    </w:p>
    <w:p>
      <w:pPr>
        <w:jc w:val="both"/>
        <w:ind w:firstLine="656"/>
        <w:spacing w:after="0" w:line="268" w:lineRule="auto"/>
        <w:tabs>
          <w:tab w:leader="none" w:pos="85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Company covenants and agrees with the several Underwriters that the Company will pay or cause to be paid the following: (i) the fees, disbursements and expenses of the Company’s counsel and accountants in connection with the registration of the Securities under the Act and all other expenses in connection with the preparation, printing, reproduction and filing of the Registration Statement, any Rule 462(b) Registration Statement, any Preliminary Prospectus, any Issuer Free Writing Prospectus and the Final Prospectus and amendments and supplements thereto and the mailing and delivering of copies thereof to the Underwriters and dealers; (ii) the cost of printing or producing any Agreement among Underwriters, this Agreement, the Blue Sky Memorandum, closing documents (including any compilations thereof) and any other documents in connection with the offering, purchase, sale and delivery of the Securities; (iii) all expenses in connection with the qualification of the Securities for offering and sale under state securities laws as provided in Section 5(b) hereof, including the fees and disbursements of counsel for the Underwriters in connection with such qualification and in connection with the Blue Sky survey; (iv) the filing fees incident to, and the fees and disbursements of counsel for the Underwriters in connection with, any required review by FINRA of the terms of the sale of the Securities; (v) the cost of preparing certificates; (vi) the cost and charges of any paying agent or registrar; (vii) the fees and expenses of the Trustee and any agent of the Trustee and the fees and disbursements of counsel for the Trustee in connection with the Indenture and the Securities, and (viii) all other costs and expenses incident to the performance of its obligations hereunder which are not otherwise specifically provided for in this Section. It is understood, however, that, except as provided in this Section 7, and Sections 9 and 12 hereof, the Underwriters will pay all of their own costs and expenses, including the fees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1" w:name="page22"/>
    <w:bookmarkEnd w:id="21"/>
    <w:p>
      <w:pPr>
        <w:spacing w:after="0" w:line="277" w:lineRule="auto"/>
        <w:rPr>
          <w:sz w:val="20"/>
          <w:szCs w:val="20"/>
          <w:color w:val="auto"/>
        </w:rPr>
      </w:pPr>
      <w:r>
        <w:rPr>
          <w:rFonts w:ascii="Arial" w:cs="Arial" w:eastAsia="Arial" w:hAnsi="Arial"/>
          <w:sz w:val="18"/>
          <w:szCs w:val="18"/>
          <w:color w:val="auto"/>
        </w:rPr>
        <w:t>disbursements of their counsel, share transfer taxes on resale of any of the Securities by them, and any advertising expenses connected with any offers they may make.</w:t>
      </w:r>
    </w:p>
    <w:p>
      <w:pPr>
        <w:spacing w:after="0" w:line="170" w:lineRule="exact"/>
        <w:rPr>
          <w:sz w:val="20"/>
          <w:szCs w:val="20"/>
          <w:color w:val="auto"/>
        </w:rPr>
      </w:pPr>
    </w:p>
    <w:p>
      <w:pPr>
        <w:jc w:val="both"/>
        <w:ind w:firstLine="656"/>
        <w:spacing w:after="0" w:line="312" w:lineRule="auto"/>
        <w:tabs>
          <w:tab w:leader="none" w:pos="83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obligations of the Underwriters hereunder, as to the Securities to be delivered at the Time of Delivery, shall be subject, in their discretion, to the condition that all representations and warranties and other statements of the Company herein are, at and as of the Time of Delivery, true and correct, the condition that the Company shall have performed all of its obligations hereunder theretofore to be performed, and the following additional conditions:</w:t>
      </w:r>
    </w:p>
    <w:p>
      <w:pPr>
        <w:spacing w:after="0" w:line="146" w:lineRule="exact"/>
        <w:rPr>
          <w:rFonts w:ascii="Arial" w:cs="Arial" w:eastAsia="Arial" w:hAnsi="Arial"/>
          <w:sz w:val="16"/>
          <w:szCs w:val="16"/>
          <w:color w:val="auto"/>
        </w:rPr>
      </w:pPr>
    </w:p>
    <w:p>
      <w:pPr>
        <w:jc w:val="both"/>
        <w:ind w:left="660" w:firstLine="645"/>
        <w:spacing w:after="0" w:line="270" w:lineRule="auto"/>
        <w:tabs>
          <w:tab w:leader="none" w:pos="1554" w:val="left"/>
        </w:tabs>
        <w:numPr>
          <w:ilvl w:val="1"/>
          <w:numId w:val="27"/>
        </w:numPr>
        <w:rPr>
          <w:rFonts w:ascii="Arial" w:cs="Arial" w:eastAsia="Arial" w:hAnsi="Arial"/>
          <w:sz w:val="17"/>
          <w:szCs w:val="17"/>
          <w:color w:val="auto"/>
        </w:rPr>
      </w:pPr>
      <w:r>
        <w:rPr>
          <w:rFonts w:ascii="Arial" w:cs="Arial" w:eastAsia="Arial" w:hAnsi="Arial"/>
          <w:sz w:val="17"/>
          <w:szCs w:val="17"/>
          <w:color w:val="auto"/>
        </w:rPr>
        <w:t>The Final Prospectus shall have been filed with the Commission pursuant to Rule 424(b) under the Act within the applicable time period prescribed for such filing by the rules and regulations under the Act and in accordance with Section 5(a) hereof; all material required to be filed by the Company pursuant to Rule 433(d) under the Act shall have been filed with the Commission within the applicable time period prescribed for such filing by Rule 433; if the Company has elected to rely upon Rule 462(b) under the Act, the Rule 462(b) Registration Statement shall have become effective by 10:00 p.m., Washington D.C. time, on the date of this Agreement; no stop order suspending the effectiveness of the Registration Statement or any part thereof shall have been issued and no proceeding for that purpose shall have been initiated or threatened by the Commission; no stop order suspending or preventing the use of the Final Prospectus or any Issuer Free Writing Prospectus shall have been initiated or threatened by the Commission; and all requests for additional information on the part of the Commission shall have been complied with to the reasonable satisfaction of the Representatives;</w:t>
      </w:r>
    </w:p>
    <w:p>
      <w:pPr>
        <w:spacing w:after="0" w:line="181" w:lineRule="exact"/>
        <w:rPr>
          <w:rFonts w:ascii="Arial" w:cs="Arial" w:eastAsia="Arial" w:hAnsi="Arial"/>
          <w:sz w:val="17"/>
          <w:szCs w:val="17"/>
          <w:color w:val="auto"/>
        </w:rPr>
      </w:pPr>
    </w:p>
    <w:p>
      <w:pPr>
        <w:jc w:val="both"/>
        <w:ind w:left="660" w:firstLine="645"/>
        <w:spacing w:after="0" w:line="264" w:lineRule="auto"/>
        <w:tabs>
          <w:tab w:leader="none" w:pos="1592" w:val="left"/>
        </w:tabs>
        <w:numPr>
          <w:ilvl w:val="1"/>
          <w:numId w:val="27"/>
        </w:numPr>
        <w:rPr>
          <w:rFonts w:ascii="Arial" w:cs="Arial" w:eastAsia="Arial" w:hAnsi="Arial"/>
          <w:sz w:val="18"/>
          <w:szCs w:val="18"/>
          <w:color w:val="auto"/>
        </w:rPr>
      </w:pPr>
      <w:r>
        <w:rPr>
          <w:rFonts w:ascii="Arial" w:cs="Arial" w:eastAsia="Arial" w:hAnsi="Arial"/>
          <w:sz w:val="18"/>
          <w:szCs w:val="18"/>
          <w:color w:val="auto"/>
        </w:rPr>
        <w:t>Morgan, Lewis &amp; Bockius LLP, counsel for the Underwriters, shall have furnished to the Representatives such written opinion or opinions, dated the Time of Delivery, in form and substance reasonably satisfactory to the Representatives, and such counsel shall have received such papers and information as they may reasonably request to enable them to pass upon such matters;</w:t>
      </w:r>
    </w:p>
    <w:p>
      <w:pPr>
        <w:spacing w:after="0" w:line="181" w:lineRule="exact"/>
        <w:rPr>
          <w:rFonts w:ascii="Arial" w:cs="Arial" w:eastAsia="Arial" w:hAnsi="Arial"/>
          <w:sz w:val="18"/>
          <w:szCs w:val="18"/>
          <w:color w:val="auto"/>
        </w:rPr>
      </w:pPr>
    </w:p>
    <w:p>
      <w:pPr>
        <w:ind w:left="660" w:firstLine="645"/>
        <w:spacing w:after="0" w:line="277" w:lineRule="auto"/>
        <w:tabs>
          <w:tab w:leader="none" w:pos="1563" w:val="left"/>
        </w:tabs>
        <w:numPr>
          <w:ilvl w:val="1"/>
          <w:numId w:val="27"/>
        </w:numPr>
        <w:rPr>
          <w:rFonts w:ascii="Arial" w:cs="Arial" w:eastAsia="Arial" w:hAnsi="Arial"/>
          <w:sz w:val="18"/>
          <w:szCs w:val="18"/>
          <w:color w:val="auto"/>
        </w:rPr>
      </w:pPr>
      <w:r>
        <w:rPr>
          <w:rFonts w:ascii="Arial" w:cs="Arial" w:eastAsia="Arial" w:hAnsi="Arial"/>
          <w:sz w:val="18"/>
          <w:szCs w:val="18"/>
          <w:color w:val="auto"/>
        </w:rPr>
        <w:t xml:space="preserve">Cravath, Swaine &amp; Moore LLP, U.S. counsel for the Company, shall have furnished to the Representatives their written opinion, dated the Time of Delivery, in form and substance satisfactory to the Representatives, to the effect set forth in </w:t>
      </w:r>
      <w:r>
        <w:rPr>
          <w:rFonts w:ascii="Arial" w:cs="Arial" w:eastAsia="Arial" w:hAnsi="Arial"/>
          <w:sz w:val="18"/>
          <w:szCs w:val="18"/>
          <w:u w:val="single" w:color="auto"/>
          <w:color w:val="auto"/>
        </w:rPr>
        <w:t>Annex I</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60" w:right="20" w:firstLine="645"/>
        <w:spacing w:after="0" w:line="308" w:lineRule="auto"/>
        <w:tabs>
          <w:tab w:leader="none" w:pos="1574" w:val="left"/>
        </w:tabs>
        <w:numPr>
          <w:ilvl w:val="1"/>
          <w:numId w:val="27"/>
        </w:numPr>
        <w:rPr>
          <w:rFonts w:ascii="Arial" w:cs="Arial" w:eastAsia="Arial" w:hAnsi="Arial"/>
          <w:sz w:val="17"/>
          <w:szCs w:val="17"/>
          <w:color w:val="auto"/>
        </w:rPr>
      </w:pPr>
      <w:r>
        <w:rPr>
          <w:rFonts w:ascii="Arial" w:cs="Arial" w:eastAsia="Arial" w:hAnsi="Arial"/>
          <w:sz w:val="17"/>
          <w:szCs w:val="17"/>
          <w:color w:val="auto"/>
        </w:rPr>
        <w:t xml:space="preserve">Conyers Dill &amp; Pearman Limited, special Bermuda counsel for the Company, shall have furnished to the Representatives their written opinion, dated the Time of Delivery, in form and substance satisfactory to the Representatives, to the effect set forth in </w:t>
      </w:r>
      <w:r>
        <w:rPr>
          <w:rFonts w:ascii="Arial" w:cs="Arial" w:eastAsia="Arial" w:hAnsi="Arial"/>
          <w:sz w:val="17"/>
          <w:szCs w:val="17"/>
          <w:u w:val="single" w:color="auto"/>
          <w:color w:val="auto"/>
        </w:rPr>
        <w:t>Annex II</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660" w:firstLine="645"/>
        <w:spacing w:after="0" w:line="277" w:lineRule="auto"/>
        <w:tabs>
          <w:tab w:leader="none" w:pos="1563" w:val="left"/>
        </w:tabs>
        <w:numPr>
          <w:ilvl w:val="1"/>
          <w:numId w:val="27"/>
        </w:numPr>
        <w:rPr>
          <w:rFonts w:ascii="Arial" w:cs="Arial" w:eastAsia="Arial" w:hAnsi="Arial"/>
          <w:sz w:val="18"/>
          <w:szCs w:val="18"/>
          <w:color w:val="auto"/>
        </w:rPr>
      </w:pPr>
      <w:r>
        <w:rPr>
          <w:rFonts w:ascii="Arial" w:cs="Arial" w:eastAsia="Arial" w:hAnsi="Arial"/>
          <w:sz w:val="18"/>
          <w:szCs w:val="18"/>
          <w:color w:val="auto"/>
        </w:rPr>
        <w:t xml:space="preserve">Michelet &amp; Co, Norwegian counsel for the Company, shall have furnished to the Representatives their written opinion, dated the Time of Delivery, in form and substance satisfactory to the Representatives, to the effect set forth in </w:t>
      </w:r>
      <w:r>
        <w:rPr>
          <w:rFonts w:ascii="Arial" w:cs="Arial" w:eastAsia="Arial" w:hAnsi="Arial"/>
          <w:sz w:val="18"/>
          <w:szCs w:val="18"/>
          <w:u w:val="single" w:color="auto"/>
          <w:color w:val="auto"/>
        </w:rPr>
        <w:t>Annex III</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60" w:firstLine="645"/>
        <w:spacing w:after="0" w:line="277" w:lineRule="auto"/>
        <w:tabs>
          <w:tab w:leader="none" w:pos="15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CMS Cameron McKenna LLP, special U.K. counsel for the Company, shall have furnished to the Representatives their written opinion, dated the Time of</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2" w:name="page23"/>
    <w:bookmarkEnd w:id="22"/>
    <w:p>
      <w:pPr>
        <w:ind w:left="4"/>
        <w:spacing w:after="0"/>
        <w:rPr>
          <w:sz w:val="20"/>
          <w:szCs w:val="20"/>
          <w:color w:val="auto"/>
        </w:rPr>
      </w:pPr>
      <w:r>
        <w:rPr>
          <w:rFonts w:ascii="Arial" w:cs="Arial" w:eastAsia="Arial" w:hAnsi="Arial"/>
          <w:sz w:val="18"/>
          <w:szCs w:val="18"/>
          <w:color w:val="auto"/>
        </w:rPr>
        <w:t xml:space="preserve">Delivery, in form and substance satisfactory to the Representatives, to the effect set forth in </w:t>
      </w:r>
      <w:r>
        <w:rPr>
          <w:rFonts w:ascii="Arial" w:cs="Arial" w:eastAsia="Arial" w:hAnsi="Arial"/>
          <w:sz w:val="18"/>
          <w:szCs w:val="18"/>
          <w:u w:val="single" w:color="auto"/>
          <w:color w:val="auto"/>
        </w:rPr>
        <w:t>Annex IV</w:t>
      </w:r>
      <w:r>
        <w:rPr>
          <w:rFonts w:ascii="Arial" w:cs="Arial" w:eastAsia="Arial" w:hAnsi="Arial"/>
          <w:sz w:val="18"/>
          <w:szCs w:val="18"/>
          <w:color w:val="auto"/>
        </w:rPr>
        <w:t>;</w:t>
      </w:r>
    </w:p>
    <w:p>
      <w:pPr>
        <w:spacing w:after="0" w:line="225" w:lineRule="exact"/>
        <w:rPr>
          <w:sz w:val="20"/>
          <w:szCs w:val="20"/>
          <w:color w:val="auto"/>
        </w:rPr>
      </w:pPr>
    </w:p>
    <w:p>
      <w:pPr>
        <w:jc w:val="both"/>
        <w:ind w:left="4" w:firstLine="645"/>
        <w:spacing w:after="0" w:line="273" w:lineRule="auto"/>
        <w:tabs>
          <w:tab w:leader="none" w:pos="915" w:val="left"/>
        </w:tabs>
        <w:numPr>
          <w:ilvl w:val="1"/>
          <w:numId w:val="28"/>
        </w:numPr>
        <w:rPr>
          <w:rFonts w:ascii="Arial" w:cs="Arial" w:eastAsia="Arial" w:hAnsi="Arial"/>
          <w:sz w:val="17"/>
          <w:szCs w:val="17"/>
          <w:color w:val="auto"/>
        </w:rPr>
      </w:pPr>
      <w:r>
        <w:rPr>
          <w:rFonts w:ascii="Arial" w:cs="Arial" w:eastAsia="Arial" w:hAnsi="Arial"/>
          <w:sz w:val="17"/>
          <w:szCs w:val="17"/>
          <w:color w:val="auto"/>
        </w:rPr>
        <w:t>On the date of the Final Prospectus at a time prior to the execution of this Agreement, no later than 9:30 a.m., New York City time, on the effective date of any post-effective amendment to the Registration Statement filed subsequent to the date of this Agreement and also at the Time of Delivery, each of Deloitte LLP and Deloitte Certified Public Accountants S.A. shall have furnished to the Representatives a letter or letters, dated the respective dates of delivery thereof, containing statements and information of the type ordinarily included in accountants’ “comfort letters” to underwriters with respect to the financial statements and certain financial information contained in the Registration Statement, Disclosure Package and Final Prospectus, in form and substance satisfactory to the Representatives;</w:t>
      </w:r>
    </w:p>
    <w:p>
      <w:pPr>
        <w:spacing w:after="0" w:line="178" w:lineRule="exact"/>
        <w:rPr>
          <w:rFonts w:ascii="Arial" w:cs="Arial" w:eastAsia="Arial" w:hAnsi="Arial"/>
          <w:sz w:val="17"/>
          <w:szCs w:val="17"/>
          <w:color w:val="auto"/>
        </w:rPr>
      </w:pPr>
    </w:p>
    <w:p>
      <w:pPr>
        <w:jc w:val="both"/>
        <w:ind w:left="4" w:firstLine="645"/>
        <w:spacing w:after="0" w:line="289" w:lineRule="auto"/>
        <w:tabs>
          <w:tab w:leader="none" w:pos="911" w:val="left"/>
        </w:tabs>
        <w:numPr>
          <w:ilvl w:val="1"/>
          <w:numId w:val="28"/>
        </w:numPr>
        <w:rPr>
          <w:rFonts w:ascii="Arial" w:cs="Arial" w:eastAsia="Arial" w:hAnsi="Arial"/>
          <w:sz w:val="16"/>
          <w:szCs w:val="16"/>
          <w:color w:val="auto"/>
        </w:rPr>
      </w:pPr>
      <w:r>
        <w:rPr>
          <w:rFonts w:ascii="Arial" w:cs="Arial" w:eastAsia="Arial" w:hAnsi="Arial"/>
          <w:sz w:val="16"/>
          <w:szCs w:val="16"/>
          <w:color w:val="auto"/>
        </w:rPr>
        <w:t>(i) Neither the Company nor any of its subsidiaries shall have sustained since the date of the latest audited financial statements included in the Disclosure Package any loss or interference with its business from fire, explosion, flood, piracy, terrorism or other calamity, whether or not covered by insurance, or from any labor dispute or court or governmental action, order or decree, otherwise than as set forth or contemplated in the Disclosure Package and (ii) since the respective dates as of which information is given in the Disclosure Package there shall not have been any change in the share capital or long-term debt of the Company or any of its subsidiaries or any change, or any development involving a prospective change, in or affecting the general affairs, management, financial position, shareholders’ equity or results of operations of the Company and its subsidiaries, otherwise than as set forth or contemplated in the Disclosure Package, the effect of which, in any such case described in clause (i) or (ii), is in the judgment of the Representatives so material and adverse as to make it impracticable or inadvisable to proceed with the public offering or the delivery of the Securities being delivered at the Time of Delivery on the terms and in the manner contemplated in the Final Prospectus;</w:t>
      </w:r>
    </w:p>
    <w:p>
      <w:pPr>
        <w:spacing w:after="0" w:line="166" w:lineRule="exact"/>
        <w:rPr>
          <w:rFonts w:ascii="Arial" w:cs="Arial" w:eastAsia="Arial" w:hAnsi="Arial"/>
          <w:sz w:val="16"/>
          <w:szCs w:val="16"/>
          <w:color w:val="auto"/>
        </w:rPr>
      </w:pPr>
    </w:p>
    <w:p>
      <w:pPr>
        <w:jc w:val="both"/>
        <w:ind w:left="4" w:right="20" w:firstLine="645"/>
        <w:spacing w:after="0" w:line="291" w:lineRule="auto"/>
        <w:tabs>
          <w:tab w:leader="none" w:pos="9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On or after the Applicable Time (i) no downgrading shall have occurred in the rating accorded the Company’s debt securities or preference shares by any “nationally recognized statistical rating organization”, as such term is defined in Section 3(a)(62) of the Exchange Act and</w:t>
      </w:r>
    </w:p>
    <w:p>
      <w:pPr>
        <w:ind w:left="4" w:hanging="4"/>
        <w:spacing w:after="0" w:line="261" w:lineRule="auto"/>
        <w:tabs>
          <w:tab w:leader="none" w:pos="272"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 such organization shall have publicly announced that it has under surveillance or review, with possible negative implications, its rating of any of the Company’s debt securities or preference shares;</w:t>
      </w:r>
    </w:p>
    <w:p>
      <w:pPr>
        <w:spacing w:after="0" w:line="183" w:lineRule="exact"/>
        <w:rPr>
          <w:rFonts w:ascii="Arial" w:cs="Arial" w:eastAsia="Arial" w:hAnsi="Arial"/>
          <w:sz w:val="18"/>
          <w:szCs w:val="18"/>
          <w:color w:val="auto"/>
        </w:rPr>
      </w:pPr>
    </w:p>
    <w:p>
      <w:pPr>
        <w:jc w:val="both"/>
        <w:ind w:left="4" w:firstLine="645"/>
        <w:spacing w:after="0" w:line="276" w:lineRule="auto"/>
        <w:tabs>
          <w:tab w:leader="none" w:pos="877" w:val="left"/>
        </w:tabs>
        <w:numPr>
          <w:ilvl w:val="1"/>
          <w:numId w:val="29"/>
        </w:numPr>
        <w:rPr>
          <w:rFonts w:ascii="Arial" w:cs="Arial" w:eastAsia="Arial" w:hAnsi="Arial"/>
          <w:sz w:val="17"/>
          <w:szCs w:val="17"/>
          <w:color w:val="auto"/>
        </w:rPr>
      </w:pPr>
      <w:r>
        <w:rPr>
          <w:rFonts w:ascii="Arial" w:cs="Arial" w:eastAsia="Arial" w:hAnsi="Arial"/>
          <w:sz w:val="17"/>
          <w:szCs w:val="17"/>
          <w:color w:val="auto"/>
        </w:rPr>
        <w:t>On or after the Applicable Time there shall not have occurred any of the following: (i) a suspension or material limitation in trading in securities generally on the Exchange or the NASDAQ; (ii) a suspension or material limitation in trading in the Company’s securities on the Exchange; (iii) a general moratorium on commercial banking activities declared by either Federal or New York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w:t>
      </w:r>
    </w:p>
    <w:p>
      <w:pPr>
        <w:spacing w:after="0" w:line="146"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152400</wp:posOffset>
            </wp:positionV>
            <wp:extent cx="72466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64"/>
          </w:cols>
          <w:pgMar w:left="896" w:top="409" w:right="239" w:bottom="1440" w:gutter="0" w:footer="0" w:header="0"/>
        </w:sectPr>
      </w:pPr>
    </w:p>
    <w:bookmarkStart w:id="23" w:name="page24"/>
    <w:bookmarkEnd w:id="23"/>
    <w:p>
      <w:pPr>
        <w:jc w:val="both"/>
        <w:ind w:left="660"/>
        <w:spacing w:after="0" w:line="312" w:lineRule="auto"/>
        <w:rPr>
          <w:sz w:val="20"/>
          <w:szCs w:val="20"/>
          <w:color w:val="auto"/>
        </w:rPr>
      </w:pPr>
      <w:r>
        <w:rPr>
          <w:rFonts w:ascii="Arial" w:cs="Arial" w:eastAsia="Arial" w:hAnsi="Arial"/>
          <w:sz w:val="16"/>
          <w:szCs w:val="16"/>
          <w:color w:val="auto"/>
        </w:rPr>
        <w:t>of any other calamity or crisis or any change in financial, political or economic conditions in the United States or elsewhere, if the effect of any such event specified in clause (iv) or (v) in the judgment of the Representatives makes it impracticable or inadvisable to proceed with the public offering or the delivery of the Securities being delivered at the Time of Delivery on the terms and in the manner contemplated in the Final Prospectus;</w:t>
      </w:r>
    </w:p>
    <w:p>
      <w:pPr>
        <w:spacing w:after="0" w:line="147" w:lineRule="exact"/>
        <w:rPr>
          <w:sz w:val="20"/>
          <w:szCs w:val="20"/>
          <w:color w:val="auto"/>
        </w:rPr>
      </w:pPr>
    </w:p>
    <w:p>
      <w:pPr>
        <w:ind w:left="1560" w:hanging="255"/>
        <w:spacing w:after="0"/>
        <w:tabs>
          <w:tab w:leader="none" w:pos="1560" w:val="left"/>
        </w:tabs>
        <w:numPr>
          <w:ilvl w:val="1"/>
          <w:numId w:val="30"/>
        </w:numPr>
        <w:rPr>
          <w:rFonts w:ascii="Arial" w:cs="Arial" w:eastAsia="Arial" w:hAnsi="Arial"/>
          <w:sz w:val="17"/>
          <w:szCs w:val="17"/>
          <w:color w:val="auto"/>
        </w:rPr>
      </w:pPr>
      <w:r>
        <w:rPr>
          <w:rFonts w:ascii="Arial" w:cs="Arial" w:eastAsia="Arial" w:hAnsi="Arial"/>
          <w:sz w:val="17"/>
          <w:szCs w:val="17"/>
          <w:color w:val="auto"/>
        </w:rPr>
        <w:t>Prior to the Applicable Time, the Securities shall be eligible for clearance, settlement and trading through the facilities of DTC;</w:t>
      </w:r>
    </w:p>
    <w:p>
      <w:pPr>
        <w:spacing w:after="0" w:line="236" w:lineRule="exact"/>
        <w:rPr>
          <w:rFonts w:ascii="Arial" w:cs="Arial" w:eastAsia="Arial" w:hAnsi="Arial"/>
          <w:sz w:val="17"/>
          <w:szCs w:val="17"/>
          <w:color w:val="auto"/>
        </w:rPr>
      </w:pPr>
    </w:p>
    <w:p>
      <w:pPr>
        <w:ind w:left="660" w:firstLine="645"/>
        <w:spacing w:after="0" w:line="277" w:lineRule="auto"/>
        <w:tabs>
          <w:tab w:leader="none" w:pos="153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Company shall have complied with the provisions of Section 5(c) hereof with respect to the furnishing of prospectuses on the New York Business Day next succeeding the date of this Agreement; and</w:t>
      </w:r>
    </w:p>
    <w:p>
      <w:pPr>
        <w:spacing w:after="0" w:line="170" w:lineRule="exact"/>
        <w:rPr>
          <w:rFonts w:ascii="Arial" w:cs="Arial" w:eastAsia="Arial" w:hAnsi="Arial"/>
          <w:sz w:val="18"/>
          <w:szCs w:val="18"/>
          <w:color w:val="auto"/>
        </w:rPr>
      </w:pPr>
    </w:p>
    <w:p>
      <w:pPr>
        <w:jc w:val="both"/>
        <w:ind w:left="660" w:firstLine="645"/>
        <w:spacing w:after="0" w:line="302" w:lineRule="auto"/>
        <w:tabs>
          <w:tab w:leader="none" w:pos="1625"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The Company shall have furnished or caused to be furnished to the Representatives at the Time of Delivery certificates of officers of the Company satisfactory to the Representatives as to the accuracy of the representations and warranties of the Company herein at and as of the Time of Delivery, as to the performance by the Company of all of its obligations hereunder to be performed at or prior to the Time of Delivery, as to the matters set forth in subsections (a) and (j) of this Section and as to such other matters as the Representatives may reasonably request.</w:t>
      </w:r>
    </w:p>
    <w:p>
      <w:pPr>
        <w:spacing w:after="0" w:line="154" w:lineRule="exact"/>
        <w:rPr>
          <w:rFonts w:ascii="Arial" w:cs="Arial" w:eastAsia="Arial" w:hAnsi="Arial"/>
          <w:sz w:val="16"/>
          <w:szCs w:val="16"/>
          <w:color w:val="auto"/>
        </w:rPr>
      </w:pPr>
    </w:p>
    <w:p>
      <w:pPr>
        <w:jc w:val="both"/>
        <w:ind w:firstLine="656"/>
        <w:spacing w:after="0" w:line="268" w:lineRule="auto"/>
        <w:tabs>
          <w:tab w:leader="none" w:pos="834"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Disclosure Package or the Final Prospectus, or any amendment or supplement thereto, any Issuer Free Writing Prospectus or any “issuer information” filed or required to be filed pursuant to Rule 433(d) under the Act,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shall not be liable in any such case to the extent that any such loss, claim, damage or liability arises out of or is based upon an untrue statement or alleged untrue statement or omission or alleged omission made in the Registration Statement, any Preliminary Prospectus, the Disclosure Package or the Final Prospectus, or any amendment or supplement thereto, or any Issuer Free Writing Prospectus, in reliance upon and in conformity with written information furnished to the Company by any Underwriter through the Representatives expressly for use therein, it being understood and agreed that the only such information furnished by or on behalf of any Underwriter consists of the information described in this Section 9, or arising out of, or based upon, statements in or omissions from the Statement of Eligibility.</w:t>
      </w:r>
    </w:p>
    <w:p>
      <w:pPr>
        <w:spacing w:after="0" w:line="188" w:lineRule="exact"/>
        <w:rPr>
          <w:sz w:val="20"/>
          <w:szCs w:val="20"/>
          <w:color w:val="auto"/>
        </w:rPr>
      </w:pPr>
    </w:p>
    <w:p>
      <w:pPr>
        <w:ind w:firstLine="656"/>
        <w:spacing w:after="0" w:line="277" w:lineRule="auto"/>
        <w:tabs>
          <w:tab w:leader="none" w:pos="912"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Underwriter, severally and not jointly, will indemnify and hold harmless the Company against any losses, claims, damages or liabilities to which the Company may become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4" w:name="page25"/>
    <w:bookmarkEnd w:id="24"/>
    <w:p>
      <w:pPr>
        <w:jc w:val="both"/>
        <w:spacing w:after="0" w:line="286" w:lineRule="auto"/>
        <w:rPr>
          <w:sz w:val="20"/>
          <w:szCs w:val="20"/>
          <w:color w:val="auto"/>
        </w:rPr>
      </w:pPr>
      <w:r>
        <w:rPr>
          <w:rFonts w:ascii="Arial" w:cs="Arial" w:eastAsia="Arial" w:hAnsi="Arial"/>
          <w:sz w:val="16"/>
          <w:szCs w:val="16"/>
          <w:color w:val="auto"/>
        </w:rPr>
        <w:t>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Disclosure Package or the Final Prospectus, or any amendment or supplement thereto, or any Issuer Free Writing Prospectus,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Disclosure Package or the Final Prospectus, or any amendment or supplement thereto, or any Issuer Free Writing Prospectus, in reliance upon and in conformity with written information furnished to the Company by such Underwriter through the Representatives expressly for use therein; and will reimburse the Company for any legal or other expenses reasonably incurred by the Company in connection with investigating or defending any such action or claim as such expenses are incurred. The Company acknowledges that (i) the statements set forth in the last paragraph of the cover page regarding delivery of the Securities, (ii) the statements set forth in the last paragraph under the caption “Commissions and Discounts” in the section under the heading “Underwriting”, (iii) the statements set forth in (A) the first, fifth and eighth sentences in the first paragraph and (B) the first sentence in the second paragraph, under the caption “Price Stabilization, Short Positions” in the section under the heading “Underwriting” and (iv) the list of Underwriters and their respective participation in the sale of the Securities, in any Preliminary Prospectus and the Final Prospectus constitute the only information furnished in writing by or on behalf of the several Underwriters for inclusion in any Preliminary Prospectus or the Final Prospectus.</w:t>
      </w:r>
    </w:p>
    <w:p>
      <w:pPr>
        <w:spacing w:after="0" w:line="172" w:lineRule="exact"/>
        <w:rPr>
          <w:sz w:val="20"/>
          <w:szCs w:val="20"/>
          <w:color w:val="auto"/>
        </w:rPr>
      </w:pPr>
    </w:p>
    <w:p>
      <w:pPr>
        <w:jc w:val="both"/>
        <w:ind w:firstLine="656"/>
        <w:spacing w:after="0" w:line="286" w:lineRule="auto"/>
        <w:tabs>
          <w:tab w:leader="none" w:pos="897"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not include a statement as to or an admission of fault, culpability or a failure to act, by or on behalf of any indemnified party.</w:t>
      </w:r>
    </w:p>
    <w:p>
      <w:pPr>
        <w:spacing w:after="0" w:line="225" w:lineRule="exact"/>
        <w:rPr>
          <w:sz w:val="20"/>
          <w:szCs w:val="20"/>
          <w:color w:val="auto"/>
        </w:rPr>
      </w:pPr>
    </w:p>
    <w:p>
      <w:pPr>
        <w:ind w:left="920" w:hanging="264"/>
        <w:spacing w:after="0"/>
        <w:tabs>
          <w:tab w:leader="none" w:pos="9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9 is unavailable to or insufficient to hold harmless an indemnified party under subsection (a) or</w:t>
      </w:r>
    </w:p>
    <w:p>
      <w:pPr>
        <w:spacing w:after="0" w:line="46" w:lineRule="exact"/>
        <w:rPr>
          <w:rFonts w:ascii="Arial" w:cs="Arial" w:eastAsia="Arial" w:hAnsi="Arial"/>
          <w:sz w:val="16"/>
          <w:szCs w:val="16"/>
          <w:color w:val="auto"/>
        </w:rPr>
      </w:pPr>
    </w:p>
    <w:p>
      <w:pPr>
        <w:jc w:val="both"/>
        <w:ind w:firstLine="8"/>
        <w:spacing w:after="0" w:line="283" w:lineRule="auto"/>
        <w:tabs>
          <w:tab w:leader="none" w:pos="286"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on the other from the offering of the Securities.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table on the cover page of the Final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w:t>
      </w:r>
    </w:p>
    <w:p>
      <w:pPr>
        <w:spacing w:after="0" w:line="181" w:lineRule="exact"/>
        <w:rPr>
          <w:rFonts w:ascii="Arial" w:cs="Arial" w:eastAsia="Arial" w:hAnsi="Arial"/>
          <w:sz w:val="16"/>
          <w:szCs w:val="16"/>
          <w:color w:val="auto"/>
        </w:rPr>
      </w:pPr>
    </w:p>
    <w:p>
      <w:pPr>
        <w:ind w:right="20" w:firstLine="656"/>
        <w:spacing w:after="0" w:line="277" w:lineRule="auto"/>
        <w:tabs>
          <w:tab w:leader="none" w:pos="914"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9 shall be in addition to any liability which the Company may otherwise have and shall extend, upon the same terms and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6" w:name="page27"/>
    <w:bookmarkEnd w:id="26"/>
    <w:p>
      <w:pPr>
        <w:jc w:val="both"/>
        <w:spacing w:after="0" w:line="257" w:lineRule="auto"/>
        <w:rPr>
          <w:sz w:val="20"/>
          <w:szCs w:val="20"/>
          <w:color w:val="auto"/>
        </w:rPr>
      </w:pPr>
      <w:r>
        <w:rPr>
          <w:rFonts w:ascii="Arial" w:cs="Arial" w:eastAsia="Arial" w:hAnsi="Arial"/>
          <w:sz w:val="18"/>
          <w:szCs w:val="18"/>
          <w:color w:val="auto"/>
        </w:rPr>
        <w:t>conditions, to each person, if any, who controls any Underwriter within the meaning of the Act, each broker-dealer affiliate of any Underwriter and any agent of any Underwriter or broker-dealer affiliate of any Underwriter; and the obligations of the Underwriters under this Section 9 shall be in addition to any liability which the respective Underwriters may otherwise have and shall extend, upon the same terms and conditions, to each officer and director of the Company (including any person who, with his or her consent, is named in the Registration Statement as about to become a director of the Company) and to each person, if any, who controls the Company within the meaning of the Act.</w:t>
      </w:r>
    </w:p>
    <w:p>
      <w:pPr>
        <w:spacing w:after="0" w:line="188" w:lineRule="exact"/>
        <w:rPr>
          <w:sz w:val="20"/>
          <w:szCs w:val="20"/>
          <w:color w:val="auto"/>
        </w:rPr>
      </w:pPr>
    </w:p>
    <w:p>
      <w:pPr>
        <w:jc w:val="both"/>
        <w:ind w:firstLine="656"/>
        <w:spacing w:after="0" w:line="287" w:lineRule="auto"/>
        <w:tabs>
          <w:tab w:leader="none" w:pos="921"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If any Underwriter shall default in its obligation to purchase the Securities which it has agreed to purchase hereunder at the Time of Delivery, the Representatives may in their discretion arrange for the Representatives or another party or other parties to purchase such Securities on the terms contained herein. If within thirty-six hours after such default by any Underwriter the Representatives do not arrange for the purchase of such Securities, then the Company shall be entitled to a further period of thirty-six hours within which to procure another party or other parties satisfactory to the Representatives to purchase such Securities on such terms. In the event that, within the respective prescribed periods, the Representatives notify the Company that the Representatives have so arranged for the purchase of such Securities, or the Company notifies the Representatives that it has so arranged for the purchase of such Securities, the Representatives or the Company shall have the right to postpone the Time of Delivery for a period of not more than seven days, in order to effect whatever changes may thereby be made necessary in the Registration Statement or the Final Prospectus, or in any other documents or arrangements, and the Company agrees to file promptly any amendments or supplements to the Registration Statement or the Final Prospectus which in the opinion of the Representatives may thereby be made necessary. The term “Underwriter” as used in this Agreement shall include any person substituted under this Section with like effect as if such person had originally been a party to this Agreement with respect to such Securities.</w:t>
      </w:r>
    </w:p>
    <w:p>
      <w:pPr>
        <w:spacing w:after="0" w:line="173" w:lineRule="exact"/>
        <w:rPr>
          <w:sz w:val="20"/>
          <w:szCs w:val="20"/>
          <w:color w:val="auto"/>
        </w:rPr>
      </w:pPr>
    </w:p>
    <w:p>
      <w:pPr>
        <w:jc w:val="both"/>
        <w:ind w:firstLine="656"/>
        <w:spacing w:after="0" w:line="255" w:lineRule="auto"/>
        <w:tabs>
          <w:tab w:leader="none" w:pos="912"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If, after giving effect to any arrangements for the purchase of the Securities of a defaulting Underwriter or Underwriters by the Representatives and the Company as provided in subsection (a) above, the aggregate number of such Securities which remains unpurchased does not exceed one-eleventh of the aggregate number of all the Securities to be purchased at the Time of Delivery, then the Company shall have the right to require each non-defaulting Underwriter to purchase the number of Securities which such Underwriter agreed to purchase hereunder at the Time of Delivery and, in addition, to require each non-defaulting Underwriter to purchase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(based on the number of Securities which such Underwriter agreed to purchase hereunder) of the Securities of such defaulting Underwriter or Underwriters for which such arrangements have not been made; but nothing herein shall relieve a defaulting Underwriter from liability for its default.</w:t>
      </w:r>
    </w:p>
    <w:p>
      <w:pPr>
        <w:spacing w:after="0" w:line="189" w:lineRule="exact"/>
        <w:rPr>
          <w:rFonts w:ascii="Arial" w:cs="Arial" w:eastAsia="Arial" w:hAnsi="Arial"/>
          <w:sz w:val="18"/>
          <w:szCs w:val="18"/>
          <w:color w:val="auto"/>
        </w:rPr>
      </w:pPr>
    </w:p>
    <w:p>
      <w:pPr>
        <w:jc w:val="both"/>
        <w:ind w:firstLine="656"/>
        <w:spacing w:after="0" w:line="259" w:lineRule="auto"/>
        <w:tabs>
          <w:tab w:leader="none" w:pos="903"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after giving effect to any arrangements for the purchase of the Securities of a defaulting Underwriter or Underwriters by the Representatives and the Company as provided in subsection (a) above, the aggregate number of such Securities which remains unpurchased exceeds one-eleventh of the aggregate number of all the Securities to be purchased at the Time of Delivery, or if the Company shall not exercise the right described in subsection (b) above to</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7" w:name="page28"/>
    <w:bookmarkEnd w:id="27"/>
    <w:p>
      <w:pPr>
        <w:jc w:val="both"/>
        <w:spacing w:after="0" w:line="259" w:lineRule="auto"/>
        <w:rPr>
          <w:sz w:val="20"/>
          <w:szCs w:val="20"/>
          <w:color w:val="auto"/>
        </w:rPr>
      </w:pPr>
      <w:r>
        <w:rPr>
          <w:rFonts w:ascii="Arial" w:cs="Arial" w:eastAsia="Arial" w:hAnsi="Arial"/>
          <w:sz w:val="18"/>
          <w:szCs w:val="18"/>
          <w:color w:val="auto"/>
        </w:rPr>
        <w:t>require non-defaulting Underwriters to purchase Securities of a defaulting Underwriter or Underwriters, then this Agreement shall thereupon terminate, without liability on the part of any non-defaulting Underwriter or the Company, except for the expenses to be borne by the Company and the Underwriters as provided in Section 7 hereof and the indemnity and contribution agreements in Section 9 hereof; but nothing herein shall relieve a defaulting Underwriter from liability for its default.</w:t>
      </w:r>
    </w:p>
    <w:p>
      <w:pPr>
        <w:spacing w:after="0" w:line="187" w:lineRule="exact"/>
        <w:rPr>
          <w:sz w:val="20"/>
          <w:szCs w:val="20"/>
          <w:color w:val="auto"/>
        </w:rPr>
      </w:pPr>
    </w:p>
    <w:p>
      <w:pPr>
        <w:jc w:val="both"/>
        <w:ind w:firstLine="656"/>
        <w:spacing w:after="0" w:line="279" w:lineRule="auto"/>
        <w:tabs>
          <w:tab w:leader="none" w:pos="928"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respective indemnities,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any officer or director or controlling person of the Company, and shall survive delivery of and payment for the Securities.</w:t>
      </w:r>
    </w:p>
    <w:p>
      <w:pPr>
        <w:spacing w:after="0" w:line="171" w:lineRule="exact"/>
        <w:rPr>
          <w:rFonts w:ascii="Arial" w:cs="Arial" w:eastAsia="Arial" w:hAnsi="Arial"/>
          <w:sz w:val="17"/>
          <w:szCs w:val="17"/>
          <w:color w:val="auto"/>
        </w:rPr>
      </w:pPr>
    </w:p>
    <w:p>
      <w:pPr>
        <w:jc w:val="both"/>
        <w:ind w:firstLine="656"/>
        <w:spacing w:after="0" w:line="255" w:lineRule="auto"/>
        <w:tabs>
          <w:tab w:leader="none" w:pos="921"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this Agreement shall be terminated pursuant to Section 10 hereof, the Company shall not then be under any liability to any Underwriter except as provided in Sections 7 and 9 hereof; but, if for any other reason, any Securities are not delivered by or on behalf of the Company as provided herein, the Company will reimburse the Underwriters through the Representatives for all out-of-pocket expenses approved in writing by the Representatives, including fees and disbursements of counsel, reasonably incurred by the Underwriters in making preparations for the purchase, sale and delivery of the Securities not so delivered, but the Company shall then be under no further liability in respect of the Securities not so delivered to any Underwriter except as provided in Sections 7 and 9 hereof.</w:t>
      </w:r>
    </w:p>
    <w:p>
      <w:pPr>
        <w:spacing w:after="0" w:line="193" w:lineRule="exact"/>
        <w:rPr>
          <w:rFonts w:ascii="Arial" w:cs="Arial" w:eastAsia="Arial" w:hAnsi="Arial"/>
          <w:sz w:val="18"/>
          <w:szCs w:val="18"/>
          <w:color w:val="auto"/>
        </w:rPr>
      </w:pPr>
    </w:p>
    <w:p>
      <w:pPr>
        <w:ind w:firstLine="656"/>
        <w:spacing w:after="0" w:line="277" w:lineRule="auto"/>
        <w:tabs>
          <w:tab w:leader="none" w:pos="929"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all dealings hereunder, the Representatives shall act on behalf of each of the Underwriters, and the parties hereto shall be entitled to act and rely upon any statement, request, notice or agreement on behalf of any Underwriter made or given by the Representatives.</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All statements, requests, notices and agreements hereunder shall be in writing, and if to the Underwriters shall be delivered or sent by mail, telex or facsimile transmission to the Representatives at Stifel, Nicolaus &amp; Company, Incorporated, 787 7th Avenue, 11th Floor, New York, New York 10019, Attention: Legal Department and DNB Markets Inc., 200 Park Avenue, 31st Floor, New York, New York 10166, Attention: Legal Department; and if to the Company shall be delivered or sent by mail, telex or facsimile transmission to the address of the Company set forth in the Registration Statement, Attention: Secretary;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any notice to an Underwriter pursuant to Section 9(c) hereof shall be delivered or sent by mail, telex or facsimile transmission to such Underwriter at its address set forth in its Underwriters’ Questionnaire, or telex constituting such Questionnaire, which address will be supplied to the Company by the Representatives upon request;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notices under subsection 5(e) shall be in writing, and if to the Underwriters shall be delivered or sent by mail, telex or facsimile transmission to the Representatives at Stifel, Nicolaus &amp; Company, Incorporated, 787 7th Avenue, 11th Floor, New York, New York 10019, Attention: Legal Department and DNB Markets Inc., 200 Park Avenue, 31st Floor, New York, New York 10166, Attention: Legal Department. Any such statements, requests, notices or agreements shall take effect upon receipt thereof.</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8" w:name="page29"/>
    <w:bookmarkEnd w:id="28"/>
    <w:p>
      <w:pPr>
        <w:jc w:val="both"/>
        <w:ind w:firstLine="648"/>
        <w:spacing w:after="0" w:line="286" w:lineRule="auto"/>
        <w:rPr>
          <w:sz w:val="20"/>
          <w:szCs w:val="20"/>
          <w:color w:val="auto"/>
        </w:rPr>
      </w:pPr>
      <w:r>
        <w:rPr>
          <w:rFonts w:ascii="Arial" w:cs="Arial" w:eastAsia="Arial" w:hAnsi="Arial"/>
          <w:sz w:val="17"/>
          <w:szCs w:val="17"/>
          <w:color w:val="auto"/>
        </w:rPr>
        <w:t>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66" w:lineRule="exact"/>
        <w:rPr>
          <w:sz w:val="20"/>
          <w:szCs w:val="20"/>
          <w:color w:val="auto"/>
        </w:rPr>
      </w:pPr>
    </w:p>
    <w:p>
      <w:pPr>
        <w:jc w:val="both"/>
        <w:ind w:firstLine="656"/>
        <w:spacing w:after="0" w:line="279" w:lineRule="auto"/>
        <w:tabs>
          <w:tab w:leader="none" w:pos="923"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This Agreement shall be binding upon, and inure solely to the benefit of, the Underwriters, the Company and, to the extent provided in Sections 9 and 11 hereof, the officers and directors of the Company and each person who controls the Company or any Underwriter, and their respective heirs, executors, administrators, successors and assigns, and no other person shall acquire or have any right under or by virtue of this Agreement. No purchaser of any of the Securities from any Underwriter shall be deemed a successor or assign by reason merely of such purchase.</w:t>
      </w:r>
    </w:p>
    <w:p>
      <w:pPr>
        <w:spacing w:after="0" w:line="171" w:lineRule="exact"/>
        <w:rPr>
          <w:rFonts w:ascii="Arial" w:cs="Arial" w:eastAsia="Arial" w:hAnsi="Arial"/>
          <w:sz w:val="17"/>
          <w:szCs w:val="17"/>
          <w:color w:val="auto"/>
        </w:rPr>
      </w:pPr>
    </w:p>
    <w:p>
      <w:pPr>
        <w:ind w:left="920" w:hanging="264"/>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Time shall be of the essence of this Agreement.</w:t>
      </w:r>
    </w:p>
    <w:p>
      <w:pPr>
        <w:spacing w:after="0" w:line="225" w:lineRule="exact"/>
        <w:rPr>
          <w:rFonts w:ascii="Arial" w:cs="Arial" w:eastAsia="Arial" w:hAnsi="Arial"/>
          <w:sz w:val="18"/>
          <w:szCs w:val="18"/>
          <w:color w:val="auto"/>
        </w:rPr>
      </w:pPr>
    </w:p>
    <w:p>
      <w:pPr>
        <w:jc w:val="both"/>
        <w:ind w:firstLine="656"/>
        <w:spacing w:after="0" w:line="271" w:lineRule="auto"/>
        <w:tabs>
          <w:tab w:leader="none" w:pos="9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Company acknowledges and agrees that (i) the purchase and sale of the Securities pursuant to this Agreement is an arm’s-length commercial transaction between the Company, on the one hand, and the several Underwriters, on the other, (ii) in connection therewith and with the process leading to such transaction each Underwriter is acting solely as a principal and not the agent or fiduciary of the Company, (iii) no Underwriter has assumed an advisory or fiduciary responsibility in favor of the Company with respect to the offering contemplated hereby or the process leading thereto (irrespective of whether such Underwriter has advised or is currently advising the Company on other matters) or any other obligation to the Company except the obligations expressly set forth in this Agreement and (iv) the Company has consulted its own legal and financial advisors to the extent it deemed appropriate. The Company agrees that it will not claim that the Underwriters, or any of them, has rendered advisory services of any nature or respect, or owes a fiduciary or similar duty to the Company, in connection with such transaction or the process leading thereto.</w:t>
      </w:r>
    </w:p>
    <w:p>
      <w:pPr>
        <w:spacing w:after="0" w:line="178" w:lineRule="exact"/>
        <w:rPr>
          <w:rFonts w:ascii="Arial" w:cs="Arial" w:eastAsia="Arial" w:hAnsi="Arial"/>
          <w:sz w:val="17"/>
          <w:szCs w:val="17"/>
          <w:color w:val="auto"/>
        </w:rPr>
      </w:pPr>
    </w:p>
    <w:p>
      <w:pPr>
        <w:ind w:firstLine="656"/>
        <w:spacing w:after="0" w:line="277" w:lineRule="auto"/>
        <w:tabs>
          <w:tab w:leader="none" w:pos="93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Agreement supersedes all prior agreements and understandings (whether written or oral) between the Company and the Underwriters, or any of them, with respect to the subject matter hereof.</w:t>
      </w:r>
    </w:p>
    <w:p>
      <w:pPr>
        <w:spacing w:after="0" w:line="170" w:lineRule="exact"/>
        <w:rPr>
          <w:rFonts w:ascii="Arial" w:cs="Arial" w:eastAsia="Arial" w:hAnsi="Arial"/>
          <w:sz w:val="18"/>
          <w:szCs w:val="18"/>
          <w:color w:val="auto"/>
        </w:rPr>
      </w:pPr>
    </w:p>
    <w:p>
      <w:pPr>
        <w:jc w:val="both"/>
        <w:ind w:firstLine="656"/>
        <w:spacing w:after="0" w:line="255" w:lineRule="auto"/>
        <w:tabs>
          <w:tab w:leader="none" w:pos="937"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AGREEMENT AND ANY MATTERS RELATED TO THIS TRANSACTION SHALL BE GOVERNED BY AND CONSTRUED IN ACCORDANCE WITH THE LAWS OF THE STATE OF NEW YORK WITHOUT REGARD TO PRINCIPLES OF CONFLICT OF LAWS THAT WOULD RESULT IN THE APPLICATION OF ANY LAW OTHER THAN THE LAWS OF THE STATE OF NEW YORK. The Company agrees that any suit or proceeding arising in respect of this agreement or the engagement of the Representatives will be tried exclusively in the U.S. District Court for the Southern District of New York or, if that court does not have subject matter jurisdiction, in any state court located in The City and County of New York and the Company agrees to submit to the jurisdiction of, and to venue in, such courts.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9" w:name="page30"/>
    <w:bookmarkEnd w:id="29"/>
    <w:p>
      <w:pPr>
        <w:jc w:val="both"/>
        <w:ind w:firstLine="656"/>
        <w:spacing w:after="0" w:line="272" w:lineRule="auto"/>
        <w:tabs>
          <w:tab w:leader="none" w:pos="931"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Company has appointed Puglisi &amp; Associates as its authorized agent (the “</w:t>
      </w:r>
      <w:r>
        <w:rPr>
          <w:rFonts w:ascii="Arial" w:cs="Arial" w:eastAsia="Arial" w:hAnsi="Arial"/>
          <w:sz w:val="17"/>
          <w:szCs w:val="17"/>
          <w:u w:val="single" w:color="auto"/>
          <w:color w:val="auto"/>
        </w:rPr>
        <w:t>Authorized Agent</w:t>
      </w:r>
      <w:r>
        <w:rPr>
          <w:rFonts w:ascii="Arial" w:cs="Arial" w:eastAsia="Arial" w:hAnsi="Arial"/>
          <w:sz w:val="17"/>
          <w:szCs w:val="17"/>
          <w:color w:val="auto"/>
        </w:rPr>
        <w:t>”) upon whom process may be served in any suit, action or proceeding arising out of or based upon this Agreement or the transactions contemplated herein which may be instituted, by any Underwriter, the directors, officers, employees and agents of any Underwriter, or by any person who controls any Underwriter, and expressly accepts the non-exclusive jurisdiction of any such court in respect of any such suit, action or proceeding. The Company hereby represents and warrants that the Authorized Agent has accepted such appointment and has agreed to act as said agent for service of process, and each of them agrees to take any and all action, including the filing of any and all documents that may be necessary to continue such appointment in full force and effect as aforesaid. Service of process upon the Authorized Agent shall be deemed, in every respect, effective service of process upon the Company.</w:t>
      </w:r>
    </w:p>
    <w:p>
      <w:pPr>
        <w:spacing w:after="0" w:line="177" w:lineRule="exact"/>
        <w:rPr>
          <w:rFonts w:ascii="Arial" w:cs="Arial" w:eastAsia="Arial" w:hAnsi="Arial"/>
          <w:sz w:val="17"/>
          <w:szCs w:val="17"/>
          <w:color w:val="auto"/>
        </w:rPr>
      </w:pPr>
    </w:p>
    <w:p>
      <w:pPr>
        <w:ind w:right="20" w:firstLine="656"/>
        <w:spacing w:after="0" w:line="277" w:lineRule="auto"/>
        <w:tabs>
          <w:tab w:leader="none" w:pos="922"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terms that follow, when used in this Agreement, shall have the meanings indicated.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 shall mean the Securities Act of 1933, as amended, and the rules and regulations of the Commission promulgated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“Applicable Time” shall mean 3:30 p.m. on March 17, 2017.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“Agreement” shall mean this Underwriting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“Base Prospectus” shall mean the base prospectus referred to in paragraph 1(a) above contained in the Registration Statement at the Applicable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“Business Day” shall mean any day other than a Saturday, a Sunday or a legal holiday or a day on which banking institutions or trust companies are authorized or obligated by law to close in New York City.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“Commission” shall mean the Securities and Exchange Commission.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“Disclosure Package” shall mean (i) the Base Prospectus, (ii) the Preliminary Prospectus used most recently prior to the Applicable Time, (iii) the Issuer Free Writing Prospectuses, if any, identified in </w:t>
      </w:r>
      <w:r>
        <w:rPr>
          <w:rFonts w:ascii="Arial" w:cs="Arial" w:eastAsia="Arial" w:hAnsi="Arial"/>
          <w:sz w:val="18"/>
          <w:szCs w:val="18"/>
          <w:u w:val="single" w:color="auto"/>
          <w:color w:val="auto"/>
        </w:rPr>
        <w:t>Schedule III</w:t>
      </w:r>
      <w:r>
        <w:rPr>
          <w:rFonts w:ascii="Arial" w:cs="Arial" w:eastAsia="Arial" w:hAnsi="Arial"/>
          <w:sz w:val="18"/>
          <w:szCs w:val="18"/>
          <w:color w:val="auto"/>
        </w:rPr>
        <w:t xml:space="preserve"> hereto, and (iv) any other Free Writing Prospectus that the parties hereto shall hereafter expressly agree in writing to treat as part of the Disclosure Package.</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“Effective Date” shall mean each date and time that the Registration Statement and any post-effective amendment or amendments thereto and any Rule 462(b) Registration Statement became or becomes effective.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“Exchange Act” shall mean the Securities Exchange Act of 1934, as amended, and the rules and regulations of the Commission promulgated thereunder.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0" w:name="page31"/>
    <w:bookmarkEnd w:id="30"/>
    <w:p>
      <w:pPr>
        <w:jc w:val="both"/>
        <w:ind w:firstLine="648"/>
        <w:spacing w:after="0" w:line="277" w:lineRule="auto"/>
        <w:rPr>
          <w:sz w:val="20"/>
          <w:szCs w:val="20"/>
          <w:color w:val="auto"/>
        </w:rPr>
      </w:pPr>
      <w:r>
        <w:rPr>
          <w:rFonts w:ascii="Arial" w:cs="Arial" w:eastAsia="Arial" w:hAnsi="Arial"/>
          <w:sz w:val="18"/>
          <w:szCs w:val="18"/>
          <w:color w:val="auto"/>
        </w:rPr>
        <w:t>“Final Prospectus” shall mean the prospectus supplement relating to the Securities that was first filed pursuant to Rule 424(b) after the Applicable Time, together with the Base Prospectus.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“Free Writing Prospectus” shall mean a free writing prospectus, as defined in Rule 405.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“Issuer Free Writing Prospectus” shall mean an issuer free writing prospectus, as defined in Rule 433.</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“Preliminary Prospectus” shall mean any preliminary prospectus supplement to the Base Prospectus referred to in paragraph 1(a) above which is used prior to the filing of the Final Prospectus, together with the Base Prospectus.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“Registration Statement” shall mean the registration statement referred to in paragraph 1(a) above, including exhibits and financial statements and any prospectus supplement relating to the Securities that is filed with the Commission pursuant to Rule 424(b) and deemed part of such registration statement pursuant to Rule 430A or Rule 430B, as amended on each Effective Date and, in the event any post-effective amendment thereto or any Rule 462(b) Registration Statement becomes effective prior to the Closing Date, shall also mean such registration statement as so amended or such Rule 462(b) Registration Statement, as the case may be.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“Rule 158”, “Rule 163”, “Rule 164”, “Rule 172”, “Rule 405”, “Rule 415”, “Rule 424”, “Rule 430A”, “Rule 430B”, “Rule 433 and “Rule 462” refer to such rules under the 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“Trust Indenture Act” shall mean the Trust Indenture Act of 1939, as amended.</w:t>
      </w:r>
    </w:p>
    <w:p>
      <w:pPr>
        <w:spacing w:after="0" w:line="225" w:lineRule="exact"/>
        <w:rPr>
          <w:sz w:val="20"/>
          <w:szCs w:val="20"/>
          <w:color w:val="auto"/>
        </w:rPr>
      </w:pPr>
    </w:p>
    <w:p>
      <w:pPr>
        <w:ind w:firstLine="656"/>
        <w:spacing w:after="0" w:line="277" w:lineRule="auto"/>
        <w:tabs>
          <w:tab w:leader="none" w:pos="919"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This Agreement may be executed by any one or more of the parties hereto in any number of counterparts, each of which shall be deemed to be an original, but all such counterparts shall together constitute one and the same instrument.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1" w:name="page32"/>
    <w:bookmarkEnd w:id="31"/>
    <w:p>
      <w:pPr>
        <w:ind w:firstLine="648"/>
        <w:spacing w:after="0" w:line="277" w:lineRule="auto"/>
        <w:rPr>
          <w:sz w:val="20"/>
          <w:szCs w:val="20"/>
          <w:color w:val="auto"/>
        </w:rPr>
      </w:pPr>
      <w:r>
        <w:rPr>
          <w:rFonts w:ascii="Arial" w:cs="Arial" w:eastAsia="Arial" w:hAnsi="Arial"/>
          <w:sz w:val="18"/>
          <w:szCs w:val="18"/>
          <w:color w:val="auto"/>
        </w:rPr>
        <w:t>If the foregoing is in accordance with your understanding of our agreement, please sign and return to us the enclosed duplicate hereof, whereupon this letter and your acceptance shall represent a binding agreement among the Company and the several Underwriters.</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Paul Wogan</w:t>
      </w:r>
    </w:p>
    <w:p>
      <w:pPr>
        <w:spacing w:after="0" w:line="3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Paul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-130175</wp:posOffset>
            </wp:positionV>
            <wp:extent cx="27527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5840"/>
        <w:spacing w:after="0"/>
        <w:tabs>
          <w:tab w:leader="none" w:pos="6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foregoing Agreement 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hereby confirmed and accepted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first above written.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Stifel, Nicolaus &amp; Company, Incorporated</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By: /s/ Adam Vore</w:t>
      </w:r>
    </w:p>
    <w:p>
      <w:pPr>
        <w:spacing w:after="0" w:line="3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Name: Adam Vore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-130175</wp:posOffset>
            </wp:positionV>
            <wp:extent cx="24612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DNB Markets Inc.</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By: /s/ Jae Kwon</w:t>
      </w:r>
    </w:p>
    <w:p>
      <w:pPr>
        <w:spacing w:after="0" w:line="3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Name: Jae Kwon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-130175</wp:posOffset>
            </wp:positionV>
            <wp:extent cx="24612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By: /s/ Dan Hochstadt</w:t>
      </w:r>
    </w:p>
    <w:p>
      <w:pPr>
        <w:spacing w:after="0" w:line="3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Name: Dan Hochstadt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-130175</wp:posOffset>
            </wp:positionV>
            <wp:extent cx="24612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the other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several Underwriters, if 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named in Schedule I to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foregoing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3"/>
          </w:tcPr>
          <w:p>
            <w:pPr>
              <w:jc w:val="center"/>
              <w:ind w:right="320"/>
              <w:spacing w:after="0"/>
              <w:rPr>
                <w:sz w:val="20"/>
                <w:szCs w:val="20"/>
                <w:color w:val="auto"/>
              </w:rPr>
            </w:pPr>
            <w:r>
              <w:rPr>
                <w:rFonts w:ascii="Arial" w:cs="Arial" w:eastAsia="Arial" w:hAnsi="Arial"/>
                <w:sz w:val="18"/>
                <w:szCs w:val="18"/>
                <w:color w:val="auto"/>
                <w:w w:val="92"/>
              </w:rPr>
              <w:t>Total Principal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3"/>
          </w:tcPr>
          <w:p>
            <w:pPr>
              <w:jc w:val="center"/>
              <w:ind w:right="320"/>
              <w:spacing w:after="0"/>
              <w:rPr>
                <w:sz w:val="20"/>
                <w:szCs w:val="20"/>
                <w:color w:val="auto"/>
              </w:rPr>
            </w:pPr>
            <w:r>
              <w:rPr>
                <w:rFonts w:ascii="Arial" w:cs="Arial" w:eastAsia="Arial" w:hAnsi="Arial"/>
                <w:sz w:val="18"/>
                <w:szCs w:val="18"/>
                <w:color w:val="auto"/>
                <w:w w:val="95"/>
              </w:rPr>
              <w:t>Amount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3"/>
          </w:tcPr>
          <w:p>
            <w:pPr>
              <w:jc w:val="center"/>
              <w:ind w:right="320"/>
              <w:spacing w:after="0"/>
              <w:rPr>
                <w:sz w:val="20"/>
                <w:szCs w:val="20"/>
                <w:color w:val="auto"/>
              </w:rPr>
            </w:pPr>
            <w:r>
              <w:rPr>
                <w:rFonts w:ascii="Arial" w:cs="Arial" w:eastAsia="Arial" w:hAnsi="Arial"/>
                <w:sz w:val="18"/>
                <w:szCs w:val="18"/>
                <w:color w:val="auto"/>
                <w:w w:val="88"/>
              </w:rPr>
              <w:t>Securities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80" w:type="dxa"/>
            <w:vAlign w:val="bottom"/>
            <w:gridSpan w:val="2"/>
          </w:tcPr>
          <w:p>
            <w:pPr>
              <w:ind w:left="4120"/>
              <w:spacing w:after="0"/>
              <w:rPr>
                <w:sz w:val="20"/>
                <w:szCs w:val="20"/>
                <w:color w:val="auto"/>
              </w:rPr>
            </w:pPr>
            <w:r>
              <w:rPr>
                <w:rFonts w:ascii="Arial" w:cs="Arial" w:eastAsia="Arial" w:hAnsi="Arial"/>
                <w:sz w:val="18"/>
                <w:szCs w:val="18"/>
                <w:color w:val="auto"/>
              </w:rPr>
              <w:t>Underwriter</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3"/>
          </w:tcPr>
          <w:p>
            <w:pPr>
              <w:jc w:val="center"/>
              <w:ind w:right="320"/>
              <w:spacing w:after="0"/>
              <w:rPr>
                <w:sz w:val="20"/>
                <w:szCs w:val="20"/>
                <w:color w:val="auto"/>
              </w:rPr>
            </w:pPr>
            <w:r>
              <w:rPr>
                <w:rFonts w:ascii="Arial" w:cs="Arial" w:eastAsia="Arial" w:hAnsi="Arial"/>
                <w:sz w:val="18"/>
                <w:szCs w:val="18"/>
                <w:color w:val="auto"/>
                <w:w w:val="86"/>
              </w:rPr>
              <w:t>to be Purchased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1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Stifel, Nicolaus &amp; Company, Incorporated</w:t>
            </w:r>
          </w:p>
        </w:tc>
        <w:tc>
          <w:tcPr>
            <w:tcW w:w="220" w:type="dxa"/>
            <w:vAlign w:val="bottom"/>
            <w:gridSpan w:val="2"/>
            <w:shd w:val="clear" w:color="auto" w:fill="E5FFFF"/>
          </w:tcPr>
          <w:p>
            <w:pPr>
              <w:jc w:val="right"/>
              <w:ind w:right="45"/>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112,500,000</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rPr>
              <w:t>DNB Markets Inc.</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112,500,000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Arctic Securities LLC</w:t>
            </w:r>
          </w:p>
        </w:tc>
        <w:tc>
          <w:tcPr>
            <w:tcW w:w="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62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8,333,334</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rPr>
              <w:t>DVB Capital Markets LLC</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8,333,333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8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Pareto Securities Inc.</w:t>
            </w:r>
          </w:p>
        </w:tc>
        <w:tc>
          <w:tcPr>
            <w:tcW w:w="2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162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8,333,333</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8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250,000,000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9140" w:type="dxa"/>
            <w:vAlign w:val="bottom"/>
            <w:tcBorders>
              <w:bottom w:val="single" w:sz="8" w:color="C0C0C0"/>
            </w:tcBorders>
          </w:tcPr>
          <w:p>
            <w:pPr>
              <w:spacing w:after="0"/>
              <w:rPr>
                <w:sz w:val="22"/>
                <w:szCs w:val="22"/>
                <w:color w:val="auto"/>
              </w:rPr>
            </w:pPr>
          </w:p>
        </w:tc>
        <w:tc>
          <w:tcPr>
            <w:tcW w:w="340" w:type="dxa"/>
            <w:vAlign w:val="bottom"/>
            <w:tcBorders>
              <w:bottom w:val="single" w:sz="8" w:color="C0C0C0"/>
            </w:tcBorders>
          </w:tcPr>
          <w:p>
            <w:pPr>
              <w:spacing w:after="0"/>
              <w:rPr>
                <w:sz w:val="22"/>
                <w:szCs w:val="22"/>
                <w:color w:val="auto"/>
              </w:rPr>
            </w:pPr>
          </w:p>
        </w:tc>
        <w:tc>
          <w:tcPr>
            <w:tcW w:w="20" w:type="dxa"/>
            <w:vAlign w:val="bottom"/>
            <w:tcBorders>
              <w:bottom w:val="single" w:sz="8" w:color="C0C0C0"/>
            </w:tcBorders>
          </w:tcPr>
          <w:p>
            <w:pPr>
              <w:spacing w:after="0"/>
              <w:rPr>
                <w:sz w:val="22"/>
                <w:szCs w:val="22"/>
                <w:color w:val="auto"/>
              </w:rPr>
            </w:pPr>
          </w:p>
        </w:tc>
        <w:tc>
          <w:tcPr>
            <w:tcW w:w="200" w:type="dxa"/>
            <w:vAlign w:val="bottom"/>
            <w:tcBorders>
              <w:bottom w:val="single" w:sz="8" w:color="C0C0C0"/>
            </w:tcBorders>
          </w:tcPr>
          <w:p>
            <w:pPr>
              <w:spacing w:after="0"/>
              <w:rPr>
                <w:sz w:val="22"/>
                <w:szCs w:val="22"/>
                <w:color w:val="auto"/>
              </w:rPr>
            </w:pPr>
          </w:p>
        </w:tc>
        <w:tc>
          <w:tcPr>
            <w:tcW w:w="1600" w:type="dxa"/>
            <w:vAlign w:val="bottom"/>
            <w:tcBorders>
              <w:bottom w:val="single" w:sz="8" w:color="C0C0C0"/>
            </w:tcBorders>
          </w:tcPr>
          <w:p>
            <w:pPr>
              <w:spacing w:after="0"/>
              <w:rPr>
                <w:sz w:val="22"/>
                <w:szCs w:val="22"/>
                <w:color w:val="auto"/>
              </w:rPr>
            </w:pPr>
          </w:p>
        </w:tc>
        <w:tc>
          <w:tcPr>
            <w:tcW w:w="20" w:type="dxa"/>
            <w:vAlign w:val="bottom"/>
            <w:tcBorders>
              <w:bottom w:val="single" w:sz="8" w:color="C0C0C0"/>
            </w:tcBorders>
          </w:tcPr>
          <w:p>
            <w:pPr>
              <w:spacing w:after="0"/>
              <w:rPr>
                <w:sz w:val="22"/>
                <w:szCs w:val="22"/>
                <w:color w:val="auto"/>
              </w:rPr>
            </w:pPr>
          </w:p>
        </w:tc>
        <w:tc>
          <w:tcPr>
            <w:tcW w:w="80" w:type="dxa"/>
            <w:vAlign w:val="bottom"/>
            <w:tcBorders>
              <w:bottom w:val="single" w:sz="8" w:color="C0C0C0"/>
            </w:tcBorders>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9" w:right="239" w:bottom="1440" w:gutter="0" w:footer="0" w:header="0"/>
        </w:sectPr>
      </w:pPr>
    </w:p>
    <w:bookmarkStart w:id="33" w:name="page34"/>
    <w:bookmarkEnd w:id="33"/>
    <w:p>
      <w:pPr>
        <w:ind w:left="5060"/>
        <w:spacing w:after="0"/>
        <w:rPr>
          <w:sz w:val="20"/>
          <w:szCs w:val="20"/>
          <w:color w:val="auto"/>
        </w:rPr>
      </w:pPr>
      <w:r>
        <w:rPr>
          <w:rFonts w:ascii="Arial" w:cs="Arial" w:eastAsia="Arial" w:hAnsi="Arial"/>
          <w:sz w:val="22"/>
          <w:szCs w:val="22"/>
          <w:color w:val="auto"/>
        </w:rPr>
        <w:t>SCHEDULE II</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PURCHASE PRICE</w:t>
      </w:r>
      <w:r>
        <w:rPr>
          <w:rFonts w:ascii="Arial" w:cs="Arial" w:eastAsia="Arial" w:hAnsi="Arial"/>
          <w:sz w:val="30"/>
          <w:szCs w:val="30"/>
          <w:color w:val="auto"/>
          <w:vertAlign w:val="superscript"/>
        </w:rPr>
        <w:t>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98.25% on Securities placed institutionally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97.20% on Securities placed via retail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4490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4" w:lineRule="exact"/>
        <w:rPr>
          <w:sz w:val="20"/>
          <w:szCs w:val="20"/>
          <w:color w:val="auto"/>
        </w:rPr>
      </w:pPr>
    </w:p>
    <w:p>
      <w:pPr>
        <w:ind w:left="460" w:hanging="128"/>
        <w:spacing w:after="0"/>
        <w:tabs>
          <w:tab w:leader="none" w:pos="460" w:val="left"/>
        </w:tabs>
        <w:numPr>
          <w:ilvl w:val="0"/>
          <w:numId w:val="42"/>
        </w:numPr>
        <w:rPr>
          <w:rFonts w:ascii="Arial" w:cs="Arial" w:eastAsia="Arial" w:hAnsi="Arial"/>
          <w:sz w:val="26"/>
          <w:szCs w:val="26"/>
          <w:color w:val="auto"/>
          <w:vertAlign w:val="superscript"/>
        </w:rPr>
      </w:pPr>
      <w:r>
        <w:rPr>
          <w:rFonts w:ascii="Arial" w:cs="Arial" w:eastAsia="Arial" w:hAnsi="Arial"/>
          <w:sz w:val="16"/>
          <w:szCs w:val="16"/>
          <w:color w:val="auto"/>
        </w:rPr>
        <w:t>The Underwriters shall purchase the Directed Securities at the public offering price of the Securities of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402" w:right="1440" w:bottom="1440" w:gutter="0" w:footer="0" w:header="0"/>
        </w:sectPr>
      </w:pPr>
    </w:p>
    <w:bookmarkStart w:id="34" w:name="page35"/>
    <w:bookmarkEnd w:id="34"/>
    <w:p>
      <w:pPr>
        <w:jc w:val="right"/>
        <w:ind w:right="3799"/>
        <w:spacing w:after="0"/>
        <w:rPr>
          <w:sz w:val="20"/>
          <w:szCs w:val="20"/>
          <w:color w:val="auto"/>
        </w:rPr>
      </w:pPr>
      <w:r>
        <w:rPr>
          <w:rFonts w:ascii="Arial" w:cs="Arial" w:eastAsia="Arial" w:hAnsi="Arial"/>
          <w:sz w:val="22"/>
          <w:szCs w:val="22"/>
          <w:color w:val="auto"/>
        </w:rPr>
        <w:t>SCHEDULE III</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ISSUER FREE WRITING PROSPECTUSES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149860</wp:posOffset>
            </wp:positionV>
            <wp:extent cx="6341745" cy="3816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41745" cy="38163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4F81BD"/>
        </w:rPr>
        <w:t>Final Term Sheet, in the form attached as 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72466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402" w:right="1440" w:bottom="1440" w:gutter="0" w:footer="0" w:header="0"/>
        </w:sectPr>
      </w:pPr>
    </w:p>
    <w:bookmarkStart w:id="35" w:name="page36"/>
    <w:bookmarkEnd w:id="35"/>
    <w:p>
      <w:pPr>
        <w:jc w:val="center"/>
        <w:spacing w:after="0"/>
        <w:rPr>
          <w:sz w:val="20"/>
          <w:szCs w:val="20"/>
          <w:color w:val="auto"/>
        </w:rPr>
      </w:pPr>
      <w:r>
        <w:rPr>
          <w:rFonts w:ascii="Arial" w:cs="Arial" w:eastAsia="Arial" w:hAnsi="Arial"/>
          <w:sz w:val="22"/>
          <w:szCs w:val="22"/>
          <w:color w:val="auto"/>
        </w:rPr>
        <w:t>SCHEDULE IV(a)</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334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3780" w:type="dxa"/>
            <w:vAlign w:val="bottom"/>
            <w:tcBorders>
              <w:top w:val="single" w:sz="8" w:color="auto"/>
              <w:bottom w:val="single" w:sz="8" w:color="auto"/>
            </w:tcBorders>
            <w:gridSpan w:val="3"/>
          </w:tcPr>
          <w:p>
            <w:pPr>
              <w:ind w:left="1080"/>
              <w:spacing w:after="0"/>
              <w:rPr>
                <w:sz w:val="20"/>
                <w:szCs w:val="20"/>
                <w:color w:val="auto"/>
              </w:rPr>
            </w:pPr>
            <w:r>
              <w:rPr>
                <w:rFonts w:ascii="Arial" w:cs="Arial" w:eastAsia="Arial" w:hAnsi="Arial"/>
                <w:sz w:val="18"/>
                <w:szCs w:val="18"/>
                <w:b w:val="1"/>
                <w:bCs w:val="1"/>
                <w:color w:val="auto"/>
              </w:rPr>
              <w:t>Owned Vessels</w:t>
            </w:r>
          </w:p>
        </w:tc>
        <w:tc>
          <w:tcPr>
            <w:tcW w:w="1920" w:type="dxa"/>
            <w:vAlign w:val="bottom"/>
            <w:tcBorders>
              <w:top w:val="single" w:sz="8" w:color="auto"/>
              <w:bottom w:val="single" w:sz="8" w:color="auto"/>
              <w:right w:val="single" w:sz="8" w:color="auto"/>
            </w:tcBorders>
          </w:tcPr>
          <w:p>
            <w:pPr>
              <w:spacing w:after="0"/>
              <w:rPr>
                <w:sz w:val="21"/>
                <w:szCs w:val="21"/>
                <w:color w:val="auto"/>
              </w:rPr>
            </w:pPr>
          </w:p>
        </w:tc>
      </w:tr>
      <w:tr>
        <w:trPr>
          <w:trHeight w:val="214"/>
        </w:trPr>
        <w:tc>
          <w:tcPr>
            <w:tcW w:w="33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Vessel</w:t>
            </w:r>
          </w:p>
        </w:tc>
        <w:tc>
          <w:tcPr>
            <w:tcW w:w="14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Flag</w:t>
            </w:r>
          </w:p>
        </w:tc>
        <w:tc>
          <w:tcPr>
            <w:tcW w:w="44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Owning Entity</w:t>
            </w:r>
          </w:p>
        </w:tc>
        <w:tc>
          <w:tcPr>
            <w:tcW w:w="170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Jurisdiction</w:t>
            </w:r>
          </w:p>
        </w:tc>
        <w:tc>
          <w:tcPr>
            <w:tcW w:w="1920" w:type="dxa"/>
            <w:vAlign w:val="bottom"/>
            <w:tcBorders>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IMO Number</w:t>
            </w:r>
          </w:p>
        </w:tc>
      </w:tr>
      <w:tr>
        <w:trPr>
          <w:trHeight w:val="210"/>
        </w:trPr>
        <w:tc>
          <w:tcPr>
            <w:tcW w:w="33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GasLog Savannah</w:t>
            </w:r>
          </w:p>
        </w:tc>
        <w:tc>
          <w:tcPr>
            <w:tcW w:w="14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Bermuda</w:t>
            </w:r>
          </w:p>
        </w:tc>
        <w:tc>
          <w:tcPr>
            <w:tcW w:w="44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GAS-one Ltd.</w:t>
            </w:r>
          </w:p>
        </w:tc>
        <w:tc>
          <w:tcPr>
            <w:tcW w:w="170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Bermuda</w:t>
            </w:r>
          </w:p>
        </w:tc>
        <w:tc>
          <w:tcPr>
            <w:tcW w:w="192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9352860</w:t>
            </w:r>
          </w:p>
        </w:tc>
      </w:tr>
      <w:tr>
        <w:trPr>
          <w:trHeight w:val="210"/>
        </w:trPr>
        <w:tc>
          <w:tcPr>
            <w:tcW w:w="33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GasLog Singapore</w:t>
            </w:r>
          </w:p>
        </w:tc>
        <w:tc>
          <w:tcPr>
            <w:tcW w:w="14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Bermuda</w:t>
            </w:r>
          </w:p>
        </w:tc>
        <w:tc>
          <w:tcPr>
            <w:tcW w:w="44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GAS-two Ltd.</w:t>
            </w:r>
          </w:p>
        </w:tc>
        <w:tc>
          <w:tcPr>
            <w:tcW w:w="170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Bermuda</w:t>
            </w:r>
          </w:p>
        </w:tc>
        <w:tc>
          <w:tcPr>
            <w:tcW w:w="192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9355604</w:t>
            </w:r>
          </w:p>
        </w:tc>
      </w:tr>
      <w:tr>
        <w:trPr>
          <w:trHeight w:val="210"/>
        </w:trPr>
        <w:tc>
          <w:tcPr>
            <w:tcW w:w="33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GasLog Skagen</w:t>
            </w:r>
          </w:p>
        </w:tc>
        <w:tc>
          <w:tcPr>
            <w:tcW w:w="14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Bermuda</w:t>
            </w:r>
          </w:p>
        </w:tc>
        <w:tc>
          <w:tcPr>
            <w:tcW w:w="44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GAS-six Ltd.</w:t>
            </w:r>
          </w:p>
        </w:tc>
        <w:tc>
          <w:tcPr>
            <w:tcW w:w="170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Bermuda</w:t>
            </w:r>
          </w:p>
        </w:tc>
        <w:tc>
          <w:tcPr>
            <w:tcW w:w="192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9626285</w:t>
            </w:r>
          </w:p>
        </w:tc>
      </w:tr>
      <w:tr>
        <w:trPr>
          <w:trHeight w:val="210"/>
        </w:trPr>
        <w:tc>
          <w:tcPr>
            <w:tcW w:w="33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Solaris</w:t>
            </w:r>
          </w:p>
        </w:tc>
        <w:tc>
          <w:tcPr>
            <w:tcW w:w="14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Bermuda</w:t>
            </w:r>
          </w:p>
        </w:tc>
        <w:tc>
          <w:tcPr>
            <w:tcW w:w="44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GAS-eight Ltd.</w:t>
            </w:r>
          </w:p>
        </w:tc>
        <w:tc>
          <w:tcPr>
            <w:tcW w:w="170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Bermuda</w:t>
            </w:r>
          </w:p>
        </w:tc>
        <w:tc>
          <w:tcPr>
            <w:tcW w:w="192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9634098</w:t>
            </w:r>
          </w:p>
        </w:tc>
      </w:tr>
      <w:tr>
        <w:trPr>
          <w:trHeight w:val="210"/>
        </w:trPr>
        <w:tc>
          <w:tcPr>
            <w:tcW w:w="33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GasLog Saratoga</w:t>
            </w:r>
          </w:p>
        </w:tc>
        <w:tc>
          <w:tcPr>
            <w:tcW w:w="14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Bermuda</w:t>
            </w:r>
          </w:p>
        </w:tc>
        <w:tc>
          <w:tcPr>
            <w:tcW w:w="44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GAS-nine Ltd.</w:t>
            </w:r>
          </w:p>
        </w:tc>
        <w:tc>
          <w:tcPr>
            <w:tcW w:w="170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Bermuda</w:t>
            </w:r>
          </w:p>
        </w:tc>
        <w:tc>
          <w:tcPr>
            <w:tcW w:w="192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9638903</w:t>
            </w:r>
          </w:p>
        </w:tc>
      </w:tr>
      <w:tr>
        <w:trPr>
          <w:trHeight w:val="210"/>
        </w:trPr>
        <w:tc>
          <w:tcPr>
            <w:tcW w:w="33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GasLog Salem</w:t>
            </w:r>
          </w:p>
        </w:tc>
        <w:tc>
          <w:tcPr>
            <w:tcW w:w="14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Bermuda</w:t>
            </w:r>
          </w:p>
        </w:tc>
        <w:tc>
          <w:tcPr>
            <w:tcW w:w="44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GAS-ten Ltd.</w:t>
            </w:r>
          </w:p>
        </w:tc>
        <w:tc>
          <w:tcPr>
            <w:tcW w:w="170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Bermuda</w:t>
            </w:r>
          </w:p>
        </w:tc>
        <w:tc>
          <w:tcPr>
            <w:tcW w:w="192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444444"/>
              </w:rPr>
              <w:t>9638915</w:t>
            </w:r>
          </w:p>
        </w:tc>
      </w:tr>
      <w:tr>
        <w:trPr>
          <w:trHeight w:val="210"/>
        </w:trPr>
        <w:tc>
          <w:tcPr>
            <w:tcW w:w="33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GasLog Greece</w:t>
            </w:r>
          </w:p>
        </w:tc>
        <w:tc>
          <w:tcPr>
            <w:tcW w:w="14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Bermuda</w:t>
            </w:r>
          </w:p>
        </w:tc>
        <w:tc>
          <w:tcPr>
            <w:tcW w:w="44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GAS-eleven Ltd.</w:t>
            </w:r>
          </w:p>
        </w:tc>
        <w:tc>
          <w:tcPr>
            <w:tcW w:w="170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Bermuda</w:t>
            </w:r>
          </w:p>
        </w:tc>
        <w:tc>
          <w:tcPr>
            <w:tcW w:w="192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9687019</w:t>
            </w:r>
          </w:p>
        </w:tc>
      </w:tr>
      <w:tr>
        <w:trPr>
          <w:trHeight w:val="210"/>
        </w:trPr>
        <w:tc>
          <w:tcPr>
            <w:tcW w:w="33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GasLog Glasgow</w:t>
            </w:r>
          </w:p>
        </w:tc>
        <w:tc>
          <w:tcPr>
            <w:tcW w:w="14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Bermuda</w:t>
            </w:r>
          </w:p>
        </w:tc>
        <w:tc>
          <w:tcPr>
            <w:tcW w:w="44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GAS-twelve Ltd.</w:t>
            </w:r>
          </w:p>
        </w:tc>
        <w:tc>
          <w:tcPr>
            <w:tcW w:w="170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Bermuda</w:t>
            </w:r>
          </w:p>
        </w:tc>
        <w:tc>
          <w:tcPr>
            <w:tcW w:w="192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9687021</w:t>
            </w:r>
          </w:p>
        </w:tc>
      </w:tr>
      <w:tr>
        <w:trPr>
          <w:trHeight w:val="210"/>
        </w:trPr>
        <w:tc>
          <w:tcPr>
            <w:tcW w:w="33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GasLog Geneva</w:t>
            </w:r>
          </w:p>
        </w:tc>
        <w:tc>
          <w:tcPr>
            <w:tcW w:w="14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Bermuda</w:t>
            </w:r>
          </w:p>
        </w:tc>
        <w:tc>
          <w:tcPr>
            <w:tcW w:w="44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GAS-thirteen Ltd.</w:t>
            </w:r>
          </w:p>
        </w:tc>
        <w:tc>
          <w:tcPr>
            <w:tcW w:w="170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Bermuda</w:t>
            </w:r>
          </w:p>
        </w:tc>
        <w:tc>
          <w:tcPr>
            <w:tcW w:w="192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9707508</w:t>
            </w:r>
          </w:p>
        </w:tc>
      </w:tr>
      <w:tr>
        <w:trPr>
          <w:trHeight w:val="210"/>
        </w:trPr>
        <w:tc>
          <w:tcPr>
            <w:tcW w:w="33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GasLog Gibraltar</w:t>
            </w:r>
          </w:p>
        </w:tc>
        <w:tc>
          <w:tcPr>
            <w:tcW w:w="14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Bermuda</w:t>
            </w:r>
          </w:p>
        </w:tc>
        <w:tc>
          <w:tcPr>
            <w:tcW w:w="44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GAS-fourteen Ltd.</w:t>
            </w:r>
          </w:p>
        </w:tc>
        <w:tc>
          <w:tcPr>
            <w:tcW w:w="170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Bermuda</w:t>
            </w:r>
          </w:p>
        </w:tc>
        <w:tc>
          <w:tcPr>
            <w:tcW w:w="192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9707510</w:t>
            </w:r>
          </w:p>
        </w:tc>
      </w:tr>
      <w:tr>
        <w:trPr>
          <w:trHeight w:val="210"/>
        </w:trPr>
        <w:tc>
          <w:tcPr>
            <w:tcW w:w="33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GasLog Chelsea</w:t>
            </w:r>
          </w:p>
        </w:tc>
        <w:tc>
          <w:tcPr>
            <w:tcW w:w="14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Bermuda</w:t>
            </w:r>
          </w:p>
        </w:tc>
        <w:tc>
          <w:tcPr>
            <w:tcW w:w="44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GAS-fifteen Ltd.</w:t>
            </w:r>
          </w:p>
        </w:tc>
        <w:tc>
          <w:tcPr>
            <w:tcW w:w="170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Bermuda</w:t>
            </w:r>
          </w:p>
        </w:tc>
        <w:tc>
          <w:tcPr>
            <w:tcW w:w="192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9390185</w:t>
            </w:r>
          </w:p>
        </w:tc>
      </w:tr>
      <w:tr>
        <w:trPr>
          <w:trHeight w:val="210"/>
        </w:trPr>
        <w:tc>
          <w:tcPr>
            <w:tcW w:w="33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Methane Lydon Volney</w:t>
            </w:r>
          </w:p>
        </w:tc>
        <w:tc>
          <w:tcPr>
            <w:tcW w:w="14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Bermuda</w:t>
            </w:r>
          </w:p>
        </w:tc>
        <w:tc>
          <w:tcPr>
            <w:tcW w:w="44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GAS-eighteen Ltd.</w:t>
            </w:r>
          </w:p>
        </w:tc>
        <w:tc>
          <w:tcPr>
            <w:tcW w:w="170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Bermuda</w:t>
            </w:r>
          </w:p>
        </w:tc>
        <w:tc>
          <w:tcPr>
            <w:tcW w:w="192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9307205</w:t>
            </w:r>
          </w:p>
        </w:tc>
      </w:tr>
      <w:tr>
        <w:trPr>
          <w:trHeight w:val="210"/>
        </w:trPr>
        <w:tc>
          <w:tcPr>
            <w:tcW w:w="33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Methane Becki Anne</w:t>
            </w:r>
          </w:p>
        </w:tc>
        <w:tc>
          <w:tcPr>
            <w:tcW w:w="14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Bermuda</w:t>
            </w:r>
          </w:p>
        </w:tc>
        <w:tc>
          <w:tcPr>
            <w:tcW w:w="44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GAS-twenty seven Ltd.</w:t>
            </w:r>
          </w:p>
        </w:tc>
        <w:tc>
          <w:tcPr>
            <w:tcW w:w="170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Bermuda</w:t>
            </w:r>
          </w:p>
        </w:tc>
        <w:tc>
          <w:tcPr>
            <w:tcW w:w="192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9516129</w:t>
            </w:r>
          </w:p>
        </w:tc>
      </w:tr>
      <w:tr>
        <w:trPr>
          <w:trHeight w:val="210"/>
        </w:trPr>
        <w:tc>
          <w:tcPr>
            <w:tcW w:w="33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GasLog Shanghai</w:t>
            </w:r>
          </w:p>
        </w:tc>
        <w:tc>
          <w:tcPr>
            <w:tcW w:w="14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Bermuda</w:t>
            </w:r>
          </w:p>
        </w:tc>
        <w:tc>
          <w:tcPr>
            <w:tcW w:w="44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GAS-three Ltd.</w:t>
            </w:r>
          </w:p>
        </w:tc>
        <w:tc>
          <w:tcPr>
            <w:tcW w:w="170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Bermuda</w:t>
            </w:r>
          </w:p>
        </w:tc>
        <w:tc>
          <w:tcPr>
            <w:tcW w:w="192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9600528</w:t>
            </w:r>
          </w:p>
        </w:tc>
      </w:tr>
      <w:tr>
        <w:trPr>
          <w:trHeight w:val="210"/>
        </w:trPr>
        <w:tc>
          <w:tcPr>
            <w:tcW w:w="33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GasLog Santiago</w:t>
            </w:r>
          </w:p>
        </w:tc>
        <w:tc>
          <w:tcPr>
            <w:tcW w:w="14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Bermuda</w:t>
            </w:r>
          </w:p>
        </w:tc>
        <w:tc>
          <w:tcPr>
            <w:tcW w:w="44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GAS-four Ltd.</w:t>
            </w:r>
          </w:p>
        </w:tc>
        <w:tc>
          <w:tcPr>
            <w:tcW w:w="170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Bermuda</w:t>
            </w:r>
          </w:p>
        </w:tc>
        <w:tc>
          <w:tcPr>
            <w:tcW w:w="192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9600530</w:t>
            </w:r>
          </w:p>
        </w:tc>
      </w:tr>
      <w:tr>
        <w:trPr>
          <w:trHeight w:val="210"/>
        </w:trPr>
        <w:tc>
          <w:tcPr>
            <w:tcW w:w="33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GasLog Sydney</w:t>
            </w:r>
          </w:p>
        </w:tc>
        <w:tc>
          <w:tcPr>
            <w:tcW w:w="14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Bermuda</w:t>
            </w:r>
          </w:p>
        </w:tc>
        <w:tc>
          <w:tcPr>
            <w:tcW w:w="44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GAS-five Ltd.</w:t>
            </w:r>
          </w:p>
        </w:tc>
        <w:tc>
          <w:tcPr>
            <w:tcW w:w="170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Bermuda</w:t>
            </w:r>
          </w:p>
        </w:tc>
        <w:tc>
          <w:tcPr>
            <w:tcW w:w="192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9626273</w:t>
            </w:r>
          </w:p>
        </w:tc>
      </w:tr>
      <w:tr>
        <w:trPr>
          <w:trHeight w:val="210"/>
        </w:trPr>
        <w:tc>
          <w:tcPr>
            <w:tcW w:w="33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GasLog Seattle</w:t>
            </w:r>
          </w:p>
        </w:tc>
        <w:tc>
          <w:tcPr>
            <w:tcW w:w="14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Bermuda</w:t>
            </w:r>
          </w:p>
        </w:tc>
        <w:tc>
          <w:tcPr>
            <w:tcW w:w="44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GAS-seven Ltd.</w:t>
            </w:r>
          </w:p>
        </w:tc>
        <w:tc>
          <w:tcPr>
            <w:tcW w:w="170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Bermuda</w:t>
            </w:r>
          </w:p>
        </w:tc>
        <w:tc>
          <w:tcPr>
            <w:tcW w:w="192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9634086</w:t>
            </w:r>
          </w:p>
        </w:tc>
      </w:tr>
      <w:tr>
        <w:trPr>
          <w:trHeight w:val="210"/>
        </w:trPr>
        <w:tc>
          <w:tcPr>
            <w:tcW w:w="33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Methane Rita Andrea</w:t>
            </w:r>
          </w:p>
        </w:tc>
        <w:tc>
          <w:tcPr>
            <w:tcW w:w="14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Bermuda</w:t>
            </w:r>
          </w:p>
        </w:tc>
        <w:tc>
          <w:tcPr>
            <w:tcW w:w="44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GAS-sixteen Ltd.</w:t>
            </w:r>
          </w:p>
        </w:tc>
        <w:tc>
          <w:tcPr>
            <w:tcW w:w="170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Bermuda</w:t>
            </w:r>
          </w:p>
        </w:tc>
        <w:tc>
          <w:tcPr>
            <w:tcW w:w="192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9307188</w:t>
            </w:r>
          </w:p>
        </w:tc>
      </w:tr>
      <w:tr>
        <w:trPr>
          <w:trHeight w:val="210"/>
        </w:trPr>
        <w:tc>
          <w:tcPr>
            <w:tcW w:w="33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Methane Jane Elizabeth</w:t>
            </w:r>
          </w:p>
        </w:tc>
        <w:tc>
          <w:tcPr>
            <w:tcW w:w="14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Bermuda</w:t>
            </w:r>
          </w:p>
        </w:tc>
        <w:tc>
          <w:tcPr>
            <w:tcW w:w="44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GAS-seventeen Ltd.</w:t>
            </w:r>
          </w:p>
        </w:tc>
        <w:tc>
          <w:tcPr>
            <w:tcW w:w="170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Bermuda</w:t>
            </w:r>
          </w:p>
        </w:tc>
        <w:tc>
          <w:tcPr>
            <w:tcW w:w="192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9307190</w:t>
            </w:r>
          </w:p>
        </w:tc>
      </w:tr>
      <w:tr>
        <w:trPr>
          <w:trHeight w:val="210"/>
        </w:trPr>
        <w:tc>
          <w:tcPr>
            <w:tcW w:w="33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Methane Alison Victoria</w:t>
            </w:r>
          </w:p>
        </w:tc>
        <w:tc>
          <w:tcPr>
            <w:tcW w:w="14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Bermuda</w:t>
            </w:r>
          </w:p>
        </w:tc>
        <w:tc>
          <w:tcPr>
            <w:tcW w:w="44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GAS-nineteen Ltd.</w:t>
            </w:r>
          </w:p>
        </w:tc>
        <w:tc>
          <w:tcPr>
            <w:tcW w:w="170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Bermuda</w:t>
            </w:r>
          </w:p>
        </w:tc>
        <w:tc>
          <w:tcPr>
            <w:tcW w:w="192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9321768</w:t>
            </w:r>
          </w:p>
        </w:tc>
      </w:tr>
      <w:tr>
        <w:trPr>
          <w:trHeight w:val="210"/>
        </w:trPr>
        <w:tc>
          <w:tcPr>
            <w:tcW w:w="33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Methane Shirley Elizabeth</w:t>
            </w:r>
          </w:p>
        </w:tc>
        <w:tc>
          <w:tcPr>
            <w:tcW w:w="14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Bermuda</w:t>
            </w:r>
          </w:p>
        </w:tc>
        <w:tc>
          <w:tcPr>
            <w:tcW w:w="44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GAS-twenty Ltd.</w:t>
            </w:r>
          </w:p>
        </w:tc>
        <w:tc>
          <w:tcPr>
            <w:tcW w:w="170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Bermuda</w:t>
            </w:r>
          </w:p>
        </w:tc>
        <w:tc>
          <w:tcPr>
            <w:tcW w:w="192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9321756</w:t>
            </w:r>
          </w:p>
        </w:tc>
      </w:tr>
      <w:tr>
        <w:trPr>
          <w:trHeight w:val="210"/>
        </w:trPr>
        <w:tc>
          <w:tcPr>
            <w:tcW w:w="33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Methane Heather Sally</w:t>
            </w:r>
          </w:p>
        </w:tc>
        <w:tc>
          <w:tcPr>
            <w:tcW w:w="14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Bermuda</w:t>
            </w:r>
          </w:p>
        </w:tc>
        <w:tc>
          <w:tcPr>
            <w:tcW w:w="44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GAS-twenty one Ltd.</w:t>
            </w:r>
          </w:p>
        </w:tc>
        <w:tc>
          <w:tcPr>
            <w:tcW w:w="170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Bermuda</w:t>
            </w:r>
          </w:p>
        </w:tc>
        <w:tc>
          <w:tcPr>
            <w:tcW w:w="192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9321744</w:t>
            </w:r>
          </w:p>
        </w:tc>
      </w:tr>
      <w:tr>
        <w:trPr>
          <w:trHeight w:val="463"/>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60" w:type="dxa"/>
            <w:vAlign w:val="bottom"/>
            <w:gridSpan w:val="3"/>
          </w:tcPr>
          <w:p>
            <w:pPr>
              <w:jc w:val="center"/>
              <w:ind w:right="1030"/>
              <w:spacing w:after="0"/>
              <w:rPr>
                <w:sz w:val="20"/>
                <w:szCs w:val="20"/>
                <w:color w:val="auto"/>
              </w:rPr>
            </w:pPr>
            <w:r>
              <w:rPr>
                <w:rFonts w:ascii="Arial" w:cs="Arial" w:eastAsia="Arial" w:hAnsi="Arial"/>
                <w:sz w:val="22"/>
                <w:szCs w:val="22"/>
                <w:color w:val="auto"/>
                <w:w w:val="95"/>
              </w:rPr>
              <w:t>SCHEDULE IV(b)</w:t>
            </w: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06"/>
        </w:trPr>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3"/>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10"/>
        </w:trPr>
        <w:tc>
          <w:tcPr>
            <w:tcW w:w="33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3"/>
          </w:tcPr>
          <w:p>
            <w:pPr>
              <w:jc w:val="center"/>
              <w:ind w:right="1010"/>
              <w:spacing w:after="0"/>
              <w:rPr>
                <w:sz w:val="20"/>
                <w:szCs w:val="20"/>
                <w:color w:val="auto"/>
              </w:rPr>
            </w:pPr>
            <w:r>
              <w:rPr>
                <w:rFonts w:ascii="Arial" w:cs="Arial" w:eastAsia="Arial" w:hAnsi="Arial"/>
                <w:sz w:val="18"/>
                <w:szCs w:val="18"/>
                <w:b w:val="1"/>
                <w:bCs w:val="1"/>
                <w:color w:val="auto"/>
                <w:w w:val="86"/>
              </w:rPr>
              <w:t>Contracted Vessels</w:t>
            </w:r>
          </w:p>
        </w:tc>
        <w:tc>
          <w:tcPr>
            <w:tcW w:w="200" w:type="dxa"/>
            <w:vAlign w:val="bottom"/>
            <w:tcBorders>
              <w:bottom w:val="single" w:sz="8" w:color="auto"/>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32"/>
        </w:trPr>
        <w:tc>
          <w:tcPr>
            <w:tcW w:w="33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2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Newbuildings</w:t>
            </w:r>
          </w:p>
        </w:tc>
        <w:tc>
          <w:tcPr>
            <w:tcW w:w="440" w:type="dxa"/>
            <w:vAlign w:val="bottom"/>
            <w:tcBorders>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5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14"/>
        </w:trPr>
        <w:tc>
          <w:tcPr>
            <w:tcW w:w="33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Vessel</w:t>
            </w:r>
          </w:p>
        </w:tc>
        <w:tc>
          <w:tcPr>
            <w:tcW w:w="44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Owning Entity</w:t>
            </w:r>
          </w:p>
        </w:tc>
        <w:tc>
          <w:tcPr>
            <w:tcW w:w="200" w:type="dxa"/>
            <w:vAlign w:val="bottom"/>
            <w:tcBorders>
              <w:bottom w:val="single" w:sz="8" w:color="auto"/>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0"/>
        </w:trPr>
        <w:tc>
          <w:tcPr>
            <w:tcW w:w="33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SHI #2130</w:t>
            </w:r>
          </w:p>
        </w:tc>
        <w:tc>
          <w:tcPr>
            <w:tcW w:w="44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GAS-twenty two Ltd.</w:t>
            </w:r>
          </w:p>
        </w:tc>
        <w:tc>
          <w:tcPr>
            <w:tcW w:w="200" w:type="dxa"/>
            <w:vAlign w:val="bottom"/>
            <w:tcBorders>
              <w:bottom w:val="single" w:sz="8" w:color="auto"/>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0"/>
        </w:trPr>
        <w:tc>
          <w:tcPr>
            <w:tcW w:w="33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SHI #2131</w:t>
            </w:r>
          </w:p>
        </w:tc>
        <w:tc>
          <w:tcPr>
            <w:tcW w:w="44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GAS-twenty three Ltd.</w:t>
            </w:r>
          </w:p>
        </w:tc>
        <w:tc>
          <w:tcPr>
            <w:tcW w:w="200" w:type="dxa"/>
            <w:vAlign w:val="bottom"/>
            <w:tcBorders>
              <w:bottom w:val="single" w:sz="8" w:color="auto"/>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0"/>
        </w:trPr>
        <w:tc>
          <w:tcPr>
            <w:tcW w:w="33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SHI #2800</w:t>
            </w:r>
          </w:p>
        </w:tc>
        <w:tc>
          <w:tcPr>
            <w:tcW w:w="44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GAS-twenty four Ltd.</w:t>
            </w:r>
          </w:p>
        </w:tc>
        <w:tc>
          <w:tcPr>
            <w:tcW w:w="200" w:type="dxa"/>
            <w:vAlign w:val="bottom"/>
            <w:tcBorders>
              <w:bottom w:val="single" w:sz="8" w:color="auto"/>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0"/>
        </w:trPr>
        <w:tc>
          <w:tcPr>
            <w:tcW w:w="33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SHI #2801</w:t>
            </w:r>
          </w:p>
        </w:tc>
        <w:tc>
          <w:tcPr>
            <w:tcW w:w="44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GAS-twenty five Ltd.</w:t>
            </w:r>
          </w:p>
        </w:tc>
        <w:tc>
          <w:tcPr>
            <w:tcW w:w="200" w:type="dxa"/>
            <w:vAlign w:val="bottom"/>
            <w:tcBorders>
              <w:bottom w:val="single" w:sz="8" w:color="auto"/>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0"/>
        </w:trPr>
        <w:tc>
          <w:tcPr>
            <w:tcW w:w="33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SHI #2212</w:t>
            </w:r>
          </w:p>
        </w:tc>
        <w:tc>
          <w:tcPr>
            <w:tcW w:w="44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GAS-twenty eight Ltd.</w:t>
            </w:r>
          </w:p>
        </w:tc>
        <w:tc>
          <w:tcPr>
            <w:tcW w:w="200" w:type="dxa"/>
            <w:vAlign w:val="bottom"/>
            <w:tcBorders>
              <w:bottom w:val="single" w:sz="8" w:color="auto"/>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71"/>
        </w:trPr>
        <w:tc>
          <w:tcPr>
            <w:tcW w:w="3340" w:type="dxa"/>
            <w:vAlign w:val="bottom"/>
            <w:tcBorders>
              <w:bottom w:val="single" w:sz="8" w:color="C0C0C0"/>
            </w:tcBorders>
          </w:tcPr>
          <w:p>
            <w:pPr>
              <w:spacing w:after="0"/>
              <w:rPr>
                <w:sz w:val="23"/>
                <w:szCs w:val="23"/>
                <w:color w:val="auto"/>
              </w:rPr>
            </w:pPr>
          </w:p>
        </w:tc>
        <w:tc>
          <w:tcPr>
            <w:tcW w:w="120" w:type="dxa"/>
            <w:vAlign w:val="bottom"/>
            <w:tcBorders>
              <w:bottom w:val="single" w:sz="8" w:color="C0C0C0"/>
            </w:tcBorders>
          </w:tcPr>
          <w:p>
            <w:pPr>
              <w:spacing w:after="0"/>
              <w:rPr>
                <w:sz w:val="23"/>
                <w:szCs w:val="23"/>
                <w:color w:val="auto"/>
              </w:rPr>
            </w:pPr>
          </w:p>
        </w:tc>
        <w:tc>
          <w:tcPr>
            <w:tcW w:w="128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540" w:type="dxa"/>
            <w:vAlign w:val="bottom"/>
            <w:tcBorders>
              <w:bottom w:val="single" w:sz="8" w:color="C0C0C0"/>
            </w:tcBorders>
          </w:tcPr>
          <w:p>
            <w:pPr>
              <w:spacing w:after="0"/>
              <w:rPr>
                <w:sz w:val="23"/>
                <w:szCs w:val="23"/>
                <w:color w:val="auto"/>
              </w:rPr>
            </w:pPr>
          </w:p>
        </w:tc>
        <w:tc>
          <w:tcPr>
            <w:tcW w:w="2080" w:type="dxa"/>
            <w:vAlign w:val="bottom"/>
            <w:tcBorders>
              <w:bottom w:val="single" w:sz="8" w:color="C0C0C0"/>
            </w:tcBorders>
          </w:tcPr>
          <w:p>
            <w:pPr>
              <w:spacing w:after="0"/>
              <w:rPr>
                <w:sz w:val="23"/>
                <w:szCs w:val="23"/>
                <w:color w:val="auto"/>
              </w:rPr>
            </w:pPr>
          </w:p>
        </w:tc>
        <w:tc>
          <w:tcPr>
            <w:tcW w:w="200" w:type="dxa"/>
            <w:vAlign w:val="bottom"/>
            <w:tcBorders>
              <w:bottom w:val="single" w:sz="8" w:color="C0C0C0"/>
            </w:tcBorders>
          </w:tcPr>
          <w:p>
            <w:pPr>
              <w:spacing w:after="0"/>
              <w:rPr>
                <w:sz w:val="23"/>
                <w:szCs w:val="23"/>
                <w:color w:val="auto"/>
              </w:rPr>
            </w:pPr>
          </w:p>
        </w:tc>
        <w:tc>
          <w:tcPr>
            <w:tcW w:w="1500" w:type="dxa"/>
            <w:vAlign w:val="bottom"/>
            <w:tcBorders>
              <w:bottom w:val="single" w:sz="8" w:color="C0C0C0"/>
            </w:tcBorders>
          </w:tcPr>
          <w:p>
            <w:pPr>
              <w:spacing w:after="0"/>
              <w:rPr>
                <w:sz w:val="23"/>
                <w:szCs w:val="23"/>
                <w:color w:val="auto"/>
              </w:rPr>
            </w:pPr>
          </w:p>
        </w:tc>
        <w:tc>
          <w:tcPr>
            <w:tcW w:w="192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402" w:right="239" w:bottom="1440" w:gutter="0" w:footer="0" w:header="0"/>
        </w:sectPr>
      </w:pPr>
    </w:p>
    <w:bookmarkStart w:id="36" w:name="page37"/>
    <w:bookmarkEnd w:id="36"/>
    <w:p>
      <w:pPr>
        <w:ind w:left="10840"/>
        <w:spacing w:after="0"/>
        <w:rPr>
          <w:sz w:val="20"/>
          <w:szCs w:val="20"/>
          <w:color w:val="auto"/>
        </w:rPr>
      </w:pPr>
      <w:r>
        <w:rPr>
          <w:rFonts w:ascii="Arial" w:cs="Arial" w:eastAsia="Arial" w:hAnsi="Arial"/>
          <w:sz w:val="17"/>
          <w:szCs w:val="17"/>
          <w:color w:val="auto"/>
        </w:rPr>
        <w:t>Annex I</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MATTERS TO BE COVERED BY U.S. COUNSEL OPINION</w:t>
      </w:r>
    </w:p>
    <w:p>
      <w:pPr>
        <w:spacing w:after="0" w:line="213" w:lineRule="exact"/>
        <w:rPr>
          <w:sz w:val="20"/>
          <w:szCs w:val="20"/>
          <w:color w:val="auto"/>
        </w:rPr>
      </w:pPr>
    </w:p>
    <w:p>
      <w:pPr>
        <w:jc w:val="both"/>
        <w:ind w:left="660" w:hanging="652"/>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Assuming that the Underwriting Agreement, Securities and Indenture have each been duly authorized by the Company under the laws of Bermuda, the Underwriting Agreement, Securities and Indenture have each been duly executed and delivered by the Company, to the extent such execution and delivery are governed by the laws of the State of New York.</w:t>
      </w:r>
    </w:p>
    <w:p>
      <w:pPr>
        <w:spacing w:after="0" w:line="181" w:lineRule="exact"/>
        <w:rPr>
          <w:rFonts w:ascii="Arial" w:cs="Arial" w:eastAsia="Arial" w:hAnsi="Arial"/>
          <w:sz w:val="18"/>
          <w:szCs w:val="18"/>
          <w:color w:val="auto"/>
        </w:rPr>
      </w:pPr>
    </w:p>
    <w:p>
      <w:pPr>
        <w:jc w:val="both"/>
        <w:ind w:left="660" w:hanging="652"/>
        <w:spacing w:after="0" w:line="269"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Indenture has been duly qualified under the Trust Indenture Act. Assuming that the Indenture has been duly authorized, executed and delivered by the Company, the Indenture constitutes a legal, valid and binding instrument enforceable against the Company in accordance with its terms (subject to applicable bankruptcy, insolvency, reorganization, moratorium, fraudulent transfer and other similar laws affecting creditors’ rights generally from time to time in effect and to general principles of equity, including, without limitation, concepts of materiality, reasonableness, good faith and fair dealing, regardless of whether considered in a proceeding in equity or at law); and assuming that the Securities have been duly authorized, when executed and authenticated in accordance with the provisions of the Indenture and delivered to and paid for by the Underwriters pursuant to the Underwriting Agreement, the Securities will constitute legal, valid and binding obligations of the Company, entitled to the benefits of the Indenture and enforceable against the Company in accordance with their terms (subject to applicable bankruptcy, insolvency, reorganization, moratorium, fraudulent transfer and other similar laws affecting creditors’ rights generally from time to time in effect and to general principles of equity, including, without limitation, concepts of materiality, reasonableness, good faith and fair dealing, regardless of whether considered in a proceeding in equity or at law).</w:t>
      </w:r>
    </w:p>
    <w:p>
      <w:pPr>
        <w:spacing w:after="0" w:line="182" w:lineRule="exact"/>
        <w:rPr>
          <w:rFonts w:ascii="Arial" w:cs="Arial" w:eastAsia="Arial" w:hAnsi="Arial"/>
          <w:sz w:val="17"/>
          <w:szCs w:val="17"/>
          <w:color w:val="auto"/>
        </w:rPr>
      </w:pPr>
    </w:p>
    <w:p>
      <w:pPr>
        <w:jc w:val="both"/>
        <w:ind w:left="660" w:hanging="652"/>
        <w:spacing w:after="0" w:line="273"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Registration Statement initially became effective under the Securities Act on March 25, 2016 and thereupon the offering of the Securities as contemplated by the Final Prospectus became registered under the Securities Act; to such counsel’s knowledge, no stop order suspending the effectiveness of the Registration Statement has been issued and, to such counsel’s knowledge, no proceedings for that purpose have been instituted or are pending or contemplated under the Securities Act; the required filing of the Final Prospectus pursuant to Rule 424(b) has been made in the manner and within the time period required by Rule 424(b) (without reference to Rule 424(b)(8); and the Issuer Free Writing Prospectus was filed in the manner and within the time period specified by Rule 433(d).</w:t>
      </w:r>
    </w:p>
    <w:p>
      <w:pPr>
        <w:spacing w:after="0" w:line="178" w:lineRule="exact"/>
        <w:rPr>
          <w:rFonts w:ascii="Arial" w:cs="Arial" w:eastAsia="Arial" w:hAnsi="Arial"/>
          <w:sz w:val="17"/>
          <w:szCs w:val="17"/>
          <w:color w:val="auto"/>
        </w:rPr>
      </w:pPr>
    </w:p>
    <w:p>
      <w:pPr>
        <w:jc w:val="both"/>
        <w:ind w:left="660" w:hanging="652"/>
        <w:spacing w:after="0" w:line="286"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To such counsel’s knowledge, there is no pending or threatened action, suit, proceeding or investigation before or by any United States Federal or New York State court, governmental agency or authority against the Company or any of its subsidiaries of a character required to be disclosed in the Registration Statement, Disclosure Package or Final Prospectus which is not adequately disclosed as required.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7" w:name="page38"/>
    <w:bookmarkEnd w:id="37"/>
    <w:p>
      <w:pPr>
        <w:jc w:val="both"/>
        <w:ind w:left="660" w:hanging="652"/>
        <w:spacing w:after="0" w:line="291"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statements made in the Company’s Annual Report on Form 20-F for the fiscal year ended December 31, 2016 under “Business Overview – Ship Time Charters” and “Risk Factors – Risks Related to Our Common Shares – Tax Risks”, insofar as they purport to constitute summaries of the terms of the identified contracts, fairly summarize the matters therein described. Such counsel’s opinion in the preceding sentence relating to the contracts does not extend to compliance with any financial ratio or any limitation in any contractual restriction expressed as a dollar amount (or an amount expressed in another currency). Such counsel notes that certain of the contracts are governed by laws other than New York law; such counsel’s opinions expressed herein are based solely upon our understanding of the plain language of such agreements, and such counsel does not express any opinion with respect to the effect of the opinions or statements set forth herein on any interpretation thereof inconsistent with such understanding.</w:t>
      </w:r>
    </w:p>
    <w:p>
      <w:pPr>
        <w:spacing w:after="0" w:line="167"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Securities conform in all material respects to the description thereof contained in the Registration Statement, Disclosure Package and the Final Prospectus under the heading “Description of Notes”.</w:t>
      </w:r>
    </w:p>
    <w:p>
      <w:pPr>
        <w:spacing w:after="0" w:line="170" w:lineRule="exact"/>
        <w:rPr>
          <w:rFonts w:ascii="Arial" w:cs="Arial" w:eastAsia="Arial" w:hAnsi="Arial"/>
          <w:sz w:val="18"/>
          <w:szCs w:val="18"/>
          <w:color w:val="auto"/>
        </w:rPr>
      </w:pPr>
    </w:p>
    <w:p>
      <w:pPr>
        <w:jc w:val="both"/>
        <w:ind w:left="660" w:hanging="652"/>
        <w:spacing w:after="0" w:line="255"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Although the discussion in the Registration Statement, Disclosure Package and the Final Prospectus under the heading “Material United States Federal Income Tax Considerations” does not purport to discuss all possible United States federal income tax consequences of the acquisition, ownership and disposition of the Securities, such counsel hereby confirms that the statements of law (including the qualifications thereto) under such heading represent such counsel’s opinion of the material United States federal income tax consequences of the acquisition, ownership and disposition of the Securities, subject to certain assumptions expressly described in the Registration Statement, Disclosure Package and the Final Prospectus under such heading.</w:t>
      </w:r>
    </w:p>
    <w:p>
      <w:pPr>
        <w:spacing w:after="0" w:line="193"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such counsel’s knowledge, there is no contract, indenture, mortgage, loan agreement, note, lease or other document of a character required to be described in the Registration Statement, Disclosure Package or Final Prospectus, or to be filed as an exhibit, which is not described or filed as required.</w:t>
      </w:r>
    </w:p>
    <w:p>
      <w:pPr>
        <w:spacing w:after="0" w:line="181" w:lineRule="exact"/>
        <w:rPr>
          <w:rFonts w:ascii="Arial" w:cs="Arial" w:eastAsia="Arial" w:hAnsi="Arial"/>
          <w:sz w:val="18"/>
          <w:szCs w:val="18"/>
          <w:color w:val="auto"/>
        </w:rPr>
      </w:pPr>
    </w:p>
    <w:p>
      <w:pPr>
        <w:jc w:val="both"/>
        <w:ind w:left="660" w:hanging="652"/>
        <w:spacing w:after="0" w:line="297"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No authorization, approval or other action by, and no notice to, consent of, order of or filing with, any United States Federal or New York State court, governmental authority or regulatory body is required to be made or obtained by the Company for the consummation of the transactions contemplated by the Underwriting Agreement, other than (i) those that have been obtained or made under the Securities Act and the Trust Indenture Act, (ii) those that may be required under the Securities Act in connection with the use of a “free writing prospectus” and (iii) those that may be required under the blue sky laws of any jurisdiction in connection with the purchase and distribution of the Securities by the Underwriters.</w:t>
      </w:r>
    </w:p>
    <w:p>
      <w:pPr>
        <w:spacing w:after="0" w:line="158" w:lineRule="exact"/>
        <w:rPr>
          <w:rFonts w:ascii="Arial" w:cs="Arial" w:eastAsia="Arial" w:hAnsi="Arial"/>
          <w:sz w:val="16"/>
          <w:szCs w:val="16"/>
          <w:color w:val="auto"/>
        </w:rPr>
      </w:pPr>
    </w:p>
    <w:p>
      <w:pPr>
        <w:jc w:val="both"/>
        <w:ind w:left="660" w:hanging="652"/>
        <w:spacing w:after="0" w:line="286"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None of the execution, delivery and performance of the terms of the Underwriting Agreement, Securities or Indenture by the Company and the consummation by the Company of the transactions set forth therein will result in any violation of United States Federal or New York State law, rule or regulation or any ruling, judgment, order or decree, known to us, of any United States Federal or New York State court, agency or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8" w:name="page39"/>
    <w:bookmarkEnd w:id="38"/>
    <w:p>
      <w:pPr>
        <w:ind w:left="660"/>
        <w:spacing w:after="0"/>
        <w:rPr>
          <w:sz w:val="20"/>
          <w:szCs w:val="20"/>
          <w:color w:val="auto"/>
        </w:rPr>
      </w:pPr>
      <w:r>
        <w:rPr>
          <w:rFonts w:ascii="Arial" w:cs="Arial" w:eastAsia="Arial" w:hAnsi="Arial"/>
          <w:sz w:val="16"/>
          <w:szCs w:val="16"/>
          <w:color w:val="auto"/>
        </w:rPr>
        <w:t>official having jurisdiction over the Company or any of its subsidiaries or any of the properties or assets of the Company or any of its subsidiaries.</w:t>
      </w:r>
    </w:p>
    <w:p>
      <w:pPr>
        <w:spacing w:after="0" w:line="248" w:lineRule="exact"/>
        <w:rPr>
          <w:sz w:val="20"/>
          <w:szCs w:val="20"/>
          <w:color w:val="auto"/>
        </w:rPr>
      </w:pPr>
    </w:p>
    <w:p>
      <w:pPr>
        <w:jc w:val="both"/>
        <w:ind w:left="660" w:hanging="652"/>
        <w:spacing w:after="0" w:line="26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such counsel’s knowledge, other than as have been validly waived and as described in the Disclosure Package, there are no persons with registration rights or other similar rights to have any securities registered pursuant to the Registration Statement by the Company under the Securities Act.</w:t>
      </w:r>
    </w:p>
    <w:p>
      <w:pPr>
        <w:spacing w:after="0" w:line="181"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the certificate dated the date hereof, from an officer of the Company, after giving effect to the offering and sale of the Securities, the Company will not be an “investment company” within the meaning of, or is registered or otherwise required to be registered under, the Investment Company Act of 1940, as amended.</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Neither the Company nor any of its subsidiaries should be a “passive foreign investment company” as such term is defined in the Internal Revenue Code of 1986, as amended.</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Assuming the validity of such action under the laws of Bermuda relating to submission to jurisdiction, the Company has, pursuant to Sections 18 and 19 of the Underwriting Agreement (a) validly and irrevocably submitted to the personal jurisdiction of the courts of the State of New York, and (b) appointed Puglisi &amp; Associates as its agent for service of process.</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 is a “foreign private issuer” as defined in Rule 405 under the Securities Act.</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to the matters set forth above, such counsel shall also state (i) on the basis of information gained in the course of the performance of the services rendered, that, the Registration Statement, at the time it initially became effective, and the Final Prospectus, as of its date and the Closing Date, appeared or appears on its face to be appropriately responsive in all material respects to the requirements of the Securities Act and the Trust Indenture Act and the applicable rules and regulations thereunder, except that such counsel does not express any view as to the financial statements and other information of an accounting or financial nature included therein and (ii) that their work in connection with this matter did not disclose any information that gave them reason to believe that (a) the Registration Statement, at the time the Registration Statement became effective, contained an untrue statement of a material fact or omitted to state a material fact required to be stated therein or necessary to make the statements therein not misleading, (b) the Final Prospectus, as of its date or the Time of Delivery included or includes, an untrue statement of a material fact or omitted or omits to state a material fact necessary in order to make the statements therein, in the light of the circumstances under which they were made, not misleading or (c) the Disclosure Package, as of the Applicable Time, included an untrue statement of a material fact or omitted to state a material fact necessary in order to make the statements therein, in the light of the circumstances under which they were made, not misleading, except that, in each case, such counsel does not express any view as to the financial statements and other information of an accounting or financial nature included therein. As to the foregoing, we note that we are admitted to practice only in the State of New York and we are not admitted to practice in Bermuda.</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9" w:name="page40"/>
    <w:bookmarkEnd w:id="39"/>
    <w:p>
      <w:pPr>
        <w:ind w:left="10780"/>
        <w:spacing w:after="0"/>
        <w:rPr>
          <w:sz w:val="20"/>
          <w:szCs w:val="20"/>
          <w:color w:val="auto"/>
        </w:rPr>
      </w:pPr>
      <w:r>
        <w:rPr>
          <w:rFonts w:ascii="Arial" w:cs="Arial" w:eastAsia="Arial" w:hAnsi="Arial"/>
          <w:sz w:val="17"/>
          <w:szCs w:val="17"/>
          <w:color w:val="auto"/>
        </w:rPr>
        <w:t>Annex II</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MATTERS TO BE COVERED BY BERMUDA COUNSEL OPINION</w:t>
      </w:r>
    </w:p>
    <w:p>
      <w:pPr>
        <w:spacing w:after="0" w:line="213" w:lineRule="exact"/>
        <w:rPr>
          <w:sz w:val="20"/>
          <w:szCs w:val="20"/>
          <w:color w:val="auto"/>
        </w:rPr>
      </w:pPr>
    </w:p>
    <w:p>
      <w:pPr>
        <w:jc w:val="both"/>
        <w:ind w:left="660" w:hanging="652"/>
        <w:spacing w:after="0" w:line="25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of the Company and the subsidiaries listed on Exhibit A (the “Bermuda Subsidiaries”) is duly incorporated and validly existing as an exempted company with limited liability under the laws of Bermuda in good standing (meaning solely that the relevant company has not failed to make any required filing with any Bermuda governmental authority or to pay any Bermuda government fee or tax which would make it liable to be struck off the Register of Companies and thereby cease to exist under the laws of Bermuda). The Company possesses the capacity to sue and be sued in its own name under the laws of Bermuda.</w:t>
      </w:r>
    </w:p>
    <w:p>
      <w:pPr>
        <w:spacing w:after="0" w:line="188" w:lineRule="exact"/>
        <w:rPr>
          <w:rFonts w:ascii="Arial" w:cs="Arial" w:eastAsia="Arial" w:hAnsi="Arial"/>
          <w:sz w:val="18"/>
          <w:szCs w:val="18"/>
          <w:color w:val="auto"/>
        </w:rPr>
      </w:pPr>
    </w:p>
    <w:p>
      <w:pPr>
        <w:jc w:val="both"/>
        <w:ind w:left="660" w:hanging="652"/>
        <w:spacing w:after="0" w:line="25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has the necessary corporate power and authority to own, lease and operate its properties and conduct its business as described in the Registration Statement and the Final Prospectus and the necessary corporate power and authority to enter into and perform its obligations under the Underwriting Agreement, Securities and Indenture. The execution and delivery of the Underwriting Agreement, Securities and Indenture by the Company and the performance by the Company of its obligations thereunder will not violate the memorandum of association or bye-laws of the Company, nor any applicable law, regulation, order or decree in Bermuda.</w:t>
      </w:r>
    </w:p>
    <w:p>
      <w:pPr>
        <w:spacing w:after="0" w:line="188"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of the Bermuda Subsidiaries has the necessary corporate power and authority to own, lease and operate its properties and conduct its business as described in the Registration Statement and the Final Prospectus.</w:t>
      </w:r>
    </w:p>
    <w:p>
      <w:pPr>
        <w:spacing w:after="0" w:line="166" w:lineRule="exact"/>
        <w:rPr>
          <w:rFonts w:ascii="Arial" w:cs="Arial" w:eastAsia="Arial" w:hAnsi="Arial"/>
          <w:sz w:val="18"/>
          <w:szCs w:val="18"/>
          <w:color w:val="auto"/>
        </w:rPr>
      </w:pPr>
    </w:p>
    <w:p>
      <w:pPr>
        <w:ind w:left="660" w:right="20" w:hanging="652"/>
        <w:spacing w:after="0" w:line="282"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Based solely upon a review of the Company’s memorandum of association and bye-laws and the Register of Members of the Company as at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2017:</w:t>
      </w:r>
    </w:p>
    <w:p>
      <w:pPr>
        <w:spacing w:after="0" w:line="161" w:lineRule="exact"/>
        <w:rPr>
          <w:rFonts w:ascii="Arial" w:cs="Arial" w:eastAsia="Arial" w:hAnsi="Arial"/>
          <w:sz w:val="18"/>
          <w:szCs w:val="18"/>
          <w:color w:val="auto"/>
        </w:rPr>
      </w:pPr>
    </w:p>
    <w:p>
      <w:pPr>
        <w:ind w:left="1300" w:hanging="644"/>
        <w:spacing w:after="0" w:line="282"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 xml:space="preserve">the authorized share capital of the Company established under its memorandum of association is US$5,000,000, divided into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common shares of par value US$0.01 each and [•] Preference shares of par value US$0.01 each;</w:t>
      </w:r>
    </w:p>
    <w:p>
      <w:pPr>
        <w:spacing w:after="0" w:line="161" w:lineRule="exact"/>
        <w:rPr>
          <w:rFonts w:ascii="Arial" w:cs="Arial" w:eastAsia="Arial" w:hAnsi="Arial"/>
          <w:sz w:val="18"/>
          <w:szCs w:val="18"/>
          <w:color w:val="auto"/>
        </w:rPr>
      </w:pPr>
    </w:p>
    <w:p>
      <w:pPr>
        <w:jc w:val="both"/>
        <w:ind w:left="1300" w:hanging="644"/>
        <w:spacing w:after="0" w:line="289" w:lineRule="auto"/>
        <w:tabs>
          <w:tab w:leader="none" w:pos="1300" w:val="left"/>
        </w:tabs>
        <w:numPr>
          <w:ilvl w:val="1"/>
          <w:numId w:val="46"/>
        </w:numPr>
        <w:rPr>
          <w:rFonts w:ascii="Arial" w:cs="Arial" w:eastAsia="Arial" w:hAnsi="Arial"/>
          <w:sz w:val="17"/>
          <w:szCs w:val="17"/>
          <w:color w:val="auto"/>
        </w:rPr>
      </w:pPr>
      <w:r>
        <w:rPr>
          <w:rFonts w:ascii="Arial" w:cs="Arial" w:eastAsia="Arial" w:hAnsi="Arial"/>
          <w:sz w:val="17"/>
          <w:szCs w:val="17"/>
          <w:color w:val="auto"/>
        </w:rPr>
        <w:t xml:space="preserve">there are issued and outstanding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common shares of par value US$0.01 each, of the Company all of which are duly authorized, validly issued, fully paid and non-assessable and such shares are not subject to any statutory pre-emptive or similar statutory rights under the Company’s memorandum of association and bye-laws or of general application under Bermuda law;</w:t>
      </w:r>
    </w:p>
    <w:p>
      <w:pPr>
        <w:spacing w:after="0" w:line="162" w:lineRule="exact"/>
        <w:rPr>
          <w:rFonts w:ascii="Arial" w:cs="Arial" w:eastAsia="Arial" w:hAnsi="Arial"/>
          <w:sz w:val="17"/>
          <w:szCs w:val="17"/>
          <w:color w:val="auto"/>
        </w:rPr>
      </w:pPr>
    </w:p>
    <w:p>
      <w:pPr>
        <w:jc w:val="both"/>
        <w:ind w:left="1300" w:hanging="644"/>
        <w:spacing w:after="0" w:line="286" w:lineRule="auto"/>
        <w:tabs>
          <w:tab w:leader="none" w:pos="1300" w:val="left"/>
        </w:tabs>
        <w:numPr>
          <w:ilvl w:val="1"/>
          <w:numId w:val="46"/>
        </w:numPr>
        <w:rPr>
          <w:rFonts w:ascii="Arial" w:cs="Arial" w:eastAsia="Arial" w:hAnsi="Arial"/>
          <w:sz w:val="17"/>
          <w:szCs w:val="17"/>
          <w:color w:val="auto"/>
        </w:rPr>
      </w:pPr>
      <w:r>
        <w:rPr>
          <w:rFonts w:ascii="Arial" w:cs="Arial" w:eastAsia="Arial" w:hAnsi="Arial"/>
          <w:sz w:val="17"/>
          <w:szCs w:val="17"/>
          <w:color w:val="auto"/>
        </w:rPr>
        <w:t>there are issued and outstanding 4,600,000 Series A Preference Shares of par value US$0.01 each, of the Company all of which are duly authorized, validly issued, fully paid and non-assessable and such shares are not subject to any statutory pre-emptive or similar statutory rights under the Company’s memorandum of association and bye-laws or of general application under Bermuda law.</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40" w:name="page41"/>
    <w:bookmarkEnd w:id="40"/>
    <w:p>
      <w:pPr>
        <w:jc w:val="both"/>
        <w:ind w:left="660" w:hanging="652"/>
        <w:spacing w:after="0" w:line="26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has taken all corporate action required to authorized the execution, delivery and performance of the Securities and the Indenture. To the extent governed by Bermuda law, the Securities and Indenture have been duly executed and delivered by or on behalf of the Company and constitute valid and legally binding obligations of the Company in accordance with the terms thereof.</w:t>
      </w:r>
    </w:p>
    <w:p>
      <w:pPr>
        <w:spacing w:after="0" w:line="181"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has taken all corporate action required to authorize the execution, delivery and performance of the Underwriting Agreement. The Underwriting Agreement has been duly executed and delivered by or on behalf of the Company and constitutes the valid and binding obligations of the Company in accordance with the terms thereof.</w:t>
      </w:r>
    </w:p>
    <w:p>
      <w:pPr>
        <w:spacing w:after="0" w:line="181" w:lineRule="exact"/>
        <w:rPr>
          <w:rFonts w:ascii="Arial" w:cs="Arial" w:eastAsia="Arial" w:hAnsi="Arial"/>
          <w:sz w:val="18"/>
          <w:szCs w:val="18"/>
          <w:color w:val="auto"/>
        </w:rPr>
      </w:pPr>
    </w:p>
    <w:p>
      <w:pPr>
        <w:jc w:val="both"/>
        <w:ind w:left="660" w:hanging="652"/>
        <w:spacing w:after="0" w:line="293"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statements contained in the Final Prospectus under the captions “Material Tax Considerations – Bermuda Tax Considerations” and “Service of Process and Enforcement of Liabilities”, in the Registration Statement under Item 6 “Indemnification of Directors and Officers” and the information contained in the Company’s Annual Report on Form 20-F for the fiscal year ended December 31, 2016 under the captions “Additional Information – Share Capital”, “Additional Information – Memorandum and Articles of Association”, “Additional Information – Exchange Controls and Other Limitations Affecting Security Holders” and “Additional Information – Tax Considerations – Bermuda Tax Considerations”, insofar as they purport to describe the provisions of the laws of Bermuda referred to therein, are accurate in all material respects.</w:t>
      </w:r>
    </w:p>
    <w:p>
      <w:pPr>
        <w:spacing w:after="0" w:line="165" w:lineRule="exact"/>
        <w:rPr>
          <w:sz w:val="20"/>
          <w:szCs w:val="20"/>
          <w:color w:val="auto"/>
        </w:rPr>
      </w:pPr>
    </w:p>
    <w:p>
      <w:pPr>
        <w:jc w:val="both"/>
        <w:ind w:left="660" w:hanging="652"/>
        <w:spacing w:after="0" w:line="255"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 order, consent, approval, licence, authorisation or validation of or exemption by any government or public body or authority of Bermuda or any sub-division thereof is required to authorise or is required to be obtained by the Company or the Underwriters to authorise or in connection with (i) the issue and sale of the Securities by the Company pursuant to the Underwriting Agreement, or (ii) the execution, delivery, performance and enforcement of the Underwriting Agreement, Securities and Indenture, including the consummation by the Company of the transactions contemplated by the Underwriting Agreement, Securities and Indenture, except such as have been duly obtained in accordance with Bermuda law and which are in full force and effect.</w:t>
      </w:r>
    </w:p>
    <w:p>
      <w:pPr>
        <w:spacing w:after="0" w:line="189" w:lineRule="exact"/>
        <w:rPr>
          <w:rFonts w:ascii="Arial" w:cs="Arial" w:eastAsia="Arial" w:hAnsi="Arial"/>
          <w:sz w:val="18"/>
          <w:szCs w:val="18"/>
          <w:color w:val="auto"/>
        </w:rPr>
      </w:pPr>
    </w:p>
    <w:p>
      <w:pPr>
        <w:jc w:val="both"/>
        <w:ind w:left="660" w:hanging="652"/>
        <w:spacing w:after="0" w:line="261"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Based solely upon a search of the Cause Book of the Supreme Court of Bermuda conducted at approximately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a.m. on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2017 (which would not reveal details of proceedings which have been filed but not actually entered in the Cause Book at the time of our search), there are no judgments against the Company or any of the Bermuda Subsidiaries nor any legal or governmental proceedings pending in Bermuda to which the Company or any of the Bermuda Subsidiaries is subject.</w:t>
      </w:r>
    </w:p>
    <w:p>
      <w:pPr>
        <w:spacing w:after="0" w:line="184"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It is not necessary or desirable to ensure the enforceability in Bermuda of the Underwriting Agreement, Securities and Indenture that they be registered in any register kept by, or filed with, any governmental authority or regulatory body in Bermuda. However, to the extent that the Underwriting Agreement, Securities or Indenture creates a charge over assets of the Company, it may be desirable to ensure the priority in Bermuda of the charge that they be registered in the Register of Charges in accordance with</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41" w:name="page42"/>
    <w:bookmarkEnd w:id="41"/>
    <w:p>
      <w:pPr>
        <w:jc w:val="both"/>
        <w:ind w:left="660"/>
        <w:spacing w:after="0" w:line="273" w:lineRule="auto"/>
        <w:rPr>
          <w:sz w:val="20"/>
          <w:szCs w:val="20"/>
          <w:color w:val="auto"/>
        </w:rPr>
      </w:pPr>
      <w:r>
        <w:rPr>
          <w:rFonts w:ascii="Arial" w:cs="Arial" w:eastAsia="Arial" w:hAnsi="Arial"/>
          <w:sz w:val="17"/>
          <w:szCs w:val="17"/>
          <w:color w:val="auto"/>
        </w:rPr>
        <w:t>Section 55 of the Bermuda Companies Act. On registration, to the extent that Bermuda law governs the priority of a charge, such charge will have priority in Bermuda over any unregistered charges, and over any subsequently registered charges, in respect of the assets which are the subject of the charge. A registration fee of $603 will be payable in respect of the registration. While there is no exhaustive definition of a charge under Bermuda law, a charge includes any interest created in property by way of security (including any mortgage, assignment, pledge, lien or hypothecation). As the Underwriting Agreement, Securities and Indenture are governed by the laws of the State of New York, the question of whether it creates such an interest in property would be determined under the laws of the State of New York.</w:t>
      </w:r>
    </w:p>
    <w:p>
      <w:pPr>
        <w:spacing w:after="0" w:line="178" w:lineRule="exact"/>
        <w:rPr>
          <w:sz w:val="20"/>
          <w:szCs w:val="20"/>
          <w:color w:val="auto"/>
        </w:rPr>
      </w:pPr>
    </w:p>
    <w:p>
      <w:pPr>
        <w:jc w:val="both"/>
        <w:ind w:left="660" w:hanging="652"/>
        <w:spacing w:after="0" w:line="273"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There are no Bermuda stamp duty, transfer or similar taxes payable in respect of the issue and delivery of the Securities to the Underwriters or any subsequent purchasers pursuant to the Underwriting Agreement and the Underwriters will not become subject to any income, franchise or other tax imposed by a governmental authority of Bermuda solely by reason of the execution, delivery and performance of the Underwriting Agreement. The Underwriting Agreement, Securities and Indenture are not subject to ad valorem stamp duty in Bermuda, and no registration, documentary, recording, transfer or other similar tax, fee or charge by any Bermuda government authority is payable in connection with the execution, delivery, filing, registration or performance of the Underwriting Agreement, Securities and Indenture.</w:t>
      </w:r>
    </w:p>
    <w:p>
      <w:pPr>
        <w:spacing w:after="0" w:line="178" w:lineRule="exact"/>
        <w:rPr>
          <w:rFonts w:ascii="Arial" w:cs="Arial" w:eastAsia="Arial" w:hAnsi="Arial"/>
          <w:sz w:val="17"/>
          <w:szCs w:val="17"/>
          <w:color w:val="auto"/>
        </w:rPr>
      </w:pPr>
    </w:p>
    <w:p>
      <w:pPr>
        <w:ind w:left="660" w:hanging="652"/>
        <w:spacing w:after="0" w:line="308"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Company has taken all corporate action required to authorise the execution and filing of the Registration Statement with the Securities and Exchange Commission. The Registration Statement has been duly executed and delivered by or on behalf of the Company.</w:t>
      </w:r>
    </w:p>
    <w:p>
      <w:pPr>
        <w:spacing w:after="0" w:line="146" w:lineRule="exact"/>
        <w:rPr>
          <w:rFonts w:ascii="Arial" w:cs="Arial" w:eastAsia="Arial" w:hAnsi="Arial"/>
          <w:sz w:val="17"/>
          <w:szCs w:val="17"/>
          <w:color w:val="auto"/>
        </w:rPr>
      </w:pPr>
    </w:p>
    <w:p>
      <w:pPr>
        <w:jc w:val="both"/>
        <w:ind w:left="660" w:hanging="652"/>
        <w:spacing w:after="0" w:line="279"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solely upon a review of a copy of a letter from the BMA in respect of the Company dated 16 July 2003 the Company has been designated as non-resident of Bermuda for the purposes of the Bermuda Exchange Control Act 1972 and as such is free to acquire, hold, transfer and sell foreign currency and securities without restriction under such legislation (including the payment of dividends, interests, premiums or additional amounts or other distributions which may be lawfully made by the Company under the Bermuda Companies Act).</w:t>
      </w:r>
    </w:p>
    <w:p>
      <w:pPr>
        <w:spacing w:after="0" w:line="171" w:lineRule="exact"/>
        <w:rPr>
          <w:rFonts w:ascii="Arial" w:cs="Arial" w:eastAsia="Arial" w:hAnsi="Arial"/>
          <w:sz w:val="17"/>
          <w:szCs w:val="17"/>
          <w:color w:val="auto"/>
        </w:rPr>
      </w:pPr>
    </w:p>
    <w:p>
      <w:pPr>
        <w:jc w:val="both"/>
        <w:ind w:left="660" w:hanging="652"/>
        <w:spacing w:after="0" w:line="26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and the Bermuda Subsidiaries are not entitled to any immunity under the laws of Bermuda, whether characterized as sovereign immunity or otherwise, from any legal proceedings relating to the Underwriting Agreement, Securities or Indenture, or the transactions contemplated thereby in respect of themselves or their respective properties.</w:t>
      </w:r>
    </w:p>
    <w:p>
      <w:pPr>
        <w:spacing w:after="0" w:line="181" w:lineRule="exact"/>
        <w:rPr>
          <w:rFonts w:ascii="Arial" w:cs="Arial" w:eastAsia="Arial" w:hAnsi="Arial"/>
          <w:sz w:val="18"/>
          <w:szCs w:val="18"/>
          <w:color w:val="auto"/>
        </w:rPr>
      </w:pPr>
    </w:p>
    <w:p>
      <w:pPr>
        <w:jc w:val="both"/>
        <w:ind w:left="660" w:hanging="652"/>
        <w:spacing w:after="0" w:line="25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choice of the law of the State of New York as the governing law of the Underwriting Agreement and the Indenture is each a valid choice of law and would be recognized and given effect to in any action brought before a court of competent jurisdiction in Bermuda, except for those laws (i) which such court considers to be procedural in nature, (ii) which are revenue or penal laws or (iii) the application of which would be inconsistent with public policy, as such term is interpreted under the laws of Bermuda. The submission by the Company to the non-exclusive jurisdiction of the New York Courts, the waiver by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42" w:name="page43"/>
    <w:bookmarkEnd w:id="42"/>
    <w:p>
      <w:pPr>
        <w:ind w:left="660"/>
        <w:spacing w:after="0" w:line="277" w:lineRule="auto"/>
        <w:rPr>
          <w:sz w:val="20"/>
          <w:szCs w:val="20"/>
          <w:color w:val="auto"/>
        </w:rPr>
      </w:pPr>
      <w:r>
        <w:rPr>
          <w:rFonts w:ascii="Arial" w:cs="Arial" w:eastAsia="Arial" w:hAnsi="Arial"/>
          <w:sz w:val="18"/>
          <w:szCs w:val="18"/>
          <w:color w:val="auto"/>
        </w:rPr>
        <w:t>Company of any objection related to inconvenient forum and the appointment by the Company of an agent for service of process, in each case pursuant to the Underwriting Agreement, is valid and binding upon the Company.</w:t>
      </w:r>
    </w:p>
    <w:p>
      <w:pPr>
        <w:spacing w:after="0" w:line="170" w:lineRule="exact"/>
        <w:rPr>
          <w:sz w:val="20"/>
          <w:szCs w:val="20"/>
          <w:color w:val="auto"/>
        </w:rPr>
      </w:pPr>
    </w:p>
    <w:p>
      <w:pPr>
        <w:ind w:left="660" w:hanging="652"/>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[Based solely on a review of the register of members and the memorandum of association and bye-laws of each of the Bermuda Subsidiaries certified by the Secretary of such Bermuda Subsidiary on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2017:</w:t>
      </w:r>
    </w:p>
    <w:p>
      <w:pPr>
        <w:spacing w:after="0" w:line="170"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authorized share capital of each of the Bermuda Subsidiaries (other than GasLog Shipping Company Ltd.) established under each respective memorandum of association of the Bermuda Subsidiaries is US$12,000, divided into 12,000 common shares of par value US$1.00 each; the authorized share capital of GasLog Shipping Company Ltd. is US$150,000 divided into 150,000 common shares of par value US$1.00 each;</w:t>
      </w:r>
    </w:p>
    <w:p>
      <w:pPr>
        <w:spacing w:after="0" w:line="186" w:lineRule="exact"/>
        <w:rPr>
          <w:rFonts w:ascii="Arial" w:cs="Arial" w:eastAsia="Arial" w:hAnsi="Arial"/>
          <w:sz w:val="18"/>
          <w:szCs w:val="18"/>
          <w:color w:val="auto"/>
        </w:rPr>
      </w:pPr>
    </w:p>
    <w:p>
      <w:pPr>
        <w:jc w:val="both"/>
        <w:ind w:left="1300" w:hanging="644"/>
        <w:spacing w:after="0" w:line="279" w:lineRule="auto"/>
        <w:tabs>
          <w:tab w:leader="none" w:pos="1300" w:val="left"/>
        </w:tabs>
        <w:numPr>
          <w:ilvl w:val="1"/>
          <w:numId w:val="50"/>
        </w:numPr>
        <w:rPr>
          <w:rFonts w:ascii="Arial" w:cs="Arial" w:eastAsia="Arial" w:hAnsi="Arial"/>
          <w:sz w:val="17"/>
          <w:szCs w:val="17"/>
          <w:color w:val="auto"/>
        </w:rPr>
      </w:pPr>
      <w:r>
        <w:rPr>
          <w:rFonts w:ascii="Arial" w:cs="Arial" w:eastAsia="Arial" w:hAnsi="Arial"/>
          <w:sz w:val="17"/>
          <w:szCs w:val="17"/>
          <w:color w:val="auto"/>
        </w:rPr>
        <w:t>there are issued and outstanding 12,000 common shares of each Bermuda Subsidiary (other than GasLog Shipping Company Ltd.); there are issued and outstanding 150,000 common shares of GasLog Shipping Company Ltd., all of which are duly authorized, validly issued, fully paid and non-assessable and such shares are not subject to any statutory pre-emptive or similar statutory rights [under each of the Bermuda Subsidiaries’ respective memorandum of association and bye-laws or] of general application under Bermuda law;</w:t>
      </w:r>
    </w:p>
    <w:p>
      <w:pPr>
        <w:spacing w:after="0" w:line="171" w:lineRule="exact"/>
        <w:rPr>
          <w:rFonts w:ascii="Arial" w:cs="Arial" w:eastAsia="Arial" w:hAnsi="Arial"/>
          <w:sz w:val="17"/>
          <w:szCs w:val="17"/>
          <w:color w:val="auto"/>
        </w:rPr>
      </w:pPr>
    </w:p>
    <w:p>
      <w:pPr>
        <w:ind w:left="1300" w:hanging="644"/>
        <w:spacing w:after="0"/>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Company is the registered holder of all the issued and outstanding common shares of GasLog Carriers Ltd.;</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GasLog Carriers Ltd. is the registered holder of all the issued and outstanding common shares of each of the Bermuda Subsidiaries (other than itself and GasLog LNG Services Ltd.);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50"/>
        </w:numPr>
        <w:rPr>
          <w:rFonts w:ascii="Arial" w:cs="Arial" w:eastAsia="Arial" w:hAnsi="Arial"/>
          <w:sz w:val="17"/>
          <w:szCs w:val="17"/>
          <w:color w:val="auto"/>
        </w:rPr>
      </w:pPr>
      <w:r>
        <w:rPr>
          <w:rFonts w:ascii="Arial" w:cs="Arial" w:eastAsia="Arial" w:hAnsi="Arial"/>
          <w:sz w:val="17"/>
          <w:szCs w:val="17"/>
          <w:color w:val="auto"/>
        </w:rPr>
        <w:t>GasLog Investments Ltd. is the registered holder of all the issued and outstanding common shares of GasLog LNG Services Ltd.</w:t>
      </w:r>
    </w:p>
    <w:p>
      <w:pPr>
        <w:spacing w:after="0" w:line="236" w:lineRule="exact"/>
        <w:rPr>
          <w:rFonts w:ascii="Arial" w:cs="Arial" w:eastAsia="Arial" w:hAnsi="Arial"/>
          <w:sz w:val="17"/>
          <w:szCs w:val="17"/>
          <w:color w:val="auto"/>
        </w:rPr>
      </w:pPr>
    </w:p>
    <w:p>
      <w:pPr>
        <w:jc w:val="both"/>
        <w:ind w:left="660" w:hanging="652"/>
        <w:spacing w:after="0" w:line="259"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Based solely on a search of the Register of Charges maintained by the Registrar of Companies pursuant to Section 55 of the Bermuda Companies Act conducted at approximately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a.m. on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2017 (which would not reveal details of matters which have been lodged for registration but not actually registered at the time of our search), there are no charges registered on the assets of the Company and there are </w:t>
      </w:r>
      <w:r>
        <w:rPr>
          <w:rFonts w:ascii="Arial" w:cs="Arial" w:eastAsia="Arial" w:hAnsi="Arial"/>
          <w:sz w:val="18"/>
          <w:szCs w:val="18"/>
          <w:b w:val="1"/>
          <w:bCs w:val="1"/>
          <w:color w:val="auto"/>
        </w:rPr>
        <w:t>[</w:t>
      </w:r>
      <w:r>
        <w:rPr>
          <w:rFonts w:ascii="Arial" w:cs="Arial" w:eastAsia="Arial" w:hAnsi="Arial"/>
          <w:sz w:val="18"/>
          <w:szCs w:val="18"/>
          <w:color w:val="auto"/>
        </w:rPr>
        <w:t>55</w:t>
      </w:r>
      <w:r>
        <w:rPr>
          <w:rFonts w:ascii="Arial" w:cs="Arial" w:eastAsia="Arial" w:hAnsi="Arial"/>
          <w:sz w:val="18"/>
          <w:szCs w:val="18"/>
          <w:b w:val="1"/>
          <w:bCs w:val="1"/>
          <w:color w:val="auto"/>
        </w:rPr>
        <w:t>]</w:t>
      </w:r>
      <w:r>
        <w:rPr>
          <w:rFonts w:ascii="Arial" w:cs="Arial" w:eastAsia="Arial" w:hAnsi="Arial"/>
          <w:sz w:val="18"/>
          <w:szCs w:val="18"/>
          <w:color w:val="auto"/>
        </w:rPr>
        <w:t xml:space="preserve"> charges registered on the assets of the Bermuda Subsidiaries as further detailed in Exhibit B.</w:t>
      </w:r>
    </w:p>
    <w:p>
      <w:pPr>
        <w:spacing w:after="0" w:line="182" w:lineRule="exact"/>
        <w:rPr>
          <w:rFonts w:ascii="Arial" w:cs="Arial" w:eastAsia="Arial" w:hAnsi="Arial"/>
          <w:sz w:val="18"/>
          <w:szCs w:val="18"/>
          <w:color w:val="auto"/>
        </w:rPr>
      </w:pPr>
    </w:p>
    <w:p>
      <w:pPr>
        <w:jc w:val="both"/>
        <w:ind w:left="660" w:hanging="652"/>
        <w:spacing w:after="0" w:line="258"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Based solely on our review of a Transcript of Register dated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2017 issued by the office of the Bermuda Shipping and Maritime Authority in respect of each of the vessels listed on Schedule IV(a) to the Underwriting Agreement (each a “Vessel”, and together the “Vessels”), each of the Vessels is registered in each of the respective Vessel’s register in the name of the relevant Bermuda Subsidiary bearing the IMO number listed in Schedule IV(a) to the Underwriting Agreement. The “GASLOG SINGAPORE” bearing official number 737972 is subject to a first priority Bermuda ship mortgage in favour of DNB</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43" w:name="page44"/>
    <w:bookmarkEnd w:id="43"/>
    <w:p>
      <w:pPr>
        <w:jc w:val="both"/>
        <w:spacing w:after="0" w:line="253" w:lineRule="auto"/>
        <w:rPr>
          <w:sz w:val="20"/>
          <w:szCs w:val="20"/>
          <w:color w:val="auto"/>
        </w:rPr>
      </w:pPr>
      <w:r>
        <w:rPr>
          <w:rFonts w:ascii="Arial" w:cs="Arial" w:eastAsia="Arial" w:hAnsi="Arial"/>
          <w:sz w:val="17"/>
          <w:szCs w:val="17"/>
          <w:color w:val="auto"/>
        </w:rPr>
        <w:t>Bank ASA of 20 St. Dunstan’s Hill, London EC3R 8HY, the “GASLOG SAVANNAH” bearing official number 737971 is subject to a first priority Bermuda ship mortgage in favour of Danish Ship Finance A/S (Danmarks Skibskredit A/S) of Sankt Annae Plads 3, DK-1250, Copenhagen, Denmark, the “GASLOG CHELSEA” bearing official number 740580 is subject to a first priority Bermuda ship mortgage in favour of Citibank, N.A., London Branch of Citigroup Center, 33 Canada Square, London E14 5LB, United Kingdom, the “GASLOG SHANGHAI” bearing official number 740552 is subject to a first priority Bermuda ship mortgage in favour of DNB Bank ASA of 20 St Dunstan’s Hill, London EC3R 8HY, the “GASLOG SANTIAGO” bearing official number 740553 is subject to a first priority Bermuda ship mortgage in favour of DNB Bank ASA of 20 St Dunstan’s Hill, London EC3R 8HY, the “GASLOG SYDNEY” bearing official number 740573 is subject to a first priority Bermuda ship mortgage in favour of Nordea Bank Finland Plc, London Branch of 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City Place House, 55 Basinghall Street, London EC2V 5NB, the “GASLOG</w:t>
      </w:r>
    </w:p>
    <w:p>
      <w:pPr>
        <w:spacing w:after="0" w:line="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SKAGEN” bearing official number 740572 is subject to a first priority Bermuda ship mortgage in favour of Nordea Bank AB, London Branch of 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City Place House, 55 Basinghall Street, London EC2V 5NB, the “GASLOG SEATTLE” bearing official number 740578 is subject to a first priority Bermuda ship mortgage in favour of Credit Suisse AG of St. Alban-Graben 1-3, P.O. Box CH-4002 Basel, Switzerland, the “SOLARIS” bearing official number 740587 is subject to a first priority Bermuda ship mortgage in favour of DNB Bank ASA of 20 St Dunstan’s Hill, London EC3R 8HY, the “GASLOG SARATOGA” bearing official number 740603 is subject to a first priority Bermuda ship mortgage in favour of DNB Bank ASA of The Walbrook Building, 25 Walbrook, London EC4N 8AF, the “METHANE RITA ANDREA” bearing official number 737895 is subject to a first priority Bermuda ship mortgage in favour of Citibank, N.A., London Branch of Citigroup Center, 33 Canada Square, London E14 5LB, United Kingdom, the “METHANE JANE ELIZABETH” bearing official number 737897 is subject to a first priority Bermuda ship mortgage in favour of Citibank, N.A., London Branch of Citigroup Center, 33 Canada Square, London E14 5LB, United Kingdom, the “METHANE LYDON VOLNEY” bearing official number 737898 is subject to a first priority Bermuda ship mortgage in favour of Citibank, N.A., London Branch of Citigroup Center, 33 Canada Square, London E14 5LB, United Kingdom, the “METHANE ALISON VICTORIA” bearing official number 737291 is subject to a first priority Bermuda ship mortgage in favour of Citibank, N.A., London Branch of Citigroup Center, 33 Canada Square, London E14 5LB, United Kingdom, the “METHANE SHIRLEY ELISABETH” bearing official number 737920 is subject to a first priority Bermuda ship mortgage in favour of Citibank, N.A., London Branch of Citigroup Center, 33 Canada Square, London E14 5LB, United Kingdom, the “METHANE HEATHER SALLY” bearing official number 737922 is subject to a first priority Bermuda ship mortgage in favour of Citibank, N.A., London Branch of Citigroup Center, 33 Canada Square, London E14 5LB, United Kingdom, the “METHANE BECKI ANNE” bearing official number 7405141 is subject to a first priority Bermuda ship mortgage in favour of DNB Bank ASA of The Walbrook Building, 25 Walbrook, London EC4N 8AF and a second priority ship mortgage in favour of DNB Bank ASA of The Walbrook Building, 25 Walbrook, London EC4N 8AF, the “GASLOG</w:t>
      </w:r>
    </w:p>
    <w:p>
      <w:pPr>
        <w:spacing w:after="0" w:line="2" w:lineRule="exact"/>
        <w:rPr>
          <w:sz w:val="20"/>
          <w:szCs w:val="20"/>
          <w:color w:val="auto"/>
        </w:rPr>
      </w:pPr>
    </w:p>
    <w:p>
      <w:pPr>
        <w:jc w:val="both"/>
        <w:ind w:right="20"/>
        <w:spacing w:after="0" w:line="205" w:lineRule="auto"/>
        <w:rPr>
          <w:sz w:val="20"/>
          <w:szCs w:val="20"/>
          <w:color w:val="auto"/>
        </w:rPr>
      </w:pPr>
      <w:r>
        <w:rPr>
          <w:rFonts w:ascii="Arial" w:cs="Arial" w:eastAsia="Arial" w:hAnsi="Arial"/>
          <w:sz w:val="18"/>
          <w:szCs w:val="18"/>
          <w:color w:val="auto"/>
        </w:rPr>
        <w:t>SALEM” bearing official number 740608 is subject to a first priority Bermuda ship mortgage in favour of Nordea Bank AB, London Branch of 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City Place House, 55 Basinghall Street,</w:t>
      </w:r>
    </w:p>
    <w:p>
      <w:pPr>
        <w:spacing w:after="0" w:line="17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152400</wp:posOffset>
            </wp:positionV>
            <wp:extent cx="724662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60"/>
          </w:cols>
          <w:pgMar w:left="900" w:top="409" w:right="239" w:bottom="1440" w:gutter="0" w:footer="0" w:header="0"/>
        </w:sectPr>
      </w:pPr>
    </w:p>
    <w:bookmarkStart w:id="44" w:name="page45"/>
    <w:bookmarkEnd w:id="44"/>
    <w:p>
      <w:pPr>
        <w:jc w:val="both"/>
        <w:spacing w:after="0" w:line="226" w:lineRule="auto"/>
        <w:rPr>
          <w:sz w:val="20"/>
          <w:szCs w:val="20"/>
          <w:color w:val="auto"/>
        </w:rPr>
      </w:pPr>
      <w:r>
        <w:rPr>
          <w:rFonts w:ascii="Arial" w:cs="Arial" w:eastAsia="Arial" w:hAnsi="Arial"/>
          <w:sz w:val="17"/>
          <w:szCs w:val="17"/>
          <w:color w:val="auto"/>
        </w:rPr>
        <w:t>London EC2V 5NB, the “GASLOG GREECE” bearing official number 740646 is subject to a first priority Bermuda ship mortgage in favour of Nordea Bank AB, London Branch of 6</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Aldermanbury Square, London EC2V 7AZ, the “GASLOG GLASGOW” bearing official number</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740650 is subject to a first priority Bermuda ship mortgage in favour of Nordea Bank AB, London Branch of 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Aldermanbury Square, London EC2V 7AZ each as described in the Registration Statement and Prospectus, and no other ship mortgages or other liens are registered with the Department of Maritime Administration in Bermuda over any of the Vessels.</w:t>
      </w:r>
    </w:p>
    <w:p>
      <w:pPr>
        <w:spacing w:after="0" w:line="17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152400</wp:posOffset>
            </wp:positionV>
            <wp:extent cx="72466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60"/>
          </w:cols>
          <w:pgMar w:left="900" w:top="409"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t>Annex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MATTERS TO BE COVERED BY NORWEGIAN COUNSEL OPINION</w:t>
      </w:r>
      <w:r>
        <w:rPr>
          <w:rFonts w:ascii="Arial" w:cs="Arial" w:eastAsia="Arial" w:hAnsi="Arial"/>
          <w:sz w:val="36"/>
          <w:szCs w:val="36"/>
          <w:u w:val="single" w:color="auto"/>
          <w:color w:val="auto"/>
          <w:vertAlign w:val="superscript"/>
        </w:rPr>
        <w:t>2</w:t>
      </w:r>
    </w:p>
    <w:p>
      <w:pPr>
        <w:spacing w:after="0" w:line="9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of the opinion that the entering into and performance of the Underwriting Agreement, Securities and the Indenture by the Company will not breach any of the express undertakings or covenants of the obligors of the Company under the bond agreements to which they are party which as a consequence will lead to the occurrence of an Event of Default (as defined therein), but excluding therefrom all financial covenants or similar undertakings on which we do not opine.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4490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7" w:lineRule="exact"/>
        <w:rPr>
          <w:sz w:val="20"/>
          <w:szCs w:val="20"/>
          <w:color w:val="auto"/>
        </w:rPr>
      </w:pPr>
    </w:p>
    <w:p>
      <w:pPr>
        <w:ind w:left="480" w:hanging="112"/>
        <w:spacing w:after="0"/>
        <w:tabs>
          <w:tab w:leader="none" w:pos="480" w:val="left"/>
        </w:tabs>
        <w:numPr>
          <w:ilvl w:val="0"/>
          <w:numId w:val="51"/>
        </w:numPr>
        <w:rPr>
          <w:rFonts w:ascii="Arial" w:cs="Arial" w:eastAsia="Arial" w:hAnsi="Arial"/>
          <w:sz w:val="30"/>
          <w:szCs w:val="30"/>
          <w:color w:val="auto"/>
          <w:vertAlign w:val="superscript"/>
        </w:rPr>
      </w:pPr>
      <w:r>
        <w:rPr>
          <w:rFonts w:ascii="Arial" w:cs="Arial" w:eastAsia="Arial" w:hAnsi="Arial"/>
          <w:sz w:val="18"/>
          <w:szCs w:val="18"/>
          <w:color w:val="auto"/>
        </w:rPr>
        <w:t>Note to Draft: To cover the Norwegian law NOK bonds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t>Annex IV</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MATTERS TO BE COVERED BY U.K. COUNSEL OPINION</w:t>
      </w:r>
    </w:p>
    <w:p>
      <w:pPr>
        <w:spacing w:after="0" w:line="21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of the opinion that the entering into and performance of the Underwriting Agreement, Securities and the Indenture by the Company will not breach any of the express undertakings or covenants of the obligors of the Company under the credit documents to which they are party which as a consequence will lead to the occurrence of an Event of Default (as defined therein), but excluding therefrom all financial covenants or similar undertakings on which we do not opine.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22"/>
          <w:szCs w:val="22"/>
          <w:color w:val="auto"/>
        </w:rPr>
        <w:t>Exhibit A</w:t>
      </w:r>
    </w:p>
    <w:p>
      <w:pPr>
        <w:spacing w:after="0" w:line="233" w:lineRule="exact"/>
        <w:rPr>
          <w:sz w:val="20"/>
          <w:szCs w:val="20"/>
          <w:color w:val="auto"/>
        </w:rPr>
      </w:pPr>
    </w:p>
    <w:p>
      <w:pPr>
        <w:jc w:val="center"/>
        <w:ind w:right="1180"/>
        <w:spacing w:after="0"/>
        <w:rPr>
          <w:sz w:val="20"/>
          <w:szCs w:val="20"/>
          <w:color w:val="auto"/>
        </w:rPr>
      </w:pPr>
      <w:r>
        <w:rPr>
          <w:rFonts w:ascii="Arial" w:cs="Arial" w:eastAsia="Arial" w:hAnsi="Arial"/>
          <w:sz w:val="19"/>
          <w:szCs w:val="19"/>
          <w:color w:val="auto"/>
        </w:rPr>
        <w:t>Form of Final Term Sheet</w:t>
      </w:r>
    </w:p>
    <w:p>
      <w:pPr>
        <w:spacing w:after="0" w:line="268" w:lineRule="exact"/>
        <w:rPr>
          <w:sz w:val="20"/>
          <w:szCs w:val="20"/>
          <w:color w:val="auto"/>
        </w:rPr>
      </w:pPr>
    </w:p>
    <w:p>
      <w:pPr>
        <w:ind w:left="3940"/>
        <w:spacing w:after="0"/>
        <w:rPr>
          <w:sz w:val="20"/>
          <w:szCs w:val="20"/>
          <w:color w:val="auto"/>
        </w:rPr>
      </w:pPr>
      <w:r>
        <w:rPr>
          <w:rFonts w:ascii="Arial" w:cs="Arial" w:eastAsia="Arial" w:hAnsi="Arial"/>
          <w:sz w:val="22"/>
          <w:szCs w:val="22"/>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744855</wp:posOffset>
            </wp:positionV>
            <wp:extent cx="724662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20"/>
          </w:cols>
          <w:pgMar w:left="1440" w:top="402" w:right="239" w:bottom="1440" w:gutter="0" w:footer="0" w:header="0"/>
        </w:sectPr>
      </w:pPr>
    </w:p>
    <w:bookmarkStart w:id="48" w:name="page49"/>
    <w:bookmarkEnd w:id="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Securities Offered:</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Issuer Free Writing Prospectus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Dated March 17, 2017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Relating to Preliminary Prospectus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Dated March 13, 2017</w:t>
      </w:r>
    </w:p>
    <w:p>
      <w:pPr>
        <w:spacing w:after="0" w:line="153" w:lineRule="exact"/>
        <w:rPr>
          <w:sz w:val="20"/>
          <w:szCs w:val="20"/>
          <w:color w:val="auto"/>
        </w:rPr>
      </w:pPr>
    </w:p>
    <w:p>
      <w:pPr>
        <w:jc w:val="center"/>
        <w:ind w:right="2520"/>
        <w:spacing w:after="0"/>
        <w:rPr>
          <w:sz w:val="20"/>
          <w:szCs w:val="20"/>
          <w:color w:val="auto"/>
        </w:rPr>
      </w:pPr>
      <w:r>
        <w:rPr>
          <w:rFonts w:ascii="Arial" w:cs="Arial" w:eastAsia="Arial" w:hAnsi="Arial"/>
          <w:sz w:val="18"/>
          <w:szCs w:val="18"/>
          <w:b w:val="1"/>
          <w:bCs w:val="1"/>
          <w:color w:val="auto"/>
        </w:rPr>
        <w:t>PRICING TERM SHEET</w:t>
      </w:r>
    </w:p>
    <w:p>
      <w:pPr>
        <w:spacing w:after="0" w:line="252"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GasLog Ltd.</w:t>
      </w:r>
    </w:p>
    <w:p>
      <w:pPr>
        <w:spacing w:after="0" w:line="225" w:lineRule="exact"/>
        <w:rPr>
          <w:sz w:val="20"/>
          <w:szCs w:val="20"/>
          <w:color w:val="auto"/>
        </w:rPr>
      </w:pPr>
    </w:p>
    <w:p>
      <w:pPr>
        <w:jc w:val="center"/>
        <w:ind w:right="2520"/>
        <w:spacing w:after="0"/>
        <w:rPr>
          <w:sz w:val="20"/>
          <w:szCs w:val="20"/>
          <w:color w:val="auto"/>
        </w:rPr>
      </w:pPr>
      <w:r>
        <w:rPr>
          <w:rFonts w:ascii="Arial" w:cs="Arial" w:eastAsia="Arial" w:hAnsi="Arial"/>
          <w:sz w:val="18"/>
          <w:szCs w:val="18"/>
          <w:b w:val="1"/>
          <w:bCs w:val="1"/>
          <w:color w:val="auto"/>
        </w:rPr>
        <w:t>$250,000,000</w:t>
      </w:r>
    </w:p>
    <w:p>
      <w:pPr>
        <w:spacing w:after="0" w:line="225" w:lineRule="exact"/>
        <w:rPr>
          <w:sz w:val="20"/>
          <w:szCs w:val="20"/>
          <w:color w:val="auto"/>
        </w:rPr>
      </w:pPr>
    </w:p>
    <w:p>
      <w:pPr>
        <w:jc w:val="center"/>
        <w:ind w:right="2520"/>
        <w:spacing w:after="0"/>
        <w:rPr>
          <w:sz w:val="20"/>
          <w:szCs w:val="20"/>
          <w:color w:val="auto"/>
        </w:rPr>
      </w:pPr>
      <w:r>
        <w:rPr>
          <w:rFonts w:ascii="Arial" w:cs="Arial" w:eastAsia="Arial" w:hAnsi="Arial"/>
          <w:sz w:val="18"/>
          <w:szCs w:val="18"/>
          <w:b w:val="1"/>
          <w:bCs w:val="1"/>
          <w:color w:val="auto"/>
        </w:rPr>
        <w:t>8.875% Senior Notes due 2022</w:t>
      </w:r>
    </w:p>
    <w:p>
      <w:pPr>
        <w:spacing w:after="0" w:line="171" w:lineRule="exact"/>
        <w:rPr>
          <w:sz w:val="20"/>
          <w:szCs w:val="20"/>
          <w:color w:val="auto"/>
        </w:rPr>
      </w:pPr>
    </w:p>
    <w:p>
      <w:pPr>
        <w:jc w:val="center"/>
        <w:ind w:right="2520"/>
        <w:spacing w:after="0"/>
        <w:rPr>
          <w:sz w:val="20"/>
          <w:szCs w:val="20"/>
          <w:color w:val="auto"/>
        </w:rPr>
      </w:pPr>
      <w:r>
        <w:rPr>
          <w:rFonts w:ascii="Arial" w:cs="Arial" w:eastAsia="Arial" w:hAnsi="Arial"/>
          <w:sz w:val="18"/>
          <w:szCs w:val="18"/>
          <w:b w:val="1"/>
          <w:bCs w:val="1"/>
          <w:color w:val="auto"/>
        </w:rPr>
        <w:t>March 17, 2017</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GasLog Ltd.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8.875% Senior Notes due 2022 (the “Notes”)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Blenheim Holdings Ltd., which is GasLog’s largest shareholder and is controlled by our chairman, Peter G. Livanos, has agreed to purchase $9,750,000 of Notes in this offering</w:t>
      </w:r>
    </w:p>
    <w:p>
      <w:pPr>
        <w:spacing w:after="0" w:line="193" w:lineRule="exact"/>
        <w:rPr>
          <w:sz w:val="20"/>
          <w:szCs w:val="20"/>
          <w:color w:val="auto"/>
        </w:rPr>
      </w:pPr>
    </w:p>
    <w:p>
      <w:pPr>
        <w:sectPr>
          <w:pgSz w:w="11900" w:h="16838" w:orient="portrait"/>
          <w:cols w:equalWidth="0" w:num="2">
            <w:col w:w="1800" w:space="720"/>
            <w:col w:w="8900"/>
          </w:cols>
          <w:pgMar w:left="240" w:top="796" w:right="239" w:bottom="1440" w:gutter="0" w:footer="0" w:header="0"/>
        </w:sectPr>
      </w:pPr>
    </w:p>
    <w:p>
      <w:pPr>
        <w:spacing w:after="0"/>
        <w:rPr>
          <w:sz w:val="20"/>
          <w:szCs w:val="20"/>
          <w:color w:val="auto"/>
        </w:rPr>
      </w:pPr>
      <w:r>
        <w:rPr>
          <w:rFonts w:ascii="Arial" w:cs="Arial" w:eastAsia="Arial" w:hAnsi="Arial"/>
          <w:sz w:val="18"/>
          <w:szCs w:val="18"/>
          <w:b w:val="1"/>
          <w:bCs w:val="1"/>
          <w:color w:val="auto"/>
        </w:rPr>
        <w:t>Trade Date: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Settlement Date (T+3):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Amount: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Denominations: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Final Maturity Date: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Coupon: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Offering Price: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Day Count: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Proceeds: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Discount:</w:t>
      </w:r>
    </w:p>
    <w:p>
      <w:pPr>
        <w:spacing w:after="0" w:line="200" w:lineRule="exact"/>
        <w:rPr>
          <w:sz w:val="20"/>
          <w:szCs w:val="20"/>
          <w:color w:val="auto"/>
        </w:rPr>
      </w:pPr>
    </w:p>
    <w:p>
      <w:pPr>
        <w:spacing w:after="0" w:line="268" w:lineRule="exact"/>
        <w:rPr>
          <w:sz w:val="20"/>
          <w:szCs w:val="20"/>
          <w:color w:val="auto"/>
        </w:rPr>
      </w:pPr>
    </w:p>
    <w:p>
      <w:pPr>
        <w:ind w:left="220" w:hanging="215"/>
        <w:spacing w:after="0" w:line="261" w:lineRule="auto"/>
        <w:rPr>
          <w:sz w:val="20"/>
          <w:szCs w:val="20"/>
          <w:color w:val="auto"/>
        </w:rPr>
      </w:pPr>
      <w:r>
        <w:rPr>
          <w:rFonts w:ascii="Arial" w:cs="Arial" w:eastAsia="Arial" w:hAnsi="Arial"/>
          <w:sz w:val="18"/>
          <w:szCs w:val="18"/>
          <w:b w:val="1"/>
          <w:bCs w:val="1"/>
          <w:color w:val="auto"/>
        </w:rPr>
        <w:t>Net proceeds to Issuer after underwriting discount and estimated offering expenses: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March 17,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March 22, 2017 (DTC)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$250,000,000</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$1,000 and integral multiples of $1,000 in excess thereof</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March 22, 2022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March 30, June 30, September 30 and December 30, commencing on June 30,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8.875%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100%, plus accrued and unpaid interest, if any, from March 22,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30/360</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$250,000,000</w:t>
      </w:r>
    </w:p>
    <w:p>
      <w:pPr>
        <w:spacing w:after="0" w:line="25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1.75% for institutional orders and 2.80% for retail orders. The underwriters will not receive an underwriting discount or commission on the sale of Notes to Blenheim Holdings Ltd. and any other Notes sold to certain GasLog-related investors.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$245,280,750</w:t>
      </w:r>
    </w:p>
    <w:p>
      <w:pPr>
        <w:spacing w:after="0" w:line="889" w:lineRule="exact"/>
        <w:rPr>
          <w:sz w:val="20"/>
          <w:szCs w:val="20"/>
          <w:color w:val="auto"/>
        </w:rPr>
      </w:pPr>
    </w:p>
    <w:p>
      <w:pPr>
        <w:sectPr>
          <w:pgSz w:w="11900" w:h="16838" w:orient="portrait"/>
          <w:cols w:equalWidth="0" w:num="2">
            <w:col w:w="2280" w:space="240"/>
            <w:col w:w="8900"/>
          </w:cols>
          <w:pgMar w:left="240" w:top="796" w:right="239" w:bottom="1440" w:gutter="0" w:footer="0" w:header="0"/>
          <w:type w:val="continuous"/>
        </w:sectPr>
      </w:pPr>
    </w:p>
    <w:p>
      <w:pPr>
        <w:spacing w:after="0" w:line="7" w:lineRule="exact"/>
        <w:rPr>
          <w:sz w:val="20"/>
          <w:szCs w:val="20"/>
          <w:color w:val="auto"/>
        </w:rPr>
      </w:pPr>
    </w:p>
    <w:p>
      <w:pPr>
        <w:ind w:left="2520" w:right="20" w:hanging="2511"/>
        <w:spacing w:after="0" w:line="279" w:lineRule="auto"/>
        <w:tabs>
          <w:tab w:leader="none" w:pos="2500" w:val="left"/>
        </w:tabs>
        <w:rPr>
          <w:sz w:val="20"/>
          <w:szCs w:val="20"/>
          <w:color w:val="auto"/>
        </w:rPr>
      </w:pPr>
      <w:r>
        <w:rPr>
          <w:rFonts w:ascii="Arial" w:cs="Arial" w:eastAsia="Arial" w:hAnsi="Arial"/>
          <w:sz w:val="18"/>
          <w:szCs w:val="18"/>
          <w:b w:val="1"/>
          <w:bCs w:val="1"/>
          <w:color w:val="auto"/>
        </w:rPr>
        <w:t>Optional Redemption:</w:t>
      </w:r>
      <w:r>
        <w:rPr>
          <w:sz w:val="20"/>
          <w:szCs w:val="20"/>
          <w:color w:val="auto"/>
        </w:rPr>
        <w:tab/>
      </w:r>
      <w:r>
        <w:rPr>
          <w:rFonts w:ascii="Arial" w:cs="Arial" w:eastAsia="Arial" w:hAnsi="Arial"/>
          <w:sz w:val="16"/>
          <w:szCs w:val="16"/>
          <w:color w:val="auto"/>
        </w:rPr>
        <w:t>We have the right to redeem the Notes, in whole or in part, at any time and from time to time at a redemption price equal to the greater of (1) 100% of the principal amount of such Notes plus accrued interest to the date of redemption and (2) determined by the quotation agent, the sum of the present values of the remaining scheduled payments of principal and interest thereon (not including any portion of such payments of interest accrued and unpaid as of the date of redemption) discounted to the redemption date on a quarterly basis (assuming a 360-day year consisting of twelve 30-day months) at the adjusted treasury rate, plus 50 basis points, plus accrued and unpaid interest thereon to the date of redemption.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6"/>
          <w:szCs w:val="16"/>
          <w:b w:val="1"/>
          <w:bCs w:val="1"/>
          <w:color w:val="auto"/>
        </w:rPr>
        <w:t>Ratings: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Notes will not be rated by any nationally recognized statistical rating organization</w:t>
      </w:r>
    </w:p>
    <w:p>
      <w:pPr>
        <w:spacing w:after="0" w:line="200" w:lineRule="exact"/>
        <w:rPr>
          <w:sz w:val="20"/>
          <w:szCs w:val="20"/>
          <w:color w:val="auto"/>
        </w:rPr>
      </w:pPr>
    </w:p>
    <w:p>
      <w:pPr>
        <w:sectPr>
          <w:pgSz w:w="11900" w:h="16838" w:orient="portrait"/>
          <w:cols w:equalWidth="0" w:num="2">
            <w:col w:w="1800" w:space="720"/>
            <w:col w:w="8860"/>
          </w:cols>
          <w:pgMar w:left="240" w:top="445" w:right="279" w:bottom="1440" w:gutter="0" w:footer="0" w:header="0"/>
        </w:sectPr>
      </w:pP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Listing:</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Notes will not be listed on any securities exchange</w:t>
      </w:r>
    </w:p>
    <w:p>
      <w:pPr>
        <w:spacing w:after="0" w:line="200" w:lineRule="exact"/>
        <w:rPr>
          <w:sz w:val="20"/>
          <w:szCs w:val="20"/>
          <w:color w:val="auto"/>
        </w:rPr>
      </w:pPr>
    </w:p>
    <w:p>
      <w:pPr>
        <w:sectPr>
          <w:pgSz w:w="11900" w:h="16838" w:orient="portrait"/>
          <w:cols w:equalWidth="0" w:num="2">
            <w:col w:w="1800" w:space="720"/>
            <w:col w:w="8860"/>
          </w:cols>
          <w:pgMar w:left="240" w:top="445" w:right="279" w:bottom="1440" w:gutter="0" w:footer="0" w:header="0"/>
          <w:type w:val="continuous"/>
        </w:sectPr>
      </w:pP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CUSIP/ISIN:</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G37585 AC3 / USG 37585AC37</w:t>
      </w:r>
    </w:p>
    <w:p>
      <w:pPr>
        <w:spacing w:after="0" w:line="200" w:lineRule="exact"/>
        <w:rPr>
          <w:sz w:val="20"/>
          <w:szCs w:val="20"/>
          <w:color w:val="auto"/>
        </w:rPr>
      </w:pPr>
    </w:p>
    <w:p>
      <w:pPr>
        <w:sectPr>
          <w:pgSz w:w="11900" w:h="16838" w:orient="portrait"/>
          <w:cols w:equalWidth="0" w:num="2">
            <w:col w:w="1800" w:space="720"/>
            <w:col w:w="8860"/>
          </w:cols>
          <w:pgMar w:left="240" w:top="445" w:right="279" w:bottom="1440" w:gutter="0" w:footer="0" w:header="0"/>
          <w:type w:val="continuous"/>
        </w:sectPr>
      </w:pP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Joint Book-Running</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Managers:</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DNB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Stifel, Nicolaus &amp; Company, Incorporated</w:t>
      </w:r>
    </w:p>
    <w:p>
      <w:pPr>
        <w:spacing w:after="0" w:line="222" w:lineRule="exact"/>
        <w:rPr>
          <w:sz w:val="20"/>
          <w:szCs w:val="20"/>
          <w:color w:val="auto"/>
        </w:rPr>
      </w:pPr>
    </w:p>
    <w:p>
      <w:pPr>
        <w:sectPr>
          <w:pgSz w:w="11900" w:h="16838" w:orient="portrait"/>
          <w:cols w:equalWidth="0" w:num="2">
            <w:col w:w="1800" w:space="720"/>
            <w:col w:w="8860"/>
          </w:cols>
          <w:pgMar w:left="240" w:top="445" w:right="27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Co-Managers:</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Arctic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DVB Capital Markets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Pareto Securities Inc.</w:t>
      </w:r>
    </w:p>
    <w:p>
      <w:pPr>
        <w:spacing w:after="0" w:line="200" w:lineRule="exact"/>
        <w:rPr>
          <w:sz w:val="20"/>
          <w:szCs w:val="20"/>
          <w:color w:val="auto"/>
        </w:rPr>
      </w:pPr>
    </w:p>
    <w:p>
      <w:pPr>
        <w:sectPr>
          <w:pgSz w:w="11900" w:h="16838" w:orient="portrait"/>
          <w:cols w:equalWidth="0" w:num="2">
            <w:col w:w="1800" w:space="720"/>
            <w:col w:w="8860"/>
          </w:cols>
          <w:pgMar w:left="240" w:top="445" w:right="27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INFORMATION:</w:t>
      </w:r>
    </w:p>
    <w:p>
      <w:pPr>
        <w:spacing w:after="0" w:line="171"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All information (including financial information) presented in the Preliminary Prospectus is deemed to have changed to the extent affected by the changes described herein.</w:t>
      </w:r>
    </w:p>
    <w:p>
      <w:pPr>
        <w:spacing w:after="0" w:line="11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This communication is intended for the sole use of the person to whom it is provided by us. This communication does not constitute an offer to sell the Notes and is not soliciting an offer to buy the Notes in any jurisdiction where the offer or sale is not permitted.</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obtain these documents for free by visiting EDGAR on the SEC website at www.sec.gov. Alternatively, the Issuer, any underwriter or any dealer participating in the offering will arrange to send you the prospectus if you request it by contacting DNB Markets, Inc. at 1-212-551-9814 or Stifel, Nicolaus &amp; Company, Incorporated at 1-855-300-7136.</w:t>
      </w:r>
    </w:p>
    <w:p>
      <w:pPr>
        <w:spacing w:after="0" w:line="13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type w:val="continuous"/>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429260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446405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GASLOG LTD.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AMERICAN STOCK TRANSFER &amp; TRUST COMPANY, LLC,</w:t>
      </w:r>
    </w:p>
    <w:p>
      <w:pPr>
        <w:spacing w:after="0" w:line="3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INDENTURE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Dated as of March 22,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1112520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1129665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1292860</wp:posOffset>
            </wp:positionV>
            <wp:extent cx="724662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0"/>
        </w:trPr>
        <w:tc>
          <w:tcPr>
            <w:tcW w:w="1740" w:type="dxa"/>
            <w:vAlign w:val="bottom"/>
          </w:tcPr>
          <w:p>
            <w:pPr>
              <w:spacing w:after="0"/>
              <w:rPr>
                <w:sz w:val="20"/>
                <w:szCs w:val="20"/>
                <w:color w:val="auto"/>
              </w:rPr>
            </w:pPr>
          </w:p>
        </w:tc>
        <w:tc>
          <w:tcPr>
            <w:tcW w:w="7820" w:type="dxa"/>
            <w:vAlign w:val="bottom"/>
          </w:tcPr>
          <w:p>
            <w:pPr>
              <w:jc w:val="center"/>
              <w:ind w:left="30"/>
              <w:spacing w:after="0"/>
              <w:rPr>
                <w:sz w:val="20"/>
                <w:szCs w:val="20"/>
                <w:color w:val="auto"/>
              </w:rPr>
            </w:pPr>
            <w:r>
              <w:rPr>
                <w:rFonts w:ascii="Arial" w:cs="Arial" w:eastAsia="Arial" w:hAnsi="Arial"/>
                <w:sz w:val="18"/>
                <w:szCs w:val="18"/>
                <w:color w:val="auto"/>
                <w:w w:val="95"/>
              </w:rPr>
              <w:t>TABLE OF CONTENTS</w:t>
            </w:r>
          </w:p>
        </w:tc>
        <w:tc>
          <w:tcPr>
            <w:tcW w:w="1860" w:type="dxa"/>
            <w:vAlign w:val="bottom"/>
          </w:tcPr>
          <w:p>
            <w:pPr>
              <w:spacing w:after="0"/>
              <w:rPr>
                <w:sz w:val="20"/>
                <w:szCs w:val="20"/>
                <w:color w:val="auto"/>
              </w:rPr>
            </w:pPr>
          </w:p>
        </w:tc>
      </w:tr>
      <w:tr>
        <w:trPr>
          <w:trHeight w:val="432"/>
        </w:trPr>
        <w:tc>
          <w:tcPr>
            <w:tcW w:w="174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432"/>
        </w:trPr>
        <w:tc>
          <w:tcPr>
            <w:tcW w:w="1740" w:type="dxa"/>
            <w:vAlign w:val="bottom"/>
          </w:tcPr>
          <w:p>
            <w:pPr>
              <w:spacing w:after="0"/>
              <w:rPr>
                <w:sz w:val="24"/>
                <w:szCs w:val="24"/>
                <w:color w:val="auto"/>
              </w:rPr>
            </w:pPr>
          </w:p>
        </w:tc>
        <w:tc>
          <w:tcPr>
            <w:tcW w:w="7820" w:type="dxa"/>
            <w:vAlign w:val="bottom"/>
          </w:tcPr>
          <w:p>
            <w:pPr>
              <w:jc w:val="center"/>
              <w:ind w:left="50"/>
              <w:spacing w:after="0"/>
              <w:rPr>
                <w:sz w:val="20"/>
                <w:szCs w:val="20"/>
                <w:color w:val="auto"/>
              </w:rPr>
            </w:pPr>
            <w:r>
              <w:rPr>
                <w:rFonts w:ascii="Arial" w:cs="Arial" w:eastAsia="Arial" w:hAnsi="Arial"/>
                <w:sz w:val="18"/>
                <w:szCs w:val="18"/>
                <w:color w:val="auto"/>
                <w:w w:val="96"/>
              </w:rPr>
              <w:t>ARTICLE 1</w:t>
            </w:r>
          </w:p>
        </w:tc>
        <w:tc>
          <w:tcPr>
            <w:tcW w:w="1860" w:type="dxa"/>
            <w:vAlign w:val="bottom"/>
          </w:tcPr>
          <w:p>
            <w:pPr>
              <w:spacing w:after="0"/>
              <w:rPr>
                <w:sz w:val="24"/>
                <w:szCs w:val="24"/>
                <w:color w:val="auto"/>
              </w:rPr>
            </w:pPr>
          </w:p>
        </w:tc>
      </w:tr>
      <w:tr>
        <w:trPr>
          <w:trHeight w:val="432"/>
        </w:trPr>
        <w:tc>
          <w:tcPr>
            <w:tcW w:w="1740" w:type="dxa"/>
            <w:vAlign w:val="bottom"/>
          </w:tcPr>
          <w:p>
            <w:pPr>
              <w:spacing w:after="0"/>
              <w:rPr>
                <w:sz w:val="24"/>
                <w:szCs w:val="24"/>
                <w:color w:val="auto"/>
              </w:rPr>
            </w:pPr>
          </w:p>
        </w:tc>
        <w:tc>
          <w:tcPr>
            <w:tcW w:w="7820" w:type="dxa"/>
            <w:vAlign w:val="bottom"/>
          </w:tcPr>
          <w:p>
            <w:pPr>
              <w:jc w:val="center"/>
              <w:ind w:left="30"/>
              <w:spacing w:after="0"/>
              <w:rPr>
                <w:sz w:val="20"/>
                <w:szCs w:val="20"/>
                <w:color w:val="auto"/>
              </w:rPr>
            </w:pPr>
            <w:r>
              <w:rPr>
                <w:rFonts w:ascii="Arial" w:cs="Arial" w:eastAsia="Arial" w:hAnsi="Arial"/>
                <w:sz w:val="18"/>
                <w:szCs w:val="18"/>
                <w:color w:val="auto"/>
                <w:w w:val="97"/>
              </w:rPr>
              <w:t>Definitions</w:t>
            </w:r>
          </w:p>
        </w:tc>
        <w:tc>
          <w:tcPr>
            <w:tcW w:w="1860" w:type="dxa"/>
            <w:vAlign w:val="bottom"/>
          </w:tcPr>
          <w:p>
            <w:pPr>
              <w:spacing w:after="0"/>
              <w:rPr>
                <w:sz w:val="24"/>
                <w:szCs w:val="24"/>
                <w:color w:val="auto"/>
              </w:rPr>
            </w:pPr>
          </w:p>
        </w:tc>
      </w:tr>
      <w:tr>
        <w:trPr>
          <w:trHeight w:val="432"/>
        </w:trPr>
        <w:tc>
          <w:tcPr>
            <w:tcW w:w="1740" w:type="dxa"/>
            <w:vAlign w:val="bottom"/>
          </w:tcPr>
          <w:p>
            <w:pPr>
              <w:spacing w:after="0"/>
              <w:rPr>
                <w:sz w:val="20"/>
                <w:szCs w:val="20"/>
                <w:color w:val="auto"/>
              </w:rPr>
            </w:pPr>
            <w:r>
              <w:rPr>
                <w:rFonts w:ascii="Arial" w:cs="Arial" w:eastAsia="Arial" w:hAnsi="Arial"/>
                <w:sz w:val="18"/>
                <w:szCs w:val="18"/>
                <w:color w:val="auto"/>
              </w:rPr>
              <w:t>SECTION 1.01.</w:t>
            </w:r>
          </w:p>
        </w:tc>
        <w:tc>
          <w:tcPr>
            <w:tcW w:w="7820" w:type="dxa"/>
            <w:vAlign w:val="bottom"/>
          </w:tcPr>
          <w:p>
            <w:pPr>
              <w:ind w:left="560"/>
              <w:spacing w:after="0"/>
              <w:rPr>
                <w:sz w:val="20"/>
                <w:szCs w:val="20"/>
                <w:color w:val="auto"/>
              </w:rPr>
            </w:pPr>
            <w:r>
              <w:rPr>
                <w:rFonts w:ascii="Arial" w:cs="Arial" w:eastAsia="Arial" w:hAnsi="Arial"/>
                <w:sz w:val="18"/>
                <w:szCs w:val="18"/>
                <w:color w:val="auto"/>
              </w:rPr>
              <w:t>Certain Terms Defined</w:t>
            </w:r>
          </w:p>
        </w:tc>
        <w:tc>
          <w:tcPr>
            <w:tcW w:w="1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1740" w:type="dxa"/>
            <w:vAlign w:val="bottom"/>
          </w:tcPr>
          <w:p>
            <w:pPr>
              <w:spacing w:after="0"/>
              <w:rPr>
                <w:sz w:val="24"/>
                <w:szCs w:val="24"/>
                <w:color w:val="auto"/>
              </w:rPr>
            </w:pPr>
          </w:p>
        </w:tc>
        <w:tc>
          <w:tcPr>
            <w:tcW w:w="7820" w:type="dxa"/>
            <w:vAlign w:val="bottom"/>
          </w:tcPr>
          <w:p>
            <w:pPr>
              <w:jc w:val="center"/>
              <w:ind w:left="50"/>
              <w:spacing w:after="0"/>
              <w:rPr>
                <w:sz w:val="20"/>
                <w:szCs w:val="20"/>
                <w:color w:val="auto"/>
              </w:rPr>
            </w:pPr>
            <w:r>
              <w:rPr>
                <w:rFonts w:ascii="Arial" w:cs="Arial" w:eastAsia="Arial" w:hAnsi="Arial"/>
                <w:sz w:val="18"/>
                <w:szCs w:val="18"/>
                <w:color w:val="auto"/>
                <w:w w:val="96"/>
              </w:rPr>
              <w:t>ARTICLE 2</w:t>
            </w:r>
          </w:p>
        </w:tc>
        <w:tc>
          <w:tcPr>
            <w:tcW w:w="1860" w:type="dxa"/>
            <w:vAlign w:val="bottom"/>
          </w:tcPr>
          <w:p>
            <w:pPr>
              <w:spacing w:after="0"/>
              <w:rPr>
                <w:sz w:val="24"/>
                <w:szCs w:val="24"/>
                <w:color w:val="auto"/>
              </w:rPr>
            </w:pPr>
          </w:p>
        </w:tc>
      </w:tr>
      <w:tr>
        <w:trPr>
          <w:trHeight w:val="432"/>
        </w:trPr>
        <w:tc>
          <w:tcPr>
            <w:tcW w:w="1740" w:type="dxa"/>
            <w:vAlign w:val="bottom"/>
          </w:tcPr>
          <w:p>
            <w:pPr>
              <w:spacing w:after="0"/>
              <w:rPr>
                <w:sz w:val="24"/>
                <w:szCs w:val="24"/>
                <w:color w:val="auto"/>
              </w:rPr>
            </w:pPr>
          </w:p>
        </w:tc>
        <w:tc>
          <w:tcPr>
            <w:tcW w:w="7820" w:type="dxa"/>
            <w:vAlign w:val="bottom"/>
          </w:tcPr>
          <w:p>
            <w:pPr>
              <w:jc w:val="center"/>
              <w:ind w:left="30"/>
              <w:spacing w:after="0"/>
              <w:rPr>
                <w:sz w:val="20"/>
                <w:szCs w:val="20"/>
                <w:color w:val="auto"/>
              </w:rPr>
            </w:pPr>
            <w:r>
              <w:rPr>
                <w:rFonts w:ascii="Arial" w:cs="Arial" w:eastAsia="Arial" w:hAnsi="Arial"/>
                <w:sz w:val="18"/>
                <w:szCs w:val="18"/>
                <w:color w:val="auto"/>
                <w:w w:val="88"/>
              </w:rPr>
              <w:t>Securities</w:t>
            </w:r>
          </w:p>
        </w:tc>
        <w:tc>
          <w:tcPr>
            <w:tcW w:w="1860" w:type="dxa"/>
            <w:vAlign w:val="bottom"/>
          </w:tcPr>
          <w:p>
            <w:pPr>
              <w:spacing w:after="0"/>
              <w:rPr>
                <w:sz w:val="24"/>
                <w:szCs w:val="24"/>
                <w:color w:val="auto"/>
              </w:rPr>
            </w:pPr>
          </w:p>
        </w:tc>
      </w:tr>
      <w:tr>
        <w:trPr>
          <w:trHeight w:val="418"/>
        </w:trPr>
        <w:tc>
          <w:tcPr>
            <w:tcW w:w="1740" w:type="dxa"/>
            <w:vAlign w:val="bottom"/>
          </w:tcPr>
          <w:p>
            <w:pPr>
              <w:spacing w:after="0"/>
              <w:rPr>
                <w:sz w:val="20"/>
                <w:szCs w:val="20"/>
                <w:color w:val="auto"/>
              </w:rPr>
            </w:pPr>
            <w:r>
              <w:rPr>
                <w:rFonts w:ascii="Arial" w:cs="Arial" w:eastAsia="Arial" w:hAnsi="Arial"/>
                <w:sz w:val="18"/>
                <w:szCs w:val="18"/>
                <w:color w:val="auto"/>
              </w:rPr>
              <w:t>SECTION 2.01.</w:t>
            </w:r>
          </w:p>
        </w:tc>
        <w:tc>
          <w:tcPr>
            <w:tcW w:w="7820" w:type="dxa"/>
            <w:vAlign w:val="bottom"/>
          </w:tcPr>
          <w:p>
            <w:pPr>
              <w:ind w:left="560"/>
              <w:spacing w:after="0"/>
              <w:rPr>
                <w:sz w:val="20"/>
                <w:szCs w:val="20"/>
                <w:color w:val="auto"/>
              </w:rPr>
            </w:pPr>
            <w:r>
              <w:rPr>
                <w:rFonts w:ascii="Arial" w:cs="Arial" w:eastAsia="Arial" w:hAnsi="Arial"/>
                <w:sz w:val="18"/>
                <w:szCs w:val="18"/>
                <w:color w:val="auto"/>
              </w:rPr>
              <w:t>Forms Generally</w:t>
            </w:r>
          </w:p>
        </w:tc>
        <w:tc>
          <w:tcPr>
            <w:tcW w:w="18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SECTION 2.02.</w:t>
            </w:r>
          </w:p>
        </w:tc>
        <w:tc>
          <w:tcPr>
            <w:tcW w:w="7820" w:type="dxa"/>
            <w:vAlign w:val="bottom"/>
          </w:tcPr>
          <w:p>
            <w:pPr>
              <w:ind w:left="560"/>
              <w:spacing w:after="0"/>
              <w:rPr>
                <w:sz w:val="20"/>
                <w:szCs w:val="20"/>
                <w:color w:val="auto"/>
              </w:rPr>
            </w:pPr>
            <w:r>
              <w:rPr>
                <w:rFonts w:ascii="Arial" w:cs="Arial" w:eastAsia="Arial" w:hAnsi="Arial"/>
                <w:sz w:val="18"/>
                <w:szCs w:val="18"/>
                <w:color w:val="auto"/>
              </w:rPr>
              <w:t>Form of Trustee’s Certification of Authentication</w:t>
            </w:r>
          </w:p>
        </w:tc>
        <w:tc>
          <w:tcPr>
            <w:tcW w:w="18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SECTION 2.03.</w:t>
            </w:r>
          </w:p>
        </w:tc>
        <w:tc>
          <w:tcPr>
            <w:tcW w:w="7820" w:type="dxa"/>
            <w:vAlign w:val="bottom"/>
          </w:tcPr>
          <w:p>
            <w:pPr>
              <w:ind w:left="560"/>
              <w:spacing w:after="0"/>
              <w:rPr>
                <w:sz w:val="20"/>
                <w:szCs w:val="20"/>
                <w:color w:val="auto"/>
              </w:rPr>
            </w:pPr>
            <w:r>
              <w:rPr>
                <w:rFonts w:ascii="Arial" w:cs="Arial" w:eastAsia="Arial" w:hAnsi="Arial"/>
                <w:sz w:val="18"/>
                <w:szCs w:val="18"/>
                <w:color w:val="auto"/>
              </w:rPr>
              <w:t>Amount Unlimited; Issuable in Series</w:t>
            </w:r>
          </w:p>
        </w:tc>
        <w:tc>
          <w:tcPr>
            <w:tcW w:w="18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SECTION 2.04.</w:t>
            </w:r>
          </w:p>
        </w:tc>
        <w:tc>
          <w:tcPr>
            <w:tcW w:w="7820" w:type="dxa"/>
            <w:vAlign w:val="bottom"/>
          </w:tcPr>
          <w:p>
            <w:pPr>
              <w:ind w:left="560"/>
              <w:spacing w:after="0"/>
              <w:rPr>
                <w:sz w:val="20"/>
                <w:szCs w:val="20"/>
                <w:color w:val="auto"/>
              </w:rPr>
            </w:pPr>
            <w:r>
              <w:rPr>
                <w:rFonts w:ascii="Arial" w:cs="Arial" w:eastAsia="Arial" w:hAnsi="Arial"/>
                <w:sz w:val="18"/>
                <w:szCs w:val="18"/>
                <w:color w:val="auto"/>
              </w:rPr>
              <w:t>Authentication and Delivery of Securities</w:t>
            </w:r>
          </w:p>
        </w:tc>
        <w:tc>
          <w:tcPr>
            <w:tcW w:w="18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SECTION 2.05.</w:t>
            </w:r>
          </w:p>
        </w:tc>
        <w:tc>
          <w:tcPr>
            <w:tcW w:w="7820" w:type="dxa"/>
            <w:vAlign w:val="bottom"/>
          </w:tcPr>
          <w:p>
            <w:pPr>
              <w:ind w:left="560"/>
              <w:spacing w:after="0"/>
              <w:rPr>
                <w:sz w:val="20"/>
                <w:szCs w:val="20"/>
                <w:color w:val="auto"/>
              </w:rPr>
            </w:pPr>
            <w:r>
              <w:rPr>
                <w:rFonts w:ascii="Arial" w:cs="Arial" w:eastAsia="Arial" w:hAnsi="Arial"/>
                <w:sz w:val="18"/>
                <w:szCs w:val="18"/>
                <w:color w:val="auto"/>
              </w:rPr>
              <w:t>Execution of Securities</w:t>
            </w:r>
          </w:p>
        </w:tc>
        <w:tc>
          <w:tcPr>
            <w:tcW w:w="18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SECTION 2.06.</w:t>
            </w:r>
          </w:p>
        </w:tc>
        <w:tc>
          <w:tcPr>
            <w:tcW w:w="7820" w:type="dxa"/>
            <w:vAlign w:val="bottom"/>
          </w:tcPr>
          <w:p>
            <w:pPr>
              <w:ind w:left="560"/>
              <w:spacing w:after="0"/>
              <w:rPr>
                <w:sz w:val="20"/>
                <w:szCs w:val="20"/>
                <w:color w:val="auto"/>
              </w:rPr>
            </w:pPr>
            <w:r>
              <w:rPr>
                <w:rFonts w:ascii="Arial" w:cs="Arial" w:eastAsia="Arial" w:hAnsi="Arial"/>
                <w:sz w:val="18"/>
                <w:szCs w:val="18"/>
                <w:color w:val="auto"/>
              </w:rPr>
              <w:t>Certificate of Authorization</w:t>
            </w:r>
          </w:p>
        </w:tc>
        <w:tc>
          <w:tcPr>
            <w:tcW w:w="18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SECTION 2.07.</w:t>
            </w:r>
          </w:p>
        </w:tc>
        <w:tc>
          <w:tcPr>
            <w:tcW w:w="7820" w:type="dxa"/>
            <w:vAlign w:val="bottom"/>
          </w:tcPr>
          <w:p>
            <w:pPr>
              <w:ind w:left="560"/>
              <w:spacing w:after="0"/>
              <w:rPr>
                <w:sz w:val="20"/>
                <w:szCs w:val="20"/>
                <w:color w:val="auto"/>
              </w:rPr>
            </w:pPr>
            <w:r>
              <w:rPr>
                <w:rFonts w:ascii="Arial" w:cs="Arial" w:eastAsia="Arial" w:hAnsi="Arial"/>
                <w:sz w:val="18"/>
                <w:szCs w:val="18"/>
                <w:color w:val="auto"/>
              </w:rPr>
              <w:t>Denomination and Date of Securities; Payments of Interest</w:t>
            </w:r>
          </w:p>
        </w:tc>
        <w:tc>
          <w:tcPr>
            <w:tcW w:w="18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SECTION 2.08.</w:t>
            </w:r>
          </w:p>
        </w:tc>
        <w:tc>
          <w:tcPr>
            <w:tcW w:w="7820" w:type="dxa"/>
            <w:vAlign w:val="bottom"/>
          </w:tcPr>
          <w:p>
            <w:pPr>
              <w:ind w:left="560"/>
              <w:spacing w:after="0"/>
              <w:rPr>
                <w:sz w:val="20"/>
                <w:szCs w:val="20"/>
                <w:color w:val="auto"/>
              </w:rPr>
            </w:pPr>
            <w:r>
              <w:rPr>
                <w:rFonts w:ascii="Arial" w:cs="Arial" w:eastAsia="Arial" w:hAnsi="Arial"/>
                <w:sz w:val="18"/>
                <w:szCs w:val="18"/>
                <w:color w:val="auto"/>
              </w:rPr>
              <w:t>Regulation, Transfer and Exchange</w:t>
            </w:r>
          </w:p>
        </w:tc>
        <w:tc>
          <w:tcPr>
            <w:tcW w:w="18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SECTION 2.09.</w:t>
            </w:r>
          </w:p>
        </w:tc>
        <w:tc>
          <w:tcPr>
            <w:tcW w:w="7820" w:type="dxa"/>
            <w:vAlign w:val="bottom"/>
          </w:tcPr>
          <w:p>
            <w:pPr>
              <w:ind w:left="560"/>
              <w:spacing w:after="0"/>
              <w:rPr>
                <w:sz w:val="20"/>
                <w:szCs w:val="20"/>
                <w:color w:val="auto"/>
              </w:rPr>
            </w:pPr>
            <w:r>
              <w:rPr>
                <w:rFonts w:ascii="Arial" w:cs="Arial" w:eastAsia="Arial" w:hAnsi="Arial"/>
                <w:sz w:val="18"/>
                <w:szCs w:val="18"/>
                <w:color w:val="auto"/>
              </w:rPr>
              <w:t>Mutilated, Defaced, Destroyed, Lost and Stolen Securities</w:t>
            </w:r>
          </w:p>
        </w:tc>
        <w:tc>
          <w:tcPr>
            <w:tcW w:w="18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SECTION 2.10.</w:t>
            </w:r>
          </w:p>
        </w:tc>
        <w:tc>
          <w:tcPr>
            <w:tcW w:w="7820" w:type="dxa"/>
            <w:vAlign w:val="bottom"/>
          </w:tcPr>
          <w:p>
            <w:pPr>
              <w:ind w:left="560"/>
              <w:spacing w:after="0"/>
              <w:rPr>
                <w:sz w:val="20"/>
                <w:szCs w:val="20"/>
                <w:color w:val="auto"/>
              </w:rPr>
            </w:pPr>
            <w:r>
              <w:rPr>
                <w:rFonts w:ascii="Arial" w:cs="Arial" w:eastAsia="Arial" w:hAnsi="Arial"/>
                <w:sz w:val="18"/>
                <w:szCs w:val="18"/>
                <w:color w:val="auto"/>
              </w:rPr>
              <w:t>Cancellation of Securities</w:t>
            </w:r>
          </w:p>
        </w:tc>
        <w:tc>
          <w:tcPr>
            <w:tcW w:w="18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SECTION 2.11.</w:t>
            </w:r>
          </w:p>
        </w:tc>
        <w:tc>
          <w:tcPr>
            <w:tcW w:w="7820" w:type="dxa"/>
            <w:vAlign w:val="bottom"/>
          </w:tcPr>
          <w:p>
            <w:pPr>
              <w:ind w:left="560"/>
              <w:spacing w:after="0"/>
              <w:rPr>
                <w:sz w:val="20"/>
                <w:szCs w:val="20"/>
                <w:color w:val="auto"/>
              </w:rPr>
            </w:pPr>
            <w:r>
              <w:rPr>
                <w:rFonts w:ascii="Arial" w:cs="Arial" w:eastAsia="Arial" w:hAnsi="Arial"/>
                <w:sz w:val="18"/>
                <w:szCs w:val="18"/>
                <w:color w:val="auto"/>
              </w:rPr>
              <w:t>Temporary Securities</w:t>
            </w:r>
          </w:p>
        </w:tc>
        <w:tc>
          <w:tcPr>
            <w:tcW w:w="18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740" w:type="dxa"/>
            <w:vAlign w:val="bottom"/>
          </w:tcPr>
          <w:p>
            <w:pPr>
              <w:spacing w:after="0"/>
              <w:rPr>
                <w:sz w:val="20"/>
                <w:szCs w:val="20"/>
                <w:color w:val="auto"/>
              </w:rPr>
            </w:pPr>
            <w:r>
              <w:rPr>
                <w:rFonts w:ascii="Arial" w:cs="Arial" w:eastAsia="Arial" w:hAnsi="Arial"/>
                <w:sz w:val="18"/>
                <w:szCs w:val="18"/>
                <w:color w:val="auto"/>
              </w:rPr>
              <w:t>SECTION 2.12.</w:t>
            </w:r>
          </w:p>
        </w:tc>
        <w:tc>
          <w:tcPr>
            <w:tcW w:w="7820" w:type="dxa"/>
            <w:vAlign w:val="bottom"/>
          </w:tcPr>
          <w:p>
            <w:pPr>
              <w:ind w:left="560"/>
              <w:spacing w:after="0"/>
              <w:rPr>
                <w:sz w:val="20"/>
                <w:szCs w:val="20"/>
                <w:color w:val="auto"/>
              </w:rPr>
            </w:pPr>
            <w:r>
              <w:rPr>
                <w:rFonts w:ascii="Arial" w:cs="Arial" w:eastAsia="Arial" w:hAnsi="Arial"/>
                <w:sz w:val="18"/>
                <w:szCs w:val="18"/>
                <w:color w:val="auto"/>
              </w:rPr>
              <w:t>CUSIP Numbers</w:t>
            </w:r>
          </w:p>
        </w:tc>
        <w:tc>
          <w:tcPr>
            <w:tcW w:w="18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1740" w:type="dxa"/>
            <w:vAlign w:val="bottom"/>
          </w:tcPr>
          <w:p>
            <w:pPr>
              <w:spacing w:after="0"/>
              <w:rPr>
                <w:sz w:val="24"/>
                <w:szCs w:val="24"/>
                <w:color w:val="auto"/>
              </w:rPr>
            </w:pPr>
          </w:p>
        </w:tc>
        <w:tc>
          <w:tcPr>
            <w:tcW w:w="7820" w:type="dxa"/>
            <w:vAlign w:val="bottom"/>
          </w:tcPr>
          <w:p>
            <w:pPr>
              <w:jc w:val="center"/>
              <w:ind w:left="50"/>
              <w:spacing w:after="0"/>
              <w:rPr>
                <w:sz w:val="20"/>
                <w:szCs w:val="20"/>
                <w:color w:val="auto"/>
              </w:rPr>
            </w:pPr>
            <w:r>
              <w:rPr>
                <w:rFonts w:ascii="Arial" w:cs="Arial" w:eastAsia="Arial" w:hAnsi="Arial"/>
                <w:sz w:val="18"/>
                <w:szCs w:val="18"/>
                <w:color w:val="auto"/>
                <w:w w:val="96"/>
              </w:rPr>
              <w:t>ARTICLE 3</w:t>
            </w:r>
          </w:p>
        </w:tc>
        <w:tc>
          <w:tcPr>
            <w:tcW w:w="1860" w:type="dxa"/>
            <w:vAlign w:val="bottom"/>
          </w:tcPr>
          <w:p>
            <w:pPr>
              <w:spacing w:after="0"/>
              <w:rPr>
                <w:sz w:val="24"/>
                <w:szCs w:val="24"/>
                <w:color w:val="auto"/>
              </w:rPr>
            </w:pPr>
          </w:p>
        </w:tc>
      </w:tr>
      <w:tr>
        <w:trPr>
          <w:trHeight w:val="432"/>
        </w:trPr>
        <w:tc>
          <w:tcPr>
            <w:tcW w:w="1740" w:type="dxa"/>
            <w:vAlign w:val="bottom"/>
          </w:tcPr>
          <w:p>
            <w:pPr>
              <w:spacing w:after="0"/>
              <w:rPr>
                <w:sz w:val="24"/>
                <w:szCs w:val="24"/>
                <w:color w:val="auto"/>
              </w:rPr>
            </w:pPr>
          </w:p>
        </w:tc>
        <w:tc>
          <w:tcPr>
            <w:tcW w:w="7820" w:type="dxa"/>
            <w:vAlign w:val="bottom"/>
          </w:tcPr>
          <w:p>
            <w:pPr>
              <w:jc w:val="center"/>
              <w:ind w:left="50"/>
              <w:spacing w:after="0"/>
              <w:rPr>
                <w:sz w:val="20"/>
                <w:szCs w:val="20"/>
                <w:color w:val="auto"/>
              </w:rPr>
            </w:pPr>
            <w:r>
              <w:rPr>
                <w:rFonts w:ascii="Arial" w:cs="Arial" w:eastAsia="Arial" w:hAnsi="Arial"/>
                <w:sz w:val="18"/>
                <w:szCs w:val="18"/>
                <w:color w:val="auto"/>
                <w:w w:val="88"/>
              </w:rPr>
              <w:t>Covenants of the Issuer and the Trustee</w:t>
            </w:r>
          </w:p>
        </w:tc>
        <w:tc>
          <w:tcPr>
            <w:tcW w:w="1860" w:type="dxa"/>
            <w:vAlign w:val="bottom"/>
          </w:tcPr>
          <w:p>
            <w:pPr>
              <w:spacing w:after="0"/>
              <w:rPr>
                <w:sz w:val="24"/>
                <w:szCs w:val="24"/>
                <w:color w:val="auto"/>
              </w:rPr>
            </w:pPr>
          </w:p>
        </w:tc>
      </w:tr>
      <w:tr>
        <w:trPr>
          <w:trHeight w:val="418"/>
        </w:trPr>
        <w:tc>
          <w:tcPr>
            <w:tcW w:w="1740" w:type="dxa"/>
            <w:vAlign w:val="bottom"/>
          </w:tcPr>
          <w:p>
            <w:pPr>
              <w:spacing w:after="0"/>
              <w:rPr>
                <w:sz w:val="20"/>
                <w:szCs w:val="20"/>
                <w:color w:val="auto"/>
              </w:rPr>
            </w:pPr>
            <w:r>
              <w:rPr>
                <w:rFonts w:ascii="Arial" w:cs="Arial" w:eastAsia="Arial" w:hAnsi="Arial"/>
                <w:sz w:val="18"/>
                <w:szCs w:val="18"/>
                <w:color w:val="auto"/>
              </w:rPr>
              <w:t>SECTION 3.01.</w:t>
            </w:r>
          </w:p>
        </w:tc>
        <w:tc>
          <w:tcPr>
            <w:tcW w:w="7820" w:type="dxa"/>
            <w:vAlign w:val="bottom"/>
          </w:tcPr>
          <w:p>
            <w:pPr>
              <w:ind w:left="560"/>
              <w:spacing w:after="0"/>
              <w:rPr>
                <w:sz w:val="20"/>
                <w:szCs w:val="20"/>
                <w:color w:val="auto"/>
              </w:rPr>
            </w:pPr>
            <w:r>
              <w:rPr>
                <w:rFonts w:ascii="Arial" w:cs="Arial" w:eastAsia="Arial" w:hAnsi="Arial"/>
                <w:sz w:val="18"/>
                <w:szCs w:val="18"/>
                <w:color w:val="auto"/>
              </w:rPr>
              <w:t>Payment of Principal and Interest</w:t>
            </w:r>
          </w:p>
        </w:tc>
        <w:tc>
          <w:tcPr>
            <w:tcW w:w="18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SECTION 3.02.</w:t>
            </w:r>
          </w:p>
        </w:tc>
        <w:tc>
          <w:tcPr>
            <w:tcW w:w="7820" w:type="dxa"/>
            <w:vAlign w:val="bottom"/>
          </w:tcPr>
          <w:p>
            <w:pPr>
              <w:ind w:left="560"/>
              <w:spacing w:after="0"/>
              <w:rPr>
                <w:sz w:val="20"/>
                <w:szCs w:val="20"/>
                <w:color w:val="auto"/>
              </w:rPr>
            </w:pPr>
            <w:r>
              <w:rPr>
                <w:rFonts w:ascii="Arial" w:cs="Arial" w:eastAsia="Arial" w:hAnsi="Arial"/>
                <w:sz w:val="18"/>
                <w:szCs w:val="18"/>
                <w:color w:val="auto"/>
              </w:rPr>
              <w:t>Offices for Payments, etc</w:t>
            </w:r>
          </w:p>
        </w:tc>
        <w:tc>
          <w:tcPr>
            <w:tcW w:w="18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SECTION 3.03.</w:t>
            </w:r>
          </w:p>
        </w:tc>
        <w:tc>
          <w:tcPr>
            <w:tcW w:w="7820" w:type="dxa"/>
            <w:vAlign w:val="bottom"/>
          </w:tcPr>
          <w:p>
            <w:pPr>
              <w:ind w:left="560"/>
              <w:spacing w:after="0"/>
              <w:rPr>
                <w:sz w:val="20"/>
                <w:szCs w:val="20"/>
                <w:color w:val="auto"/>
              </w:rPr>
            </w:pPr>
            <w:r>
              <w:rPr>
                <w:rFonts w:ascii="Arial" w:cs="Arial" w:eastAsia="Arial" w:hAnsi="Arial"/>
                <w:sz w:val="18"/>
                <w:szCs w:val="18"/>
                <w:color w:val="auto"/>
              </w:rPr>
              <w:t>Appointment to Fill a Vacancy in Office of Trustee</w:t>
            </w:r>
          </w:p>
        </w:tc>
        <w:tc>
          <w:tcPr>
            <w:tcW w:w="18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SECTION 3.04.</w:t>
            </w:r>
          </w:p>
        </w:tc>
        <w:tc>
          <w:tcPr>
            <w:tcW w:w="7820" w:type="dxa"/>
            <w:vAlign w:val="bottom"/>
          </w:tcPr>
          <w:p>
            <w:pPr>
              <w:ind w:left="560"/>
              <w:spacing w:after="0"/>
              <w:rPr>
                <w:sz w:val="20"/>
                <w:szCs w:val="20"/>
                <w:color w:val="auto"/>
              </w:rPr>
            </w:pPr>
            <w:r>
              <w:rPr>
                <w:rFonts w:ascii="Arial" w:cs="Arial" w:eastAsia="Arial" w:hAnsi="Arial"/>
                <w:sz w:val="18"/>
                <w:szCs w:val="18"/>
                <w:color w:val="auto"/>
              </w:rPr>
              <w:t>Paying Agents</w:t>
            </w:r>
          </w:p>
        </w:tc>
        <w:tc>
          <w:tcPr>
            <w:tcW w:w="18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SECTION 3.05.</w:t>
            </w:r>
          </w:p>
        </w:tc>
        <w:tc>
          <w:tcPr>
            <w:tcW w:w="7820" w:type="dxa"/>
            <w:vAlign w:val="bottom"/>
          </w:tcPr>
          <w:p>
            <w:pPr>
              <w:ind w:left="560"/>
              <w:spacing w:after="0"/>
              <w:rPr>
                <w:sz w:val="20"/>
                <w:szCs w:val="20"/>
                <w:color w:val="auto"/>
              </w:rPr>
            </w:pPr>
            <w:r>
              <w:rPr>
                <w:rFonts w:ascii="Arial" w:cs="Arial" w:eastAsia="Arial" w:hAnsi="Arial"/>
                <w:sz w:val="18"/>
                <w:szCs w:val="18"/>
                <w:color w:val="auto"/>
              </w:rPr>
              <w:t>Certificate of the Issuer</w:t>
            </w:r>
          </w:p>
        </w:tc>
        <w:tc>
          <w:tcPr>
            <w:tcW w:w="1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SECTION 3.06.</w:t>
            </w:r>
          </w:p>
        </w:tc>
        <w:tc>
          <w:tcPr>
            <w:tcW w:w="7820" w:type="dxa"/>
            <w:vAlign w:val="bottom"/>
          </w:tcPr>
          <w:p>
            <w:pPr>
              <w:ind w:left="560"/>
              <w:spacing w:after="0"/>
              <w:rPr>
                <w:sz w:val="20"/>
                <w:szCs w:val="20"/>
                <w:color w:val="auto"/>
              </w:rPr>
            </w:pPr>
            <w:r>
              <w:rPr>
                <w:rFonts w:ascii="Arial" w:cs="Arial" w:eastAsia="Arial" w:hAnsi="Arial"/>
                <w:sz w:val="18"/>
                <w:szCs w:val="18"/>
                <w:color w:val="auto"/>
              </w:rPr>
              <w:t>Securityholders Lists</w:t>
            </w:r>
          </w:p>
        </w:tc>
        <w:tc>
          <w:tcPr>
            <w:tcW w:w="1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SECTION 3.07.</w:t>
            </w:r>
          </w:p>
        </w:tc>
        <w:tc>
          <w:tcPr>
            <w:tcW w:w="7820" w:type="dxa"/>
            <w:vAlign w:val="bottom"/>
          </w:tcPr>
          <w:p>
            <w:pPr>
              <w:ind w:left="560"/>
              <w:spacing w:after="0"/>
              <w:rPr>
                <w:sz w:val="20"/>
                <w:szCs w:val="20"/>
                <w:color w:val="auto"/>
              </w:rPr>
            </w:pPr>
            <w:r>
              <w:rPr>
                <w:rFonts w:ascii="Arial" w:cs="Arial" w:eastAsia="Arial" w:hAnsi="Arial"/>
                <w:sz w:val="18"/>
                <w:szCs w:val="18"/>
                <w:color w:val="auto"/>
              </w:rPr>
              <w:t>Reports by the Issuer</w:t>
            </w:r>
          </w:p>
        </w:tc>
        <w:tc>
          <w:tcPr>
            <w:tcW w:w="1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740" w:type="dxa"/>
            <w:vAlign w:val="bottom"/>
          </w:tcPr>
          <w:p>
            <w:pPr>
              <w:spacing w:after="0"/>
              <w:rPr>
                <w:sz w:val="20"/>
                <w:szCs w:val="20"/>
                <w:color w:val="auto"/>
              </w:rPr>
            </w:pPr>
            <w:r>
              <w:rPr>
                <w:rFonts w:ascii="Arial" w:cs="Arial" w:eastAsia="Arial" w:hAnsi="Arial"/>
                <w:sz w:val="18"/>
                <w:szCs w:val="18"/>
                <w:color w:val="auto"/>
              </w:rPr>
              <w:t>SECTION 3.08.</w:t>
            </w:r>
          </w:p>
        </w:tc>
        <w:tc>
          <w:tcPr>
            <w:tcW w:w="7820" w:type="dxa"/>
            <w:vAlign w:val="bottom"/>
          </w:tcPr>
          <w:p>
            <w:pPr>
              <w:ind w:left="560"/>
              <w:spacing w:after="0"/>
              <w:rPr>
                <w:sz w:val="20"/>
                <w:szCs w:val="20"/>
                <w:color w:val="auto"/>
              </w:rPr>
            </w:pPr>
            <w:r>
              <w:rPr>
                <w:rFonts w:ascii="Arial" w:cs="Arial" w:eastAsia="Arial" w:hAnsi="Arial"/>
                <w:sz w:val="18"/>
                <w:szCs w:val="18"/>
                <w:color w:val="auto"/>
              </w:rPr>
              <w:t>Reports by the Trustee</w:t>
            </w:r>
          </w:p>
        </w:tc>
        <w:tc>
          <w:tcPr>
            <w:tcW w:w="1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1740" w:type="dxa"/>
            <w:vAlign w:val="bottom"/>
          </w:tcPr>
          <w:p>
            <w:pPr>
              <w:spacing w:after="0"/>
              <w:rPr>
                <w:sz w:val="24"/>
                <w:szCs w:val="24"/>
                <w:color w:val="auto"/>
              </w:rPr>
            </w:pPr>
          </w:p>
        </w:tc>
        <w:tc>
          <w:tcPr>
            <w:tcW w:w="7820" w:type="dxa"/>
            <w:vAlign w:val="bottom"/>
          </w:tcPr>
          <w:p>
            <w:pPr>
              <w:jc w:val="center"/>
              <w:ind w:left="50"/>
              <w:spacing w:after="0"/>
              <w:rPr>
                <w:sz w:val="20"/>
                <w:szCs w:val="20"/>
                <w:color w:val="auto"/>
              </w:rPr>
            </w:pPr>
            <w:r>
              <w:rPr>
                <w:rFonts w:ascii="Arial" w:cs="Arial" w:eastAsia="Arial" w:hAnsi="Arial"/>
                <w:sz w:val="18"/>
                <w:szCs w:val="18"/>
                <w:color w:val="auto"/>
                <w:w w:val="96"/>
              </w:rPr>
              <w:t>ARTICLE 4</w:t>
            </w:r>
          </w:p>
        </w:tc>
        <w:tc>
          <w:tcPr>
            <w:tcW w:w="1860" w:type="dxa"/>
            <w:vAlign w:val="bottom"/>
          </w:tcPr>
          <w:p>
            <w:pPr>
              <w:spacing w:after="0"/>
              <w:rPr>
                <w:sz w:val="24"/>
                <w:szCs w:val="24"/>
                <w:color w:val="auto"/>
              </w:rPr>
            </w:pPr>
          </w:p>
        </w:tc>
      </w:tr>
      <w:tr>
        <w:trPr>
          <w:trHeight w:val="432"/>
        </w:trPr>
        <w:tc>
          <w:tcPr>
            <w:tcW w:w="1740" w:type="dxa"/>
            <w:vAlign w:val="bottom"/>
          </w:tcPr>
          <w:p>
            <w:pPr>
              <w:spacing w:after="0"/>
              <w:rPr>
                <w:sz w:val="24"/>
                <w:szCs w:val="24"/>
                <w:color w:val="auto"/>
              </w:rPr>
            </w:pPr>
          </w:p>
        </w:tc>
        <w:tc>
          <w:tcPr>
            <w:tcW w:w="7820" w:type="dxa"/>
            <w:vAlign w:val="bottom"/>
          </w:tcPr>
          <w:p>
            <w:pPr>
              <w:jc w:val="center"/>
              <w:ind w:left="30"/>
              <w:spacing w:after="0"/>
              <w:rPr>
                <w:sz w:val="20"/>
                <w:szCs w:val="20"/>
                <w:color w:val="auto"/>
              </w:rPr>
            </w:pPr>
            <w:r>
              <w:rPr>
                <w:rFonts w:ascii="Arial" w:cs="Arial" w:eastAsia="Arial" w:hAnsi="Arial"/>
                <w:sz w:val="18"/>
                <w:szCs w:val="18"/>
                <w:color w:val="auto"/>
                <w:w w:val="90"/>
              </w:rPr>
              <w:t>Remedies of the Trustee and Securityholders on Event of Default</w:t>
            </w:r>
          </w:p>
        </w:tc>
        <w:tc>
          <w:tcPr>
            <w:tcW w:w="1860" w:type="dxa"/>
            <w:vAlign w:val="bottom"/>
          </w:tcPr>
          <w:p>
            <w:pPr>
              <w:spacing w:after="0"/>
              <w:rPr>
                <w:sz w:val="24"/>
                <w:szCs w:val="24"/>
                <w:color w:val="auto"/>
              </w:rPr>
            </w:pPr>
          </w:p>
        </w:tc>
      </w:tr>
      <w:tr>
        <w:trPr>
          <w:trHeight w:val="418"/>
        </w:trPr>
        <w:tc>
          <w:tcPr>
            <w:tcW w:w="1740" w:type="dxa"/>
            <w:vAlign w:val="bottom"/>
          </w:tcPr>
          <w:p>
            <w:pPr>
              <w:spacing w:after="0"/>
              <w:rPr>
                <w:sz w:val="20"/>
                <w:szCs w:val="20"/>
                <w:color w:val="auto"/>
              </w:rPr>
            </w:pPr>
            <w:r>
              <w:rPr>
                <w:rFonts w:ascii="Arial" w:cs="Arial" w:eastAsia="Arial" w:hAnsi="Arial"/>
                <w:sz w:val="18"/>
                <w:szCs w:val="18"/>
                <w:color w:val="auto"/>
              </w:rPr>
              <w:t>SECTION 4.01.</w:t>
            </w:r>
          </w:p>
        </w:tc>
        <w:tc>
          <w:tcPr>
            <w:tcW w:w="7820" w:type="dxa"/>
            <w:vAlign w:val="bottom"/>
          </w:tcPr>
          <w:p>
            <w:pPr>
              <w:ind w:left="560"/>
              <w:spacing w:after="0"/>
              <w:rPr>
                <w:sz w:val="20"/>
                <w:szCs w:val="20"/>
                <w:color w:val="auto"/>
              </w:rPr>
            </w:pPr>
            <w:r>
              <w:rPr>
                <w:rFonts w:ascii="Arial" w:cs="Arial" w:eastAsia="Arial" w:hAnsi="Arial"/>
                <w:sz w:val="18"/>
                <w:szCs w:val="18"/>
                <w:color w:val="auto"/>
              </w:rPr>
              <w:t>Event of Default; Acceleration of Maturity; Waiver of Default</w:t>
            </w:r>
          </w:p>
        </w:tc>
        <w:tc>
          <w:tcPr>
            <w:tcW w:w="1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SECTION 4.02.</w:t>
            </w:r>
          </w:p>
        </w:tc>
        <w:tc>
          <w:tcPr>
            <w:tcW w:w="7820" w:type="dxa"/>
            <w:vAlign w:val="bottom"/>
          </w:tcPr>
          <w:p>
            <w:pPr>
              <w:ind w:left="560"/>
              <w:spacing w:after="0"/>
              <w:rPr>
                <w:sz w:val="20"/>
                <w:szCs w:val="20"/>
                <w:color w:val="auto"/>
              </w:rPr>
            </w:pPr>
            <w:r>
              <w:rPr>
                <w:rFonts w:ascii="Arial" w:cs="Arial" w:eastAsia="Arial" w:hAnsi="Arial"/>
                <w:sz w:val="18"/>
                <w:szCs w:val="18"/>
                <w:color w:val="auto"/>
              </w:rPr>
              <w:t>Collection of Indebtedness by Trustee; Trustee May Prove Debt</w:t>
            </w:r>
          </w:p>
        </w:tc>
        <w:tc>
          <w:tcPr>
            <w:tcW w:w="18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SECTION 4.03.</w:t>
            </w:r>
          </w:p>
        </w:tc>
        <w:tc>
          <w:tcPr>
            <w:tcW w:w="7820" w:type="dxa"/>
            <w:vAlign w:val="bottom"/>
          </w:tcPr>
          <w:p>
            <w:pPr>
              <w:ind w:left="560"/>
              <w:spacing w:after="0"/>
              <w:rPr>
                <w:sz w:val="20"/>
                <w:szCs w:val="20"/>
                <w:color w:val="auto"/>
              </w:rPr>
            </w:pPr>
            <w:r>
              <w:rPr>
                <w:rFonts w:ascii="Arial" w:cs="Arial" w:eastAsia="Arial" w:hAnsi="Arial"/>
                <w:sz w:val="18"/>
                <w:szCs w:val="18"/>
                <w:color w:val="auto"/>
              </w:rPr>
              <w:t>Application of Proceeds</w:t>
            </w:r>
          </w:p>
        </w:tc>
        <w:tc>
          <w:tcPr>
            <w:tcW w:w="18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SECTION 4.04.</w:t>
            </w:r>
          </w:p>
        </w:tc>
        <w:tc>
          <w:tcPr>
            <w:tcW w:w="7820" w:type="dxa"/>
            <w:vAlign w:val="bottom"/>
          </w:tcPr>
          <w:p>
            <w:pPr>
              <w:ind w:left="560"/>
              <w:spacing w:after="0"/>
              <w:rPr>
                <w:sz w:val="20"/>
                <w:szCs w:val="20"/>
                <w:color w:val="auto"/>
              </w:rPr>
            </w:pPr>
            <w:r>
              <w:rPr>
                <w:rFonts w:ascii="Arial" w:cs="Arial" w:eastAsia="Arial" w:hAnsi="Arial"/>
                <w:sz w:val="18"/>
                <w:szCs w:val="18"/>
                <w:color w:val="auto"/>
              </w:rPr>
              <w:t>Suits for Enforcement</w:t>
            </w:r>
          </w:p>
        </w:tc>
        <w:tc>
          <w:tcPr>
            <w:tcW w:w="18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SECTION 4.05.</w:t>
            </w:r>
          </w:p>
        </w:tc>
        <w:tc>
          <w:tcPr>
            <w:tcW w:w="7820" w:type="dxa"/>
            <w:vAlign w:val="bottom"/>
          </w:tcPr>
          <w:p>
            <w:pPr>
              <w:ind w:left="560"/>
              <w:spacing w:after="0"/>
              <w:rPr>
                <w:sz w:val="20"/>
                <w:szCs w:val="20"/>
                <w:color w:val="auto"/>
              </w:rPr>
            </w:pPr>
            <w:r>
              <w:rPr>
                <w:rFonts w:ascii="Arial" w:cs="Arial" w:eastAsia="Arial" w:hAnsi="Arial"/>
                <w:sz w:val="18"/>
                <w:szCs w:val="18"/>
                <w:color w:val="auto"/>
              </w:rPr>
              <w:t>Restoration of Rights on Abandonment of Proceeding</w:t>
            </w:r>
          </w:p>
        </w:tc>
        <w:tc>
          <w:tcPr>
            <w:tcW w:w="18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SECTION 4.06.</w:t>
            </w:r>
          </w:p>
        </w:tc>
        <w:tc>
          <w:tcPr>
            <w:tcW w:w="7820" w:type="dxa"/>
            <w:vAlign w:val="bottom"/>
          </w:tcPr>
          <w:p>
            <w:pPr>
              <w:ind w:left="560"/>
              <w:spacing w:after="0"/>
              <w:rPr>
                <w:sz w:val="20"/>
                <w:szCs w:val="20"/>
                <w:color w:val="auto"/>
              </w:rPr>
            </w:pPr>
            <w:r>
              <w:rPr>
                <w:rFonts w:ascii="Arial" w:cs="Arial" w:eastAsia="Arial" w:hAnsi="Arial"/>
                <w:sz w:val="18"/>
                <w:szCs w:val="18"/>
                <w:color w:val="auto"/>
              </w:rPr>
              <w:t>Limitations on Suits by Securityholder</w:t>
            </w:r>
          </w:p>
        </w:tc>
        <w:tc>
          <w:tcPr>
            <w:tcW w:w="18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SECTION 4.07.</w:t>
            </w:r>
          </w:p>
        </w:tc>
        <w:tc>
          <w:tcPr>
            <w:tcW w:w="7820" w:type="dxa"/>
            <w:vAlign w:val="bottom"/>
          </w:tcPr>
          <w:p>
            <w:pPr>
              <w:ind w:left="560"/>
              <w:spacing w:after="0"/>
              <w:rPr>
                <w:sz w:val="20"/>
                <w:szCs w:val="20"/>
                <w:color w:val="auto"/>
              </w:rPr>
            </w:pPr>
            <w:r>
              <w:rPr>
                <w:rFonts w:ascii="Arial" w:cs="Arial" w:eastAsia="Arial" w:hAnsi="Arial"/>
                <w:sz w:val="18"/>
                <w:szCs w:val="18"/>
                <w:color w:val="auto"/>
              </w:rPr>
              <w:t>Unconditional Right of Securityholders to Institute Certain Suits</w:t>
            </w:r>
          </w:p>
        </w:tc>
        <w:tc>
          <w:tcPr>
            <w:tcW w:w="18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SECTION 4.08.</w:t>
            </w:r>
          </w:p>
        </w:tc>
        <w:tc>
          <w:tcPr>
            <w:tcW w:w="7820" w:type="dxa"/>
            <w:vAlign w:val="bottom"/>
          </w:tcPr>
          <w:p>
            <w:pPr>
              <w:ind w:left="560"/>
              <w:spacing w:after="0"/>
              <w:rPr>
                <w:sz w:val="20"/>
                <w:szCs w:val="20"/>
                <w:color w:val="auto"/>
              </w:rPr>
            </w:pPr>
            <w:r>
              <w:rPr>
                <w:rFonts w:ascii="Arial" w:cs="Arial" w:eastAsia="Arial" w:hAnsi="Arial"/>
                <w:sz w:val="18"/>
                <w:szCs w:val="18"/>
                <w:color w:val="auto"/>
              </w:rPr>
              <w:t>Powers and Remedies Cumulative; Delay or Omission Not Waiver of Default</w:t>
            </w:r>
          </w:p>
        </w:tc>
        <w:tc>
          <w:tcPr>
            <w:tcW w:w="18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SECTION 4.09.</w:t>
            </w:r>
          </w:p>
        </w:tc>
        <w:tc>
          <w:tcPr>
            <w:tcW w:w="7820" w:type="dxa"/>
            <w:vAlign w:val="bottom"/>
          </w:tcPr>
          <w:p>
            <w:pPr>
              <w:ind w:left="560"/>
              <w:spacing w:after="0"/>
              <w:rPr>
                <w:sz w:val="20"/>
                <w:szCs w:val="20"/>
                <w:color w:val="auto"/>
              </w:rPr>
            </w:pPr>
            <w:r>
              <w:rPr>
                <w:rFonts w:ascii="Arial" w:cs="Arial" w:eastAsia="Arial" w:hAnsi="Arial"/>
                <w:sz w:val="18"/>
                <w:szCs w:val="18"/>
                <w:color w:val="auto"/>
              </w:rPr>
              <w:t>Control by Securityholders</w:t>
            </w:r>
          </w:p>
        </w:tc>
        <w:tc>
          <w:tcPr>
            <w:tcW w:w="18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1740" w:type="dxa"/>
            <w:vAlign w:val="bottom"/>
          </w:tcPr>
          <w:p>
            <w:pPr>
              <w:spacing w:after="0"/>
              <w:rPr>
                <w:sz w:val="20"/>
                <w:szCs w:val="20"/>
                <w:color w:val="auto"/>
              </w:rPr>
            </w:pPr>
            <w:r>
              <w:rPr>
                <w:rFonts w:ascii="Arial" w:cs="Arial" w:eastAsia="Arial" w:hAnsi="Arial"/>
                <w:sz w:val="18"/>
                <w:szCs w:val="18"/>
                <w:color w:val="auto"/>
              </w:rPr>
              <w:t>SECTION 4.10.</w:t>
            </w:r>
          </w:p>
        </w:tc>
        <w:tc>
          <w:tcPr>
            <w:tcW w:w="7820" w:type="dxa"/>
            <w:vAlign w:val="bottom"/>
          </w:tcPr>
          <w:p>
            <w:pPr>
              <w:ind w:left="560"/>
              <w:spacing w:after="0"/>
              <w:rPr>
                <w:sz w:val="20"/>
                <w:szCs w:val="20"/>
                <w:color w:val="auto"/>
              </w:rPr>
            </w:pPr>
            <w:r>
              <w:rPr>
                <w:rFonts w:ascii="Arial" w:cs="Arial" w:eastAsia="Arial" w:hAnsi="Arial"/>
                <w:sz w:val="18"/>
                <w:szCs w:val="18"/>
                <w:color w:val="auto"/>
              </w:rPr>
              <w:t>Waiver of Past Defaults</w:t>
            </w:r>
          </w:p>
        </w:tc>
        <w:tc>
          <w:tcPr>
            <w:tcW w:w="186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SECTION 4.11.</w:t>
            </w:r>
          </w:p>
        </w:tc>
        <w:tc>
          <w:tcPr>
            <w:tcW w:w="8600" w:type="dxa"/>
            <w:vAlign w:val="bottom"/>
          </w:tcPr>
          <w:p>
            <w:pPr>
              <w:ind w:left="560"/>
              <w:spacing w:after="0"/>
              <w:rPr>
                <w:sz w:val="20"/>
                <w:szCs w:val="20"/>
                <w:color w:val="auto"/>
              </w:rPr>
            </w:pPr>
            <w:r>
              <w:rPr>
                <w:rFonts w:ascii="Arial" w:cs="Arial" w:eastAsia="Arial" w:hAnsi="Arial"/>
                <w:sz w:val="18"/>
                <w:szCs w:val="18"/>
                <w:color w:val="auto"/>
              </w:rPr>
              <w:t>Trustee to Give Notice of Default, But May Withhold in Certain Circumstances</w:t>
            </w: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1740" w:type="dxa"/>
            <w:vAlign w:val="bottom"/>
          </w:tcPr>
          <w:p>
            <w:pPr>
              <w:spacing w:after="0"/>
              <w:rPr>
                <w:sz w:val="20"/>
                <w:szCs w:val="20"/>
                <w:color w:val="auto"/>
              </w:rPr>
            </w:pPr>
            <w:r>
              <w:rPr>
                <w:rFonts w:ascii="Arial" w:cs="Arial" w:eastAsia="Arial" w:hAnsi="Arial"/>
                <w:sz w:val="18"/>
                <w:szCs w:val="18"/>
                <w:color w:val="auto"/>
              </w:rPr>
              <w:t>SECTION 4.12.</w:t>
            </w:r>
          </w:p>
        </w:tc>
        <w:tc>
          <w:tcPr>
            <w:tcW w:w="8600" w:type="dxa"/>
            <w:vAlign w:val="bottom"/>
          </w:tcPr>
          <w:p>
            <w:pPr>
              <w:ind w:left="560"/>
              <w:spacing w:after="0"/>
              <w:rPr>
                <w:sz w:val="20"/>
                <w:szCs w:val="20"/>
                <w:color w:val="auto"/>
              </w:rPr>
            </w:pPr>
            <w:r>
              <w:rPr>
                <w:rFonts w:ascii="Arial" w:cs="Arial" w:eastAsia="Arial" w:hAnsi="Arial"/>
                <w:sz w:val="18"/>
                <w:szCs w:val="18"/>
                <w:color w:val="auto"/>
              </w:rPr>
              <w:t>Right of Court to Require Filing of Undertaking to Pay Costs</w:t>
            </w: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1740" w:type="dxa"/>
            <w:vAlign w:val="bottom"/>
          </w:tcPr>
          <w:p>
            <w:pPr>
              <w:spacing w:after="0"/>
              <w:rPr>
                <w:sz w:val="24"/>
                <w:szCs w:val="24"/>
                <w:color w:val="auto"/>
              </w:rPr>
            </w:pPr>
          </w:p>
        </w:tc>
        <w:tc>
          <w:tcPr>
            <w:tcW w:w="8600" w:type="dxa"/>
            <w:vAlign w:val="bottom"/>
          </w:tcPr>
          <w:p>
            <w:pPr>
              <w:jc w:val="center"/>
              <w:ind w:right="550"/>
              <w:spacing w:after="0"/>
              <w:rPr>
                <w:sz w:val="20"/>
                <w:szCs w:val="20"/>
                <w:color w:val="auto"/>
              </w:rPr>
            </w:pPr>
            <w:r>
              <w:rPr>
                <w:rFonts w:ascii="Arial" w:cs="Arial" w:eastAsia="Arial" w:hAnsi="Arial"/>
                <w:sz w:val="18"/>
                <w:szCs w:val="18"/>
                <w:color w:val="auto"/>
                <w:w w:val="96"/>
              </w:rPr>
              <w:t>ARTICLE 5</w:t>
            </w:r>
          </w:p>
        </w:tc>
        <w:tc>
          <w:tcPr>
            <w:tcW w:w="1080" w:type="dxa"/>
            <w:vAlign w:val="bottom"/>
          </w:tcPr>
          <w:p>
            <w:pPr>
              <w:spacing w:after="0"/>
              <w:rPr>
                <w:sz w:val="24"/>
                <w:szCs w:val="24"/>
                <w:color w:val="auto"/>
              </w:rPr>
            </w:pPr>
          </w:p>
        </w:tc>
      </w:tr>
      <w:tr>
        <w:trPr>
          <w:trHeight w:val="432"/>
        </w:trPr>
        <w:tc>
          <w:tcPr>
            <w:tcW w:w="1740" w:type="dxa"/>
            <w:vAlign w:val="bottom"/>
          </w:tcPr>
          <w:p>
            <w:pPr>
              <w:spacing w:after="0"/>
              <w:rPr>
                <w:sz w:val="24"/>
                <w:szCs w:val="24"/>
                <w:color w:val="auto"/>
              </w:rPr>
            </w:pPr>
          </w:p>
        </w:tc>
        <w:tc>
          <w:tcPr>
            <w:tcW w:w="8600" w:type="dxa"/>
            <w:vAlign w:val="bottom"/>
          </w:tcPr>
          <w:p>
            <w:pPr>
              <w:jc w:val="center"/>
              <w:ind w:right="550"/>
              <w:spacing w:after="0"/>
              <w:rPr>
                <w:sz w:val="20"/>
                <w:szCs w:val="20"/>
                <w:color w:val="auto"/>
              </w:rPr>
            </w:pPr>
            <w:r>
              <w:rPr>
                <w:rFonts w:ascii="Arial" w:cs="Arial" w:eastAsia="Arial" w:hAnsi="Arial"/>
                <w:sz w:val="18"/>
                <w:szCs w:val="18"/>
                <w:color w:val="auto"/>
                <w:w w:val="89"/>
              </w:rPr>
              <w:t>Concerning the Trustee</w:t>
            </w:r>
          </w:p>
        </w:tc>
        <w:tc>
          <w:tcPr>
            <w:tcW w:w="1080" w:type="dxa"/>
            <w:vAlign w:val="bottom"/>
          </w:tcPr>
          <w:p>
            <w:pPr>
              <w:spacing w:after="0"/>
              <w:rPr>
                <w:sz w:val="24"/>
                <w:szCs w:val="24"/>
                <w:color w:val="auto"/>
              </w:rPr>
            </w:pPr>
          </w:p>
        </w:tc>
      </w:tr>
      <w:tr>
        <w:trPr>
          <w:trHeight w:val="418"/>
        </w:trPr>
        <w:tc>
          <w:tcPr>
            <w:tcW w:w="1740" w:type="dxa"/>
            <w:vAlign w:val="bottom"/>
          </w:tcPr>
          <w:p>
            <w:pPr>
              <w:spacing w:after="0"/>
              <w:rPr>
                <w:sz w:val="20"/>
                <w:szCs w:val="20"/>
                <w:color w:val="auto"/>
              </w:rPr>
            </w:pPr>
            <w:r>
              <w:rPr>
                <w:rFonts w:ascii="Arial" w:cs="Arial" w:eastAsia="Arial" w:hAnsi="Arial"/>
                <w:sz w:val="18"/>
                <w:szCs w:val="18"/>
                <w:color w:val="auto"/>
              </w:rPr>
              <w:t>SECTION 5.01.</w:t>
            </w:r>
          </w:p>
        </w:tc>
        <w:tc>
          <w:tcPr>
            <w:tcW w:w="8600" w:type="dxa"/>
            <w:vAlign w:val="bottom"/>
          </w:tcPr>
          <w:p>
            <w:pPr>
              <w:ind w:left="560"/>
              <w:spacing w:after="0"/>
              <w:rPr>
                <w:sz w:val="20"/>
                <w:szCs w:val="20"/>
                <w:color w:val="auto"/>
              </w:rPr>
            </w:pPr>
            <w:r>
              <w:rPr>
                <w:rFonts w:ascii="Arial" w:cs="Arial" w:eastAsia="Arial" w:hAnsi="Arial"/>
                <w:sz w:val="18"/>
                <w:szCs w:val="18"/>
                <w:color w:val="auto"/>
              </w:rPr>
              <w:t>Duties and Responsibilities of the Trustee; During Default; Prior to Default</w:t>
            </w: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SECTION 5.02.</w:t>
            </w:r>
          </w:p>
        </w:tc>
        <w:tc>
          <w:tcPr>
            <w:tcW w:w="8600" w:type="dxa"/>
            <w:vAlign w:val="bottom"/>
          </w:tcPr>
          <w:p>
            <w:pPr>
              <w:ind w:left="560"/>
              <w:spacing w:after="0"/>
              <w:rPr>
                <w:sz w:val="20"/>
                <w:szCs w:val="20"/>
                <w:color w:val="auto"/>
              </w:rPr>
            </w:pPr>
            <w:r>
              <w:rPr>
                <w:rFonts w:ascii="Arial" w:cs="Arial" w:eastAsia="Arial" w:hAnsi="Arial"/>
                <w:sz w:val="18"/>
                <w:szCs w:val="18"/>
                <w:color w:val="auto"/>
              </w:rPr>
              <w:t>Certain Rights of the Trustee</w:t>
            </w: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SECTION 5.03.</w:t>
            </w:r>
          </w:p>
        </w:tc>
        <w:tc>
          <w:tcPr>
            <w:tcW w:w="8600" w:type="dxa"/>
            <w:vAlign w:val="bottom"/>
          </w:tcPr>
          <w:p>
            <w:pPr>
              <w:ind w:left="560"/>
              <w:spacing w:after="0"/>
              <w:rPr>
                <w:sz w:val="20"/>
                <w:szCs w:val="20"/>
                <w:color w:val="auto"/>
              </w:rPr>
            </w:pPr>
            <w:r>
              <w:rPr>
                <w:rFonts w:ascii="Arial" w:cs="Arial" w:eastAsia="Arial" w:hAnsi="Arial"/>
                <w:sz w:val="18"/>
                <w:szCs w:val="18"/>
                <w:color w:val="auto"/>
              </w:rPr>
              <w:t>Trustee Not Responsible for Recitals, Disposition of Securities or Application of Proceeds Thereof</w:t>
            </w: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SECTION 5.04.</w:t>
            </w:r>
          </w:p>
        </w:tc>
        <w:tc>
          <w:tcPr>
            <w:tcW w:w="8600" w:type="dxa"/>
            <w:vAlign w:val="bottom"/>
          </w:tcPr>
          <w:p>
            <w:pPr>
              <w:ind w:left="560"/>
              <w:spacing w:after="0"/>
              <w:rPr>
                <w:sz w:val="20"/>
                <w:szCs w:val="20"/>
                <w:color w:val="auto"/>
              </w:rPr>
            </w:pPr>
            <w:r>
              <w:rPr>
                <w:rFonts w:ascii="Arial" w:cs="Arial" w:eastAsia="Arial" w:hAnsi="Arial"/>
                <w:sz w:val="18"/>
                <w:szCs w:val="18"/>
                <w:color w:val="auto"/>
              </w:rPr>
              <w:t>Trustee and Agents May Hold Securities; Collections, etc</w:t>
            </w: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SECTION 5.05.</w:t>
            </w:r>
          </w:p>
        </w:tc>
        <w:tc>
          <w:tcPr>
            <w:tcW w:w="8600" w:type="dxa"/>
            <w:vAlign w:val="bottom"/>
          </w:tcPr>
          <w:p>
            <w:pPr>
              <w:ind w:left="560"/>
              <w:spacing w:after="0"/>
              <w:rPr>
                <w:sz w:val="20"/>
                <w:szCs w:val="20"/>
                <w:color w:val="auto"/>
              </w:rPr>
            </w:pPr>
            <w:r>
              <w:rPr>
                <w:rFonts w:ascii="Arial" w:cs="Arial" w:eastAsia="Arial" w:hAnsi="Arial"/>
                <w:sz w:val="18"/>
                <w:szCs w:val="18"/>
                <w:color w:val="auto"/>
              </w:rPr>
              <w:t>Moneys Held by Trustee</w:t>
            </w: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SECTION 5.06.</w:t>
            </w:r>
          </w:p>
        </w:tc>
        <w:tc>
          <w:tcPr>
            <w:tcW w:w="8600" w:type="dxa"/>
            <w:vAlign w:val="bottom"/>
          </w:tcPr>
          <w:p>
            <w:pPr>
              <w:ind w:left="560"/>
              <w:spacing w:after="0"/>
              <w:rPr>
                <w:sz w:val="20"/>
                <w:szCs w:val="20"/>
                <w:color w:val="auto"/>
              </w:rPr>
            </w:pPr>
            <w:r>
              <w:rPr>
                <w:rFonts w:ascii="Arial" w:cs="Arial" w:eastAsia="Arial" w:hAnsi="Arial"/>
                <w:sz w:val="18"/>
                <w:szCs w:val="18"/>
                <w:color w:val="auto"/>
              </w:rPr>
              <w:t>Compensation and Indemnification of Trustee and its Prior Claim</w:t>
            </w: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SECTION 5.07.</w:t>
            </w:r>
          </w:p>
        </w:tc>
        <w:tc>
          <w:tcPr>
            <w:tcW w:w="8600" w:type="dxa"/>
            <w:vAlign w:val="bottom"/>
          </w:tcPr>
          <w:p>
            <w:pPr>
              <w:ind w:left="560"/>
              <w:spacing w:after="0"/>
              <w:rPr>
                <w:sz w:val="20"/>
                <w:szCs w:val="20"/>
                <w:color w:val="auto"/>
              </w:rPr>
            </w:pPr>
            <w:r>
              <w:rPr>
                <w:rFonts w:ascii="Arial" w:cs="Arial" w:eastAsia="Arial" w:hAnsi="Arial"/>
                <w:sz w:val="18"/>
                <w:szCs w:val="18"/>
                <w:color w:val="auto"/>
              </w:rPr>
              <w:t>Right of Trustee to Rely on Officers’ Certificate, etc</w:t>
            </w: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SECTION 5.08.</w:t>
            </w:r>
          </w:p>
        </w:tc>
        <w:tc>
          <w:tcPr>
            <w:tcW w:w="8600" w:type="dxa"/>
            <w:vAlign w:val="bottom"/>
          </w:tcPr>
          <w:p>
            <w:pPr>
              <w:ind w:left="560"/>
              <w:spacing w:after="0"/>
              <w:rPr>
                <w:sz w:val="20"/>
                <w:szCs w:val="20"/>
                <w:color w:val="auto"/>
              </w:rPr>
            </w:pPr>
            <w:r>
              <w:rPr>
                <w:rFonts w:ascii="Arial" w:cs="Arial" w:eastAsia="Arial" w:hAnsi="Arial"/>
                <w:sz w:val="18"/>
                <w:szCs w:val="18"/>
                <w:color w:val="auto"/>
              </w:rPr>
              <w:t>Persons Eligible for Appointment as Trustee</w:t>
            </w: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SECTION 5.09.</w:t>
            </w:r>
          </w:p>
        </w:tc>
        <w:tc>
          <w:tcPr>
            <w:tcW w:w="8600" w:type="dxa"/>
            <w:vAlign w:val="bottom"/>
          </w:tcPr>
          <w:p>
            <w:pPr>
              <w:ind w:left="560"/>
              <w:spacing w:after="0"/>
              <w:rPr>
                <w:sz w:val="20"/>
                <w:szCs w:val="20"/>
                <w:color w:val="auto"/>
              </w:rPr>
            </w:pPr>
            <w:r>
              <w:rPr>
                <w:rFonts w:ascii="Arial" w:cs="Arial" w:eastAsia="Arial" w:hAnsi="Arial"/>
                <w:sz w:val="18"/>
                <w:szCs w:val="18"/>
                <w:color w:val="auto"/>
              </w:rPr>
              <w:t>Resignation and Removal; Appointment of Successor Trustee</w:t>
            </w: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SECTION 5.10.</w:t>
            </w:r>
          </w:p>
        </w:tc>
        <w:tc>
          <w:tcPr>
            <w:tcW w:w="8600" w:type="dxa"/>
            <w:vAlign w:val="bottom"/>
          </w:tcPr>
          <w:p>
            <w:pPr>
              <w:ind w:left="560"/>
              <w:spacing w:after="0"/>
              <w:rPr>
                <w:sz w:val="20"/>
                <w:szCs w:val="20"/>
                <w:color w:val="auto"/>
              </w:rPr>
            </w:pPr>
            <w:r>
              <w:rPr>
                <w:rFonts w:ascii="Arial" w:cs="Arial" w:eastAsia="Arial" w:hAnsi="Arial"/>
                <w:sz w:val="18"/>
                <w:szCs w:val="18"/>
                <w:color w:val="auto"/>
              </w:rPr>
              <w:t>Acceptance of Appointment by Successor Trustee</w:t>
            </w: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1740" w:type="dxa"/>
            <w:vAlign w:val="bottom"/>
          </w:tcPr>
          <w:p>
            <w:pPr>
              <w:spacing w:after="0"/>
              <w:rPr>
                <w:sz w:val="20"/>
                <w:szCs w:val="20"/>
                <w:color w:val="auto"/>
              </w:rPr>
            </w:pPr>
            <w:r>
              <w:rPr>
                <w:rFonts w:ascii="Arial" w:cs="Arial" w:eastAsia="Arial" w:hAnsi="Arial"/>
                <w:sz w:val="18"/>
                <w:szCs w:val="18"/>
                <w:color w:val="auto"/>
              </w:rPr>
              <w:t>SECTION 5.11.</w:t>
            </w:r>
          </w:p>
        </w:tc>
        <w:tc>
          <w:tcPr>
            <w:tcW w:w="8600" w:type="dxa"/>
            <w:vAlign w:val="bottom"/>
          </w:tcPr>
          <w:p>
            <w:pPr>
              <w:ind w:left="560"/>
              <w:spacing w:after="0"/>
              <w:rPr>
                <w:sz w:val="20"/>
                <w:szCs w:val="20"/>
                <w:color w:val="auto"/>
              </w:rPr>
            </w:pPr>
            <w:r>
              <w:rPr>
                <w:rFonts w:ascii="Arial" w:cs="Arial" w:eastAsia="Arial" w:hAnsi="Arial"/>
                <w:sz w:val="18"/>
                <w:szCs w:val="18"/>
                <w:color w:val="auto"/>
              </w:rPr>
              <w:t>Merger, Conversion, Consolidation or Succession to Business of Trustee</w:t>
            </w: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1740" w:type="dxa"/>
            <w:vAlign w:val="bottom"/>
          </w:tcPr>
          <w:p>
            <w:pPr>
              <w:spacing w:after="0"/>
              <w:rPr>
                <w:sz w:val="24"/>
                <w:szCs w:val="24"/>
                <w:color w:val="auto"/>
              </w:rPr>
            </w:pPr>
          </w:p>
        </w:tc>
        <w:tc>
          <w:tcPr>
            <w:tcW w:w="8600" w:type="dxa"/>
            <w:vAlign w:val="bottom"/>
          </w:tcPr>
          <w:p>
            <w:pPr>
              <w:jc w:val="center"/>
              <w:ind w:right="550"/>
              <w:spacing w:after="0"/>
              <w:rPr>
                <w:sz w:val="20"/>
                <w:szCs w:val="20"/>
                <w:color w:val="auto"/>
              </w:rPr>
            </w:pPr>
            <w:r>
              <w:rPr>
                <w:rFonts w:ascii="Arial" w:cs="Arial" w:eastAsia="Arial" w:hAnsi="Arial"/>
                <w:sz w:val="18"/>
                <w:szCs w:val="18"/>
                <w:color w:val="auto"/>
                <w:w w:val="96"/>
              </w:rPr>
              <w:t>ARTICLE 6</w:t>
            </w:r>
          </w:p>
        </w:tc>
        <w:tc>
          <w:tcPr>
            <w:tcW w:w="1080" w:type="dxa"/>
            <w:vAlign w:val="bottom"/>
          </w:tcPr>
          <w:p>
            <w:pPr>
              <w:spacing w:after="0"/>
              <w:rPr>
                <w:sz w:val="24"/>
                <w:szCs w:val="24"/>
                <w:color w:val="auto"/>
              </w:rPr>
            </w:pPr>
          </w:p>
        </w:tc>
      </w:tr>
      <w:tr>
        <w:trPr>
          <w:trHeight w:val="432"/>
        </w:trPr>
        <w:tc>
          <w:tcPr>
            <w:tcW w:w="1740" w:type="dxa"/>
            <w:vAlign w:val="bottom"/>
          </w:tcPr>
          <w:p>
            <w:pPr>
              <w:spacing w:after="0"/>
              <w:rPr>
                <w:sz w:val="24"/>
                <w:szCs w:val="24"/>
                <w:color w:val="auto"/>
              </w:rPr>
            </w:pPr>
          </w:p>
        </w:tc>
        <w:tc>
          <w:tcPr>
            <w:tcW w:w="8600" w:type="dxa"/>
            <w:vAlign w:val="bottom"/>
          </w:tcPr>
          <w:p>
            <w:pPr>
              <w:jc w:val="center"/>
              <w:ind w:right="550"/>
              <w:spacing w:after="0"/>
              <w:rPr>
                <w:sz w:val="20"/>
                <w:szCs w:val="20"/>
                <w:color w:val="auto"/>
              </w:rPr>
            </w:pPr>
            <w:r>
              <w:rPr>
                <w:rFonts w:ascii="Arial" w:cs="Arial" w:eastAsia="Arial" w:hAnsi="Arial"/>
                <w:sz w:val="18"/>
                <w:szCs w:val="18"/>
                <w:color w:val="auto"/>
                <w:w w:val="90"/>
              </w:rPr>
              <w:t>Concerning the Securityholders</w:t>
            </w:r>
          </w:p>
        </w:tc>
        <w:tc>
          <w:tcPr>
            <w:tcW w:w="1080" w:type="dxa"/>
            <w:vAlign w:val="bottom"/>
          </w:tcPr>
          <w:p>
            <w:pPr>
              <w:spacing w:after="0"/>
              <w:rPr>
                <w:sz w:val="24"/>
                <w:szCs w:val="24"/>
                <w:color w:val="auto"/>
              </w:rPr>
            </w:pPr>
          </w:p>
        </w:tc>
      </w:tr>
      <w:tr>
        <w:trPr>
          <w:trHeight w:val="418"/>
        </w:trPr>
        <w:tc>
          <w:tcPr>
            <w:tcW w:w="1740" w:type="dxa"/>
            <w:vAlign w:val="bottom"/>
          </w:tcPr>
          <w:p>
            <w:pPr>
              <w:spacing w:after="0"/>
              <w:rPr>
                <w:sz w:val="20"/>
                <w:szCs w:val="20"/>
                <w:color w:val="auto"/>
              </w:rPr>
            </w:pPr>
            <w:r>
              <w:rPr>
                <w:rFonts w:ascii="Arial" w:cs="Arial" w:eastAsia="Arial" w:hAnsi="Arial"/>
                <w:sz w:val="18"/>
                <w:szCs w:val="18"/>
                <w:color w:val="auto"/>
              </w:rPr>
              <w:t>SECTION 6.01.</w:t>
            </w:r>
          </w:p>
        </w:tc>
        <w:tc>
          <w:tcPr>
            <w:tcW w:w="8600" w:type="dxa"/>
            <w:vAlign w:val="bottom"/>
          </w:tcPr>
          <w:p>
            <w:pPr>
              <w:ind w:left="560"/>
              <w:spacing w:after="0"/>
              <w:rPr>
                <w:sz w:val="20"/>
                <w:szCs w:val="20"/>
                <w:color w:val="auto"/>
              </w:rPr>
            </w:pPr>
            <w:r>
              <w:rPr>
                <w:rFonts w:ascii="Arial" w:cs="Arial" w:eastAsia="Arial" w:hAnsi="Arial"/>
                <w:sz w:val="18"/>
                <w:szCs w:val="18"/>
                <w:color w:val="auto"/>
              </w:rPr>
              <w:t>Evidence of Action Taken by Securityholders</w:t>
            </w: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SECTION 6.02.</w:t>
            </w:r>
          </w:p>
        </w:tc>
        <w:tc>
          <w:tcPr>
            <w:tcW w:w="8600" w:type="dxa"/>
            <w:vAlign w:val="bottom"/>
          </w:tcPr>
          <w:p>
            <w:pPr>
              <w:ind w:left="560"/>
              <w:spacing w:after="0"/>
              <w:rPr>
                <w:sz w:val="20"/>
                <w:szCs w:val="20"/>
                <w:color w:val="auto"/>
              </w:rPr>
            </w:pPr>
            <w:r>
              <w:rPr>
                <w:rFonts w:ascii="Arial" w:cs="Arial" w:eastAsia="Arial" w:hAnsi="Arial"/>
                <w:sz w:val="18"/>
                <w:szCs w:val="18"/>
                <w:color w:val="auto"/>
              </w:rPr>
              <w:t>Proof of Execution of Instruments and of Holding of Securities; Record Date</w:t>
            </w: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SECTION 6.03.</w:t>
            </w:r>
          </w:p>
        </w:tc>
        <w:tc>
          <w:tcPr>
            <w:tcW w:w="8600" w:type="dxa"/>
            <w:vAlign w:val="bottom"/>
          </w:tcPr>
          <w:p>
            <w:pPr>
              <w:ind w:left="560"/>
              <w:spacing w:after="0"/>
              <w:rPr>
                <w:sz w:val="20"/>
                <w:szCs w:val="20"/>
                <w:color w:val="auto"/>
              </w:rPr>
            </w:pPr>
            <w:r>
              <w:rPr>
                <w:rFonts w:ascii="Arial" w:cs="Arial" w:eastAsia="Arial" w:hAnsi="Arial"/>
                <w:sz w:val="18"/>
                <w:szCs w:val="18"/>
                <w:color w:val="auto"/>
              </w:rPr>
              <w:t>Holders to be Treated as Owners</w:t>
            </w: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SECTION 6.04.</w:t>
            </w:r>
          </w:p>
        </w:tc>
        <w:tc>
          <w:tcPr>
            <w:tcW w:w="8600" w:type="dxa"/>
            <w:vAlign w:val="bottom"/>
          </w:tcPr>
          <w:p>
            <w:pPr>
              <w:ind w:left="560"/>
              <w:spacing w:after="0"/>
              <w:rPr>
                <w:sz w:val="20"/>
                <w:szCs w:val="20"/>
                <w:color w:val="auto"/>
              </w:rPr>
            </w:pPr>
            <w:r>
              <w:rPr>
                <w:rFonts w:ascii="Arial" w:cs="Arial" w:eastAsia="Arial" w:hAnsi="Arial"/>
                <w:sz w:val="18"/>
                <w:szCs w:val="18"/>
                <w:color w:val="auto"/>
              </w:rPr>
              <w:t>Securities Owned by Issuer Deemed Not Outstanding</w:t>
            </w: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1740" w:type="dxa"/>
            <w:vAlign w:val="bottom"/>
          </w:tcPr>
          <w:p>
            <w:pPr>
              <w:spacing w:after="0"/>
              <w:rPr>
                <w:sz w:val="20"/>
                <w:szCs w:val="20"/>
                <w:color w:val="auto"/>
              </w:rPr>
            </w:pPr>
            <w:r>
              <w:rPr>
                <w:rFonts w:ascii="Arial" w:cs="Arial" w:eastAsia="Arial" w:hAnsi="Arial"/>
                <w:sz w:val="18"/>
                <w:szCs w:val="18"/>
                <w:color w:val="auto"/>
              </w:rPr>
              <w:t>SECTION 6.05.</w:t>
            </w:r>
          </w:p>
        </w:tc>
        <w:tc>
          <w:tcPr>
            <w:tcW w:w="8600" w:type="dxa"/>
            <w:vAlign w:val="bottom"/>
          </w:tcPr>
          <w:p>
            <w:pPr>
              <w:ind w:left="560"/>
              <w:spacing w:after="0"/>
              <w:rPr>
                <w:sz w:val="20"/>
                <w:szCs w:val="20"/>
                <w:color w:val="auto"/>
              </w:rPr>
            </w:pPr>
            <w:r>
              <w:rPr>
                <w:rFonts w:ascii="Arial" w:cs="Arial" w:eastAsia="Arial" w:hAnsi="Arial"/>
                <w:sz w:val="18"/>
                <w:szCs w:val="18"/>
                <w:color w:val="auto"/>
              </w:rPr>
              <w:t>Right of Revocation of Action Taken</w:t>
            </w:r>
          </w:p>
        </w:tc>
        <w:tc>
          <w:tcPr>
            <w:tcW w:w="10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1740" w:type="dxa"/>
            <w:vAlign w:val="bottom"/>
          </w:tcPr>
          <w:p>
            <w:pPr>
              <w:spacing w:after="0"/>
              <w:rPr>
                <w:sz w:val="24"/>
                <w:szCs w:val="24"/>
                <w:color w:val="auto"/>
              </w:rPr>
            </w:pPr>
          </w:p>
        </w:tc>
        <w:tc>
          <w:tcPr>
            <w:tcW w:w="8600" w:type="dxa"/>
            <w:vAlign w:val="bottom"/>
          </w:tcPr>
          <w:p>
            <w:pPr>
              <w:jc w:val="center"/>
              <w:ind w:right="550"/>
              <w:spacing w:after="0"/>
              <w:rPr>
                <w:sz w:val="20"/>
                <w:szCs w:val="20"/>
                <w:color w:val="auto"/>
              </w:rPr>
            </w:pPr>
            <w:r>
              <w:rPr>
                <w:rFonts w:ascii="Arial" w:cs="Arial" w:eastAsia="Arial" w:hAnsi="Arial"/>
                <w:sz w:val="18"/>
                <w:szCs w:val="18"/>
                <w:color w:val="auto"/>
                <w:w w:val="96"/>
              </w:rPr>
              <w:t>ARTICLE 7</w:t>
            </w:r>
          </w:p>
        </w:tc>
        <w:tc>
          <w:tcPr>
            <w:tcW w:w="1080" w:type="dxa"/>
            <w:vAlign w:val="bottom"/>
          </w:tcPr>
          <w:p>
            <w:pPr>
              <w:spacing w:after="0"/>
              <w:rPr>
                <w:sz w:val="24"/>
                <w:szCs w:val="24"/>
                <w:color w:val="auto"/>
              </w:rPr>
            </w:pPr>
          </w:p>
        </w:tc>
      </w:tr>
      <w:tr>
        <w:trPr>
          <w:trHeight w:val="432"/>
        </w:trPr>
        <w:tc>
          <w:tcPr>
            <w:tcW w:w="1740" w:type="dxa"/>
            <w:vAlign w:val="bottom"/>
          </w:tcPr>
          <w:p>
            <w:pPr>
              <w:spacing w:after="0"/>
              <w:rPr>
                <w:sz w:val="24"/>
                <w:szCs w:val="24"/>
                <w:color w:val="auto"/>
              </w:rPr>
            </w:pPr>
          </w:p>
        </w:tc>
        <w:tc>
          <w:tcPr>
            <w:tcW w:w="8600" w:type="dxa"/>
            <w:vAlign w:val="bottom"/>
          </w:tcPr>
          <w:p>
            <w:pPr>
              <w:jc w:val="center"/>
              <w:ind w:right="550"/>
              <w:spacing w:after="0"/>
              <w:rPr>
                <w:sz w:val="20"/>
                <w:szCs w:val="20"/>
                <w:color w:val="auto"/>
              </w:rPr>
            </w:pPr>
            <w:r>
              <w:rPr>
                <w:rFonts w:ascii="Arial" w:cs="Arial" w:eastAsia="Arial" w:hAnsi="Arial"/>
                <w:sz w:val="18"/>
                <w:szCs w:val="18"/>
                <w:color w:val="auto"/>
                <w:w w:val="89"/>
              </w:rPr>
              <w:t>Supplemental Indentures</w:t>
            </w:r>
          </w:p>
        </w:tc>
        <w:tc>
          <w:tcPr>
            <w:tcW w:w="1080" w:type="dxa"/>
            <w:vAlign w:val="bottom"/>
          </w:tcPr>
          <w:p>
            <w:pPr>
              <w:spacing w:after="0"/>
              <w:rPr>
                <w:sz w:val="24"/>
                <w:szCs w:val="24"/>
                <w:color w:val="auto"/>
              </w:rPr>
            </w:pPr>
          </w:p>
        </w:tc>
      </w:tr>
      <w:tr>
        <w:trPr>
          <w:trHeight w:val="418"/>
        </w:trPr>
        <w:tc>
          <w:tcPr>
            <w:tcW w:w="1740" w:type="dxa"/>
            <w:vAlign w:val="bottom"/>
          </w:tcPr>
          <w:p>
            <w:pPr>
              <w:spacing w:after="0"/>
              <w:rPr>
                <w:sz w:val="20"/>
                <w:szCs w:val="20"/>
                <w:color w:val="auto"/>
              </w:rPr>
            </w:pPr>
            <w:r>
              <w:rPr>
                <w:rFonts w:ascii="Arial" w:cs="Arial" w:eastAsia="Arial" w:hAnsi="Arial"/>
                <w:sz w:val="18"/>
                <w:szCs w:val="18"/>
                <w:color w:val="auto"/>
              </w:rPr>
              <w:t>SECTION 7.01.</w:t>
            </w:r>
          </w:p>
        </w:tc>
        <w:tc>
          <w:tcPr>
            <w:tcW w:w="8600" w:type="dxa"/>
            <w:vAlign w:val="bottom"/>
          </w:tcPr>
          <w:p>
            <w:pPr>
              <w:ind w:left="560"/>
              <w:spacing w:after="0"/>
              <w:rPr>
                <w:sz w:val="20"/>
                <w:szCs w:val="20"/>
                <w:color w:val="auto"/>
              </w:rPr>
            </w:pPr>
            <w:r>
              <w:rPr>
                <w:rFonts w:ascii="Arial" w:cs="Arial" w:eastAsia="Arial" w:hAnsi="Arial"/>
                <w:sz w:val="18"/>
                <w:szCs w:val="18"/>
                <w:color w:val="auto"/>
              </w:rPr>
              <w:t>Supplemental Indentures Without Consent of Securityholders</w:t>
            </w:r>
          </w:p>
        </w:tc>
        <w:tc>
          <w:tcPr>
            <w:tcW w:w="10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SECTION 7.02.</w:t>
            </w:r>
          </w:p>
        </w:tc>
        <w:tc>
          <w:tcPr>
            <w:tcW w:w="8600" w:type="dxa"/>
            <w:vAlign w:val="bottom"/>
          </w:tcPr>
          <w:p>
            <w:pPr>
              <w:ind w:left="560"/>
              <w:spacing w:after="0"/>
              <w:rPr>
                <w:sz w:val="20"/>
                <w:szCs w:val="20"/>
                <w:color w:val="auto"/>
              </w:rPr>
            </w:pPr>
            <w:r>
              <w:rPr>
                <w:rFonts w:ascii="Arial" w:cs="Arial" w:eastAsia="Arial" w:hAnsi="Arial"/>
                <w:sz w:val="18"/>
                <w:szCs w:val="18"/>
                <w:color w:val="auto"/>
              </w:rPr>
              <w:t>Supplemental Indentures With Consent of Securityholders</w:t>
            </w: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SECTION 7.03.</w:t>
            </w:r>
          </w:p>
        </w:tc>
        <w:tc>
          <w:tcPr>
            <w:tcW w:w="8600" w:type="dxa"/>
            <w:vAlign w:val="bottom"/>
          </w:tcPr>
          <w:p>
            <w:pPr>
              <w:ind w:left="560"/>
              <w:spacing w:after="0"/>
              <w:rPr>
                <w:sz w:val="20"/>
                <w:szCs w:val="20"/>
                <w:color w:val="auto"/>
              </w:rPr>
            </w:pPr>
            <w:r>
              <w:rPr>
                <w:rFonts w:ascii="Arial" w:cs="Arial" w:eastAsia="Arial" w:hAnsi="Arial"/>
                <w:sz w:val="18"/>
                <w:szCs w:val="18"/>
                <w:color w:val="auto"/>
              </w:rPr>
              <w:t>Effect of Supplemental Indenture</w:t>
            </w: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SECTION 7.04.</w:t>
            </w:r>
          </w:p>
        </w:tc>
        <w:tc>
          <w:tcPr>
            <w:tcW w:w="8600" w:type="dxa"/>
            <w:vAlign w:val="bottom"/>
          </w:tcPr>
          <w:p>
            <w:pPr>
              <w:ind w:left="560"/>
              <w:spacing w:after="0"/>
              <w:rPr>
                <w:sz w:val="20"/>
                <w:szCs w:val="20"/>
                <w:color w:val="auto"/>
              </w:rPr>
            </w:pPr>
            <w:r>
              <w:rPr>
                <w:rFonts w:ascii="Arial" w:cs="Arial" w:eastAsia="Arial" w:hAnsi="Arial"/>
                <w:sz w:val="18"/>
                <w:szCs w:val="18"/>
                <w:color w:val="auto"/>
              </w:rPr>
              <w:t>Documents to Be Given to Trustee</w:t>
            </w: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1740" w:type="dxa"/>
            <w:vAlign w:val="bottom"/>
          </w:tcPr>
          <w:p>
            <w:pPr>
              <w:spacing w:after="0"/>
              <w:rPr>
                <w:sz w:val="20"/>
                <w:szCs w:val="20"/>
                <w:color w:val="auto"/>
              </w:rPr>
            </w:pPr>
            <w:r>
              <w:rPr>
                <w:rFonts w:ascii="Arial" w:cs="Arial" w:eastAsia="Arial" w:hAnsi="Arial"/>
                <w:sz w:val="18"/>
                <w:szCs w:val="18"/>
                <w:color w:val="auto"/>
              </w:rPr>
              <w:t>SECTION 7.05.</w:t>
            </w:r>
          </w:p>
        </w:tc>
        <w:tc>
          <w:tcPr>
            <w:tcW w:w="8600" w:type="dxa"/>
            <w:vAlign w:val="bottom"/>
          </w:tcPr>
          <w:p>
            <w:pPr>
              <w:ind w:left="560"/>
              <w:spacing w:after="0"/>
              <w:rPr>
                <w:sz w:val="20"/>
                <w:szCs w:val="20"/>
                <w:color w:val="auto"/>
              </w:rPr>
            </w:pPr>
            <w:r>
              <w:rPr>
                <w:rFonts w:ascii="Arial" w:cs="Arial" w:eastAsia="Arial" w:hAnsi="Arial"/>
                <w:sz w:val="18"/>
                <w:szCs w:val="18"/>
                <w:color w:val="auto"/>
              </w:rPr>
              <w:t>Notation on Securities in Respect of Supplemental Indentures</w:t>
            </w: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32"/>
        </w:trPr>
        <w:tc>
          <w:tcPr>
            <w:tcW w:w="1740" w:type="dxa"/>
            <w:vAlign w:val="bottom"/>
          </w:tcPr>
          <w:p>
            <w:pPr>
              <w:spacing w:after="0"/>
              <w:rPr>
                <w:sz w:val="24"/>
                <w:szCs w:val="24"/>
                <w:color w:val="auto"/>
              </w:rPr>
            </w:pPr>
          </w:p>
        </w:tc>
        <w:tc>
          <w:tcPr>
            <w:tcW w:w="8600" w:type="dxa"/>
            <w:vAlign w:val="bottom"/>
          </w:tcPr>
          <w:p>
            <w:pPr>
              <w:jc w:val="center"/>
              <w:ind w:right="550"/>
              <w:spacing w:after="0"/>
              <w:rPr>
                <w:sz w:val="20"/>
                <w:szCs w:val="20"/>
                <w:color w:val="auto"/>
              </w:rPr>
            </w:pPr>
            <w:r>
              <w:rPr>
                <w:rFonts w:ascii="Arial" w:cs="Arial" w:eastAsia="Arial" w:hAnsi="Arial"/>
                <w:sz w:val="18"/>
                <w:szCs w:val="18"/>
                <w:color w:val="auto"/>
                <w:w w:val="96"/>
              </w:rPr>
              <w:t>ARTICLE 8</w:t>
            </w:r>
          </w:p>
        </w:tc>
        <w:tc>
          <w:tcPr>
            <w:tcW w:w="1080" w:type="dxa"/>
            <w:vAlign w:val="bottom"/>
          </w:tcPr>
          <w:p>
            <w:pPr>
              <w:spacing w:after="0"/>
              <w:rPr>
                <w:sz w:val="24"/>
                <w:szCs w:val="24"/>
                <w:color w:val="auto"/>
              </w:rPr>
            </w:pPr>
          </w:p>
        </w:tc>
      </w:tr>
      <w:tr>
        <w:trPr>
          <w:trHeight w:val="432"/>
        </w:trPr>
        <w:tc>
          <w:tcPr>
            <w:tcW w:w="1740" w:type="dxa"/>
            <w:vAlign w:val="bottom"/>
          </w:tcPr>
          <w:p>
            <w:pPr>
              <w:spacing w:after="0"/>
              <w:rPr>
                <w:sz w:val="24"/>
                <w:szCs w:val="24"/>
                <w:color w:val="auto"/>
              </w:rPr>
            </w:pPr>
          </w:p>
        </w:tc>
        <w:tc>
          <w:tcPr>
            <w:tcW w:w="8600" w:type="dxa"/>
            <w:vAlign w:val="bottom"/>
          </w:tcPr>
          <w:p>
            <w:pPr>
              <w:jc w:val="center"/>
              <w:ind w:right="570"/>
              <w:spacing w:after="0"/>
              <w:rPr>
                <w:sz w:val="20"/>
                <w:szCs w:val="20"/>
                <w:color w:val="auto"/>
              </w:rPr>
            </w:pPr>
            <w:r>
              <w:rPr>
                <w:rFonts w:ascii="Arial" w:cs="Arial" w:eastAsia="Arial" w:hAnsi="Arial"/>
                <w:sz w:val="18"/>
                <w:szCs w:val="18"/>
                <w:color w:val="auto"/>
                <w:w w:val="90"/>
              </w:rPr>
              <w:t>Consolidation, Merger, Sale or Conveyance</w:t>
            </w:r>
          </w:p>
        </w:tc>
        <w:tc>
          <w:tcPr>
            <w:tcW w:w="1080" w:type="dxa"/>
            <w:vAlign w:val="bottom"/>
          </w:tcPr>
          <w:p>
            <w:pPr>
              <w:spacing w:after="0"/>
              <w:rPr>
                <w:sz w:val="24"/>
                <w:szCs w:val="24"/>
                <w:color w:val="auto"/>
              </w:rPr>
            </w:pPr>
          </w:p>
        </w:tc>
      </w:tr>
      <w:tr>
        <w:trPr>
          <w:trHeight w:val="418"/>
        </w:trPr>
        <w:tc>
          <w:tcPr>
            <w:tcW w:w="1740" w:type="dxa"/>
            <w:vAlign w:val="bottom"/>
          </w:tcPr>
          <w:p>
            <w:pPr>
              <w:spacing w:after="0"/>
              <w:rPr>
                <w:sz w:val="20"/>
                <w:szCs w:val="20"/>
                <w:color w:val="auto"/>
              </w:rPr>
            </w:pPr>
            <w:r>
              <w:rPr>
                <w:rFonts w:ascii="Arial" w:cs="Arial" w:eastAsia="Arial" w:hAnsi="Arial"/>
                <w:sz w:val="18"/>
                <w:szCs w:val="18"/>
                <w:color w:val="auto"/>
              </w:rPr>
              <w:t>SECTION 8.01.</w:t>
            </w:r>
          </w:p>
        </w:tc>
        <w:tc>
          <w:tcPr>
            <w:tcW w:w="8600" w:type="dxa"/>
            <w:vAlign w:val="bottom"/>
          </w:tcPr>
          <w:p>
            <w:pPr>
              <w:ind w:left="560"/>
              <w:spacing w:after="0"/>
              <w:rPr>
                <w:sz w:val="20"/>
                <w:szCs w:val="20"/>
                <w:color w:val="auto"/>
              </w:rPr>
            </w:pPr>
            <w:r>
              <w:rPr>
                <w:rFonts w:ascii="Arial" w:cs="Arial" w:eastAsia="Arial" w:hAnsi="Arial"/>
                <w:sz w:val="18"/>
                <w:szCs w:val="18"/>
                <w:color w:val="auto"/>
              </w:rPr>
              <w:t>Issuer May Consolidate, etc., on Certain Terms</w:t>
            </w: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SECTION 8.02.</w:t>
            </w:r>
          </w:p>
        </w:tc>
        <w:tc>
          <w:tcPr>
            <w:tcW w:w="8600" w:type="dxa"/>
            <w:vAlign w:val="bottom"/>
          </w:tcPr>
          <w:p>
            <w:pPr>
              <w:ind w:left="560"/>
              <w:spacing w:after="0"/>
              <w:rPr>
                <w:sz w:val="20"/>
                <w:szCs w:val="20"/>
                <w:color w:val="auto"/>
              </w:rPr>
            </w:pPr>
            <w:r>
              <w:rPr>
                <w:rFonts w:ascii="Arial" w:cs="Arial" w:eastAsia="Arial" w:hAnsi="Arial"/>
                <w:sz w:val="18"/>
                <w:szCs w:val="18"/>
                <w:color w:val="auto"/>
              </w:rPr>
              <w:t>Successor Substituted</w:t>
            </w: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1740" w:type="dxa"/>
            <w:vAlign w:val="bottom"/>
          </w:tcPr>
          <w:p>
            <w:pPr>
              <w:spacing w:after="0"/>
              <w:rPr>
                <w:sz w:val="20"/>
                <w:szCs w:val="20"/>
                <w:color w:val="auto"/>
              </w:rPr>
            </w:pPr>
            <w:r>
              <w:rPr>
                <w:rFonts w:ascii="Arial" w:cs="Arial" w:eastAsia="Arial" w:hAnsi="Arial"/>
                <w:sz w:val="18"/>
                <w:szCs w:val="18"/>
                <w:color w:val="auto"/>
              </w:rPr>
              <w:t>SECTION 8.03.</w:t>
            </w:r>
          </w:p>
        </w:tc>
        <w:tc>
          <w:tcPr>
            <w:tcW w:w="8600" w:type="dxa"/>
            <w:vAlign w:val="bottom"/>
          </w:tcPr>
          <w:p>
            <w:pPr>
              <w:ind w:left="560"/>
              <w:spacing w:after="0"/>
              <w:rPr>
                <w:sz w:val="20"/>
                <w:szCs w:val="20"/>
                <w:color w:val="auto"/>
              </w:rPr>
            </w:pPr>
            <w:r>
              <w:rPr>
                <w:rFonts w:ascii="Arial" w:cs="Arial" w:eastAsia="Arial" w:hAnsi="Arial"/>
                <w:sz w:val="18"/>
                <w:szCs w:val="18"/>
                <w:color w:val="auto"/>
              </w:rPr>
              <w:t>Opinion of Counsel to Trustee</w:t>
            </w: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1740" w:type="dxa"/>
            <w:vAlign w:val="bottom"/>
          </w:tcPr>
          <w:p>
            <w:pPr>
              <w:spacing w:after="0"/>
              <w:rPr>
                <w:sz w:val="24"/>
                <w:szCs w:val="24"/>
                <w:color w:val="auto"/>
              </w:rPr>
            </w:pPr>
          </w:p>
        </w:tc>
        <w:tc>
          <w:tcPr>
            <w:tcW w:w="8600" w:type="dxa"/>
            <w:vAlign w:val="bottom"/>
          </w:tcPr>
          <w:p>
            <w:pPr>
              <w:jc w:val="center"/>
              <w:ind w:right="550"/>
              <w:spacing w:after="0"/>
              <w:rPr>
                <w:sz w:val="20"/>
                <w:szCs w:val="20"/>
                <w:color w:val="auto"/>
              </w:rPr>
            </w:pPr>
            <w:r>
              <w:rPr>
                <w:rFonts w:ascii="Arial" w:cs="Arial" w:eastAsia="Arial" w:hAnsi="Arial"/>
                <w:sz w:val="18"/>
                <w:szCs w:val="18"/>
                <w:color w:val="auto"/>
                <w:w w:val="96"/>
              </w:rPr>
              <w:t>ARTICLE 9</w:t>
            </w:r>
          </w:p>
        </w:tc>
        <w:tc>
          <w:tcPr>
            <w:tcW w:w="1080" w:type="dxa"/>
            <w:vAlign w:val="bottom"/>
          </w:tcPr>
          <w:p>
            <w:pPr>
              <w:spacing w:after="0"/>
              <w:rPr>
                <w:sz w:val="24"/>
                <w:szCs w:val="24"/>
                <w:color w:val="auto"/>
              </w:rPr>
            </w:pPr>
          </w:p>
        </w:tc>
      </w:tr>
      <w:tr>
        <w:trPr>
          <w:trHeight w:val="432"/>
        </w:trPr>
        <w:tc>
          <w:tcPr>
            <w:tcW w:w="1740" w:type="dxa"/>
            <w:vAlign w:val="bottom"/>
          </w:tcPr>
          <w:p>
            <w:pPr>
              <w:spacing w:after="0"/>
              <w:rPr>
                <w:sz w:val="24"/>
                <w:szCs w:val="24"/>
                <w:color w:val="auto"/>
              </w:rPr>
            </w:pPr>
          </w:p>
        </w:tc>
        <w:tc>
          <w:tcPr>
            <w:tcW w:w="8600" w:type="dxa"/>
            <w:vAlign w:val="bottom"/>
          </w:tcPr>
          <w:p>
            <w:pPr>
              <w:jc w:val="center"/>
              <w:ind w:right="550"/>
              <w:spacing w:after="0"/>
              <w:rPr>
                <w:sz w:val="20"/>
                <w:szCs w:val="20"/>
                <w:color w:val="auto"/>
              </w:rPr>
            </w:pPr>
            <w:r>
              <w:rPr>
                <w:rFonts w:ascii="Arial" w:cs="Arial" w:eastAsia="Arial" w:hAnsi="Arial"/>
                <w:sz w:val="18"/>
                <w:szCs w:val="18"/>
                <w:color w:val="auto"/>
                <w:w w:val="91"/>
              </w:rPr>
              <w:t>Satisfaction and Discharge of Indenture; Unclaimed Moneys</w:t>
            </w:r>
          </w:p>
        </w:tc>
        <w:tc>
          <w:tcPr>
            <w:tcW w:w="1080" w:type="dxa"/>
            <w:vAlign w:val="bottom"/>
          </w:tcPr>
          <w:p>
            <w:pPr>
              <w:spacing w:after="0"/>
              <w:rPr>
                <w:sz w:val="24"/>
                <w:szCs w:val="24"/>
                <w:color w:val="auto"/>
              </w:rPr>
            </w:pPr>
          </w:p>
        </w:tc>
      </w:tr>
      <w:tr>
        <w:trPr>
          <w:trHeight w:val="418"/>
        </w:trPr>
        <w:tc>
          <w:tcPr>
            <w:tcW w:w="1740" w:type="dxa"/>
            <w:vAlign w:val="bottom"/>
          </w:tcPr>
          <w:p>
            <w:pPr>
              <w:spacing w:after="0"/>
              <w:rPr>
                <w:sz w:val="20"/>
                <w:szCs w:val="20"/>
                <w:color w:val="auto"/>
              </w:rPr>
            </w:pPr>
            <w:r>
              <w:rPr>
                <w:rFonts w:ascii="Arial" w:cs="Arial" w:eastAsia="Arial" w:hAnsi="Arial"/>
                <w:sz w:val="18"/>
                <w:szCs w:val="18"/>
                <w:color w:val="auto"/>
              </w:rPr>
              <w:t>SECTION 9.01.</w:t>
            </w:r>
          </w:p>
        </w:tc>
        <w:tc>
          <w:tcPr>
            <w:tcW w:w="8600" w:type="dxa"/>
            <w:vAlign w:val="bottom"/>
          </w:tcPr>
          <w:p>
            <w:pPr>
              <w:ind w:left="560"/>
              <w:spacing w:after="0"/>
              <w:rPr>
                <w:sz w:val="20"/>
                <w:szCs w:val="20"/>
                <w:color w:val="auto"/>
              </w:rPr>
            </w:pPr>
            <w:r>
              <w:rPr>
                <w:rFonts w:ascii="Arial" w:cs="Arial" w:eastAsia="Arial" w:hAnsi="Arial"/>
                <w:sz w:val="18"/>
                <w:szCs w:val="18"/>
                <w:color w:val="auto"/>
              </w:rPr>
              <w:t>Satisfaction and Discharge of Indenture</w:t>
            </w: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1740" w:type="dxa"/>
            <w:vAlign w:val="bottom"/>
          </w:tcPr>
          <w:p>
            <w:pPr>
              <w:spacing w:after="0"/>
              <w:rPr>
                <w:sz w:val="20"/>
                <w:szCs w:val="20"/>
                <w:color w:val="auto"/>
              </w:rPr>
            </w:pPr>
            <w:r>
              <w:rPr>
                <w:rFonts w:ascii="Arial" w:cs="Arial" w:eastAsia="Arial" w:hAnsi="Arial"/>
                <w:sz w:val="18"/>
                <w:szCs w:val="18"/>
                <w:color w:val="auto"/>
              </w:rPr>
              <w:t>SECTION 9.02.</w:t>
            </w:r>
          </w:p>
        </w:tc>
        <w:tc>
          <w:tcPr>
            <w:tcW w:w="8600" w:type="dxa"/>
            <w:vAlign w:val="bottom"/>
          </w:tcPr>
          <w:p>
            <w:pPr>
              <w:ind w:left="560"/>
              <w:spacing w:after="0"/>
              <w:rPr>
                <w:sz w:val="20"/>
                <w:szCs w:val="20"/>
                <w:color w:val="auto"/>
              </w:rPr>
            </w:pPr>
            <w:r>
              <w:rPr>
                <w:rFonts w:ascii="Arial" w:cs="Arial" w:eastAsia="Arial" w:hAnsi="Arial"/>
                <w:sz w:val="18"/>
                <w:szCs w:val="18"/>
                <w:color w:val="auto"/>
              </w:rPr>
              <w:t>Application by Trustee of Funds Deposited for Payment of Securities</w:t>
            </w:r>
          </w:p>
        </w:tc>
        <w:tc>
          <w:tcPr>
            <w:tcW w:w="10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7"/>
        </w:trPr>
        <w:tc>
          <w:tcPr>
            <w:tcW w:w="1740" w:type="dxa"/>
            <w:vAlign w:val="bottom"/>
            <w:tcBorders>
              <w:bottom w:val="single" w:sz="8" w:color="C0C0C0"/>
            </w:tcBorders>
          </w:tcPr>
          <w:p>
            <w:pPr>
              <w:spacing w:after="0"/>
              <w:rPr>
                <w:sz w:val="24"/>
                <w:szCs w:val="24"/>
                <w:color w:val="auto"/>
              </w:rPr>
            </w:pPr>
          </w:p>
        </w:tc>
        <w:tc>
          <w:tcPr>
            <w:tcW w:w="8600" w:type="dxa"/>
            <w:vAlign w:val="bottom"/>
            <w:tcBorders>
              <w:bottom w:val="single" w:sz="8" w:color="C0C0C0"/>
            </w:tcBorders>
          </w:tcPr>
          <w:p>
            <w:pPr>
              <w:spacing w:after="0"/>
              <w:rPr>
                <w:sz w:val="24"/>
                <w:szCs w:val="24"/>
                <w:color w:val="auto"/>
              </w:rPr>
            </w:pPr>
          </w:p>
        </w:tc>
        <w:tc>
          <w:tcPr>
            <w:tcW w:w="108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409" w:right="239" w:bottom="144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SECTION 9.03.</w:t>
            </w:r>
          </w:p>
        </w:tc>
        <w:tc>
          <w:tcPr>
            <w:tcW w:w="8780" w:type="dxa"/>
            <w:vAlign w:val="bottom"/>
          </w:tcPr>
          <w:p>
            <w:pPr>
              <w:ind w:left="520"/>
              <w:spacing w:after="0"/>
              <w:rPr>
                <w:sz w:val="20"/>
                <w:szCs w:val="20"/>
                <w:color w:val="auto"/>
              </w:rPr>
            </w:pPr>
            <w:r>
              <w:rPr>
                <w:rFonts w:ascii="Arial" w:cs="Arial" w:eastAsia="Arial" w:hAnsi="Arial"/>
                <w:sz w:val="18"/>
                <w:szCs w:val="18"/>
                <w:color w:val="auto"/>
              </w:rPr>
              <w:t>Repayment of Moneys Held by Paying Agent</w:t>
            </w:r>
          </w:p>
        </w:tc>
        <w:tc>
          <w:tcPr>
            <w:tcW w:w="8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SECTION 9.04.</w:t>
            </w:r>
          </w:p>
        </w:tc>
        <w:tc>
          <w:tcPr>
            <w:tcW w:w="8780" w:type="dxa"/>
            <w:vAlign w:val="bottom"/>
          </w:tcPr>
          <w:p>
            <w:pPr>
              <w:ind w:left="520"/>
              <w:spacing w:after="0"/>
              <w:rPr>
                <w:sz w:val="20"/>
                <w:szCs w:val="20"/>
                <w:color w:val="auto"/>
              </w:rPr>
            </w:pPr>
            <w:r>
              <w:rPr>
                <w:rFonts w:ascii="Arial" w:cs="Arial" w:eastAsia="Arial" w:hAnsi="Arial"/>
                <w:sz w:val="18"/>
                <w:szCs w:val="18"/>
                <w:color w:val="auto"/>
              </w:rPr>
              <w:t>Return of Moneys Held by Trustee and Paying Agent Unclaimed for Two Years</w:t>
            </w:r>
          </w:p>
        </w:tc>
        <w:tc>
          <w:tcPr>
            <w:tcW w:w="8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1780" w:type="dxa"/>
            <w:vAlign w:val="bottom"/>
          </w:tcPr>
          <w:p>
            <w:pPr>
              <w:spacing w:after="0"/>
              <w:rPr>
                <w:sz w:val="24"/>
                <w:szCs w:val="24"/>
                <w:color w:val="auto"/>
              </w:rPr>
            </w:pPr>
          </w:p>
        </w:tc>
        <w:tc>
          <w:tcPr>
            <w:tcW w:w="8780" w:type="dxa"/>
            <w:vAlign w:val="bottom"/>
          </w:tcPr>
          <w:p>
            <w:pPr>
              <w:jc w:val="center"/>
              <w:ind w:right="830"/>
              <w:spacing w:after="0"/>
              <w:rPr>
                <w:sz w:val="20"/>
                <w:szCs w:val="20"/>
                <w:color w:val="auto"/>
              </w:rPr>
            </w:pPr>
            <w:r>
              <w:rPr>
                <w:rFonts w:ascii="Arial" w:cs="Arial" w:eastAsia="Arial" w:hAnsi="Arial"/>
                <w:sz w:val="18"/>
                <w:szCs w:val="18"/>
                <w:color w:val="auto"/>
                <w:w w:val="96"/>
              </w:rPr>
              <w:t>ARTICLE 10</w:t>
            </w:r>
          </w:p>
        </w:tc>
        <w:tc>
          <w:tcPr>
            <w:tcW w:w="860" w:type="dxa"/>
            <w:vAlign w:val="bottom"/>
          </w:tcPr>
          <w:p>
            <w:pPr>
              <w:spacing w:after="0"/>
              <w:rPr>
                <w:sz w:val="24"/>
                <w:szCs w:val="24"/>
                <w:color w:val="auto"/>
              </w:rPr>
            </w:pPr>
          </w:p>
        </w:tc>
      </w:tr>
      <w:tr>
        <w:trPr>
          <w:trHeight w:val="432"/>
        </w:trPr>
        <w:tc>
          <w:tcPr>
            <w:tcW w:w="1780" w:type="dxa"/>
            <w:vAlign w:val="bottom"/>
          </w:tcPr>
          <w:p>
            <w:pPr>
              <w:spacing w:after="0"/>
              <w:rPr>
                <w:sz w:val="24"/>
                <w:szCs w:val="24"/>
                <w:color w:val="auto"/>
              </w:rPr>
            </w:pPr>
          </w:p>
        </w:tc>
        <w:tc>
          <w:tcPr>
            <w:tcW w:w="8780" w:type="dxa"/>
            <w:vAlign w:val="bottom"/>
          </w:tcPr>
          <w:p>
            <w:pPr>
              <w:jc w:val="center"/>
              <w:ind w:right="810"/>
              <w:spacing w:after="0"/>
              <w:rPr>
                <w:sz w:val="20"/>
                <w:szCs w:val="20"/>
                <w:color w:val="auto"/>
              </w:rPr>
            </w:pPr>
            <w:r>
              <w:rPr>
                <w:rFonts w:ascii="Arial" w:cs="Arial" w:eastAsia="Arial" w:hAnsi="Arial"/>
                <w:sz w:val="18"/>
                <w:szCs w:val="18"/>
                <w:color w:val="auto"/>
                <w:w w:val="91"/>
              </w:rPr>
              <w:t>Miscellaneous Provisions</w:t>
            </w:r>
          </w:p>
        </w:tc>
        <w:tc>
          <w:tcPr>
            <w:tcW w:w="860" w:type="dxa"/>
            <w:vAlign w:val="bottom"/>
          </w:tcPr>
          <w:p>
            <w:pPr>
              <w:spacing w:after="0"/>
              <w:rPr>
                <w:sz w:val="24"/>
                <w:szCs w:val="24"/>
                <w:color w:val="auto"/>
              </w:rPr>
            </w:pPr>
          </w:p>
        </w:tc>
      </w:tr>
      <w:tr>
        <w:trPr>
          <w:trHeight w:val="418"/>
        </w:trPr>
        <w:tc>
          <w:tcPr>
            <w:tcW w:w="1780" w:type="dxa"/>
            <w:vAlign w:val="bottom"/>
          </w:tcPr>
          <w:p>
            <w:pPr>
              <w:spacing w:after="0"/>
              <w:rPr>
                <w:sz w:val="20"/>
                <w:szCs w:val="20"/>
                <w:color w:val="auto"/>
              </w:rPr>
            </w:pPr>
            <w:r>
              <w:rPr>
                <w:rFonts w:ascii="Arial" w:cs="Arial" w:eastAsia="Arial" w:hAnsi="Arial"/>
                <w:sz w:val="18"/>
                <w:szCs w:val="18"/>
                <w:color w:val="auto"/>
              </w:rPr>
              <w:t>SECTION 10.01.</w:t>
            </w:r>
          </w:p>
        </w:tc>
        <w:tc>
          <w:tcPr>
            <w:tcW w:w="8780" w:type="dxa"/>
            <w:vAlign w:val="bottom"/>
          </w:tcPr>
          <w:p>
            <w:pPr>
              <w:ind w:left="520"/>
              <w:spacing w:after="0"/>
              <w:rPr>
                <w:sz w:val="20"/>
                <w:szCs w:val="20"/>
                <w:color w:val="auto"/>
              </w:rPr>
            </w:pPr>
            <w:r>
              <w:rPr>
                <w:rFonts w:ascii="Arial" w:cs="Arial" w:eastAsia="Arial" w:hAnsi="Arial"/>
                <w:sz w:val="18"/>
                <w:szCs w:val="18"/>
                <w:color w:val="auto"/>
              </w:rPr>
              <w:t>Incorporators, Stockholders, Members, Officers and Directors of Issuer Exempt from Individual Liability</w:t>
            </w: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SECTION 10.02.</w:t>
            </w:r>
          </w:p>
        </w:tc>
        <w:tc>
          <w:tcPr>
            <w:tcW w:w="8780" w:type="dxa"/>
            <w:vAlign w:val="bottom"/>
          </w:tcPr>
          <w:p>
            <w:pPr>
              <w:ind w:left="520"/>
              <w:spacing w:after="0"/>
              <w:rPr>
                <w:sz w:val="20"/>
                <w:szCs w:val="20"/>
                <w:color w:val="auto"/>
              </w:rPr>
            </w:pPr>
            <w:r>
              <w:rPr>
                <w:rFonts w:ascii="Arial" w:cs="Arial" w:eastAsia="Arial" w:hAnsi="Arial"/>
                <w:sz w:val="18"/>
                <w:szCs w:val="18"/>
                <w:color w:val="auto"/>
              </w:rPr>
              <w:t>Provisions of Indenture for the Sole Benefit of Parties and Securityholders</w:t>
            </w: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SECTION 10.03.</w:t>
            </w:r>
          </w:p>
        </w:tc>
        <w:tc>
          <w:tcPr>
            <w:tcW w:w="8780" w:type="dxa"/>
            <w:vAlign w:val="bottom"/>
          </w:tcPr>
          <w:p>
            <w:pPr>
              <w:ind w:left="520"/>
              <w:spacing w:after="0"/>
              <w:rPr>
                <w:sz w:val="20"/>
                <w:szCs w:val="20"/>
                <w:color w:val="auto"/>
              </w:rPr>
            </w:pPr>
            <w:r>
              <w:rPr>
                <w:rFonts w:ascii="Arial" w:cs="Arial" w:eastAsia="Arial" w:hAnsi="Arial"/>
                <w:sz w:val="18"/>
                <w:szCs w:val="18"/>
                <w:color w:val="auto"/>
              </w:rPr>
              <w:t>Successors and Assigns of Issuer Bound by Indenture</w:t>
            </w: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SECTION 10.04.</w:t>
            </w:r>
          </w:p>
        </w:tc>
        <w:tc>
          <w:tcPr>
            <w:tcW w:w="8780" w:type="dxa"/>
            <w:vAlign w:val="bottom"/>
          </w:tcPr>
          <w:p>
            <w:pPr>
              <w:ind w:left="520"/>
              <w:spacing w:after="0"/>
              <w:rPr>
                <w:sz w:val="20"/>
                <w:szCs w:val="20"/>
                <w:color w:val="auto"/>
              </w:rPr>
            </w:pPr>
            <w:r>
              <w:rPr>
                <w:rFonts w:ascii="Arial" w:cs="Arial" w:eastAsia="Arial" w:hAnsi="Arial"/>
                <w:sz w:val="18"/>
                <w:szCs w:val="18"/>
                <w:color w:val="auto"/>
              </w:rPr>
              <w:t>Notices and Demands on Issuer, Trustee and Securityholders</w:t>
            </w: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SECTION 10.05.</w:t>
            </w:r>
          </w:p>
        </w:tc>
        <w:tc>
          <w:tcPr>
            <w:tcW w:w="8780" w:type="dxa"/>
            <w:vAlign w:val="bottom"/>
          </w:tcPr>
          <w:p>
            <w:pPr>
              <w:ind w:left="520"/>
              <w:spacing w:after="0"/>
              <w:rPr>
                <w:sz w:val="20"/>
                <w:szCs w:val="20"/>
                <w:color w:val="auto"/>
              </w:rPr>
            </w:pPr>
            <w:r>
              <w:rPr>
                <w:rFonts w:ascii="Arial" w:cs="Arial" w:eastAsia="Arial" w:hAnsi="Arial"/>
                <w:sz w:val="18"/>
                <w:szCs w:val="18"/>
                <w:color w:val="auto"/>
              </w:rPr>
              <w:t>Communication by Securityholders with Other Securityholders</w:t>
            </w:r>
          </w:p>
        </w:tc>
        <w:tc>
          <w:tcPr>
            <w:tcW w:w="8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SECTION 10.06.</w:t>
            </w:r>
          </w:p>
        </w:tc>
        <w:tc>
          <w:tcPr>
            <w:tcW w:w="8780" w:type="dxa"/>
            <w:vAlign w:val="bottom"/>
          </w:tcPr>
          <w:p>
            <w:pPr>
              <w:ind w:left="520"/>
              <w:spacing w:after="0"/>
              <w:rPr>
                <w:sz w:val="20"/>
                <w:szCs w:val="20"/>
                <w:color w:val="auto"/>
              </w:rPr>
            </w:pPr>
            <w:r>
              <w:rPr>
                <w:rFonts w:ascii="Arial" w:cs="Arial" w:eastAsia="Arial" w:hAnsi="Arial"/>
                <w:sz w:val="18"/>
                <w:szCs w:val="18"/>
                <w:color w:val="auto"/>
              </w:rPr>
              <w:t>Officers’ Certificates and Opinions of Counsel; Statements to be Contained Therein</w:t>
            </w:r>
          </w:p>
        </w:tc>
        <w:tc>
          <w:tcPr>
            <w:tcW w:w="8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SECTION 10.07.</w:t>
            </w:r>
          </w:p>
        </w:tc>
        <w:tc>
          <w:tcPr>
            <w:tcW w:w="8780" w:type="dxa"/>
            <w:vAlign w:val="bottom"/>
          </w:tcPr>
          <w:p>
            <w:pPr>
              <w:ind w:left="520"/>
              <w:spacing w:after="0"/>
              <w:rPr>
                <w:sz w:val="20"/>
                <w:szCs w:val="20"/>
                <w:color w:val="auto"/>
              </w:rPr>
            </w:pPr>
            <w:r>
              <w:rPr>
                <w:rFonts w:ascii="Arial" w:cs="Arial" w:eastAsia="Arial" w:hAnsi="Arial"/>
                <w:sz w:val="18"/>
                <w:szCs w:val="18"/>
                <w:color w:val="auto"/>
              </w:rPr>
              <w:t>Payments Due on Saturdays, Sundays and Holidays</w:t>
            </w:r>
          </w:p>
        </w:tc>
        <w:tc>
          <w:tcPr>
            <w:tcW w:w="8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SECTION 10.08.</w:t>
            </w:r>
          </w:p>
        </w:tc>
        <w:tc>
          <w:tcPr>
            <w:tcW w:w="8780" w:type="dxa"/>
            <w:vAlign w:val="bottom"/>
          </w:tcPr>
          <w:p>
            <w:pPr>
              <w:ind w:left="520"/>
              <w:spacing w:after="0"/>
              <w:rPr>
                <w:sz w:val="20"/>
                <w:szCs w:val="20"/>
                <w:color w:val="auto"/>
              </w:rPr>
            </w:pPr>
            <w:r>
              <w:rPr>
                <w:rFonts w:ascii="Arial" w:cs="Arial" w:eastAsia="Arial" w:hAnsi="Arial"/>
                <w:sz w:val="18"/>
                <w:szCs w:val="18"/>
                <w:color w:val="auto"/>
              </w:rPr>
              <w:t>Conflict of any Provision of Indenture with Trust Indenture Act of 1939</w:t>
            </w:r>
          </w:p>
        </w:tc>
        <w:tc>
          <w:tcPr>
            <w:tcW w:w="8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SECTION 10.09.</w:t>
            </w:r>
          </w:p>
        </w:tc>
        <w:tc>
          <w:tcPr>
            <w:tcW w:w="8780" w:type="dxa"/>
            <w:vAlign w:val="bottom"/>
          </w:tcPr>
          <w:p>
            <w:pPr>
              <w:ind w:left="520"/>
              <w:spacing w:after="0"/>
              <w:rPr>
                <w:sz w:val="20"/>
                <w:szCs w:val="20"/>
                <w:color w:val="auto"/>
              </w:rPr>
            </w:pPr>
            <w:r>
              <w:rPr>
                <w:rFonts w:ascii="Arial" w:cs="Arial" w:eastAsia="Arial" w:hAnsi="Arial"/>
                <w:sz w:val="18"/>
                <w:szCs w:val="18"/>
                <w:color w:val="auto"/>
              </w:rPr>
              <w:t>New York Law to Govern</w:t>
            </w:r>
          </w:p>
        </w:tc>
        <w:tc>
          <w:tcPr>
            <w:tcW w:w="8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SECTION 10.10.</w:t>
            </w:r>
          </w:p>
        </w:tc>
        <w:tc>
          <w:tcPr>
            <w:tcW w:w="8780" w:type="dxa"/>
            <w:vAlign w:val="bottom"/>
          </w:tcPr>
          <w:p>
            <w:pPr>
              <w:ind w:left="520"/>
              <w:spacing w:after="0"/>
              <w:rPr>
                <w:sz w:val="20"/>
                <w:szCs w:val="20"/>
                <w:color w:val="auto"/>
              </w:rPr>
            </w:pPr>
            <w:r>
              <w:rPr>
                <w:rFonts w:ascii="Arial" w:cs="Arial" w:eastAsia="Arial" w:hAnsi="Arial"/>
                <w:sz w:val="18"/>
                <w:szCs w:val="18"/>
                <w:color w:val="auto"/>
              </w:rPr>
              <w:t>Counterparts</w:t>
            </w:r>
          </w:p>
        </w:tc>
        <w:tc>
          <w:tcPr>
            <w:tcW w:w="8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SECTION 10.11.</w:t>
            </w:r>
          </w:p>
        </w:tc>
        <w:tc>
          <w:tcPr>
            <w:tcW w:w="8780" w:type="dxa"/>
            <w:vAlign w:val="bottom"/>
          </w:tcPr>
          <w:p>
            <w:pPr>
              <w:ind w:left="520"/>
              <w:spacing w:after="0"/>
              <w:rPr>
                <w:sz w:val="20"/>
                <w:szCs w:val="20"/>
                <w:color w:val="auto"/>
              </w:rPr>
            </w:pPr>
            <w:r>
              <w:rPr>
                <w:rFonts w:ascii="Arial" w:cs="Arial" w:eastAsia="Arial" w:hAnsi="Arial"/>
                <w:sz w:val="18"/>
                <w:szCs w:val="18"/>
                <w:color w:val="auto"/>
              </w:rPr>
              <w:t>Effect of Headings</w:t>
            </w:r>
          </w:p>
        </w:tc>
        <w:tc>
          <w:tcPr>
            <w:tcW w:w="8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SECTION 10.12.</w:t>
            </w:r>
          </w:p>
        </w:tc>
        <w:tc>
          <w:tcPr>
            <w:tcW w:w="8780" w:type="dxa"/>
            <w:vAlign w:val="bottom"/>
          </w:tcPr>
          <w:p>
            <w:pPr>
              <w:ind w:left="520"/>
              <w:spacing w:after="0"/>
              <w:rPr>
                <w:sz w:val="20"/>
                <w:szCs w:val="20"/>
                <w:color w:val="auto"/>
              </w:rPr>
            </w:pPr>
            <w:r>
              <w:rPr>
                <w:rFonts w:ascii="Arial" w:cs="Arial" w:eastAsia="Arial" w:hAnsi="Arial"/>
                <w:sz w:val="18"/>
                <w:szCs w:val="18"/>
                <w:color w:val="auto"/>
              </w:rPr>
              <w:t>Securities in a Non-U.S. Currency</w:t>
            </w:r>
          </w:p>
        </w:tc>
        <w:tc>
          <w:tcPr>
            <w:tcW w:w="8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SECTION 10.13.</w:t>
            </w:r>
          </w:p>
        </w:tc>
        <w:tc>
          <w:tcPr>
            <w:tcW w:w="8780" w:type="dxa"/>
            <w:vAlign w:val="bottom"/>
          </w:tcPr>
          <w:p>
            <w:pPr>
              <w:ind w:left="520"/>
              <w:spacing w:after="0"/>
              <w:rPr>
                <w:sz w:val="20"/>
                <w:szCs w:val="20"/>
                <w:color w:val="auto"/>
              </w:rPr>
            </w:pPr>
            <w:r>
              <w:rPr>
                <w:rFonts w:ascii="Arial" w:cs="Arial" w:eastAsia="Arial" w:hAnsi="Arial"/>
                <w:sz w:val="18"/>
                <w:szCs w:val="18"/>
                <w:color w:val="auto"/>
              </w:rPr>
              <w:t>Submission to Jurisdiction</w:t>
            </w:r>
          </w:p>
        </w:tc>
        <w:tc>
          <w:tcPr>
            <w:tcW w:w="8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SECTION 10.14.</w:t>
            </w:r>
          </w:p>
        </w:tc>
        <w:tc>
          <w:tcPr>
            <w:tcW w:w="8780" w:type="dxa"/>
            <w:vAlign w:val="bottom"/>
          </w:tcPr>
          <w:p>
            <w:pPr>
              <w:ind w:left="520"/>
              <w:spacing w:after="0"/>
              <w:rPr>
                <w:sz w:val="20"/>
                <w:szCs w:val="20"/>
                <w:color w:val="auto"/>
              </w:rPr>
            </w:pPr>
            <w:r>
              <w:rPr>
                <w:rFonts w:ascii="Arial" w:cs="Arial" w:eastAsia="Arial" w:hAnsi="Arial"/>
                <w:sz w:val="18"/>
                <w:szCs w:val="18"/>
                <w:color w:val="auto"/>
              </w:rPr>
              <w:t>Judgment Currency</w:t>
            </w:r>
          </w:p>
        </w:tc>
        <w:tc>
          <w:tcPr>
            <w:tcW w:w="8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SECTION 10.15.</w:t>
            </w:r>
          </w:p>
        </w:tc>
        <w:tc>
          <w:tcPr>
            <w:tcW w:w="8780" w:type="dxa"/>
            <w:vAlign w:val="bottom"/>
          </w:tcPr>
          <w:p>
            <w:pPr>
              <w:ind w:left="520"/>
              <w:spacing w:after="0"/>
              <w:rPr>
                <w:sz w:val="20"/>
                <w:szCs w:val="20"/>
                <w:color w:val="auto"/>
              </w:rPr>
            </w:pPr>
            <w:r>
              <w:rPr>
                <w:rFonts w:ascii="Arial" w:cs="Arial" w:eastAsia="Arial" w:hAnsi="Arial"/>
                <w:sz w:val="18"/>
                <w:szCs w:val="18"/>
                <w:color w:val="auto"/>
              </w:rPr>
              <w:t>Waiver of Jury Trial</w:t>
            </w:r>
          </w:p>
        </w:tc>
        <w:tc>
          <w:tcPr>
            <w:tcW w:w="8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SECTION 10.16.</w:t>
            </w:r>
          </w:p>
        </w:tc>
        <w:tc>
          <w:tcPr>
            <w:tcW w:w="8780" w:type="dxa"/>
            <w:vAlign w:val="bottom"/>
          </w:tcPr>
          <w:p>
            <w:pPr>
              <w:ind w:left="520"/>
              <w:spacing w:after="0"/>
              <w:rPr>
                <w:sz w:val="20"/>
                <w:szCs w:val="20"/>
                <w:color w:val="auto"/>
              </w:rPr>
            </w:pPr>
            <w:r>
              <w:rPr>
                <w:rFonts w:ascii="Arial" w:cs="Arial" w:eastAsia="Arial" w:hAnsi="Arial"/>
                <w:sz w:val="18"/>
                <w:szCs w:val="18"/>
                <w:color w:val="auto"/>
              </w:rPr>
              <w:t>Force Majeure</w:t>
            </w:r>
          </w:p>
        </w:tc>
        <w:tc>
          <w:tcPr>
            <w:tcW w:w="8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32"/>
        </w:trPr>
        <w:tc>
          <w:tcPr>
            <w:tcW w:w="1780" w:type="dxa"/>
            <w:vAlign w:val="bottom"/>
          </w:tcPr>
          <w:p>
            <w:pPr>
              <w:spacing w:after="0"/>
              <w:rPr>
                <w:sz w:val="24"/>
                <w:szCs w:val="24"/>
                <w:color w:val="auto"/>
              </w:rPr>
            </w:pPr>
          </w:p>
        </w:tc>
        <w:tc>
          <w:tcPr>
            <w:tcW w:w="8780" w:type="dxa"/>
            <w:vAlign w:val="bottom"/>
          </w:tcPr>
          <w:p>
            <w:pPr>
              <w:jc w:val="center"/>
              <w:ind w:right="810"/>
              <w:spacing w:after="0"/>
              <w:rPr>
                <w:sz w:val="20"/>
                <w:szCs w:val="20"/>
                <w:color w:val="auto"/>
              </w:rPr>
            </w:pPr>
            <w:r>
              <w:rPr>
                <w:rFonts w:ascii="Arial" w:cs="Arial" w:eastAsia="Arial" w:hAnsi="Arial"/>
                <w:sz w:val="18"/>
                <w:szCs w:val="18"/>
                <w:color w:val="auto"/>
                <w:w w:val="94"/>
              </w:rPr>
              <w:t>ARTICLE 11</w:t>
            </w:r>
          </w:p>
        </w:tc>
        <w:tc>
          <w:tcPr>
            <w:tcW w:w="860" w:type="dxa"/>
            <w:vAlign w:val="bottom"/>
          </w:tcPr>
          <w:p>
            <w:pPr>
              <w:spacing w:after="0"/>
              <w:rPr>
                <w:sz w:val="24"/>
                <w:szCs w:val="24"/>
                <w:color w:val="auto"/>
              </w:rPr>
            </w:pPr>
          </w:p>
        </w:tc>
      </w:tr>
      <w:tr>
        <w:trPr>
          <w:trHeight w:val="432"/>
        </w:trPr>
        <w:tc>
          <w:tcPr>
            <w:tcW w:w="1780" w:type="dxa"/>
            <w:vAlign w:val="bottom"/>
          </w:tcPr>
          <w:p>
            <w:pPr>
              <w:spacing w:after="0"/>
              <w:rPr>
                <w:sz w:val="24"/>
                <w:szCs w:val="24"/>
                <w:color w:val="auto"/>
              </w:rPr>
            </w:pPr>
          </w:p>
        </w:tc>
        <w:tc>
          <w:tcPr>
            <w:tcW w:w="8780" w:type="dxa"/>
            <w:vAlign w:val="bottom"/>
          </w:tcPr>
          <w:p>
            <w:pPr>
              <w:jc w:val="center"/>
              <w:ind w:right="830"/>
              <w:spacing w:after="0"/>
              <w:rPr>
                <w:sz w:val="20"/>
                <w:szCs w:val="20"/>
                <w:color w:val="auto"/>
              </w:rPr>
            </w:pPr>
            <w:r>
              <w:rPr>
                <w:rFonts w:ascii="Arial" w:cs="Arial" w:eastAsia="Arial" w:hAnsi="Arial"/>
                <w:sz w:val="18"/>
                <w:szCs w:val="18"/>
                <w:color w:val="auto"/>
                <w:w w:val="90"/>
              </w:rPr>
              <w:t>Redemption of Securities</w:t>
            </w:r>
          </w:p>
        </w:tc>
        <w:tc>
          <w:tcPr>
            <w:tcW w:w="860" w:type="dxa"/>
            <w:vAlign w:val="bottom"/>
          </w:tcPr>
          <w:p>
            <w:pPr>
              <w:spacing w:after="0"/>
              <w:rPr>
                <w:sz w:val="24"/>
                <w:szCs w:val="24"/>
                <w:color w:val="auto"/>
              </w:rPr>
            </w:pPr>
          </w:p>
        </w:tc>
      </w:tr>
      <w:tr>
        <w:trPr>
          <w:trHeight w:val="418"/>
        </w:trPr>
        <w:tc>
          <w:tcPr>
            <w:tcW w:w="1780" w:type="dxa"/>
            <w:vAlign w:val="bottom"/>
          </w:tcPr>
          <w:p>
            <w:pPr>
              <w:spacing w:after="0"/>
              <w:rPr>
                <w:sz w:val="20"/>
                <w:szCs w:val="20"/>
                <w:color w:val="auto"/>
              </w:rPr>
            </w:pPr>
            <w:r>
              <w:rPr>
                <w:rFonts w:ascii="Arial" w:cs="Arial" w:eastAsia="Arial" w:hAnsi="Arial"/>
                <w:sz w:val="18"/>
                <w:szCs w:val="18"/>
                <w:color w:val="auto"/>
              </w:rPr>
              <w:t>SECTION 11.01.</w:t>
            </w:r>
          </w:p>
        </w:tc>
        <w:tc>
          <w:tcPr>
            <w:tcW w:w="8780" w:type="dxa"/>
            <w:vAlign w:val="bottom"/>
          </w:tcPr>
          <w:p>
            <w:pPr>
              <w:ind w:left="520"/>
              <w:spacing w:after="0"/>
              <w:rPr>
                <w:sz w:val="20"/>
                <w:szCs w:val="20"/>
                <w:color w:val="auto"/>
              </w:rPr>
            </w:pPr>
            <w:r>
              <w:rPr>
                <w:rFonts w:ascii="Arial" w:cs="Arial" w:eastAsia="Arial" w:hAnsi="Arial"/>
                <w:sz w:val="18"/>
                <w:szCs w:val="18"/>
                <w:color w:val="auto"/>
              </w:rPr>
              <w:t>Applicability Of Article</w:t>
            </w:r>
          </w:p>
        </w:tc>
        <w:tc>
          <w:tcPr>
            <w:tcW w:w="8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SECTION 11.02.</w:t>
            </w:r>
          </w:p>
        </w:tc>
        <w:tc>
          <w:tcPr>
            <w:tcW w:w="8780" w:type="dxa"/>
            <w:vAlign w:val="bottom"/>
          </w:tcPr>
          <w:p>
            <w:pPr>
              <w:ind w:left="520"/>
              <w:spacing w:after="0"/>
              <w:rPr>
                <w:sz w:val="20"/>
                <w:szCs w:val="20"/>
                <w:color w:val="auto"/>
              </w:rPr>
            </w:pPr>
            <w:r>
              <w:rPr>
                <w:rFonts w:ascii="Arial" w:cs="Arial" w:eastAsia="Arial" w:hAnsi="Arial"/>
                <w:sz w:val="18"/>
                <w:szCs w:val="18"/>
                <w:color w:val="auto"/>
              </w:rPr>
              <w:t>Notice Of Redemption; Partial Redemptions</w:t>
            </w:r>
          </w:p>
        </w:tc>
        <w:tc>
          <w:tcPr>
            <w:tcW w:w="8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SECTION 11.03.</w:t>
            </w:r>
          </w:p>
        </w:tc>
        <w:tc>
          <w:tcPr>
            <w:tcW w:w="8780" w:type="dxa"/>
            <w:vAlign w:val="bottom"/>
          </w:tcPr>
          <w:p>
            <w:pPr>
              <w:ind w:left="520"/>
              <w:spacing w:after="0"/>
              <w:rPr>
                <w:sz w:val="20"/>
                <w:szCs w:val="20"/>
                <w:color w:val="auto"/>
              </w:rPr>
            </w:pPr>
            <w:r>
              <w:rPr>
                <w:rFonts w:ascii="Arial" w:cs="Arial" w:eastAsia="Arial" w:hAnsi="Arial"/>
                <w:sz w:val="18"/>
                <w:szCs w:val="18"/>
                <w:color w:val="auto"/>
              </w:rPr>
              <w:t>Payment of Securities Called for Redemption</w:t>
            </w:r>
          </w:p>
        </w:tc>
        <w:tc>
          <w:tcPr>
            <w:tcW w:w="8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SECTION 11.04.</w:t>
            </w:r>
          </w:p>
        </w:tc>
        <w:tc>
          <w:tcPr>
            <w:tcW w:w="8780" w:type="dxa"/>
            <w:vAlign w:val="bottom"/>
          </w:tcPr>
          <w:p>
            <w:pPr>
              <w:ind w:left="520"/>
              <w:spacing w:after="0"/>
              <w:rPr>
                <w:sz w:val="20"/>
                <w:szCs w:val="20"/>
                <w:color w:val="auto"/>
              </w:rPr>
            </w:pPr>
            <w:r>
              <w:rPr>
                <w:rFonts w:ascii="Arial" w:cs="Arial" w:eastAsia="Arial" w:hAnsi="Arial"/>
                <w:sz w:val="18"/>
                <w:szCs w:val="18"/>
                <w:color w:val="auto"/>
              </w:rPr>
              <w:t>Exclusion of Certain Securities from Eligibility for Selection for Redemption</w:t>
            </w:r>
          </w:p>
        </w:tc>
        <w:tc>
          <w:tcPr>
            <w:tcW w:w="8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7"/>
        </w:trPr>
        <w:tc>
          <w:tcPr>
            <w:tcW w:w="1780" w:type="dxa"/>
            <w:vAlign w:val="bottom"/>
            <w:tcBorders>
              <w:bottom w:val="single" w:sz="8" w:color="C0C0C0"/>
            </w:tcBorders>
          </w:tcPr>
          <w:p>
            <w:pPr>
              <w:spacing w:after="0"/>
              <w:rPr>
                <w:sz w:val="24"/>
                <w:szCs w:val="24"/>
                <w:color w:val="auto"/>
              </w:rPr>
            </w:pPr>
          </w:p>
        </w:tc>
        <w:tc>
          <w:tcPr>
            <w:tcW w:w="8780" w:type="dxa"/>
            <w:vAlign w:val="bottom"/>
            <w:tcBorders>
              <w:bottom w:val="single" w:sz="8" w:color="C0C0C0"/>
            </w:tcBorders>
          </w:tcPr>
          <w:p>
            <w:pPr>
              <w:spacing w:after="0"/>
              <w:rPr>
                <w:sz w:val="24"/>
                <w:szCs w:val="24"/>
                <w:color w:val="auto"/>
              </w:rPr>
            </w:pPr>
          </w:p>
        </w:tc>
        <w:tc>
          <w:tcPr>
            <w:tcW w:w="86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409" w:right="239" w:bottom="144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620" w:type="dxa"/>
            <w:vAlign w:val="bottom"/>
            <w:gridSpan w:val="2"/>
          </w:tcPr>
          <w:p>
            <w:pPr>
              <w:ind w:left="1160"/>
              <w:spacing w:after="0"/>
              <w:rPr>
                <w:sz w:val="20"/>
                <w:szCs w:val="20"/>
                <w:color w:val="auto"/>
              </w:rPr>
            </w:pPr>
            <w:r>
              <w:rPr>
                <w:rFonts w:ascii="Arial" w:cs="Arial" w:eastAsia="Arial" w:hAnsi="Arial"/>
                <w:sz w:val="18"/>
                <w:szCs w:val="18"/>
                <w:b w:val="1"/>
                <w:bCs w:val="1"/>
                <w:color w:val="auto"/>
              </w:rPr>
              <w:t>CROSS-REFERENCE TABLE*</w:t>
            </w:r>
          </w:p>
        </w:tc>
      </w:tr>
      <w:tr>
        <w:trPr>
          <w:trHeight w:val="392"/>
        </w:trPr>
        <w:tc>
          <w:tcPr>
            <w:tcW w:w="160" w:type="dxa"/>
            <w:vAlign w:val="bottom"/>
          </w:tcPr>
          <w:p>
            <w:pPr>
              <w:spacing w:after="0"/>
              <w:rPr>
                <w:sz w:val="24"/>
                <w:szCs w:val="24"/>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Trust Indenture Act Section</w:t>
            </w:r>
          </w:p>
        </w:tc>
        <w:tc>
          <w:tcPr>
            <w:tcW w:w="7620" w:type="dxa"/>
            <w:vAlign w:val="bottom"/>
            <w:gridSpan w:val="2"/>
          </w:tcPr>
          <w:p>
            <w:pPr>
              <w:jc w:val="center"/>
              <w:ind w:left="6250"/>
              <w:spacing w:after="0"/>
              <w:rPr>
                <w:sz w:val="20"/>
                <w:szCs w:val="20"/>
                <w:color w:val="auto"/>
              </w:rPr>
            </w:pPr>
            <w:r>
              <w:rPr>
                <w:rFonts w:ascii="Arial" w:cs="Arial" w:eastAsia="Arial" w:hAnsi="Arial"/>
                <w:sz w:val="18"/>
                <w:szCs w:val="18"/>
                <w:color w:val="auto"/>
                <w:w w:val="90"/>
              </w:rPr>
              <w:t>Indenture Section</w:t>
            </w:r>
          </w:p>
        </w:tc>
      </w:tr>
      <w:tr>
        <w:trPr>
          <w:trHeight w:val="20"/>
        </w:trPr>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r>
        <w:trPr>
          <w:trHeight w:val="222"/>
        </w:trPr>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w w:val="86"/>
              </w:rPr>
              <w:t>310</w:t>
            </w: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(a)(1)</w:t>
            </w:r>
          </w:p>
        </w:tc>
        <w:tc>
          <w:tcPr>
            <w:tcW w:w="7620" w:type="dxa"/>
            <w:vAlign w:val="bottom"/>
            <w:gridSpan w:val="2"/>
          </w:tcPr>
          <w:p>
            <w:pPr>
              <w:jc w:val="center"/>
              <w:ind w:left="6250"/>
              <w:spacing w:after="0"/>
              <w:rPr>
                <w:sz w:val="20"/>
                <w:szCs w:val="20"/>
                <w:color w:val="auto"/>
              </w:rPr>
            </w:pPr>
            <w:r>
              <w:rPr>
                <w:rFonts w:ascii="Arial" w:cs="Arial" w:eastAsia="Arial" w:hAnsi="Arial"/>
                <w:sz w:val="18"/>
                <w:szCs w:val="18"/>
                <w:color w:val="auto"/>
                <w:w w:val="91"/>
              </w:rPr>
              <w:t>5.08</w:t>
            </w:r>
          </w:p>
        </w:tc>
      </w:tr>
      <w:tr>
        <w:trPr>
          <w:trHeight w:val="216"/>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(a)(2)</w:t>
            </w:r>
          </w:p>
        </w:tc>
        <w:tc>
          <w:tcPr>
            <w:tcW w:w="7620" w:type="dxa"/>
            <w:vAlign w:val="bottom"/>
            <w:gridSpan w:val="2"/>
          </w:tcPr>
          <w:p>
            <w:pPr>
              <w:jc w:val="center"/>
              <w:ind w:left="6250"/>
              <w:spacing w:after="0"/>
              <w:rPr>
                <w:sz w:val="20"/>
                <w:szCs w:val="20"/>
                <w:color w:val="auto"/>
              </w:rPr>
            </w:pPr>
            <w:r>
              <w:rPr>
                <w:rFonts w:ascii="Arial" w:cs="Arial" w:eastAsia="Arial" w:hAnsi="Arial"/>
                <w:sz w:val="18"/>
                <w:szCs w:val="18"/>
                <w:color w:val="auto"/>
                <w:w w:val="91"/>
              </w:rPr>
              <w:t>5.08</w:t>
            </w:r>
          </w:p>
        </w:tc>
      </w:tr>
      <w:tr>
        <w:trPr>
          <w:trHeight w:val="216"/>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(a)(3)</w:t>
            </w:r>
          </w:p>
        </w:tc>
        <w:tc>
          <w:tcPr>
            <w:tcW w:w="63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6"/>
              </w:rPr>
              <w:t>Not Applicable</w:t>
            </w:r>
          </w:p>
        </w:tc>
      </w:tr>
      <w:tr>
        <w:trPr>
          <w:trHeight w:val="216"/>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(a)(4)</w:t>
            </w:r>
          </w:p>
        </w:tc>
        <w:tc>
          <w:tcPr>
            <w:tcW w:w="63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6"/>
              </w:rPr>
              <w:t>Not Applicable</w:t>
            </w:r>
          </w:p>
        </w:tc>
      </w:tr>
      <w:tr>
        <w:trPr>
          <w:trHeight w:val="216"/>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(a)(5)</w:t>
            </w:r>
          </w:p>
        </w:tc>
        <w:tc>
          <w:tcPr>
            <w:tcW w:w="7620" w:type="dxa"/>
            <w:vAlign w:val="bottom"/>
            <w:gridSpan w:val="2"/>
          </w:tcPr>
          <w:p>
            <w:pPr>
              <w:jc w:val="center"/>
              <w:ind w:left="6250"/>
              <w:spacing w:after="0"/>
              <w:rPr>
                <w:sz w:val="20"/>
                <w:szCs w:val="20"/>
                <w:color w:val="auto"/>
              </w:rPr>
            </w:pPr>
            <w:r>
              <w:rPr>
                <w:rFonts w:ascii="Arial" w:cs="Arial" w:eastAsia="Arial" w:hAnsi="Arial"/>
                <w:sz w:val="18"/>
                <w:szCs w:val="18"/>
                <w:color w:val="auto"/>
                <w:w w:val="91"/>
              </w:rPr>
              <w:t>5.08</w:t>
            </w:r>
          </w:p>
        </w:tc>
      </w:tr>
      <w:tr>
        <w:trPr>
          <w:trHeight w:val="216"/>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(b)</w:t>
            </w:r>
          </w:p>
        </w:tc>
        <w:tc>
          <w:tcPr>
            <w:tcW w:w="63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5.09(b)</w:t>
            </w:r>
          </w:p>
        </w:tc>
      </w:tr>
      <w:tr>
        <w:trPr>
          <w:trHeight w:val="216"/>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(c)</w:t>
            </w:r>
          </w:p>
        </w:tc>
        <w:tc>
          <w:tcPr>
            <w:tcW w:w="63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6"/>
              </w:rPr>
              <w:t>Not Applicable</w:t>
            </w:r>
          </w:p>
        </w:tc>
      </w:tr>
      <w:tr>
        <w:trPr>
          <w:trHeight w:val="216"/>
        </w:trPr>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w w:val="86"/>
              </w:rPr>
              <w:t>311</w:t>
            </w: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(a)</w:t>
            </w:r>
          </w:p>
        </w:tc>
        <w:tc>
          <w:tcPr>
            <w:tcW w:w="7620" w:type="dxa"/>
            <w:vAlign w:val="bottom"/>
            <w:gridSpan w:val="2"/>
          </w:tcPr>
          <w:p>
            <w:pPr>
              <w:jc w:val="center"/>
              <w:ind w:left="6250"/>
              <w:spacing w:after="0"/>
              <w:rPr>
                <w:sz w:val="20"/>
                <w:szCs w:val="20"/>
                <w:color w:val="auto"/>
              </w:rPr>
            </w:pPr>
            <w:r>
              <w:rPr>
                <w:rFonts w:ascii="Arial" w:cs="Arial" w:eastAsia="Arial" w:hAnsi="Arial"/>
                <w:sz w:val="18"/>
                <w:szCs w:val="18"/>
                <w:color w:val="auto"/>
                <w:w w:val="91"/>
              </w:rPr>
              <w:t>5.04</w:t>
            </w:r>
          </w:p>
        </w:tc>
      </w:tr>
      <w:tr>
        <w:trPr>
          <w:trHeight w:val="216"/>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(b)</w:t>
            </w:r>
          </w:p>
        </w:tc>
        <w:tc>
          <w:tcPr>
            <w:tcW w:w="7620" w:type="dxa"/>
            <w:vAlign w:val="bottom"/>
            <w:gridSpan w:val="2"/>
          </w:tcPr>
          <w:p>
            <w:pPr>
              <w:jc w:val="center"/>
              <w:ind w:left="6250"/>
              <w:spacing w:after="0"/>
              <w:rPr>
                <w:sz w:val="20"/>
                <w:szCs w:val="20"/>
                <w:color w:val="auto"/>
              </w:rPr>
            </w:pPr>
            <w:r>
              <w:rPr>
                <w:rFonts w:ascii="Arial" w:cs="Arial" w:eastAsia="Arial" w:hAnsi="Arial"/>
                <w:sz w:val="18"/>
                <w:szCs w:val="18"/>
                <w:color w:val="auto"/>
                <w:w w:val="91"/>
              </w:rPr>
              <w:t>5.04</w:t>
            </w:r>
          </w:p>
        </w:tc>
      </w:tr>
      <w:tr>
        <w:trPr>
          <w:trHeight w:val="216"/>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(c)</w:t>
            </w:r>
          </w:p>
        </w:tc>
        <w:tc>
          <w:tcPr>
            <w:tcW w:w="63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6"/>
              </w:rPr>
              <w:t>Not Applicable</w:t>
            </w:r>
          </w:p>
        </w:tc>
      </w:tr>
      <w:tr>
        <w:trPr>
          <w:trHeight w:val="216"/>
        </w:trPr>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w w:val="86"/>
              </w:rPr>
              <w:t>312</w:t>
            </w: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(a)</w:t>
            </w:r>
          </w:p>
        </w:tc>
        <w:tc>
          <w:tcPr>
            <w:tcW w:w="7620" w:type="dxa"/>
            <w:vAlign w:val="bottom"/>
            <w:gridSpan w:val="2"/>
          </w:tcPr>
          <w:p>
            <w:pPr>
              <w:jc w:val="center"/>
              <w:ind w:left="6250"/>
              <w:spacing w:after="0"/>
              <w:rPr>
                <w:sz w:val="20"/>
                <w:szCs w:val="20"/>
                <w:color w:val="auto"/>
              </w:rPr>
            </w:pPr>
            <w:r>
              <w:rPr>
                <w:rFonts w:ascii="Arial" w:cs="Arial" w:eastAsia="Arial" w:hAnsi="Arial"/>
                <w:sz w:val="18"/>
                <w:szCs w:val="18"/>
                <w:color w:val="auto"/>
                <w:w w:val="91"/>
              </w:rPr>
              <w:t>3.06</w:t>
            </w:r>
          </w:p>
        </w:tc>
      </w:tr>
      <w:tr>
        <w:trPr>
          <w:trHeight w:val="216"/>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(b)</w:t>
            </w:r>
          </w:p>
        </w:tc>
        <w:tc>
          <w:tcPr>
            <w:tcW w:w="7620" w:type="dxa"/>
            <w:vAlign w:val="bottom"/>
            <w:gridSpan w:val="2"/>
          </w:tcPr>
          <w:p>
            <w:pPr>
              <w:jc w:val="center"/>
              <w:ind w:left="6250"/>
              <w:spacing w:after="0"/>
              <w:rPr>
                <w:sz w:val="20"/>
                <w:szCs w:val="20"/>
                <w:color w:val="auto"/>
              </w:rPr>
            </w:pPr>
            <w:r>
              <w:rPr>
                <w:rFonts w:ascii="Arial" w:cs="Arial" w:eastAsia="Arial" w:hAnsi="Arial"/>
                <w:sz w:val="18"/>
                <w:szCs w:val="18"/>
                <w:color w:val="auto"/>
                <w:w w:val="88"/>
              </w:rPr>
              <w:t>10.05</w:t>
            </w:r>
          </w:p>
        </w:tc>
      </w:tr>
      <w:tr>
        <w:trPr>
          <w:trHeight w:val="216"/>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(c)</w:t>
            </w:r>
          </w:p>
        </w:tc>
        <w:tc>
          <w:tcPr>
            <w:tcW w:w="7620" w:type="dxa"/>
            <w:vAlign w:val="bottom"/>
            <w:gridSpan w:val="2"/>
          </w:tcPr>
          <w:p>
            <w:pPr>
              <w:jc w:val="center"/>
              <w:ind w:left="6250"/>
              <w:spacing w:after="0"/>
              <w:rPr>
                <w:sz w:val="20"/>
                <w:szCs w:val="20"/>
                <w:color w:val="auto"/>
              </w:rPr>
            </w:pPr>
            <w:r>
              <w:rPr>
                <w:rFonts w:ascii="Arial" w:cs="Arial" w:eastAsia="Arial" w:hAnsi="Arial"/>
                <w:sz w:val="18"/>
                <w:szCs w:val="18"/>
                <w:color w:val="auto"/>
                <w:w w:val="88"/>
              </w:rPr>
              <w:t>10.05</w:t>
            </w:r>
          </w:p>
        </w:tc>
      </w:tr>
      <w:tr>
        <w:trPr>
          <w:trHeight w:val="216"/>
        </w:trPr>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w w:val="86"/>
              </w:rPr>
              <w:t>313</w:t>
            </w: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(a)</w:t>
            </w:r>
          </w:p>
        </w:tc>
        <w:tc>
          <w:tcPr>
            <w:tcW w:w="7620" w:type="dxa"/>
            <w:vAlign w:val="bottom"/>
            <w:gridSpan w:val="2"/>
          </w:tcPr>
          <w:p>
            <w:pPr>
              <w:jc w:val="center"/>
              <w:ind w:left="6250"/>
              <w:spacing w:after="0"/>
              <w:rPr>
                <w:sz w:val="20"/>
                <w:szCs w:val="20"/>
                <w:color w:val="auto"/>
              </w:rPr>
            </w:pPr>
            <w:r>
              <w:rPr>
                <w:rFonts w:ascii="Arial" w:cs="Arial" w:eastAsia="Arial" w:hAnsi="Arial"/>
                <w:sz w:val="18"/>
                <w:szCs w:val="18"/>
                <w:color w:val="auto"/>
                <w:w w:val="91"/>
              </w:rPr>
              <w:t>3.08</w:t>
            </w:r>
          </w:p>
        </w:tc>
      </w:tr>
      <w:tr>
        <w:trPr>
          <w:trHeight w:val="216"/>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(b)(1)</w:t>
            </w:r>
          </w:p>
        </w:tc>
        <w:tc>
          <w:tcPr>
            <w:tcW w:w="63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6"/>
              </w:rPr>
              <w:t>Not Applicable</w:t>
            </w:r>
          </w:p>
        </w:tc>
      </w:tr>
      <w:tr>
        <w:trPr>
          <w:trHeight w:val="216"/>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(b)(2)</w:t>
            </w:r>
          </w:p>
        </w:tc>
        <w:tc>
          <w:tcPr>
            <w:tcW w:w="7620" w:type="dxa"/>
            <w:vAlign w:val="bottom"/>
            <w:gridSpan w:val="2"/>
          </w:tcPr>
          <w:p>
            <w:pPr>
              <w:jc w:val="center"/>
              <w:ind w:left="6250"/>
              <w:spacing w:after="0"/>
              <w:rPr>
                <w:sz w:val="20"/>
                <w:szCs w:val="20"/>
                <w:color w:val="auto"/>
              </w:rPr>
            </w:pPr>
            <w:r>
              <w:rPr>
                <w:rFonts w:ascii="Arial" w:cs="Arial" w:eastAsia="Arial" w:hAnsi="Arial"/>
                <w:sz w:val="18"/>
                <w:szCs w:val="18"/>
                <w:color w:val="auto"/>
                <w:w w:val="91"/>
              </w:rPr>
              <w:t>3.08</w:t>
            </w:r>
          </w:p>
        </w:tc>
      </w:tr>
      <w:tr>
        <w:trPr>
          <w:trHeight w:val="216"/>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(c)</w:t>
            </w:r>
          </w:p>
        </w:tc>
        <w:tc>
          <w:tcPr>
            <w:tcW w:w="7620" w:type="dxa"/>
            <w:vAlign w:val="bottom"/>
            <w:gridSpan w:val="2"/>
          </w:tcPr>
          <w:p>
            <w:pPr>
              <w:jc w:val="center"/>
              <w:ind w:left="6250"/>
              <w:spacing w:after="0"/>
              <w:rPr>
                <w:sz w:val="20"/>
                <w:szCs w:val="20"/>
                <w:color w:val="auto"/>
              </w:rPr>
            </w:pPr>
            <w:r>
              <w:rPr>
                <w:rFonts w:ascii="Arial" w:cs="Arial" w:eastAsia="Arial" w:hAnsi="Arial"/>
                <w:sz w:val="18"/>
                <w:szCs w:val="18"/>
                <w:color w:val="auto"/>
                <w:w w:val="88"/>
              </w:rPr>
              <w:t>3.08; 10.02</w:t>
            </w:r>
          </w:p>
        </w:tc>
      </w:tr>
      <w:tr>
        <w:trPr>
          <w:trHeight w:val="216"/>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(d)</w:t>
            </w:r>
          </w:p>
        </w:tc>
        <w:tc>
          <w:tcPr>
            <w:tcW w:w="7620" w:type="dxa"/>
            <w:vAlign w:val="bottom"/>
            <w:gridSpan w:val="2"/>
          </w:tcPr>
          <w:p>
            <w:pPr>
              <w:jc w:val="center"/>
              <w:ind w:left="6250"/>
              <w:spacing w:after="0"/>
              <w:rPr>
                <w:sz w:val="20"/>
                <w:szCs w:val="20"/>
                <w:color w:val="auto"/>
              </w:rPr>
            </w:pPr>
            <w:r>
              <w:rPr>
                <w:rFonts w:ascii="Arial" w:cs="Arial" w:eastAsia="Arial" w:hAnsi="Arial"/>
                <w:sz w:val="18"/>
                <w:szCs w:val="18"/>
                <w:color w:val="auto"/>
                <w:w w:val="91"/>
              </w:rPr>
              <w:t>3.08</w:t>
            </w:r>
          </w:p>
        </w:tc>
      </w:tr>
      <w:tr>
        <w:trPr>
          <w:trHeight w:val="216"/>
        </w:trPr>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w w:val="86"/>
              </w:rPr>
              <w:t>314</w:t>
            </w: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(a)</w:t>
            </w:r>
          </w:p>
        </w:tc>
        <w:tc>
          <w:tcPr>
            <w:tcW w:w="7620" w:type="dxa"/>
            <w:vAlign w:val="bottom"/>
            <w:gridSpan w:val="2"/>
          </w:tcPr>
          <w:p>
            <w:pPr>
              <w:jc w:val="center"/>
              <w:ind w:left="6250"/>
              <w:spacing w:after="0"/>
              <w:rPr>
                <w:sz w:val="20"/>
                <w:szCs w:val="20"/>
                <w:color w:val="auto"/>
              </w:rPr>
            </w:pPr>
            <w:r>
              <w:rPr>
                <w:rFonts w:ascii="Arial" w:cs="Arial" w:eastAsia="Arial" w:hAnsi="Arial"/>
                <w:sz w:val="18"/>
                <w:szCs w:val="18"/>
                <w:color w:val="auto"/>
                <w:w w:val="89"/>
              </w:rPr>
              <w:t>3.05; 3.07</w:t>
            </w:r>
          </w:p>
        </w:tc>
      </w:tr>
      <w:tr>
        <w:trPr>
          <w:trHeight w:val="216"/>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(b)</w:t>
            </w:r>
          </w:p>
        </w:tc>
        <w:tc>
          <w:tcPr>
            <w:tcW w:w="63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6"/>
              </w:rPr>
              <w:t>Not Applicable</w:t>
            </w:r>
          </w:p>
        </w:tc>
      </w:tr>
      <w:tr>
        <w:trPr>
          <w:trHeight w:val="216"/>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(c)(1)</w:t>
            </w:r>
          </w:p>
        </w:tc>
        <w:tc>
          <w:tcPr>
            <w:tcW w:w="7620" w:type="dxa"/>
            <w:vAlign w:val="bottom"/>
            <w:gridSpan w:val="2"/>
          </w:tcPr>
          <w:p>
            <w:pPr>
              <w:jc w:val="center"/>
              <w:ind w:left="6250"/>
              <w:spacing w:after="0"/>
              <w:rPr>
                <w:sz w:val="20"/>
                <w:szCs w:val="20"/>
                <w:color w:val="auto"/>
              </w:rPr>
            </w:pPr>
            <w:r>
              <w:rPr>
                <w:rFonts w:ascii="Arial" w:cs="Arial" w:eastAsia="Arial" w:hAnsi="Arial"/>
                <w:sz w:val="18"/>
                <w:szCs w:val="18"/>
                <w:color w:val="auto"/>
                <w:w w:val="88"/>
              </w:rPr>
              <w:t>10.06</w:t>
            </w:r>
          </w:p>
        </w:tc>
      </w:tr>
      <w:tr>
        <w:trPr>
          <w:trHeight w:val="216"/>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(c)(2)</w:t>
            </w:r>
          </w:p>
        </w:tc>
        <w:tc>
          <w:tcPr>
            <w:tcW w:w="7620" w:type="dxa"/>
            <w:vAlign w:val="bottom"/>
            <w:gridSpan w:val="2"/>
          </w:tcPr>
          <w:p>
            <w:pPr>
              <w:jc w:val="center"/>
              <w:ind w:left="6250"/>
              <w:spacing w:after="0"/>
              <w:rPr>
                <w:sz w:val="20"/>
                <w:szCs w:val="20"/>
                <w:color w:val="auto"/>
              </w:rPr>
            </w:pPr>
            <w:r>
              <w:rPr>
                <w:rFonts w:ascii="Arial" w:cs="Arial" w:eastAsia="Arial" w:hAnsi="Arial"/>
                <w:sz w:val="18"/>
                <w:szCs w:val="18"/>
                <w:color w:val="auto"/>
                <w:w w:val="88"/>
              </w:rPr>
              <w:t>10.06</w:t>
            </w:r>
          </w:p>
        </w:tc>
      </w:tr>
      <w:tr>
        <w:trPr>
          <w:trHeight w:val="216"/>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(c)(3)</w:t>
            </w:r>
          </w:p>
        </w:tc>
        <w:tc>
          <w:tcPr>
            <w:tcW w:w="7620" w:type="dxa"/>
            <w:vAlign w:val="bottom"/>
            <w:gridSpan w:val="2"/>
          </w:tcPr>
          <w:p>
            <w:pPr>
              <w:jc w:val="center"/>
              <w:ind w:left="6250"/>
              <w:spacing w:after="0"/>
              <w:rPr>
                <w:sz w:val="20"/>
                <w:szCs w:val="20"/>
                <w:color w:val="auto"/>
              </w:rPr>
            </w:pPr>
            <w:r>
              <w:rPr>
                <w:rFonts w:ascii="Arial" w:cs="Arial" w:eastAsia="Arial" w:hAnsi="Arial"/>
                <w:sz w:val="18"/>
                <w:szCs w:val="18"/>
                <w:color w:val="auto"/>
                <w:w w:val="88"/>
              </w:rPr>
              <w:t>10.06</w:t>
            </w:r>
          </w:p>
        </w:tc>
      </w:tr>
      <w:tr>
        <w:trPr>
          <w:trHeight w:val="216"/>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(d)</w:t>
            </w:r>
          </w:p>
        </w:tc>
        <w:tc>
          <w:tcPr>
            <w:tcW w:w="63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6"/>
              </w:rPr>
              <w:t>Not Applicable</w:t>
            </w:r>
          </w:p>
        </w:tc>
      </w:tr>
      <w:tr>
        <w:trPr>
          <w:trHeight w:val="216"/>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(e)</w:t>
            </w:r>
          </w:p>
        </w:tc>
        <w:tc>
          <w:tcPr>
            <w:tcW w:w="7620" w:type="dxa"/>
            <w:vAlign w:val="bottom"/>
            <w:gridSpan w:val="2"/>
          </w:tcPr>
          <w:p>
            <w:pPr>
              <w:jc w:val="center"/>
              <w:ind w:left="6250"/>
              <w:spacing w:after="0"/>
              <w:rPr>
                <w:sz w:val="20"/>
                <w:szCs w:val="20"/>
                <w:color w:val="auto"/>
              </w:rPr>
            </w:pPr>
            <w:r>
              <w:rPr>
                <w:rFonts w:ascii="Arial" w:cs="Arial" w:eastAsia="Arial" w:hAnsi="Arial"/>
                <w:sz w:val="18"/>
                <w:szCs w:val="18"/>
                <w:color w:val="auto"/>
                <w:w w:val="88"/>
              </w:rPr>
              <w:t>10.06</w:t>
            </w:r>
          </w:p>
        </w:tc>
      </w:tr>
      <w:tr>
        <w:trPr>
          <w:trHeight w:val="216"/>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(f)</w:t>
            </w:r>
          </w:p>
        </w:tc>
        <w:tc>
          <w:tcPr>
            <w:tcW w:w="63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6"/>
              </w:rPr>
              <w:t>Not Applicable</w:t>
            </w:r>
          </w:p>
        </w:tc>
      </w:tr>
      <w:tr>
        <w:trPr>
          <w:trHeight w:val="216"/>
        </w:trPr>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w w:val="86"/>
              </w:rPr>
              <w:t>315</w:t>
            </w: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(a)</w:t>
            </w:r>
          </w:p>
        </w:tc>
        <w:tc>
          <w:tcPr>
            <w:tcW w:w="7620" w:type="dxa"/>
            <w:vAlign w:val="bottom"/>
            <w:gridSpan w:val="2"/>
          </w:tcPr>
          <w:p>
            <w:pPr>
              <w:jc w:val="center"/>
              <w:ind w:left="6250"/>
              <w:spacing w:after="0"/>
              <w:rPr>
                <w:sz w:val="20"/>
                <w:szCs w:val="20"/>
                <w:color w:val="auto"/>
              </w:rPr>
            </w:pPr>
            <w:r>
              <w:rPr>
                <w:rFonts w:ascii="Arial" w:cs="Arial" w:eastAsia="Arial" w:hAnsi="Arial"/>
                <w:sz w:val="18"/>
                <w:szCs w:val="18"/>
                <w:color w:val="auto"/>
                <w:w w:val="91"/>
              </w:rPr>
              <w:t>5.01</w:t>
            </w:r>
          </w:p>
        </w:tc>
      </w:tr>
      <w:tr>
        <w:trPr>
          <w:trHeight w:val="216"/>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(b)</w:t>
            </w:r>
          </w:p>
        </w:tc>
        <w:tc>
          <w:tcPr>
            <w:tcW w:w="7620" w:type="dxa"/>
            <w:vAlign w:val="bottom"/>
            <w:gridSpan w:val="2"/>
          </w:tcPr>
          <w:p>
            <w:pPr>
              <w:jc w:val="center"/>
              <w:ind w:left="6250"/>
              <w:spacing w:after="0"/>
              <w:rPr>
                <w:sz w:val="20"/>
                <w:szCs w:val="20"/>
                <w:color w:val="auto"/>
              </w:rPr>
            </w:pPr>
            <w:r>
              <w:rPr>
                <w:rFonts w:ascii="Arial" w:cs="Arial" w:eastAsia="Arial" w:hAnsi="Arial"/>
                <w:sz w:val="18"/>
                <w:szCs w:val="18"/>
                <w:color w:val="auto"/>
                <w:w w:val="91"/>
              </w:rPr>
              <w:t>4.11</w:t>
            </w:r>
          </w:p>
        </w:tc>
      </w:tr>
      <w:tr>
        <w:trPr>
          <w:trHeight w:val="216"/>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(c)</w:t>
            </w:r>
          </w:p>
        </w:tc>
        <w:tc>
          <w:tcPr>
            <w:tcW w:w="7620" w:type="dxa"/>
            <w:vAlign w:val="bottom"/>
            <w:gridSpan w:val="2"/>
          </w:tcPr>
          <w:p>
            <w:pPr>
              <w:jc w:val="center"/>
              <w:ind w:left="6250"/>
              <w:spacing w:after="0"/>
              <w:rPr>
                <w:sz w:val="20"/>
                <w:szCs w:val="20"/>
                <w:color w:val="auto"/>
              </w:rPr>
            </w:pPr>
            <w:r>
              <w:rPr>
                <w:rFonts w:ascii="Arial" w:cs="Arial" w:eastAsia="Arial" w:hAnsi="Arial"/>
                <w:sz w:val="18"/>
                <w:szCs w:val="18"/>
                <w:color w:val="auto"/>
                <w:w w:val="91"/>
              </w:rPr>
              <w:t>5.01</w:t>
            </w:r>
          </w:p>
        </w:tc>
      </w:tr>
      <w:tr>
        <w:trPr>
          <w:trHeight w:val="216"/>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(d)</w:t>
            </w:r>
          </w:p>
        </w:tc>
        <w:tc>
          <w:tcPr>
            <w:tcW w:w="7620" w:type="dxa"/>
            <w:vAlign w:val="bottom"/>
            <w:gridSpan w:val="2"/>
          </w:tcPr>
          <w:p>
            <w:pPr>
              <w:jc w:val="center"/>
              <w:ind w:left="6250"/>
              <w:spacing w:after="0"/>
              <w:rPr>
                <w:sz w:val="20"/>
                <w:szCs w:val="20"/>
                <w:color w:val="auto"/>
              </w:rPr>
            </w:pPr>
            <w:r>
              <w:rPr>
                <w:rFonts w:ascii="Arial" w:cs="Arial" w:eastAsia="Arial" w:hAnsi="Arial"/>
                <w:sz w:val="18"/>
                <w:szCs w:val="18"/>
                <w:color w:val="auto"/>
                <w:w w:val="91"/>
              </w:rPr>
              <w:t>5.01</w:t>
            </w:r>
          </w:p>
        </w:tc>
      </w:tr>
      <w:tr>
        <w:trPr>
          <w:trHeight w:val="216"/>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(e)</w:t>
            </w:r>
          </w:p>
        </w:tc>
        <w:tc>
          <w:tcPr>
            <w:tcW w:w="7620" w:type="dxa"/>
            <w:vAlign w:val="bottom"/>
            <w:gridSpan w:val="2"/>
          </w:tcPr>
          <w:p>
            <w:pPr>
              <w:jc w:val="center"/>
              <w:ind w:left="6250"/>
              <w:spacing w:after="0"/>
              <w:rPr>
                <w:sz w:val="20"/>
                <w:szCs w:val="20"/>
                <w:color w:val="auto"/>
              </w:rPr>
            </w:pPr>
            <w:r>
              <w:rPr>
                <w:rFonts w:ascii="Arial" w:cs="Arial" w:eastAsia="Arial" w:hAnsi="Arial"/>
                <w:sz w:val="18"/>
                <w:szCs w:val="18"/>
                <w:color w:val="auto"/>
                <w:w w:val="91"/>
              </w:rPr>
              <w:t>4.12</w:t>
            </w:r>
          </w:p>
        </w:tc>
      </w:tr>
      <w:tr>
        <w:trPr>
          <w:trHeight w:val="216"/>
        </w:trPr>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w w:val="86"/>
              </w:rPr>
              <w:t>316</w:t>
            </w: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(a) (last sentence)</w:t>
            </w:r>
          </w:p>
        </w:tc>
        <w:tc>
          <w:tcPr>
            <w:tcW w:w="7620" w:type="dxa"/>
            <w:vAlign w:val="bottom"/>
            <w:gridSpan w:val="2"/>
          </w:tcPr>
          <w:p>
            <w:pPr>
              <w:jc w:val="center"/>
              <w:ind w:left="6250"/>
              <w:spacing w:after="0"/>
              <w:rPr>
                <w:sz w:val="20"/>
                <w:szCs w:val="20"/>
                <w:color w:val="auto"/>
              </w:rPr>
            </w:pPr>
            <w:r>
              <w:rPr>
                <w:rFonts w:ascii="Arial" w:cs="Arial" w:eastAsia="Arial" w:hAnsi="Arial"/>
                <w:sz w:val="18"/>
                <w:szCs w:val="18"/>
                <w:color w:val="auto"/>
                <w:w w:val="91"/>
              </w:rPr>
              <w:t>6.04</w:t>
            </w:r>
          </w:p>
        </w:tc>
      </w:tr>
      <w:tr>
        <w:trPr>
          <w:trHeight w:val="216"/>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(a)(1)(A)</w:t>
            </w:r>
          </w:p>
        </w:tc>
        <w:tc>
          <w:tcPr>
            <w:tcW w:w="7620" w:type="dxa"/>
            <w:vAlign w:val="bottom"/>
            <w:gridSpan w:val="2"/>
          </w:tcPr>
          <w:p>
            <w:pPr>
              <w:jc w:val="center"/>
              <w:ind w:left="6250"/>
              <w:spacing w:after="0"/>
              <w:rPr>
                <w:sz w:val="20"/>
                <w:szCs w:val="20"/>
                <w:color w:val="auto"/>
              </w:rPr>
            </w:pPr>
            <w:r>
              <w:rPr>
                <w:rFonts w:ascii="Arial" w:cs="Arial" w:eastAsia="Arial" w:hAnsi="Arial"/>
                <w:sz w:val="18"/>
                <w:szCs w:val="18"/>
                <w:color w:val="auto"/>
                <w:w w:val="91"/>
              </w:rPr>
              <w:t>4.09</w:t>
            </w:r>
          </w:p>
        </w:tc>
      </w:tr>
      <w:tr>
        <w:trPr>
          <w:trHeight w:val="216"/>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(a)(1)(B)</w:t>
            </w:r>
          </w:p>
        </w:tc>
        <w:tc>
          <w:tcPr>
            <w:tcW w:w="7620" w:type="dxa"/>
            <w:vAlign w:val="bottom"/>
            <w:gridSpan w:val="2"/>
          </w:tcPr>
          <w:p>
            <w:pPr>
              <w:jc w:val="center"/>
              <w:ind w:left="6250"/>
              <w:spacing w:after="0"/>
              <w:rPr>
                <w:sz w:val="20"/>
                <w:szCs w:val="20"/>
                <w:color w:val="auto"/>
              </w:rPr>
            </w:pPr>
            <w:r>
              <w:rPr>
                <w:rFonts w:ascii="Arial" w:cs="Arial" w:eastAsia="Arial" w:hAnsi="Arial"/>
                <w:sz w:val="18"/>
                <w:szCs w:val="18"/>
                <w:color w:val="auto"/>
                <w:w w:val="91"/>
              </w:rPr>
              <w:t>4.10</w:t>
            </w:r>
          </w:p>
        </w:tc>
      </w:tr>
      <w:tr>
        <w:trPr>
          <w:trHeight w:val="216"/>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(a)(2)</w:t>
            </w:r>
          </w:p>
        </w:tc>
        <w:tc>
          <w:tcPr>
            <w:tcW w:w="63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6"/>
              </w:rPr>
              <w:t>Not Applicable</w:t>
            </w:r>
          </w:p>
        </w:tc>
      </w:tr>
      <w:tr>
        <w:trPr>
          <w:trHeight w:val="216"/>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(b)</w:t>
            </w:r>
          </w:p>
        </w:tc>
        <w:tc>
          <w:tcPr>
            <w:tcW w:w="7620" w:type="dxa"/>
            <w:vAlign w:val="bottom"/>
            <w:gridSpan w:val="2"/>
          </w:tcPr>
          <w:p>
            <w:pPr>
              <w:jc w:val="center"/>
              <w:ind w:left="6250"/>
              <w:spacing w:after="0"/>
              <w:rPr>
                <w:sz w:val="20"/>
                <w:szCs w:val="20"/>
                <w:color w:val="auto"/>
              </w:rPr>
            </w:pPr>
            <w:r>
              <w:rPr>
                <w:rFonts w:ascii="Arial" w:cs="Arial" w:eastAsia="Arial" w:hAnsi="Arial"/>
                <w:sz w:val="18"/>
                <w:szCs w:val="18"/>
                <w:color w:val="auto"/>
                <w:w w:val="91"/>
              </w:rPr>
              <w:t>4.07</w:t>
            </w:r>
          </w:p>
        </w:tc>
      </w:tr>
      <w:tr>
        <w:trPr>
          <w:trHeight w:val="216"/>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(c)</w:t>
            </w:r>
          </w:p>
        </w:tc>
        <w:tc>
          <w:tcPr>
            <w:tcW w:w="7620" w:type="dxa"/>
            <w:vAlign w:val="bottom"/>
            <w:gridSpan w:val="2"/>
          </w:tcPr>
          <w:p>
            <w:pPr>
              <w:jc w:val="center"/>
              <w:ind w:left="6250"/>
              <w:spacing w:after="0"/>
              <w:rPr>
                <w:sz w:val="20"/>
                <w:szCs w:val="20"/>
                <w:color w:val="auto"/>
              </w:rPr>
            </w:pPr>
            <w:r>
              <w:rPr>
                <w:rFonts w:ascii="Arial" w:cs="Arial" w:eastAsia="Arial" w:hAnsi="Arial"/>
                <w:sz w:val="18"/>
                <w:szCs w:val="18"/>
                <w:color w:val="auto"/>
                <w:w w:val="91"/>
              </w:rPr>
              <w:t>6.02</w:t>
            </w:r>
          </w:p>
        </w:tc>
      </w:tr>
      <w:tr>
        <w:trPr>
          <w:trHeight w:val="216"/>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317 (a)(1)</w:t>
            </w:r>
          </w:p>
        </w:tc>
        <w:tc>
          <w:tcPr>
            <w:tcW w:w="7620" w:type="dxa"/>
            <w:vAlign w:val="bottom"/>
            <w:gridSpan w:val="2"/>
          </w:tcPr>
          <w:p>
            <w:pPr>
              <w:jc w:val="center"/>
              <w:ind w:left="6250"/>
              <w:spacing w:after="0"/>
              <w:rPr>
                <w:sz w:val="20"/>
                <w:szCs w:val="20"/>
                <w:color w:val="auto"/>
              </w:rPr>
            </w:pPr>
            <w:r>
              <w:rPr>
                <w:rFonts w:ascii="Arial" w:cs="Arial" w:eastAsia="Arial" w:hAnsi="Arial"/>
                <w:sz w:val="18"/>
                <w:szCs w:val="18"/>
                <w:color w:val="auto"/>
                <w:w w:val="91"/>
              </w:rPr>
              <w:t>4.02</w:t>
            </w:r>
          </w:p>
        </w:tc>
      </w:tr>
      <w:tr>
        <w:trPr>
          <w:trHeight w:val="216"/>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(a)(2)</w:t>
            </w:r>
          </w:p>
        </w:tc>
        <w:tc>
          <w:tcPr>
            <w:tcW w:w="7620" w:type="dxa"/>
            <w:vAlign w:val="bottom"/>
            <w:gridSpan w:val="2"/>
          </w:tcPr>
          <w:p>
            <w:pPr>
              <w:jc w:val="center"/>
              <w:ind w:left="6250"/>
              <w:spacing w:after="0"/>
              <w:rPr>
                <w:sz w:val="20"/>
                <w:szCs w:val="20"/>
                <w:color w:val="auto"/>
              </w:rPr>
            </w:pPr>
            <w:r>
              <w:rPr>
                <w:rFonts w:ascii="Arial" w:cs="Arial" w:eastAsia="Arial" w:hAnsi="Arial"/>
                <w:sz w:val="18"/>
                <w:szCs w:val="18"/>
                <w:color w:val="auto"/>
                <w:w w:val="91"/>
              </w:rPr>
              <w:t>4.02</w:t>
            </w:r>
          </w:p>
        </w:tc>
      </w:tr>
      <w:tr>
        <w:trPr>
          <w:trHeight w:val="216"/>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(b)</w:t>
            </w:r>
          </w:p>
        </w:tc>
        <w:tc>
          <w:tcPr>
            <w:tcW w:w="7620" w:type="dxa"/>
            <w:vAlign w:val="bottom"/>
            <w:gridSpan w:val="2"/>
          </w:tcPr>
          <w:p>
            <w:pPr>
              <w:jc w:val="center"/>
              <w:ind w:left="6250"/>
              <w:spacing w:after="0"/>
              <w:rPr>
                <w:sz w:val="20"/>
                <w:szCs w:val="20"/>
                <w:color w:val="auto"/>
              </w:rPr>
            </w:pPr>
            <w:r>
              <w:rPr>
                <w:rFonts w:ascii="Arial" w:cs="Arial" w:eastAsia="Arial" w:hAnsi="Arial"/>
                <w:sz w:val="18"/>
                <w:szCs w:val="18"/>
                <w:color w:val="auto"/>
                <w:w w:val="91"/>
              </w:rPr>
              <w:t>3.04</w:t>
            </w:r>
          </w:p>
        </w:tc>
      </w:tr>
      <w:tr>
        <w:trPr>
          <w:trHeight w:val="216"/>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318 (a)</w:t>
            </w:r>
          </w:p>
        </w:tc>
        <w:tc>
          <w:tcPr>
            <w:tcW w:w="7620" w:type="dxa"/>
            <w:vAlign w:val="bottom"/>
            <w:gridSpan w:val="2"/>
          </w:tcPr>
          <w:p>
            <w:pPr>
              <w:jc w:val="center"/>
              <w:ind w:left="6250"/>
              <w:spacing w:after="0"/>
              <w:rPr>
                <w:sz w:val="20"/>
                <w:szCs w:val="20"/>
                <w:color w:val="auto"/>
              </w:rPr>
            </w:pPr>
            <w:r>
              <w:rPr>
                <w:rFonts w:ascii="Arial" w:cs="Arial" w:eastAsia="Arial" w:hAnsi="Arial"/>
                <w:sz w:val="18"/>
                <w:szCs w:val="18"/>
                <w:color w:val="auto"/>
                <w:w w:val="88"/>
              </w:rPr>
              <w:t>10.08</w:t>
            </w:r>
          </w:p>
        </w:tc>
      </w:tr>
      <w:tr>
        <w:trPr>
          <w:trHeight w:val="216"/>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(b)</w:t>
            </w:r>
          </w:p>
        </w:tc>
        <w:tc>
          <w:tcPr>
            <w:tcW w:w="63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6"/>
              </w:rPr>
              <w:t>Not Applicable</w:t>
            </w:r>
          </w:p>
        </w:tc>
      </w:tr>
      <w:tr>
        <w:trPr>
          <w:trHeight w:val="230"/>
        </w:trPr>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(c)</w:t>
            </w:r>
          </w:p>
        </w:tc>
        <w:tc>
          <w:tcPr>
            <w:tcW w:w="7620" w:type="dxa"/>
            <w:vAlign w:val="bottom"/>
            <w:gridSpan w:val="2"/>
          </w:tcPr>
          <w:p>
            <w:pPr>
              <w:jc w:val="center"/>
              <w:ind w:left="6250"/>
              <w:spacing w:after="0"/>
              <w:rPr>
                <w:sz w:val="20"/>
                <w:szCs w:val="20"/>
                <w:color w:val="auto"/>
              </w:rPr>
            </w:pPr>
            <w:r>
              <w:rPr>
                <w:rFonts w:ascii="Arial" w:cs="Arial" w:eastAsia="Arial" w:hAnsi="Arial"/>
                <w:sz w:val="18"/>
                <w:szCs w:val="18"/>
                <w:color w:val="auto"/>
                <w:w w:val="88"/>
              </w:rPr>
              <w:t>10.08</w:t>
            </w:r>
          </w:p>
        </w:tc>
      </w:tr>
    </w:tbl>
    <w:p>
      <w:pPr>
        <w:spacing w:after="0" w:line="202" w:lineRule="exact"/>
        <w:rPr>
          <w:sz w:val="20"/>
          <w:szCs w:val="20"/>
          <w:color w:val="auto"/>
        </w:rPr>
      </w:pPr>
    </w:p>
    <w:p>
      <w:pPr>
        <w:ind w:left="140" w:hanging="132"/>
        <w:spacing w:after="0"/>
        <w:tabs>
          <w:tab w:leader="none" w:pos="1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This Cross-Reference Table does not constitute part of the Indenture and shall not have any bearing on the interpretation of any of its terms or provisions.</w:t>
      </w:r>
    </w:p>
    <w:p>
      <w:pPr>
        <w:spacing w:after="0" w:line="221" w:lineRule="exact"/>
        <w:rPr>
          <w:rFonts w:ascii="Arial" w:cs="Arial" w:eastAsia="Arial" w:hAnsi="Arial"/>
          <w:sz w:val="16"/>
          <w:szCs w:val="16"/>
          <w:color w:val="auto"/>
        </w:rPr>
      </w:pPr>
    </w:p>
    <w:p>
      <w:pPr>
        <w:ind w:left="5640"/>
        <w:spacing w:after="0"/>
        <w:rPr>
          <w:rFonts w:ascii="Arial" w:cs="Arial" w:eastAsia="Arial" w:hAnsi="Arial"/>
          <w:sz w:val="16"/>
          <w:szCs w:val="16"/>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00"/>
          </w:cols>
          <w:pgMar w:left="240" w:top="405" w:right="459" w:bottom="1440" w:gutter="0" w:footer="0" w:header="0"/>
        </w:sectPr>
      </w:pPr>
    </w:p>
    <w:bookmarkStart w:id="55" w:name="page56"/>
    <w:bookmarkEnd w:id="55"/>
    <w:p>
      <w:pPr>
        <w:jc w:val="both"/>
        <w:ind w:left="1960" w:right="200" w:firstLine="648"/>
        <w:spacing w:after="0" w:line="264" w:lineRule="auto"/>
        <w:rPr>
          <w:sz w:val="20"/>
          <w:szCs w:val="20"/>
          <w:color w:val="auto"/>
        </w:rPr>
      </w:pPr>
      <w:r>
        <w:rPr>
          <w:rFonts w:ascii="Arial" w:cs="Arial" w:eastAsia="Arial" w:hAnsi="Arial"/>
          <w:sz w:val="18"/>
          <w:szCs w:val="18"/>
          <w:color w:val="auto"/>
        </w:rPr>
        <w:t>THIS INDENTURE, dated as of March 22, 2017 between GasLog Ltd., a Bermuda exempted company (the “</w:t>
      </w:r>
      <w:r>
        <w:rPr>
          <w:rFonts w:ascii="Arial" w:cs="Arial" w:eastAsia="Arial" w:hAnsi="Arial"/>
          <w:sz w:val="18"/>
          <w:szCs w:val="18"/>
          <w:u w:val="single" w:color="auto"/>
          <w:color w:val="auto"/>
        </w:rPr>
        <w:t>Issuer</w:t>
      </w:r>
      <w:r>
        <w:rPr>
          <w:rFonts w:ascii="Arial" w:cs="Arial" w:eastAsia="Arial" w:hAnsi="Arial"/>
          <w:sz w:val="18"/>
          <w:szCs w:val="18"/>
          <w:color w:val="auto"/>
        </w:rPr>
        <w:t>”), and AMERICAN STOCK TRANSFER &amp; TRUST COMPANY, LLC, a New York limited liability trust company, as trustee (the “</w:t>
      </w:r>
      <w:r>
        <w:rPr>
          <w:rFonts w:ascii="Arial" w:cs="Arial" w:eastAsia="Arial" w:hAnsi="Arial"/>
          <w:sz w:val="18"/>
          <w:szCs w:val="18"/>
          <w:u w:val="single" w:color="auto"/>
          <w:color w:val="auto"/>
        </w:rPr>
        <w:t>Trustee</w:t>
      </w:r>
      <w:r>
        <w:rPr>
          <w:rFonts w:ascii="Arial" w:cs="Arial" w:eastAsia="Arial" w:hAnsi="Arial"/>
          <w:sz w:val="18"/>
          <w:szCs w:val="18"/>
          <w:color w:val="auto"/>
        </w:rPr>
        <w:t>”),</w:t>
      </w:r>
    </w:p>
    <w:p>
      <w:pPr>
        <w:spacing w:after="0" w:line="181" w:lineRule="exact"/>
        <w:rPr>
          <w:sz w:val="20"/>
          <w:szCs w:val="20"/>
          <w:color w:val="auto"/>
        </w:rPr>
      </w:pPr>
    </w:p>
    <w:p>
      <w:pPr>
        <w:jc w:val="both"/>
        <w:ind w:right="80" w:firstLine="1297"/>
        <w:spacing w:after="0" w:line="264" w:lineRule="auto"/>
        <w:rPr>
          <w:sz w:val="20"/>
          <w:szCs w:val="20"/>
          <w:color w:val="auto"/>
        </w:rPr>
      </w:pPr>
      <w:r>
        <w:rPr>
          <w:rFonts w:ascii="Arial" w:cs="Arial" w:eastAsia="Arial" w:hAnsi="Arial"/>
          <w:sz w:val="18"/>
          <w:szCs w:val="18"/>
          <w:color w:val="auto"/>
        </w:rPr>
        <w:t>In consideration of the premises and the purchases of the debentures, notes or other evidences of indebtedness of the Issuer to be issued in one or more series (the “</w:t>
      </w:r>
      <w:r>
        <w:rPr>
          <w:rFonts w:ascii="Arial" w:cs="Arial" w:eastAsia="Arial" w:hAnsi="Arial"/>
          <w:sz w:val="18"/>
          <w:szCs w:val="18"/>
          <w:u w:val="single" w:color="auto"/>
          <w:color w:val="auto"/>
        </w:rPr>
        <w:t>Securities</w:t>
      </w:r>
      <w:r>
        <w:rPr>
          <w:rFonts w:ascii="Arial" w:cs="Arial" w:eastAsia="Arial" w:hAnsi="Arial"/>
          <w:sz w:val="18"/>
          <w:szCs w:val="18"/>
          <w:color w:val="auto"/>
        </w:rPr>
        <w:t>”) by the holders thereof, the Issuer and the Trustee mutually covenant and agree for the equal and proportionate benefit of the respective holders from time to time of the Securities as follows: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firstLine="1297"/>
        <w:spacing w:after="0" w:line="269"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Certain Terms Defined.</w:t>
      </w:r>
      <w:r>
        <w:rPr>
          <w:rFonts w:ascii="Arial" w:cs="Arial" w:eastAsia="Arial" w:hAnsi="Arial"/>
          <w:sz w:val="17"/>
          <w:szCs w:val="17"/>
          <w:color w:val="auto"/>
        </w:rPr>
        <w:t xml:space="preserve"> The following terms (except as otherwise expressly provided herein or in any indenture supplemental hereto, or unless the context otherwise clearly requires) for all purposes of this Indenture and of any indenture supplemental hereto shall have the respective meanings specified in this Section. All other terms used in this Indenture that are defined in the Trust Indenture Act of 1939 or the definitions of which in the Securities Act of 1933, as amended, are referred to in the Trust Indenture Act of 1939, including terms defined therein by reference to the Securities Act of 1933, as amended (except as herein otherwise expressly provided or unless the context otherwise clearly requires), shall have the meanings assigned to such terms in said Trust Indenture Act and in said Securities Act as in force at the date of this Indenture. All accounting terms used herein and not expressly defined shall have the meanings assigned to such terms in accordance with generally accepted accounting principles, and the term “generally accepted accounting principles” means such accounting principles as are generally accepted at the time of any computation. The words “herein”, “hereof” and “hereunder” and other words of similar import refer to this Indenture as a whole and not to any particular Article, Section or other subdivision. The terms defined in this Article have the meanings assigned to them in this Article and include the plural as well as the singular. The words “including,” “includes” and similar words shall be deemed to be followed by “without limitation”.</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Authorized Agent</w:t>
      </w:r>
      <w:r>
        <w:rPr>
          <w:rFonts w:ascii="Arial" w:cs="Arial" w:eastAsia="Arial" w:hAnsi="Arial"/>
          <w:sz w:val="18"/>
          <w:szCs w:val="18"/>
          <w:color w:val="auto"/>
        </w:rPr>
        <w:t>” shall have the meaning set forth in Section 10.13.</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Bearer Security</w:t>
      </w:r>
      <w:r>
        <w:rPr>
          <w:rFonts w:ascii="Arial" w:cs="Arial" w:eastAsia="Arial" w:hAnsi="Arial"/>
          <w:sz w:val="18"/>
          <w:szCs w:val="18"/>
          <w:color w:val="auto"/>
        </w:rPr>
        <w:t>” means any Security other than a Registered Security.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w:t>
      </w:r>
      <w:r>
        <w:rPr>
          <w:rFonts w:ascii="Arial" w:cs="Arial" w:eastAsia="Arial" w:hAnsi="Arial"/>
          <w:sz w:val="17"/>
          <w:szCs w:val="17"/>
          <w:color w:val="auto"/>
        </w:rPr>
        <w:t>” means either the board of directors of the Issuer or any committee of such board of directors duly authorized to act hereunder.</w:t>
      </w:r>
    </w:p>
    <w:p>
      <w:pPr>
        <w:spacing w:after="0" w:line="237"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Resolution</w:t>
      </w:r>
      <w:r>
        <w:rPr>
          <w:rFonts w:ascii="Arial" w:cs="Arial" w:eastAsia="Arial" w:hAnsi="Arial"/>
          <w:sz w:val="18"/>
          <w:szCs w:val="18"/>
          <w:color w:val="auto"/>
        </w:rPr>
        <w:t>” means one or more resolutions, certified by the secretary of the Board to have been duly adopted or consented to by the Board and to be in full force and effect, and delivered to the Trustee.</w:t>
      </w:r>
    </w:p>
    <w:p>
      <w:pPr>
        <w:spacing w:after="0" w:line="170"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with respect to any Security, a day that in the City of New York in which amounts are payable, as specified in the form of such Security, is not a day on which banking institutions are authorized by law or regulation to close.</w:t>
      </w:r>
    </w:p>
    <w:p>
      <w:pPr>
        <w:spacing w:after="0" w:line="170"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Securities and Exchange Commission, as from time to time constituted, created under the Securities Exchange Act of 1934, or if at any time after the execution and delivery of this Indenture such Commission is not existing and performing the duties now assigned to it under the Trust Indenture Act, then the body performing such duties on such date.</w:t>
      </w:r>
    </w:p>
    <w:p>
      <w:pPr>
        <w:spacing w:after="0" w:line="181"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Trust Office</w:t>
      </w:r>
      <w:r>
        <w:rPr>
          <w:rFonts w:ascii="Arial" w:cs="Arial" w:eastAsia="Arial" w:hAnsi="Arial"/>
          <w:sz w:val="18"/>
          <w:szCs w:val="18"/>
          <w:color w:val="auto"/>
        </w:rPr>
        <w:t>” means the office of the Trustee located in the City of New York at which at any particular time its corporate trust business shall be administered.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56" w:name="page57"/>
    <w:bookmarkEnd w:id="56"/>
    <w:p>
      <w:pPr>
        <w:ind w:right="80"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Depositary</w:t>
      </w:r>
      <w:r>
        <w:rPr>
          <w:rFonts w:ascii="Arial" w:cs="Arial" w:eastAsia="Arial" w:hAnsi="Arial"/>
          <w:sz w:val="18"/>
          <w:szCs w:val="18"/>
          <w:color w:val="auto"/>
        </w:rPr>
        <w:t>” means, with respect to the Securities of any series issuable or issued in the form of one or more Registered Global Securities, the Person designated as Depositary by the Issuer pursuant to Section 2.03 until a successor Depositary shall have become such pursuant to the applicable provisions of this Indenture, and thereafter “Depositary” shall mean or include each Person who is then a Depositary hereunder, and if at any time there is more than one such Person, “Depositary” as used with respect to the Securities of any such series shall mean the Depositary with respect to the Registered Global Securities of that series.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Dollar</w:t>
      </w:r>
      <w:r>
        <w:rPr>
          <w:rFonts w:ascii="Arial" w:cs="Arial" w:eastAsia="Arial" w:hAnsi="Arial"/>
          <w:sz w:val="16"/>
          <w:szCs w:val="16"/>
          <w:color w:val="auto"/>
        </w:rPr>
        <w:t>” means the coin or currency of the United States of America as at the time of payment is legal tender for the payment of public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private debts.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means any event or condition specified as such in Section 4.01.</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w:t>
      </w:r>
      <w:r>
        <w:rPr>
          <w:rFonts w:ascii="Arial" w:cs="Arial" w:eastAsia="Arial" w:hAnsi="Arial"/>
          <w:sz w:val="18"/>
          <w:szCs w:val="18"/>
          <w:u w:val="single" w:color="auto"/>
          <w:color w:val="auto"/>
        </w:rPr>
        <w:t>Holder of Securities</w:t>
      </w:r>
      <w:r>
        <w:rPr>
          <w:rFonts w:ascii="Arial" w:cs="Arial" w:eastAsia="Arial" w:hAnsi="Arial"/>
          <w:sz w:val="18"/>
          <w:szCs w:val="18"/>
          <w:color w:val="auto"/>
        </w:rPr>
        <w:t>”, “</w:t>
      </w:r>
      <w:r>
        <w:rPr>
          <w:rFonts w:ascii="Arial" w:cs="Arial" w:eastAsia="Arial" w:hAnsi="Arial"/>
          <w:sz w:val="18"/>
          <w:szCs w:val="18"/>
          <w:u w:val="single" w:color="auto"/>
          <w:color w:val="auto"/>
        </w:rPr>
        <w:t>Securityholder</w:t>
      </w:r>
      <w:r>
        <w:rPr>
          <w:rFonts w:ascii="Arial" w:cs="Arial" w:eastAsia="Arial" w:hAnsi="Arial"/>
          <w:sz w:val="18"/>
          <w:szCs w:val="18"/>
          <w:color w:val="auto"/>
        </w:rPr>
        <w:t>” or other similar terms mean the registered holder of any Security.</w:t>
      </w:r>
    </w:p>
    <w:p>
      <w:pPr>
        <w:spacing w:after="0" w:line="225" w:lineRule="exact"/>
        <w:rPr>
          <w:sz w:val="20"/>
          <w:szCs w:val="20"/>
          <w:color w:val="auto"/>
        </w:rPr>
      </w:pPr>
    </w:p>
    <w:p>
      <w:pPr>
        <w:ind w:right="12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Indenture</w:t>
      </w:r>
      <w:r>
        <w:rPr>
          <w:rFonts w:ascii="Arial" w:cs="Arial" w:eastAsia="Arial" w:hAnsi="Arial"/>
          <w:sz w:val="17"/>
          <w:szCs w:val="17"/>
          <w:color w:val="auto"/>
        </w:rPr>
        <w:t>” means this instrument as originally executed and delivered or, if amended or supplemented as herein provided, as so amended or supplemented or both, and shall include the forms and terms of particular series of Securities established as contemplated hereunder.</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w:t>
      </w:r>
      <w:r>
        <w:rPr>
          <w:rFonts w:ascii="Arial" w:cs="Arial" w:eastAsia="Arial" w:hAnsi="Arial"/>
          <w:sz w:val="18"/>
          <w:szCs w:val="18"/>
          <w:color w:val="auto"/>
        </w:rPr>
        <w:t>” means, when used with respect to non-interest bearing Securities, interest payable after maturity.</w:t>
      </w:r>
    </w:p>
    <w:p>
      <w:pPr>
        <w:spacing w:after="0" w:line="225" w:lineRule="exact"/>
        <w:rPr>
          <w:sz w:val="20"/>
          <w:szCs w:val="20"/>
          <w:color w:val="auto"/>
        </w:rPr>
      </w:pPr>
    </w:p>
    <w:p>
      <w:pPr>
        <w:ind w:right="5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w:t>
      </w:r>
      <w:r>
        <w:rPr>
          <w:rFonts w:ascii="Arial" w:cs="Arial" w:eastAsia="Arial" w:hAnsi="Arial"/>
          <w:sz w:val="18"/>
          <w:szCs w:val="18"/>
          <w:color w:val="auto"/>
        </w:rPr>
        <w:t>” means (except as otherwise provided in Article 5) GasLog Ltd., a Bermuda exempted company, and, subject to Article 8, its successors and assigns.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 Currency</w:t>
      </w:r>
      <w:r>
        <w:rPr>
          <w:rFonts w:ascii="Arial" w:cs="Arial" w:eastAsia="Arial" w:hAnsi="Arial"/>
          <w:sz w:val="18"/>
          <w:szCs w:val="18"/>
          <w:color w:val="auto"/>
        </w:rPr>
        <w:t>” shall have the meaning set forth in Section 10.14.</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York Banking Day</w:t>
      </w:r>
      <w:r>
        <w:rPr>
          <w:rFonts w:ascii="Arial" w:cs="Arial" w:eastAsia="Arial" w:hAnsi="Arial"/>
          <w:sz w:val="18"/>
          <w:szCs w:val="18"/>
          <w:color w:val="auto"/>
        </w:rPr>
        <w:t>” shall have the meaning set forth in Section 10.14.</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Currency</w:t>
      </w:r>
      <w:r>
        <w:rPr>
          <w:rFonts w:ascii="Arial" w:cs="Arial" w:eastAsia="Arial" w:hAnsi="Arial"/>
          <w:sz w:val="18"/>
          <w:szCs w:val="18"/>
          <w:color w:val="auto"/>
        </w:rPr>
        <w:t>” means a currency issued by the government of a country other than the United States (or any currency unit comprised of any such currencies).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Officers’ Certificate</w:t>
      </w:r>
      <w:r>
        <w:rPr>
          <w:rFonts w:ascii="Arial" w:cs="Arial" w:eastAsia="Arial" w:hAnsi="Arial"/>
          <w:sz w:val="16"/>
          <w:szCs w:val="16"/>
          <w:color w:val="auto"/>
        </w:rPr>
        <w:t>” means a certificate (i) signed by any officer of the Issuer authorized by the Board to execute any such certificate and</w:t>
      </w:r>
    </w:p>
    <w:p>
      <w:pPr>
        <w:spacing w:after="0" w:line="46" w:lineRule="exact"/>
        <w:rPr>
          <w:sz w:val="20"/>
          <w:szCs w:val="20"/>
          <w:color w:val="auto"/>
        </w:rPr>
      </w:pPr>
    </w:p>
    <w:p>
      <w:pPr>
        <w:ind w:firstLine="8"/>
        <w:spacing w:after="0" w:line="261" w:lineRule="auto"/>
        <w:tabs>
          <w:tab w:leader="none" w:pos="265"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delivered to the Trustee. Each such certificate shall comply with Section 314 of the Trust Indenture Act of 1939 and include the statements provided for in Section 10.06, if and to the extent required hereby.</w:t>
      </w:r>
    </w:p>
    <w:p>
      <w:pPr>
        <w:spacing w:after="0" w:line="184"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Opinion of Counsel</w:t>
      </w:r>
      <w:r>
        <w:rPr>
          <w:rFonts w:ascii="Arial" w:cs="Arial" w:eastAsia="Arial" w:hAnsi="Arial"/>
          <w:sz w:val="18"/>
          <w:szCs w:val="18"/>
          <w:color w:val="auto"/>
        </w:rPr>
        <w:t>” means an opinion reasonably satisfactory to the Trustee in writing signed by legal counsel who may be an employee of or counsel to the Issuer. Each such opinion shall comply with Section 314 of the Trust Indenture Act of 1939 and include the statements provided for in Section 10.06, if and to the extent required hereby.</w:t>
      </w:r>
    </w:p>
    <w:p>
      <w:pPr>
        <w:spacing w:after="0" w:line="181" w:lineRule="exact"/>
        <w:rPr>
          <w:sz w:val="20"/>
          <w:szCs w:val="20"/>
          <w:color w:val="auto"/>
        </w:rPr>
      </w:pPr>
    </w:p>
    <w:p>
      <w:pPr>
        <w:ind w:right="20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Original Issue Date</w:t>
      </w:r>
      <w:r>
        <w:rPr>
          <w:rFonts w:ascii="Arial" w:cs="Arial" w:eastAsia="Arial" w:hAnsi="Arial"/>
          <w:sz w:val="17"/>
          <w:szCs w:val="17"/>
          <w:color w:val="auto"/>
        </w:rPr>
        <w:t>” of any Security (or portion thereof) means the earlier of (a) the date of such Security or (b) the date of any Security (or portion thereof) for which such Security was issued (directly or indirectly) on registration of transfer, exchange or substitution.</w:t>
      </w:r>
    </w:p>
    <w:p>
      <w:pPr>
        <w:spacing w:after="0" w:line="147" w:lineRule="exact"/>
        <w:rPr>
          <w:sz w:val="20"/>
          <w:szCs w:val="20"/>
          <w:color w:val="auto"/>
        </w:rPr>
      </w:pPr>
    </w:p>
    <w:p>
      <w:pPr>
        <w:ind w:right="3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Issue Discount Security</w:t>
      </w:r>
      <w:r>
        <w:rPr>
          <w:rFonts w:ascii="Arial" w:cs="Arial" w:eastAsia="Arial" w:hAnsi="Arial"/>
          <w:sz w:val="18"/>
          <w:szCs w:val="18"/>
          <w:color w:val="auto"/>
        </w:rPr>
        <w:t>” means any Security that provides for an amount less than the principal amount thereof to be due and payable upon a declaration of acceleration of the maturity thereof pursuant to Section 4.01.</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Outstanding</w:t>
      </w:r>
      <w:r>
        <w:rPr>
          <w:rFonts w:ascii="Arial" w:cs="Arial" w:eastAsia="Arial" w:hAnsi="Arial"/>
          <w:sz w:val="16"/>
          <w:szCs w:val="16"/>
          <w:color w:val="auto"/>
        </w:rPr>
        <w:t>”, when used with reference to Securities, shall, subject to the provisions of Section 6.04, mean, as of any particular time, all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Securities authenticated and delivered by the Trustee under this Indenture, except: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09" w:right="279" w:bottom="1440" w:gutter="0" w:footer="0" w:header="0"/>
        </w:sectPr>
      </w:pPr>
    </w:p>
    <w:bookmarkStart w:id="57" w:name="page58"/>
    <w:bookmarkEnd w:id="57"/>
    <w:p>
      <w:pPr>
        <w:ind w:left="1540" w:hanging="235"/>
        <w:spacing w:after="0"/>
        <w:tabs>
          <w:tab w:leader="none" w:pos="1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Securities theretofore cancelled by the Trustee or delivered to the Trustee for cancellation;</w:t>
      </w:r>
    </w:p>
    <w:p>
      <w:pPr>
        <w:spacing w:after="0" w:line="225" w:lineRule="exact"/>
        <w:rPr>
          <w:rFonts w:ascii="Arial" w:cs="Arial" w:eastAsia="Arial" w:hAnsi="Arial"/>
          <w:sz w:val="18"/>
          <w:szCs w:val="18"/>
          <w:color w:val="auto"/>
        </w:rPr>
      </w:pPr>
    </w:p>
    <w:p>
      <w:pPr>
        <w:ind w:left="660" w:right="180" w:firstLine="645"/>
        <w:spacing w:after="0" w:line="257" w:lineRule="auto"/>
        <w:tabs>
          <w:tab w:leader="none" w:pos="1563"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Securities, or portions thereof, for the payment or redemption of which moneys in the necessary amount shall have been deposited in trust with the Trustee or with any paying agent (other than the Issuer) or shall have been set aside, segregated and held in trust by the Issuer for the holders of such Securities (if the Issuer shall act as its own paying agent), provided that if such Securities, or portions thereof, are to be redeemed prior to the maturity thereof, notice of such redemption shall have been given as herein provided, or provision satisfactory to the Trustee shall have been made for giving such notice; and</w:t>
      </w:r>
    </w:p>
    <w:p>
      <w:pPr>
        <w:spacing w:after="0" w:line="188" w:lineRule="exact"/>
        <w:rPr>
          <w:rFonts w:ascii="Arial" w:cs="Arial" w:eastAsia="Arial" w:hAnsi="Arial"/>
          <w:sz w:val="18"/>
          <w:szCs w:val="18"/>
          <w:color w:val="auto"/>
        </w:rPr>
      </w:pPr>
    </w:p>
    <w:p>
      <w:pPr>
        <w:ind w:left="660" w:right="60" w:firstLine="645"/>
        <w:spacing w:after="0" w:line="264" w:lineRule="auto"/>
        <w:tabs>
          <w:tab w:leader="none" w:pos="1553"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Securities in substitution for which other Securities shall have been authenticated and delivered, or which shall have been paid, pursuant to the terms of Section 2.09 (except with respect to any such Security as to which proof satisfactory to the Trustee is presented that such Security is held by a person in whose hands such Security is a legal, valid and binding obligation of the Issuer).</w:t>
      </w:r>
    </w:p>
    <w:p>
      <w:pPr>
        <w:spacing w:after="0" w:line="181" w:lineRule="exact"/>
        <w:rPr>
          <w:sz w:val="20"/>
          <w:szCs w:val="20"/>
          <w:color w:val="auto"/>
        </w:rPr>
      </w:pPr>
    </w:p>
    <w:p>
      <w:pPr>
        <w:ind w:right="100" w:firstLine="1297"/>
        <w:spacing w:after="0" w:line="259" w:lineRule="auto"/>
        <w:rPr>
          <w:sz w:val="20"/>
          <w:szCs w:val="20"/>
          <w:color w:val="auto"/>
        </w:rPr>
      </w:pPr>
      <w:r>
        <w:rPr>
          <w:rFonts w:ascii="Arial" w:cs="Arial" w:eastAsia="Arial" w:hAnsi="Arial"/>
          <w:sz w:val="18"/>
          <w:szCs w:val="18"/>
          <w:color w:val="auto"/>
        </w:rPr>
        <w:t>In determining whether the holders of the requisite principal amount of Outstanding Securities of any or all series have given any request, demand, authorization, direction, notice, consent or waiver hereunder, the principal amount of an Original Issue Discount Security that shall be deemed to be Outstanding for such purposes shall be the amount of the principal thereof that would be due and payable as of the date of such determination upon a declaration of acceleration of the maturity thereof pursuant to Section 4.01.</w:t>
      </w:r>
    </w:p>
    <w:p>
      <w:pPr>
        <w:spacing w:after="0" w:line="187"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limited liability company, partnership, joint venture, association, joint stock company, trust, unincorporated organization or government or any agency or political subdivision thereof.</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w:t>
      </w:r>
      <w:r>
        <w:rPr>
          <w:rFonts w:ascii="Arial" w:cs="Arial" w:eastAsia="Arial" w:hAnsi="Arial"/>
          <w:sz w:val="18"/>
          <w:szCs w:val="18"/>
          <w:color w:val="auto"/>
        </w:rPr>
        <w:t>” whenever used with reference to the Securities or any Security or any portion thereof, shall be deemed to include “and premium,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if any”.</w:t>
      </w:r>
    </w:p>
    <w:p>
      <w:pPr>
        <w:spacing w:after="0" w:line="211" w:lineRule="exact"/>
        <w:rPr>
          <w:sz w:val="20"/>
          <w:szCs w:val="20"/>
          <w:color w:val="auto"/>
        </w:rPr>
      </w:pPr>
    </w:p>
    <w:p>
      <w:pPr>
        <w:ind w:right="3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Global Security</w:t>
      </w:r>
      <w:r>
        <w:rPr>
          <w:rFonts w:ascii="Arial" w:cs="Arial" w:eastAsia="Arial" w:hAnsi="Arial"/>
          <w:sz w:val="18"/>
          <w:szCs w:val="18"/>
          <w:color w:val="auto"/>
        </w:rPr>
        <w:t>”, means a Security evidencing all or a part of a series of Registered Securities, issued to the Depositary for such series in accordance with Section 2.03, and bearing the legend prescribed by the applicable supplemental indenture.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Security</w:t>
      </w:r>
      <w:r>
        <w:rPr>
          <w:rFonts w:ascii="Arial" w:cs="Arial" w:eastAsia="Arial" w:hAnsi="Arial"/>
          <w:sz w:val="18"/>
          <w:szCs w:val="18"/>
          <w:color w:val="auto"/>
        </w:rPr>
        <w:t>” means any Security registered on the Security register of the Issuer.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Currency</w:t>
      </w:r>
      <w:r>
        <w:rPr>
          <w:rFonts w:ascii="Arial" w:cs="Arial" w:eastAsia="Arial" w:hAnsi="Arial"/>
          <w:sz w:val="18"/>
          <w:szCs w:val="18"/>
          <w:color w:val="auto"/>
        </w:rPr>
        <w:t>” shall have the meaning set forth in Section 10.14.</w:t>
      </w:r>
    </w:p>
    <w:p>
      <w:pPr>
        <w:spacing w:after="0" w:line="225"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when used with respect to the Trustee means any officer of the Trustee, including any vice president, assistant vice president, secretary, assistant secretary, any assistant treasurer, any trust officer, or any other officer of the Trustee customarily performing functions similar to those performed by any of the above designated officers and also means, with respect to a particular corporate trust matter, any other officer to whom such matter is referred because of such officer’s knowledge of and familiarity with that particular subject and who shall have direct responsibility for the administration of this Indenture.</w:t>
      </w:r>
    </w:p>
    <w:p>
      <w:pPr>
        <w:spacing w:after="0" w:line="188" w:lineRule="exact"/>
        <w:rPr>
          <w:sz w:val="20"/>
          <w:szCs w:val="20"/>
          <w:color w:val="auto"/>
        </w:rPr>
      </w:pPr>
    </w:p>
    <w:p>
      <w:pPr>
        <w:ind w:right="5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w:t>
      </w:r>
      <w:r>
        <w:rPr>
          <w:rFonts w:ascii="Arial" w:cs="Arial" w:eastAsia="Arial" w:hAnsi="Arial"/>
          <w:sz w:val="18"/>
          <w:szCs w:val="18"/>
          <w:color w:val="auto"/>
        </w:rPr>
        <w:t>” or “</w:t>
      </w:r>
      <w:r>
        <w:rPr>
          <w:rFonts w:ascii="Arial" w:cs="Arial" w:eastAsia="Arial" w:hAnsi="Arial"/>
          <w:sz w:val="18"/>
          <w:szCs w:val="18"/>
          <w:u w:val="single" w:color="auto"/>
          <w:color w:val="auto"/>
        </w:rPr>
        <w:t>Securities</w:t>
      </w:r>
      <w:r>
        <w:rPr>
          <w:rFonts w:ascii="Arial" w:cs="Arial" w:eastAsia="Arial" w:hAnsi="Arial"/>
          <w:sz w:val="18"/>
          <w:szCs w:val="18"/>
          <w:color w:val="auto"/>
        </w:rPr>
        <w:t>” has the meaning stated in the first recital of this Indenture, or, as the case may be, Securities that have been authenticated and delivered under this Indenture.</w:t>
      </w:r>
    </w:p>
    <w:p>
      <w:pPr>
        <w:spacing w:after="0" w:line="170"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means the Person identified as “Trustee” in the first paragraph hereof and, subject to the provisions of Article 5, shall also include any successor trustee.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58" w:name="page59"/>
    <w:bookmarkEnd w:id="58"/>
    <w:p>
      <w:pPr>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Indenture Act of 1939</w:t>
      </w:r>
      <w:r>
        <w:rPr>
          <w:rFonts w:ascii="Arial" w:cs="Arial" w:eastAsia="Arial" w:hAnsi="Arial"/>
          <w:sz w:val="18"/>
          <w:szCs w:val="18"/>
          <w:color w:val="auto"/>
        </w:rPr>
        <w:t>” (except as otherwise provided in Sections 5.01 and 5.02) means the Trust Indenture Act of 1939 as in force at the date as of which this Indenture was originally executed.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Government Obligation</w:t>
      </w:r>
      <w:r>
        <w:rPr>
          <w:rFonts w:ascii="Arial" w:cs="Arial" w:eastAsia="Arial" w:hAnsi="Arial"/>
          <w:sz w:val="18"/>
          <w:szCs w:val="18"/>
          <w:color w:val="auto"/>
        </w:rPr>
        <w:t>s” shall have the meaning set forth in Section 9.01.</w:t>
      </w:r>
    </w:p>
    <w:p>
      <w:pPr>
        <w:spacing w:after="0" w:line="225"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Yield to Maturity</w:t>
      </w:r>
      <w:r>
        <w:rPr>
          <w:rFonts w:ascii="Arial" w:cs="Arial" w:eastAsia="Arial" w:hAnsi="Arial"/>
          <w:sz w:val="18"/>
          <w:szCs w:val="18"/>
          <w:color w:val="auto"/>
        </w:rPr>
        <w:t>” means the yield to maturity on a series of securities, calculated at the time of issuance of such series, or, if applicable, at the most recent redetermination of interest on such series, and calculated in accordance with accepted financial practice.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Securities</w:t>
      </w:r>
    </w:p>
    <w:p>
      <w:pPr>
        <w:spacing w:after="0" w:line="225" w:lineRule="exact"/>
        <w:rPr>
          <w:sz w:val="20"/>
          <w:szCs w:val="20"/>
          <w:color w:val="auto"/>
        </w:rPr>
      </w:pPr>
    </w:p>
    <w:p>
      <w:pPr>
        <w:ind w:right="140" w:firstLine="1297"/>
        <w:spacing w:after="0" w:line="255"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Forms Generally.</w:t>
      </w:r>
      <w:r>
        <w:rPr>
          <w:rFonts w:ascii="Arial" w:cs="Arial" w:eastAsia="Arial" w:hAnsi="Arial"/>
          <w:sz w:val="18"/>
          <w:szCs w:val="18"/>
          <w:color w:val="auto"/>
        </w:rPr>
        <w:t xml:space="preserve"> The Securities of each series shall be substantially in such form (not inconsistent with this Indenture) as shall be established by or pursuant to a resolution of the Board or in one or more indentures supplemental hereto, in each case with such appropriate insertions, omissions, substitutions and other variations as are required or permitted by this Indenture and may have imprinted or otherwise reproduced thereon such legend or legends, not inconsistent with the provisions of this Indenture, as may be required to comply with any law or with any rules or regulations pursuant thereto, or with any rules of any securities exchange or to conform to general usage, all as may be determined by the officers executing such Securities, as evidenced by their execution of the Securities.</w:t>
      </w:r>
    </w:p>
    <w:p>
      <w:pPr>
        <w:spacing w:after="0" w:line="193" w:lineRule="exact"/>
        <w:rPr>
          <w:sz w:val="20"/>
          <w:szCs w:val="20"/>
          <w:color w:val="auto"/>
        </w:rPr>
      </w:pPr>
    </w:p>
    <w:p>
      <w:pPr>
        <w:ind w:right="780" w:firstLine="1297"/>
        <w:spacing w:after="0" w:line="277" w:lineRule="auto"/>
        <w:rPr>
          <w:sz w:val="20"/>
          <w:szCs w:val="20"/>
          <w:color w:val="auto"/>
        </w:rPr>
      </w:pPr>
      <w:r>
        <w:rPr>
          <w:rFonts w:ascii="Arial" w:cs="Arial" w:eastAsia="Arial" w:hAnsi="Arial"/>
          <w:sz w:val="18"/>
          <w:szCs w:val="18"/>
          <w:color w:val="auto"/>
        </w:rPr>
        <w:t>The definitive Securities shall be printed or lithographed on security printed paper or may be produced in any other manner, all as determined by the officers executing such Securities, as evidenced by their execution of such Securities.</w:t>
      </w:r>
    </w:p>
    <w:p>
      <w:pPr>
        <w:spacing w:after="0" w:line="170"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Form of Trustee’s Certification of Authentication.</w:t>
      </w:r>
      <w:r>
        <w:rPr>
          <w:rFonts w:ascii="Arial" w:cs="Arial" w:eastAsia="Arial" w:hAnsi="Arial"/>
          <w:sz w:val="18"/>
          <w:szCs w:val="18"/>
          <w:color w:val="auto"/>
        </w:rPr>
        <w:t xml:space="preserve"> The Trustee’s certificate of authentication on all Securities shall be in substantially the following form:</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is one of the Securities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COMPANY,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TRUSTEE,</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14490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6"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Authorized</w:t>
      </w:r>
    </w:p>
    <w:p>
      <w:pPr>
        <w:spacing w:after="0" w:line="23"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14065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19" w:lineRule="exact"/>
        <w:rPr>
          <w:sz w:val="20"/>
          <w:szCs w:val="20"/>
          <w:color w:val="auto"/>
        </w:rPr>
      </w:pPr>
    </w:p>
    <w:p>
      <w:pPr>
        <w:ind w:right="480" w:firstLine="1297"/>
        <w:spacing w:after="0" w:line="277"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Amount Unlimited; Issuable in Series.</w:t>
      </w:r>
      <w:r>
        <w:rPr>
          <w:rFonts w:ascii="Arial" w:cs="Arial" w:eastAsia="Arial" w:hAnsi="Arial"/>
          <w:sz w:val="18"/>
          <w:szCs w:val="18"/>
          <w:color w:val="auto"/>
        </w:rPr>
        <w:t xml:space="preserve"> The aggregate principal amount of Securities which may be authenticated and delivered under this Indenture is unlimited.</w:t>
      </w:r>
    </w:p>
    <w:p>
      <w:pPr>
        <w:spacing w:after="0" w:line="170" w:lineRule="exact"/>
        <w:rPr>
          <w:sz w:val="20"/>
          <w:szCs w:val="20"/>
          <w:color w:val="auto"/>
        </w:rPr>
      </w:pPr>
    </w:p>
    <w:p>
      <w:pPr>
        <w:ind w:firstLine="1297"/>
        <w:spacing w:after="0" w:line="312" w:lineRule="auto"/>
        <w:rPr>
          <w:sz w:val="20"/>
          <w:szCs w:val="20"/>
          <w:color w:val="auto"/>
        </w:rPr>
      </w:pPr>
      <w:r>
        <w:rPr>
          <w:rFonts w:ascii="Arial" w:cs="Arial" w:eastAsia="Arial" w:hAnsi="Arial"/>
          <w:sz w:val="16"/>
          <w:szCs w:val="16"/>
          <w:color w:val="auto"/>
        </w:rPr>
        <w:t>The Securities may be issued in one or more series and unless provided for otherwise in an indenture supplemental hereto, each such series shall rank equally and pari passu with all other unsecured and unsubordinated debt of the Issuer. There shall be established in or pursuant to a resolution of the Board and set forth in an Officers’ Certificate, or established in one or more indentures supplemental hereto, prior to the issuance of Securities of any series,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59" w:name="page60"/>
    <w:bookmarkEnd w:id="59"/>
    <w:p>
      <w:pPr>
        <w:ind w:left="880" w:hanging="235"/>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designation of the Securities of the series (which shall distinguish the Securities of the series from all other Securities);</w:t>
      </w:r>
    </w:p>
    <w:p>
      <w:pPr>
        <w:spacing w:after="0" w:line="225" w:lineRule="exact"/>
        <w:rPr>
          <w:rFonts w:ascii="Arial" w:cs="Arial" w:eastAsia="Arial" w:hAnsi="Arial"/>
          <w:sz w:val="18"/>
          <w:szCs w:val="18"/>
          <w:color w:val="auto"/>
        </w:rPr>
      </w:pPr>
    </w:p>
    <w:p>
      <w:pPr>
        <w:ind w:right="200" w:firstLine="645"/>
        <w:spacing w:after="0" w:line="264" w:lineRule="auto"/>
        <w:tabs>
          <w:tab w:leader="none" w:pos="903"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2.08, 2.09, 2.11 or 11.03);</w:t>
      </w:r>
    </w:p>
    <w:p>
      <w:pPr>
        <w:spacing w:after="0" w:line="181" w:lineRule="exact"/>
        <w:rPr>
          <w:rFonts w:ascii="Arial" w:cs="Arial" w:eastAsia="Arial" w:hAnsi="Arial"/>
          <w:sz w:val="18"/>
          <w:szCs w:val="18"/>
          <w:color w:val="auto"/>
        </w:rPr>
      </w:pPr>
    </w:p>
    <w:p>
      <w:pPr>
        <w:ind w:left="880" w:hanging="235"/>
        <w:spacing w:after="0"/>
        <w:tabs>
          <w:tab w:leader="none" w:pos="8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if other than Dollars, the coin or currency in which the Securities of that series are denominated (including any Non-U.S. Currency);</w:t>
      </w:r>
    </w:p>
    <w:p>
      <w:pPr>
        <w:spacing w:after="0" w:line="236" w:lineRule="exact"/>
        <w:rPr>
          <w:rFonts w:ascii="Arial" w:cs="Arial" w:eastAsia="Arial" w:hAnsi="Arial"/>
          <w:sz w:val="17"/>
          <w:szCs w:val="17"/>
          <w:color w:val="auto"/>
        </w:rPr>
      </w:pPr>
    </w:p>
    <w:p>
      <w:pPr>
        <w:ind w:left="900" w:hanging="25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225" w:lineRule="exact"/>
        <w:rPr>
          <w:rFonts w:ascii="Arial" w:cs="Arial" w:eastAsia="Arial" w:hAnsi="Arial"/>
          <w:sz w:val="18"/>
          <w:szCs w:val="18"/>
          <w:color w:val="auto"/>
        </w:rPr>
      </w:pPr>
    </w:p>
    <w:p>
      <w:pPr>
        <w:ind w:right="100" w:firstLine="645"/>
        <w:spacing w:after="0" w:line="312" w:lineRule="auto"/>
        <w:tabs>
          <w:tab w:leader="none" w:pos="893"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rate or rates at which the Securities of the series shall bear interest, if any, or the method by which such rate shall be determined, the date or dates from which such interest shall accrue, the interest payment dates on which such interest shall be payable and the record dates for the determination of Holders to whom interest is payable and/or the method by which such rate or rates or date or dates shall be determined;</w:t>
      </w:r>
    </w:p>
    <w:p>
      <w:pPr>
        <w:spacing w:after="0" w:line="146" w:lineRule="exact"/>
        <w:rPr>
          <w:rFonts w:ascii="Arial" w:cs="Arial" w:eastAsia="Arial" w:hAnsi="Arial"/>
          <w:sz w:val="16"/>
          <w:szCs w:val="16"/>
          <w:color w:val="auto"/>
        </w:rPr>
      </w:pPr>
    </w:p>
    <w:p>
      <w:pPr>
        <w:ind w:left="860" w:hanging="215"/>
        <w:spacing w:after="0"/>
        <w:tabs>
          <w:tab w:leader="none" w:pos="8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place or places where the principal of and any interest on Securities of the series shall be payable (if other than as provided in Section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3.02);</w:t>
      </w:r>
    </w:p>
    <w:p>
      <w:pPr>
        <w:spacing w:after="0" w:line="210" w:lineRule="exact"/>
        <w:rPr>
          <w:rFonts w:ascii="Arial" w:cs="Arial" w:eastAsia="Arial" w:hAnsi="Arial"/>
          <w:sz w:val="16"/>
          <w:szCs w:val="16"/>
          <w:color w:val="auto"/>
        </w:rPr>
      </w:pPr>
    </w:p>
    <w:p>
      <w:pPr>
        <w:ind w:right="80" w:firstLine="645"/>
        <w:spacing w:after="0" w:line="277" w:lineRule="auto"/>
        <w:tabs>
          <w:tab w:leader="none" w:pos="903"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price or prices at which, the period or periods within which and the terms and conditions upon which Securities of the series may be redeemed, in whole or in part, at the option of the Issuer, pursuant to any sinking fund or otherwise;</w:t>
      </w:r>
    </w:p>
    <w:p>
      <w:pPr>
        <w:spacing w:after="0" w:line="170" w:lineRule="exact"/>
        <w:rPr>
          <w:rFonts w:ascii="Arial" w:cs="Arial" w:eastAsia="Arial" w:hAnsi="Arial"/>
          <w:sz w:val="18"/>
          <w:szCs w:val="18"/>
          <w:color w:val="auto"/>
        </w:rPr>
      </w:pPr>
    </w:p>
    <w:p>
      <w:pPr>
        <w:ind w:right="180" w:firstLine="645"/>
        <w:spacing w:after="0" w:line="312" w:lineRule="auto"/>
        <w:tabs>
          <w:tab w:leader="none" w:pos="903"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obligation, if any, of the Issuer to redeem, purchase or repay Securities of the series pursuant to any mandatory redemption sinking fund or analogous provisions or at the option of a Holder thereof and the price or prices at which and the period or periods within which and the terms and conditions upon which Securities of the series shall be redeemed, purchased or repaid, in whole or in part, pursuant to such obligation;</w:t>
      </w:r>
    </w:p>
    <w:p>
      <w:pPr>
        <w:spacing w:after="0" w:line="146" w:lineRule="exact"/>
        <w:rPr>
          <w:rFonts w:ascii="Arial" w:cs="Arial" w:eastAsia="Arial" w:hAnsi="Arial"/>
          <w:sz w:val="16"/>
          <w:szCs w:val="16"/>
          <w:color w:val="auto"/>
        </w:rPr>
      </w:pPr>
    </w:p>
    <w:p>
      <w:pPr>
        <w:ind w:right="280" w:firstLine="645"/>
        <w:spacing w:after="0" w:line="277" w:lineRule="auto"/>
        <w:tabs>
          <w:tab w:leader="none" w:pos="863"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other than denominations of $2,000 and integral multiples of $1,000 in excess thereof, the denominations in which Securities of the series shall be issuable;</w:t>
      </w:r>
    </w:p>
    <w:p>
      <w:pPr>
        <w:spacing w:after="0" w:line="170" w:lineRule="exact"/>
        <w:rPr>
          <w:rFonts w:ascii="Arial" w:cs="Arial" w:eastAsia="Arial" w:hAnsi="Arial"/>
          <w:sz w:val="18"/>
          <w:szCs w:val="18"/>
          <w:color w:val="auto"/>
        </w:rPr>
      </w:pPr>
    </w:p>
    <w:p>
      <w:pPr>
        <w:ind w:right="360" w:firstLine="645"/>
        <w:spacing w:after="0" w:line="308" w:lineRule="auto"/>
        <w:tabs>
          <w:tab w:leader="none" w:pos="863" w:val="left"/>
        </w:tabs>
        <w:numPr>
          <w:ilvl w:val="0"/>
          <w:numId w:val="55"/>
        </w:numPr>
        <w:rPr>
          <w:rFonts w:ascii="Arial" w:cs="Arial" w:eastAsia="Arial" w:hAnsi="Arial"/>
          <w:sz w:val="17"/>
          <w:szCs w:val="17"/>
          <w:color w:val="auto"/>
        </w:rPr>
      </w:pPr>
      <w:r>
        <w:rPr>
          <w:rFonts w:ascii="Arial" w:cs="Arial" w:eastAsia="Arial" w:hAnsi="Arial"/>
          <w:sz w:val="17"/>
          <w:szCs w:val="17"/>
          <w:color w:val="auto"/>
        </w:rPr>
        <w:t>if other than the principal amount thereof, the portion of the principal amount of Securities of the series which shall be payable upon declaration of acceleration of the maturity thereof pursuant to Section 4.01 or provable in bankruptcy pursuant to Section 4.02;</w:t>
      </w:r>
    </w:p>
    <w:p>
      <w:pPr>
        <w:spacing w:after="0" w:line="146" w:lineRule="exact"/>
        <w:rPr>
          <w:rFonts w:ascii="Arial" w:cs="Arial" w:eastAsia="Arial" w:hAnsi="Arial"/>
          <w:sz w:val="17"/>
          <w:szCs w:val="17"/>
          <w:color w:val="auto"/>
        </w:rPr>
      </w:pPr>
    </w:p>
    <w:p>
      <w:pPr>
        <w:ind w:right="260" w:firstLine="645"/>
        <w:spacing w:after="0" w:line="277" w:lineRule="auto"/>
        <w:tabs>
          <w:tab w:leader="none" w:pos="903"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other than the coin or currency in which the Securities of that series are denominated, the coin or currency in which payment of the principal of or interest on the Securities of such series shall be payable;</w:t>
      </w:r>
    </w:p>
    <w:p>
      <w:pPr>
        <w:spacing w:after="0" w:line="170" w:lineRule="exact"/>
        <w:rPr>
          <w:rFonts w:ascii="Arial" w:cs="Arial" w:eastAsia="Arial" w:hAnsi="Arial"/>
          <w:sz w:val="18"/>
          <w:szCs w:val="18"/>
          <w:color w:val="auto"/>
        </w:rPr>
      </w:pPr>
    </w:p>
    <w:p>
      <w:pPr>
        <w:ind w:right="180" w:firstLine="645"/>
        <w:spacing w:after="0" w:line="264" w:lineRule="auto"/>
        <w:tabs>
          <w:tab w:leader="none" w:pos="863"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the principal of or interest on the Securities of such series are to be payable, at the election of the Issuer or a Holder thereof, in a coin or currency other than that in which the Securities are denominated, the period or periods within which, and the terms and conditions upon which, such election may be made;</w:t>
      </w:r>
    </w:p>
    <w:p>
      <w:pPr>
        <w:spacing w:after="0" w:line="181" w:lineRule="exact"/>
        <w:rPr>
          <w:rFonts w:ascii="Arial" w:cs="Arial" w:eastAsia="Arial" w:hAnsi="Arial"/>
          <w:sz w:val="18"/>
          <w:szCs w:val="18"/>
          <w:color w:val="auto"/>
        </w:rPr>
      </w:pPr>
    </w:p>
    <w:p>
      <w:pPr>
        <w:ind w:firstLine="645"/>
        <w:spacing w:after="0" w:line="342" w:lineRule="auto"/>
        <w:tabs>
          <w:tab w:leader="none" w:pos="953" w:val="left"/>
        </w:tabs>
        <w:numPr>
          <w:ilvl w:val="0"/>
          <w:numId w:val="55"/>
        </w:numPr>
        <w:rPr>
          <w:rFonts w:ascii="Arial" w:cs="Arial" w:eastAsia="Arial" w:hAnsi="Arial"/>
          <w:sz w:val="16"/>
          <w:szCs w:val="16"/>
          <w:color w:val="auto"/>
        </w:rPr>
      </w:pPr>
      <w:r>
        <w:rPr>
          <w:rFonts w:ascii="Arial" w:cs="Arial" w:eastAsia="Arial" w:hAnsi="Arial"/>
          <w:sz w:val="16"/>
          <w:szCs w:val="16"/>
          <w:color w:val="auto"/>
        </w:rPr>
        <w:t>if the amount of payments of principal of and interest on the Securities of the series may be determined with reference to an index based on a coin or currency other than that in which the Securities of the series are denominated, or with reference to any currencies, securities or</w:t>
      </w:r>
    </w:p>
    <w:p>
      <w:pPr>
        <w:spacing w:after="0" w:line="11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135255</wp:posOffset>
            </wp:positionV>
            <wp:extent cx="7246620"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60"/>
          </w:cols>
          <w:pgMar w:left="900" w:top="409" w:right="239" w:bottom="1440" w:gutter="0" w:footer="0" w:header="0"/>
        </w:sectPr>
      </w:pPr>
    </w:p>
    <w:bookmarkStart w:id="60" w:name="page61"/>
    <w:bookmarkEnd w:id="60"/>
    <w:p>
      <w:pPr>
        <w:ind w:left="660"/>
        <w:spacing w:after="0"/>
        <w:rPr>
          <w:sz w:val="20"/>
          <w:szCs w:val="20"/>
          <w:color w:val="auto"/>
        </w:rPr>
      </w:pPr>
      <w:r>
        <w:rPr>
          <w:rFonts w:ascii="Arial" w:cs="Arial" w:eastAsia="Arial" w:hAnsi="Arial"/>
          <w:sz w:val="18"/>
          <w:szCs w:val="18"/>
          <w:color w:val="auto"/>
        </w:rPr>
        <w:t>baskets of securities, commodities or indices, the manner in which such amounts shall be determined;</w:t>
      </w:r>
    </w:p>
    <w:p>
      <w:pPr>
        <w:spacing w:after="0" w:line="225" w:lineRule="exact"/>
        <w:rPr>
          <w:sz w:val="20"/>
          <w:szCs w:val="20"/>
          <w:color w:val="auto"/>
        </w:rPr>
      </w:pPr>
    </w:p>
    <w:p>
      <w:pPr>
        <w:jc w:val="both"/>
        <w:ind w:left="660" w:right="80" w:firstLine="645"/>
        <w:spacing w:after="0" w:line="342" w:lineRule="auto"/>
        <w:tabs>
          <w:tab w:leader="none" w:pos="1563" w:val="left"/>
        </w:tabs>
        <w:numPr>
          <w:ilvl w:val="0"/>
          <w:numId w:val="56"/>
        </w:numPr>
        <w:rPr>
          <w:rFonts w:ascii="Arial" w:cs="Arial" w:eastAsia="Arial" w:hAnsi="Arial"/>
          <w:sz w:val="16"/>
          <w:szCs w:val="16"/>
          <w:color w:val="auto"/>
        </w:rPr>
      </w:pPr>
      <w:r>
        <w:rPr>
          <w:rFonts w:ascii="Arial" w:cs="Arial" w:eastAsia="Arial" w:hAnsi="Arial"/>
          <w:sz w:val="16"/>
          <w:szCs w:val="16"/>
          <w:color w:val="auto"/>
        </w:rPr>
        <w:t>if the Holders of the Securities of the series may convert or exchange the Securities of the series into or for securities of the Issuer or of other entities or other property (or the cash value thereof), the specific terms of and period during which such conversion or exchange may be made;</w:t>
      </w:r>
    </w:p>
    <w:p>
      <w:pPr>
        <w:spacing w:after="0" w:line="123" w:lineRule="exact"/>
        <w:rPr>
          <w:rFonts w:ascii="Arial" w:cs="Arial" w:eastAsia="Arial" w:hAnsi="Arial"/>
          <w:sz w:val="16"/>
          <w:szCs w:val="16"/>
          <w:color w:val="auto"/>
        </w:rPr>
      </w:pPr>
    </w:p>
    <w:p>
      <w:pPr>
        <w:ind w:left="660" w:right="120" w:firstLine="645"/>
        <w:spacing w:after="0" w:line="302" w:lineRule="auto"/>
        <w:tabs>
          <w:tab w:leader="none" w:pos="1563" w:val="left"/>
        </w:tabs>
        <w:numPr>
          <w:ilvl w:val="0"/>
          <w:numId w:val="56"/>
        </w:numPr>
        <w:rPr>
          <w:rFonts w:ascii="Arial" w:cs="Arial" w:eastAsia="Arial" w:hAnsi="Arial"/>
          <w:sz w:val="16"/>
          <w:szCs w:val="16"/>
          <w:color w:val="auto"/>
        </w:rPr>
      </w:pPr>
      <w:r>
        <w:rPr>
          <w:rFonts w:ascii="Arial" w:cs="Arial" w:eastAsia="Arial" w:hAnsi="Arial"/>
          <w:sz w:val="16"/>
          <w:szCs w:val="16"/>
          <w:color w:val="auto"/>
        </w:rPr>
        <w:t>whether the Securities of the series will be issuable as Registered Securities (and if so, whether such Securities will be issuable as Registered Global Securities) or Bearer Securities (with or without coupons), or any combination of the foregoing, any restrictions applicable to the offer, sale, transfer, exchange or delivery of Bearer Securities or Registered Securities or the payment of interest thereon and, if other than as provided herein, the terms upon which Bearer Securities of any series may be exchanged for Registered Securities of such series and vice versa;</w:t>
      </w:r>
    </w:p>
    <w:p>
      <w:pPr>
        <w:spacing w:after="0" w:line="154" w:lineRule="exact"/>
        <w:rPr>
          <w:rFonts w:ascii="Arial" w:cs="Arial" w:eastAsia="Arial" w:hAnsi="Arial"/>
          <w:sz w:val="16"/>
          <w:szCs w:val="16"/>
          <w:color w:val="auto"/>
        </w:rPr>
      </w:pPr>
    </w:p>
    <w:p>
      <w:pPr>
        <w:ind w:left="660" w:right="80" w:firstLine="645"/>
        <w:spacing w:after="0" w:line="264" w:lineRule="auto"/>
        <w:tabs>
          <w:tab w:leader="none" w:pos="1563" w:val="left"/>
        </w:tabs>
        <w:numPr>
          <w:ilvl w:val="0"/>
          <w:numId w:val="56"/>
        </w:numPr>
        <w:rPr>
          <w:rFonts w:ascii="Arial" w:cs="Arial" w:eastAsia="Arial" w:hAnsi="Arial"/>
          <w:sz w:val="18"/>
          <w:szCs w:val="18"/>
          <w:color w:val="auto"/>
        </w:rPr>
      </w:pPr>
      <w:r>
        <w:rPr>
          <w:rFonts w:ascii="Arial" w:cs="Arial" w:eastAsia="Arial" w:hAnsi="Arial"/>
          <w:sz w:val="18"/>
          <w:szCs w:val="18"/>
          <w:color w:val="auto"/>
        </w:rPr>
        <w:t>whether and under what circumstances the Issuer will pay additional amounts on the Securities of the series held by a Person who is not a U.S. Person in respect of any tax, assessment or governmental charge withheld or deducted and, if so, whether the Issuer will have the option to redeem such Securities rather than pay such additional amounts;</w:t>
      </w:r>
    </w:p>
    <w:p>
      <w:pPr>
        <w:spacing w:after="0" w:line="181" w:lineRule="exact"/>
        <w:rPr>
          <w:rFonts w:ascii="Arial" w:cs="Arial" w:eastAsia="Arial" w:hAnsi="Arial"/>
          <w:sz w:val="18"/>
          <w:szCs w:val="18"/>
          <w:color w:val="auto"/>
        </w:rPr>
      </w:pPr>
    </w:p>
    <w:p>
      <w:pPr>
        <w:ind w:left="660" w:right="280" w:firstLine="645"/>
        <w:spacing w:after="0" w:line="264" w:lineRule="auto"/>
        <w:tabs>
          <w:tab w:leader="none" w:pos="1563"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the Securities of such series are to be issuable in definitive form (whether upon original issue or upon exchange of a temporary Security of such series) only upon receipt of certain certificates or other documents or satisfaction of other conditions, the form and terms of such certificates, documents or conditions;</w:t>
      </w:r>
    </w:p>
    <w:p>
      <w:pPr>
        <w:spacing w:after="0" w:line="181" w:lineRule="exact"/>
        <w:rPr>
          <w:rFonts w:ascii="Arial" w:cs="Arial" w:eastAsia="Arial" w:hAnsi="Arial"/>
          <w:sz w:val="18"/>
          <w:szCs w:val="18"/>
          <w:color w:val="auto"/>
        </w:rPr>
      </w:pPr>
    </w:p>
    <w:p>
      <w:pPr>
        <w:ind w:left="660" w:right="140" w:firstLine="645"/>
        <w:spacing w:after="0" w:line="277" w:lineRule="auto"/>
        <w:tabs>
          <w:tab w:leader="none" w:pos="1533"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trustees, depositaries, authenticating or paying agents, transfer agents or registrars or any other agents with respect to the Securities of such series;</w:t>
      </w:r>
    </w:p>
    <w:p>
      <w:pPr>
        <w:spacing w:after="0" w:line="170" w:lineRule="exact"/>
        <w:rPr>
          <w:rFonts w:ascii="Arial" w:cs="Arial" w:eastAsia="Arial" w:hAnsi="Arial"/>
          <w:sz w:val="18"/>
          <w:szCs w:val="18"/>
          <w:color w:val="auto"/>
        </w:rPr>
      </w:pPr>
    </w:p>
    <w:p>
      <w:pPr>
        <w:ind w:left="660" w:right="40" w:firstLine="645"/>
        <w:spacing w:after="0" w:line="276" w:lineRule="auto"/>
        <w:tabs>
          <w:tab w:leader="none" w:pos="1543" w:val="left"/>
        </w:tabs>
        <w:numPr>
          <w:ilvl w:val="0"/>
          <w:numId w:val="56"/>
        </w:numPr>
        <w:rPr>
          <w:rFonts w:ascii="Arial" w:cs="Arial" w:eastAsia="Arial" w:hAnsi="Arial"/>
          <w:sz w:val="17"/>
          <w:szCs w:val="17"/>
          <w:color w:val="auto"/>
        </w:rPr>
      </w:pPr>
      <w:r>
        <w:rPr>
          <w:rFonts w:ascii="Arial" w:cs="Arial" w:eastAsia="Arial" w:hAnsi="Arial"/>
          <w:sz w:val="17"/>
          <w:szCs w:val="17"/>
          <w:color w:val="auto"/>
        </w:rPr>
        <w:t>any applicable United States federal income tax and other income tax provisions, including: whether and under what circumstances the Issuer will pay additional amounts on Securities for any tax, assessment or governmental charge withheld or deducted and, if so, whether it will have the option to redeem those Securities rather than pay the additional amounts; tax considerations applicable to any discounted Securities or to Securities issued at par that are treated as having been issued at a discount for United States federal income tax purposes; and tax considerations applicable to any Securities denominated and payable in foreign currencies;</w:t>
      </w:r>
    </w:p>
    <w:p>
      <w:pPr>
        <w:spacing w:after="0" w:line="172" w:lineRule="exact"/>
        <w:rPr>
          <w:rFonts w:ascii="Arial" w:cs="Arial" w:eastAsia="Arial" w:hAnsi="Arial"/>
          <w:sz w:val="17"/>
          <w:szCs w:val="17"/>
          <w:color w:val="auto"/>
        </w:rPr>
      </w:pPr>
    </w:p>
    <w:p>
      <w:pPr>
        <w:ind w:left="1520" w:hanging="215"/>
        <w:spacing w:after="0"/>
        <w:tabs>
          <w:tab w:leader="none" w:pos="15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whether certain payments on the Securities will be guaranteed under a financial insurance guaranty policy and the terms of that guaranty;</w:t>
      </w:r>
    </w:p>
    <w:p>
      <w:pPr>
        <w:spacing w:after="0" w:line="248" w:lineRule="exact"/>
        <w:rPr>
          <w:rFonts w:ascii="Arial" w:cs="Arial" w:eastAsia="Arial" w:hAnsi="Arial"/>
          <w:sz w:val="16"/>
          <w:szCs w:val="16"/>
          <w:color w:val="auto"/>
        </w:rPr>
      </w:pPr>
    </w:p>
    <w:p>
      <w:pPr>
        <w:ind w:left="1560" w:hanging="255"/>
        <w:spacing w:after="0"/>
        <w:tabs>
          <w:tab w:leader="none" w:pos="15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applicable selling restrictions;</w:t>
      </w:r>
    </w:p>
    <w:p>
      <w:pPr>
        <w:spacing w:after="0" w:line="225" w:lineRule="exact"/>
        <w:rPr>
          <w:rFonts w:ascii="Arial" w:cs="Arial" w:eastAsia="Arial" w:hAnsi="Arial"/>
          <w:sz w:val="18"/>
          <w:szCs w:val="18"/>
          <w:color w:val="auto"/>
        </w:rPr>
      </w:pPr>
    </w:p>
    <w:p>
      <w:pPr>
        <w:ind w:left="660" w:right="40" w:firstLine="645"/>
        <w:spacing w:after="0" w:line="312" w:lineRule="auto"/>
        <w:tabs>
          <w:tab w:leader="none" w:pos="1563" w:val="left"/>
        </w:tabs>
        <w:numPr>
          <w:ilvl w:val="0"/>
          <w:numId w:val="56"/>
        </w:numPr>
        <w:rPr>
          <w:rFonts w:ascii="Arial" w:cs="Arial" w:eastAsia="Arial" w:hAnsi="Arial"/>
          <w:sz w:val="16"/>
          <w:szCs w:val="16"/>
          <w:color w:val="auto"/>
        </w:rPr>
      </w:pPr>
      <w:r>
        <w:rPr>
          <w:rFonts w:ascii="Arial" w:cs="Arial" w:eastAsia="Arial" w:hAnsi="Arial"/>
          <w:sz w:val="16"/>
          <w:szCs w:val="16"/>
          <w:color w:val="auto"/>
        </w:rPr>
        <w:t>any covenants (or modifications to covenants set forth herein) with respect to the Securities of such series or any events of default (or modifications to the events of default set forth herein) with respect to the Securities of such series or modifications or elimination of any acceleration rights with respect to the Securities of such series and any terms required by or advisable under applicable laws or regulations; and</w:t>
      </w:r>
    </w:p>
    <w:p>
      <w:pPr>
        <w:spacing w:after="0" w:line="146" w:lineRule="exact"/>
        <w:rPr>
          <w:rFonts w:ascii="Arial" w:cs="Arial" w:eastAsia="Arial" w:hAnsi="Arial"/>
          <w:sz w:val="16"/>
          <w:szCs w:val="16"/>
          <w:color w:val="auto"/>
        </w:rPr>
      </w:pPr>
    </w:p>
    <w:p>
      <w:pPr>
        <w:ind w:left="1600" w:hanging="295"/>
        <w:spacing w:after="0"/>
        <w:tabs>
          <w:tab w:leader="none" w:pos="16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other terms of the series.</w:t>
      </w:r>
    </w:p>
    <w:p>
      <w:pPr>
        <w:spacing w:after="0" w:line="225"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All Securities of any one series shall be substantially identical except as to denomination and except as may otherwise be provided in or pursuant to such resolution of the Board or in any such indenture supplemental hereto. All Securities of any one series need not be issued at the same time and may</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61" w:name="page62"/>
    <w:bookmarkEnd w:id="61"/>
    <w:p>
      <w:pPr>
        <w:ind w:right="480"/>
        <w:spacing w:after="0" w:line="277" w:lineRule="auto"/>
        <w:rPr>
          <w:sz w:val="20"/>
          <w:szCs w:val="20"/>
          <w:color w:val="auto"/>
        </w:rPr>
      </w:pPr>
      <w:r>
        <w:rPr>
          <w:rFonts w:ascii="Arial" w:cs="Arial" w:eastAsia="Arial" w:hAnsi="Arial"/>
          <w:sz w:val="18"/>
          <w:szCs w:val="18"/>
          <w:color w:val="auto"/>
        </w:rPr>
        <w:t>be issued from time to time, consistent with the terms of this Indenture, if so provided by or pursuant to such Board Resolution or in any such indenture supplemental hereto.</w:t>
      </w:r>
    </w:p>
    <w:p>
      <w:pPr>
        <w:spacing w:after="0" w:line="170" w:lineRule="exact"/>
        <w:rPr>
          <w:sz w:val="20"/>
          <w:szCs w:val="20"/>
          <w:color w:val="auto"/>
        </w:rPr>
      </w:pPr>
    </w:p>
    <w:p>
      <w:pPr>
        <w:ind w:right="80" w:firstLine="1297"/>
        <w:spacing w:after="0" w:line="276" w:lineRule="auto"/>
        <w:rPr>
          <w:sz w:val="20"/>
          <w:szCs w:val="20"/>
          <w:color w:val="auto"/>
        </w:rPr>
      </w:pPr>
      <w:r>
        <w:rPr>
          <w:rFonts w:ascii="Arial" w:cs="Arial" w:eastAsia="Arial" w:hAnsi="Arial"/>
          <w:sz w:val="17"/>
          <w:szCs w:val="17"/>
          <w:color w:val="auto"/>
        </w:rPr>
        <w:t xml:space="preserve">SECTION 2.04. </w:t>
      </w:r>
      <w:r>
        <w:rPr>
          <w:rFonts w:ascii="Arial" w:cs="Arial" w:eastAsia="Arial" w:hAnsi="Arial"/>
          <w:sz w:val="17"/>
          <w:szCs w:val="17"/>
          <w:u w:val="single" w:color="auto"/>
          <w:color w:val="auto"/>
        </w:rPr>
        <w:t>Authentication and Delivery of Securities.</w:t>
      </w:r>
      <w:r>
        <w:rPr>
          <w:rFonts w:ascii="Arial" w:cs="Arial" w:eastAsia="Arial" w:hAnsi="Arial"/>
          <w:sz w:val="17"/>
          <w:szCs w:val="17"/>
          <w:color w:val="auto"/>
        </w:rPr>
        <w:t xml:space="preserve"> At any time and from time to time after the execution and delivery of this Indenture, the Issuer may deliver Securities of any series executed by the Issuer to the Trustee for authentication, and the Trustee shall thereupon authenticate and deliver such Securities to or upon the written order of the Issuer, signed by any officer of the Issuer authorized by the Board to execute any such order, without any further action by the Issuer. In authenticating such Securities and accepting the additional responsibilities under this Indenture in relation to such Securities the Trustee shall be provided with, and (subject to Section 5.01) shall be fully protected in relying upon:</w:t>
      </w:r>
    </w:p>
    <w:p>
      <w:pPr>
        <w:spacing w:after="0" w:line="173" w:lineRule="exact"/>
        <w:rPr>
          <w:sz w:val="20"/>
          <w:szCs w:val="20"/>
          <w:color w:val="auto"/>
        </w:rPr>
      </w:pPr>
    </w:p>
    <w:p>
      <w:pPr>
        <w:ind w:left="660" w:right="560" w:firstLine="645"/>
        <w:spacing w:after="0" w:line="277" w:lineRule="auto"/>
        <w:tabs>
          <w:tab w:leader="none" w:pos="1553"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certified copy of any resolution or resolutions of the Board authorizing the action taken pursuant to the resolution or resolutions delivered under clause 2.04(b) below;</w:t>
      </w:r>
    </w:p>
    <w:p>
      <w:pPr>
        <w:spacing w:after="0" w:line="170" w:lineRule="exact"/>
        <w:rPr>
          <w:rFonts w:ascii="Arial" w:cs="Arial" w:eastAsia="Arial" w:hAnsi="Arial"/>
          <w:sz w:val="18"/>
          <w:szCs w:val="18"/>
          <w:color w:val="auto"/>
        </w:rPr>
      </w:pPr>
    </w:p>
    <w:p>
      <w:pPr>
        <w:ind w:left="660" w:right="600" w:firstLine="645"/>
        <w:spacing w:after="0" w:line="277" w:lineRule="auto"/>
        <w:tabs>
          <w:tab w:leader="none" w:pos="1563"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copy of any resolution or resolutions of the Board relating to such series, in each case certified by the Secretary or an Assistant Secretary of the Issuer;</w:t>
      </w:r>
    </w:p>
    <w:p>
      <w:pPr>
        <w:spacing w:after="0" w:line="170" w:lineRule="exact"/>
        <w:rPr>
          <w:rFonts w:ascii="Arial" w:cs="Arial" w:eastAsia="Arial" w:hAnsi="Arial"/>
          <w:sz w:val="18"/>
          <w:szCs w:val="18"/>
          <w:color w:val="auto"/>
        </w:rPr>
      </w:pPr>
    </w:p>
    <w:p>
      <w:pPr>
        <w:ind w:left="1540" w:hanging="235"/>
        <w:spacing w:after="0"/>
        <w:tabs>
          <w:tab w:leader="none" w:pos="1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executed supplemental indenture, if any;</w:t>
      </w:r>
    </w:p>
    <w:p>
      <w:pPr>
        <w:spacing w:after="0" w:line="225" w:lineRule="exact"/>
        <w:rPr>
          <w:rFonts w:ascii="Arial" w:cs="Arial" w:eastAsia="Arial" w:hAnsi="Arial"/>
          <w:sz w:val="18"/>
          <w:szCs w:val="18"/>
          <w:color w:val="auto"/>
        </w:rPr>
      </w:pPr>
    </w:p>
    <w:p>
      <w:pPr>
        <w:ind w:left="660" w:right="80" w:firstLine="645"/>
        <w:spacing w:after="0" w:line="277" w:lineRule="auto"/>
        <w:tabs>
          <w:tab w:leader="none" w:pos="1563"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Officers’ Certificate setting forth the form and terms of the Securities as required pursuant to Section 2.01 and 2.03, respectively and prepared in accordance with Section 10.06;</w:t>
      </w:r>
    </w:p>
    <w:p>
      <w:pPr>
        <w:spacing w:after="0" w:line="170" w:lineRule="exact"/>
        <w:rPr>
          <w:rFonts w:ascii="Arial" w:cs="Arial" w:eastAsia="Arial" w:hAnsi="Arial"/>
          <w:sz w:val="18"/>
          <w:szCs w:val="18"/>
          <w:color w:val="auto"/>
        </w:rPr>
      </w:pPr>
    </w:p>
    <w:p>
      <w:pPr>
        <w:ind w:left="1540" w:hanging="235"/>
        <w:spacing w:after="0"/>
        <w:tabs>
          <w:tab w:leader="none" w:pos="1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Opinion of Counsel, prepared in accordance with Section 10.06, to the effect that</w:t>
      </w:r>
    </w:p>
    <w:p>
      <w:pPr>
        <w:spacing w:after="0" w:line="225" w:lineRule="exact"/>
        <w:rPr>
          <w:rFonts w:ascii="Arial" w:cs="Arial" w:eastAsia="Arial" w:hAnsi="Arial"/>
          <w:sz w:val="18"/>
          <w:szCs w:val="18"/>
          <w:color w:val="auto"/>
        </w:rPr>
      </w:pPr>
    </w:p>
    <w:p>
      <w:pPr>
        <w:ind w:left="1300" w:right="640" w:firstLine="653"/>
        <w:spacing w:after="0" w:line="308" w:lineRule="auto"/>
        <w:tabs>
          <w:tab w:leader="none" w:pos="2163" w:val="left"/>
        </w:tabs>
        <w:numPr>
          <w:ilvl w:val="1"/>
          <w:numId w:val="57"/>
        </w:numPr>
        <w:rPr>
          <w:rFonts w:ascii="Arial" w:cs="Arial" w:eastAsia="Arial" w:hAnsi="Arial"/>
          <w:sz w:val="17"/>
          <w:szCs w:val="17"/>
          <w:color w:val="auto"/>
        </w:rPr>
      </w:pPr>
      <w:r>
        <w:rPr>
          <w:rFonts w:ascii="Arial" w:cs="Arial" w:eastAsia="Arial" w:hAnsi="Arial"/>
          <w:sz w:val="17"/>
          <w:szCs w:val="17"/>
          <w:color w:val="auto"/>
        </w:rPr>
        <w:t>the form or forms and terms of such Securities have been established by or pursuant to a resolution of the Board or by a supplemental indenture as permitted by Section 2.01 and 2.03 in conformity with the provisions of this Indenture;</w:t>
      </w:r>
    </w:p>
    <w:p>
      <w:pPr>
        <w:spacing w:after="0" w:line="146" w:lineRule="exact"/>
        <w:rPr>
          <w:rFonts w:ascii="Arial" w:cs="Arial" w:eastAsia="Arial" w:hAnsi="Arial"/>
          <w:sz w:val="17"/>
          <w:szCs w:val="17"/>
          <w:color w:val="auto"/>
        </w:rPr>
      </w:pPr>
    </w:p>
    <w:p>
      <w:pPr>
        <w:ind w:left="1300" w:right="400" w:firstLine="653"/>
        <w:spacing w:after="0" w:line="308" w:lineRule="auto"/>
        <w:tabs>
          <w:tab w:leader="none" w:pos="2213" w:val="left"/>
        </w:tabs>
        <w:numPr>
          <w:ilvl w:val="1"/>
          <w:numId w:val="57"/>
        </w:numPr>
        <w:rPr>
          <w:rFonts w:ascii="Arial" w:cs="Arial" w:eastAsia="Arial" w:hAnsi="Arial"/>
          <w:sz w:val="17"/>
          <w:szCs w:val="17"/>
          <w:color w:val="auto"/>
        </w:rPr>
      </w:pPr>
      <w:r>
        <w:rPr>
          <w:rFonts w:ascii="Arial" w:cs="Arial" w:eastAsia="Arial" w:hAnsi="Arial"/>
          <w:sz w:val="17"/>
          <w:szCs w:val="17"/>
          <w:color w:val="auto"/>
        </w:rPr>
        <w:t>such Securities, when authenticated and delivered by the Trustee and issued by the Issuer in the manner and subject to any conditions specified in such Opinion of Counsel, will constitute valid and binding obligations of the Issuer; and</w:t>
      </w:r>
    </w:p>
    <w:p>
      <w:pPr>
        <w:spacing w:after="0" w:line="147" w:lineRule="exact"/>
        <w:rPr>
          <w:sz w:val="20"/>
          <w:szCs w:val="20"/>
          <w:color w:val="auto"/>
        </w:rPr>
      </w:pPr>
    </w:p>
    <w:p>
      <w:pPr>
        <w:ind w:left="1620" w:hanging="315"/>
        <w:spacing w:after="0"/>
        <w:tabs>
          <w:tab w:leader="none" w:pos="16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all laws and requirements in respect of the execution and delivery by the Issuer of the Securities have been complied with; and</w:t>
      </w:r>
    </w:p>
    <w:p>
      <w:pPr>
        <w:spacing w:after="0" w:line="236" w:lineRule="exact"/>
        <w:rPr>
          <w:rFonts w:ascii="Arial" w:cs="Arial" w:eastAsia="Arial" w:hAnsi="Arial"/>
          <w:sz w:val="17"/>
          <w:szCs w:val="17"/>
          <w:color w:val="auto"/>
        </w:rPr>
      </w:pPr>
    </w:p>
    <w:p>
      <w:pPr>
        <w:ind w:left="1600" w:hanging="295"/>
        <w:spacing w:after="0"/>
        <w:tabs>
          <w:tab w:leader="none" w:pos="16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covering such other matters as the Trustee may reasonably request.</w:t>
      </w:r>
    </w:p>
    <w:p>
      <w:pPr>
        <w:spacing w:after="0" w:line="225" w:lineRule="exact"/>
        <w:rPr>
          <w:sz w:val="20"/>
          <w:szCs w:val="20"/>
          <w:color w:val="auto"/>
        </w:rPr>
      </w:pPr>
    </w:p>
    <w:p>
      <w:pPr>
        <w:ind w:right="420" w:firstLine="1297"/>
        <w:spacing w:after="0" w:line="259" w:lineRule="auto"/>
        <w:rPr>
          <w:sz w:val="20"/>
          <w:szCs w:val="20"/>
          <w:color w:val="auto"/>
        </w:rPr>
      </w:pPr>
      <w:r>
        <w:rPr>
          <w:rFonts w:ascii="Arial" w:cs="Arial" w:eastAsia="Arial" w:hAnsi="Arial"/>
          <w:sz w:val="18"/>
          <w:szCs w:val="18"/>
          <w:color w:val="auto"/>
        </w:rPr>
        <w:t>The Trustee shall have the right to decline to authenticate and deliver any Securities under this Section if the Trustee, being advised by counsel, determines that such action may not lawfully be taken by the Issuer or if the Trustee in good faith by its board of managers or board of trustees, executive committee, or a trust committee of directors or trustees or Responsible Officers shall determine that such action would expose the Trustee to personal liability to existing Holders.</w:t>
      </w:r>
    </w:p>
    <w:p>
      <w:pPr>
        <w:spacing w:after="0" w:line="187"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 xml:space="preserve">SECTION 2.05. </w:t>
      </w:r>
      <w:r>
        <w:rPr>
          <w:rFonts w:ascii="Arial" w:cs="Arial" w:eastAsia="Arial" w:hAnsi="Arial"/>
          <w:sz w:val="17"/>
          <w:szCs w:val="17"/>
          <w:u w:val="single" w:color="auto"/>
          <w:color w:val="auto"/>
        </w:rPr>
        <w:t>Execution of Securities.</w:t>
      </w:r>
      <w:r>
        <w:rPr>
          <w:rFonts w:ascii="Arial" w:cs="Arial" w:eastAsia="Arial" w:hAnsi="Arial"/>
          <w:sz w:val="17"/>
          <w:szCs w:val="17"/>
          <w:color w:val="auto"/>
        </w:rPr>
        <w:t xml:space="preserve"> The Securities shall be signed on behalf of the Issuer by any officer of the Issuer authorized by the Board to execute such Securities, which Securities may, but need not, be attested. Such signatures may be the manual or facsimile signatures of the present or any future such officers. Typographical and other minor errors or defects in any such reproduction of the seal or any such signature shall not affect the validity or enforceability of any Security that has been duly authenticated and delivered by the Trustee.</w:t>
      </w:r>
    </w:p>
    <w:p>
      <w:pPr>
        <w:spacing w:after="0" w:line="171"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In case any officer of the Issuer who shall have signed any of the Securities shall cease to be such officer before the Security so signed shall be authenticated and delivered by the Trustee or disposed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62" w:name="page63"/>
    <w:bookmarkEnd w:id="62"/>
    <w:p>
      <w:pPr>
        <w:jc w:val="both"/>
        <w:ind w:right="80"/>
        <w:spacing w:after="0" w:line="312" w:lineRule="auto"/>
        <w:rPr>
          <w:sz w:val="20"/>
          <w:szCs w:val="20"/>
          <w:color w:val="auto"/>
        </w:rPr>
      </w:pPr>
      <w:r>
        <w:rPr>
          <w:rFonts w:ascii="Arial" w:cs="Arial" w:eastAsia="Arial" w:hAnsi="Arial"/>
          <w:sz w:val="16"/>
          <w:szCs w:val="16"/>
          <w:color w:val="auto"/>
        </w:rPr>
        <w:t>of by the Issuer, such Security nevertheless may be authenticated and delivered or disposed of as though the person who signed such Security had not ceased to be such officer of the Issuer; and any Security may be signed on behalf of the Issuer by such person as, at the actual date of the execution of such Security, shall be a proper officer of the Issuer, although at the date of the execution and delivery of this Indenture any such person was not such an officer.</w:t>
      </w:r>
    </w:p>
    <w:p>
      <w:pPr>
        <w:spacing w:after="0" w:line="147" w:lineRule="exact"/>
        <w:rPr>
          <w:sz w:val="20"/>
          <w:szCs w:val="20"/>
          <w:color w:val="auto"/>
        </w:rPr>
      </w:pPr>
    </w:p>
    <w:p>
      <w:pPr>
        <w:ind w:right="160" w:firstLine="1297"/>
        <w:spacing w:after="0" w:line="302"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u w:val="single" w:color="auto"/>
          <w:color w:val="auto"/>
        </w:rPr>
        <w:t>Certificate of Authorization.</w:t>
      </w:r>
      <w:r>
        <w:rPr>
          <w:rFonts w:ascii="Arial" w:cs="Arial" w:eastAsia="Arial" w:hAnsi="Arial"/>
          <w:sz w:val="16"/>
          <w:szCs w:val="16"/>
          <w:color w:val="auto"/>
        </w:rPr>
        <w:t xml:space="preserve"> Only such Securities as shall bear thereon a certificate of authentication substantially in the form hereinbefore recited, executed by the Trustee by the manual signature of one of its authorized officers, shall be entitled to the benefits of this Indenture or be valid or obligatory for any purpose. Such certificate by the Trustee upon any Security executed by the Issuer shall be conclusive evidence that the Security so authenticated has been duly authenticated and delivered hereunder and that the holder is entitled to the benefits of this Indenture.</w:t>
      </w:r>
    </w:p>
    <w:p>
      <w:pPr>
        <w:spacing w:after="0" w:line="154"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 xml:space="preserve">SECTION 2.07. </w:t>
      </w:r>
      <w:r>
        <w:rPr>
          <w:rFonts w:ascii="Arial" w:cs="Arial" w:eastAsia="Arial" w:hAnsi="Arial"/>
          <w:sz w:val="17"/>
          <w:szCs w:val="17"/>
          <w:u w:val="single" w:color="auto"/>
          <w:color w:val="auto"/>
        </w:rPr>
        <w:t>Denomination and Date of Securities; Payments of Interest.</w:t>
      </w:r>
      <w:r>
        <w:rPr>
          <w:rFonts w:ascii="Arial" w:cs="Arial" w:eastAsia="Arial" w:hAnsi="Arial"/>
          <w:sz w:val="17"/>
          <w:szCs w:val="17"/>
          <w:color w:val="auto"/>
        </w:rPr>
        <w:t xml:space="preserve"> The Securities shall be issuable as registered securities without coupons and in denominations as shall be specified as contemplated by Section 2.03. In the absence of any such specification with respect to the Securities of any series, the Securities of such series shall be issuable in denominations of $2,000 and integral multiples of $1,000 in excess thereof. The Securities shall be numbered, lettered, or otherwise distinguished in such manner or in accordance with such plan as the officers of the Issuer executing the same may determine with the approval of the Trustee as evidenced by the execution and authentication thereof.</w:t>
      </w:r>
    </w:p>
    <w:p>
      <w:pPr>
        <w:spacing w:after="0" w:line="173"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Each Security shall be dated the date of its authentication, shall bear interest, if any, from the date and shall be payable on the dates, in each case, which shall be specified as contemplated by Section 2.03.</w:t>
      </w:r>
    </w:p>
    <w:p>
      <w:pPr>
        <w:spacing w:after="0" w:line="170" w:lineRule="exact"/>
        <w:rPr>
          <w:sz w:val="20"/>
          <w:szCs w:val="20"/>
          <w:color w:val="auto"/>
        </w:rPr>
      </w:pPr>
    </w:p>
    <w:p>
      <w:pPr>
        <w:ind w:firstLine="1297"/>
        <w:spacing w:after="0" w:line="288" w:lineRule="auto"/>
        <w:rPr>
          <w:sz w:val="20"/>
          <w:szCs w:val="20"/>
          <w:color w:val="auto"/>
        </w:rPr>
      </w:pPr>
      <w:r>
        <w:rPr>
          <w:rFonts w:ascii="Arial" w:cs="Arial" w:eastAsia="Arial" w:hAnsi="Arial"/>
          <w:sz w:val="16"/>
          <w:szCs w:val="16"/>
          <w:color w:val="auto"/>
        </w:rPr>
        <w:t>The person in whose name any Security of any series is registered at the close of business on any record date applicable to a particular series with respect to any interest payment date for such series shall be entitled to receive the interest, if any, payable on such interest payment date notwithstanding any transfer or exchange of such Security subsequent to the record date and prior to such interest payment date, except if and to the extent the Issuer shall default in the payment of the interest due on such interest payment date for such series, in which case such defaulted interest shall be paid to the persons in whose names Outstanding Securities for such series are registered at the close of business on a subsequent record date (which shall be not less than five Business Days prior to the date of payment of such defaulted interest) established by notice given by mail by or on behalf of the Issuer to the holders of Securities not less than 15 days preceding such subsequent record date. The term “</w:t>
      </w:r>
      <w:r>
        <w:rPr>
          <w:rFonts w:ascii="Arial" w:cs="Arial" w:eastAsia="Arial" w:hAnsi="Arial"/>
          <w:sz w:val="16"/>
          <w:szCs w:val="16"/>
          <w:u w:val="single" w:color="auto"/>
          <w:color w:val="auto"/>
        </w:rPr>
        <w:t>record date</w:t>
      </w:r>
      <w:r>
        <w:rPr>
          <w:rFonts w:ascii="Arial" w:cs="Arial" w:eastAsia="Arial" w:hAnsi="Arial"/>
          <w:sz w:val="16"/>
          <w:szCs w:val="16"/>
          <w:color w:val="auto"/>
        </w:rPr>
        <w:t>” as used with respect to any interest payment date (except a date for payment of defaulted interest) shall mean the date specified as such in the terms of the Securities of any particular series, or, if no such date is so specified, if such interest payment date is the first day of a calendar month, the fifteenth day of the next preceding calendar month or, if such interest payment date is the fifteenth day of a calendar month, the first day of such calendar month, whether or not such record date is a Business Day.</w:t>
      </w:r>
    </w:p>
    <w:p>
      <w:pPr>
        <w:spacing w:after="0" w:line="169" w:lineRule="exact"/>
        <w:rPr>
          <w:sz w:val="20"/>
          <w:szCs w:val="20"/>
          <w:color w:val="auto"/>
        </w:rPr>
      </w:pPr>
    </w:p>
    <w:p>
      <w:pPr>
        <w:ind w:right="140" w:firstLine="1297"/>
        <w:spacing w:after="0" w:line="302" w:lineRule="auto"/>
        <w:rPr>
          <w:sz w:val="20"/>
          <w:szCs w:val="20"/>
          <w:color w:val="auto"/>
        </w:rPr>
      </w:pPr>
      <w:r>
        <w:rPr>
          <w:rFonts w:ascii="Arial" w:cs="Arial" w:eastAsia="Arial" w:hAnsi="Arial"/>
          <w:sz w:val="16"/>
          <w:szCs w:val="16"/>
          <w:color w:val="auto"/>
        </w:rPr>
        <w:t xml:space="preserve">SECTION 2.08. </w:t>
      </w:r>
      <w:r>
        <w:rPr>
          <w:rFonts w:ascii="Arial" w:cs="Arial" w:eastAsia="Arial" w:hAnsi="Arial"/>
          <w:sz w:val="16"/>
          <w:szCs w:val="16"/>
          <w:u w:val="single" w:color="auto"/>
          <w:color w:val="auto"/>
        </w:rPr>
        <w:t>Regulation, Transfer and Exchange.</w:t>
      </w:r>
      <w:r>
        <w:rPr>
          <w:rFonts w:ascii="Arial" w:cs="Arial" w:eastAsia="Arial" w:hAnsi="Arial"/>
          <w:sz w:val="16"/>
          <w:szCs w:val="16"/>
          <w:color w:val="auto"/>
        </w:rPr>
        <w:t xml:space="preserve"> The Issuer will keep or cause to be kept at each office or agency to be maintained for the purpose as provided in Section 3.02 a register or registers in which, subject to such reasonable regulations as it may prescribe, it will register, and will register the transfer of, Securities as in this Article provided. Such register shall be in written form in the English language or in any other form capable of being converted into such form within a reasonable time. At all reasonable times such register or registers shall be open for inspection by the Trustee.</w:t>
      </w:r>
    </w:p>
    <w:p>
      <w:pPr>
        <w:spacing w:after="0" w:line="154"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Upon due presentation for registration of transfer of any Security of any series at any such office or agency to be maintained for the purpose as provided in Section 3.02, the Issuer shall execute and the Trustee shall authenticate and deliver in the name of the transferee or transferees a new Security or Securities of the same series in authorized denominations for a like aggregate principal amount.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63" w:name="page64"/>
    <w:bookmarkEnd w:id="63"/>
    <w:p>
      <w:pPr>
        <w:ind w:right="20" w:firstLine="1297"/>
        <w:spacing w:after="0" w:line="302" w:lineRule="auto"/>
        <w:rPr>
          <w:sz w:val="20"/>
          <w:szCs w:val="20"/>
          <w:color w:val="auto"/>
        </w:rPr>
      </w:pPr>
      <w:r>
        <w:rPr>
          <w:rFonts w:ascii="Arial" w:cs="Arial" w:eastAsia="Arial" w:hAnsi="Arial"/>
          <w:sz w:val="16"/>
          <w:szCs w:val="16"/>
          <w:color w:val="auto"/>
        </w:rPr>
        <w:t>Any Security or Securities of any series may be exchanged for a Security or Securities of the same series in other authorized denominations, in an equal aggregate principal amount. Securities of any series to be exchanged shall be surrendered at any office or agency to be maintained by the Issuer for the purpose as provided in Section 3.02, and the Issuer shall execute and the Trustee shall authenticate and deliver in exchange therefor the Security or Securities of the same series which the Securityholder making the exchange shall be entitled to receive, bearing numbers not contemporaneously outstanding.</w:t>
      </w:r>
    </w:p>
    <w:p>
      <w:pPr>
        <w:spacing w:after="0" w:line="154"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All Securities presented for registration of transfer, exchange, redemption or payment shall (if so required by the Issuer or the Trustee) be duly endorsed by, or be accompanied by a written instrument or instruments of transfer in form satisfactory to the Issuer and the Trustee duly executed by, the holder or his attorney duly authorized in writing.</w:t>
      </w:r>
    </w:p>
    <w:p>
      <w:pPr>
        <w:spacing w:after="0" w:line="181"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The Issuer may require payment of a sum sufficient to cover any tax or other governmental charge that may be imposed in connection with any exchange or registration of transfer of Securities. No service charge shall be made for any such transaction.</w:t>
      </w:r>
    </w:p>
    <w:p>
      <w:pPr>
        <w:spacing w:after="0" w:line="170" w:lineRule="exact"/>
        <w:rPr>
          <w:sz w:val="20"/>
          <w:szCs w:val="20"/>
          <w:color w:val="auto"/>
        </w:rPr>
      </w:pPr>
    </w:p>
    <w:p>
      <w:pPr>
        <w:ind w:right="180" w:firstLine="1297"/>
        <w:spacing w:after="0" w:line="312" w:lineRule="auto"/>
        <w:rPr>
          <w:sz w:val="20"/>
          <w:szCs w:val="20"/>
          <w:color w:val="auto"/>
        </w:rPr>
      </w:pPr>
      <w:r>
        <w:rPr>
          <w:rFonts w:ascii="Arial" w:cs="Arial" w:eastAsia="Arial" w:hAnsi="Arial"/>
          <w:sz w:val="16"/>
          <w:szCs w:val="16"/>
          <w:color w:val="auto"/>
        </w:rPr>
        <w:t>The Issuer shall not be required to exchange or register a transfer of (a) any Securities of any series for a period of 15 days next preceding the first mailing of notice of redemption of Securities of such series to be redeemed, or (b) any Securities selected, called or being called for redemption except, in the case of any Security where notice has been given that such Security is to be redeemed in part, the portion thereof not so to be redeemed.</w:t>
      </w:r>
    </w:p>
    <w:p>
      <w:pPr>
        <w:spacing w:after="0" w:line="147" w:lineRule="exact"/>
        <w:rPr>
          <w:sz w:val="20"/>
          <w:szCs w:val="20"/>
          <w:color w:val="auto"/>
        </w:rPr>
      </w:pPr>
    </w:p>
    <w:p>
      <w:pPr>
        <w:ind w:right="420" w:firstLine="1297"/>
        <w:spacing w:after="0" w:line="277" w:lineRule="auto"/>
        <w:rPr>
          <w:sz w:val="20"/>
          <w:szCs w:val="20"/>
          <w:color w:val="auto"/>
        </w:rPr>
      </w:pPr>
      <w:r>
        <w:rPr>
          <w:rFonts w:ascii="Arial" w:cs="Arial" w:eastAsia="Arial" w:hAnsi="Arial"/>
          <w:sz w:val="18"/>
          <w:szCs w:val="18"/>
          <w:color w:val="auto"/>
        </w:rPr>
        <w:t>All Securities issued upon any transfer or exchange of Securities shall be valid obligations of the Issuer, evidencing the same debt, and entitled to the same benefits under this Indenture, as the Securities surrendered upon such transfer or exchange.</w:t>
      </w:r>
    </w:p>
    <w:p>
      <w:pPr>
        <w:spacing w:after="0" w:line="170" w:lineRule="exact"/>
        <w:rPr>
          <w:sz w:val="20"/>
          <w:szCs w:val="20"/>
          <w:color w:val="auto"/>
        </w:rPr>
      </w:pPr>
    </w:p>
    <w:p>
      <w:pPr>
        <w:ind w:right="40" w:firstLine="1297"/>
        <w:spacing w:after="0" w:line="291" w:lineRule="auto"/>
        <w:rPr>
          <w:sz w:val="20"/>
          <w:szCs w:val="20"/>
          <w:color w:val="auto"/>
        </w:rPr>
      </w:pPr>
      <w:r>
        <w:rPr>
          <w:rFonts w:ascii="Arial" w:cs="Arial" w:eastAsia="Arial" w:hAnsi="Arial"/>
          <w:sz w:val="16"/>
          <w:szCs w:val="16"/>
          <w:color w:val="auto"/>
        </w:rPr>
        <w:t xml:space="preserve">SECTION 2.09. </w:t>
      </w:r>
      <w:r>
        <w:rPr>
          <w:rFonts w:ascii="Arial" w:cs="Arial" w:eastAsia="Arial" w:hAnsi="Arial"/>
          <w:sz w:val="16"/>
          <w:szCs w:val="16"/>
          <w:u w:val="single" w:color="auto"/>
          <w:color w:val="auto"/>
        </w:rPr>
        <w:t>Mutilated, Defaced, Destroyed, Lost and Stolen Securities.</w:t>
      </w:r>
      <w:r>
        <w:rPr>
          <w:rFonts w:ascii="Arial" w:cs="Arial" w:eastAsia="Arial" w:hAnsi="Arial"/>
          <w:sz w:val="16"/>
          <w:szCs w:val="16"/>
          <w:color w:val="auto"/>
        </w:rPr>
        <w:t xml:space="preserve"> In case any temporary or definitive Security shall become mutilated, defaced or be destroyed, lost or stolen, the Issuer in its discretion may execute, and upon the written request of any officer of the Issuer, the Trustee shall authenticate and deliver, a new Security of the same series, bearing a number not contemporaneously outstanding, in exchange and substitution for the mutilated or defaced Security, or in lieu of and substitution for the Security so destroyed, lost or stolen. In every case the applicant for a substitute Security shall furnish to the Issuer and to the Trustee and any agent of the Issuer or the Trustee such security or indemnity as may be required by them to indemnify and defend and to save each of them harmless and, in every case of destruction, loss or theft, evidence to their satisfaction of the destruction, loss or theft of such Security and of the ownership thereof, and in the case of mutilation or defacement shall surrender the Security to the Trustee or such agent.</w:t>
      </w:r>
    </w:p>
    <w:p>
      <w:pPr>
        <w:spacing w:after="0" w:line="167" w:lineRule="exact"/>
        <w:rPr>
          <w:sz w:val="20"/>
          <w:szCs w:val="20"/>
          <w:color w:val="auto"/>
        </w:rPr>
      </w:pPr>
    </w:p>
    <w:p>
      <w:pPr>
        <w:ind w:firstLine="1297"/>
        <w:spacing w:after="0" w:line="254" w:lineRule="auto"/>
        <w:rPr>
          <w:sz w:val="20"/>
          <w:szCs w:val="20"/>
          <w:color w:val="auto"/>
        </w:rPr>
      </w:pPr>
      <w:r>
        <w:rPr>
          <w:rFonts w:ascii="Arial" w:cs="Arial" w:eastAsia="Arial" w:hAnsi="Arial"/>
          <w:sz w:val="18"/>
          <w:szCs w:val="18"/>
          <w:color w:val="auto"/>
        </w:rPr>
        <w:t>Upon the issuance of any substitute Security, the Issuer may require the payment of a sum sufficient to cover any tax or other governmental charge that may be imposed in relation thereto and any other expenses (including the fees and expenses of the Trustee or its agent) connected therewith. In case any Security which has matured or is about to mature or has been called for redemption in full shall become mutilated or defaced or be destroyed, lost or stolen, the Issuer may instead of issuing a substitute Security, pay or authorize the payment of the same (without surrender thereof except in the case of a mutilated or defaced Security), if the applicant for such payment shall furnish to the Issuer and the Trustee and any agent of the Issuer or the Trustee such security or indemnity as any of them may require to save each of them harmless, and, in every case of destruction, loss or theft, the applicant shall also furnish to the Issuer and the Trustee and any agent of the Issuer or the Trustee evidence to their satisfaction of the destruction, loss or theft of such Security and of the ownership thereof.</w:t>
      </w:r>
    </w:p>
    <w:p>
      <w:pPr>
        <w:spacing w:after="0" w:line="192" w:lineRule="exact"/>
        <w:rPr>
          <w:sz w:val="20"/>
          <w:szCs w:val="20"/>
          <w:color w:val="auto"/>
        </w:rPr>
      </w:pPr>
    </w:p>
    <w:p>
      <w:pPr>
        <w:ind w:right="620" w:firstLine="1297"/>
        <w:spacing w:after="0" w:line="277" w:lineRule="auto"/>
        <w:rPr>
          <w:sz w:val="20"/>
          <w:szCs w:val="20"/>
          <w:color w:val="auto"/>
        </w:rPr>
      </w:pPr>
      <w:r>
        <w:rPr>
          <w:rFonts w:ascii="Arial" w:cs="Arial" w:eastAsia="Arial" w:hAnsi="Arial"/>
          <w:sz w:val="18"/>
          <w:szCs w:val="18"/>
          <w:color w:val="auto"/>
        </w:rPr>
        <w:t>Every substitute Security of any series issued pursuant to the provisions of this section by virtue of the fact that any such Security is destroyed, lost or stolen shall constitute an additional contractual</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64" w:name="page65"/>
    <w:bookmarkEnd w:id="64"/>
    <w:p>
      <w:pPr>
        <w:spacing w:after="0" w:line="273" w:lineRule="auto"/>
        <w:rPr>
          <w:sz w:val="20"/>
          <w:szCs w:val="20"/>
          <w:color w:val="auto"/>
        </w:rPr>
      </w:pPr>
      <w:r>
        <w:rPr>
          <w:rFonts w:ascii="Arial" w:cs="Arial" w:eastAsia="Arial" w:hAnsi="Arial"/>
          <w:sz w:val="17"/>
          <w:szCs w:val="17"/>
          <w:color w:val="auto"/>
        </w:rPr>
        <w:t>obligation of the Issuer, whether or not the destroyed, lost or stolen Security shall be at any time enforceable by anyone and shall be entitled to all the benefits of (but shall be subject to all the limitations of rights set forth in) this Indenture equally and proportionately with any and all other Securities of such series duly authenticated and delivered hereunder. All Securities shall be held and owned upon the express condition that, to the extent permitted by law, the foregoing provisions are exclusive with respect to the replacement or payment of mutilated, defaced or destroyed, lost or stolen Securities and shall preclude any and all other rights or remedies notwithstanding any law or statute existing or hereafter enacted to the contrary with respect to the replacement or payment of negotiable instruments or other securities without their surrender.</w:t>
      </w:r>
    </w:p>
    <w:p>
      <w:pPr>
        <w:spacing w:after="0" w:line="178"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Cancellation of Securities.</w:t>
      </w:r>
      <w:r>
        <w:rPr>
          <w:rFonts w:ascii="Arial" w:cs="Arial" w:eastAsia="Arial" w:hAnsi="Arial"/>
          <w:sz w:val="18"/>
          <w:szCs w:val="18"/>
          <w:color w:val="auto"/>
        </w:rPr>
        <w:t xml:space="preserve"> All Securities surrendered for payment, redemption, registration of transfer or exchange, or for credit against any payment in respect of a sinking or analogous fund, if surrendered to the Issuer or any agent of the Issuer or the Trustee, shall be delivered to the Trustee for cancellation or, if surrendered to the Trustee, shall be cancelled by it; and no Securities shall be issued in lieu thereof except as expressly permitted by any of the provisions of this Indenture. The Trustee shall dispose of cancelled Securities held by it in accordance with its procedures for the disposition of cancelled Securities and deliver a certificate of disposition to the Issuer upon its request therefor. If the Issuer shall acquire any of the Securities, such acquisition shall not operate as a redemption or satisfaction of the indebtedness represented by such Securities unless and until the same are delivered to the Trustee for cancellation.</w:t>
      </w:r>
    </w:p>
    <w:p>
      <w:pPr>
        <w:spacing w:after="0" w:line="189" w:lineRule="exact"/>
        <w:rPr>
          <w:sz w:val="20"/>
          <w:szCs w:val="20"/>
          <w:color w:val="auto"/>
        </w:rPr>
      </w:pPr>
    </w:p>
    <w:p>
      <w:pPr>
        <w:ind w:firstLine="1297"/>
        <w:spacing w:after="0" w:line="269" w:lineRule="auto"/>
        <w:rPr>
          <w:sz w:val="20"/>
          <w:szCs w:val="20"/>
          <w:color w:val="auto"/>
        </w:rPr>
      </w:pPr>
      <w:r>
        <w:rPr>
          <w:rFonts w:ascii="Arial" w:cs="Arial" w:eastAsia="Arial" w:hAnsi="Arial"/>
          <w:sz w:val="17"/>
          <w:szCs w:val="17"/>
          <w:color w:val="auto"/>
        </w:rPr>
        <w:t xml:space="preserve">SECTION 2.11. </w:t>
      </w:r>
      <w:r>
        <w:rPr>
          <w:rFonts w:ascii="Arial" w:cs="Arial" w:eastAsia="Arial" w:hAnsi="Arial"/>
          <w:sz w:val="17"/>
          <w:szCs w:val="17"/>
          <w:u w:val="single" w:color="auto"/>
          <w:color w:val="auto"/>
        </w:rPr>
        <w:t>Temporary Securities.</w:t>
      </w:r>
      <w:r>
        <w:rPr>
          <w:rFonts w:ascii="Arial" w:cs="Arial" w:eastAsia="Arial" w:hAnsi="Arial"/>
          <w:sz w:val="17"/>
          <w:szCs w:val="17"/>
          <w:color w:val="auto"/>
        </w:rPr>
        <w:t xml:space="preserve"> Pending the preparation of definitive Securities for any series, the Issuer may execute and the Trustee shall authenticate and deliver temporary Securities for such series (printed, lithographed, typewritten or otherwise reproduced, in each case in form satisfactory to the Trustee). Temporary Securities of any series shall be issuable as registered Securities without coupons, of any authorized denomination, and substantially in the form of the definitive Securities of such series but with such omissions, insertions and variations as may be appropriate for temporary Securities, all as may be determined by the Issuer with the concurrence of the Trustee. Temporary Securities may contain such reference to any provisions of this Indenture as may be appropriate. Every temporary Security shall be executed by the Issuer and be authenticated by the Trustee upon the same conditions and in substantially the same manner, and with like effect, as the definitive Securities. Without unreasonable delay the Issuer shall execute and shall furnish definitive Securities of such series and thereupon temporary Securities of such series may be surrendered in exchange therefor without charge at each office or agency to be maintained by the Issuer for that purpose pursuant to Section 3.02, and the Trustee shall authenticate and deliver in exchange for such temporary Securities of such series a like aggregate principal amount of definitive Securities of the same series of authorized denominations. Until so exchanged, the temporary Securities of any series shall be entitled to the same benefits under this Indenture as definitive Securities of such series unless otherwise established pursuant to Section 2.03.</w:t>
      </w:r>
    </w:p>
    <w:p>
      <w:pPr>
        <w:spacing w:after="0" w:line="180" w:lineRule="exact"/>
        <w:rPr>
          <w:sz w:val="20"/>
          <w:szCs w:val="20"/>
          <w:color w:val="auto"/>
        </w:rPr>
      </w:pPr>
    </w:p>
    <w:p>
      <w:pPr>
        <w:ind w:right="180" w:firstLine="1297"/>
        <w:spacing w:after="0" w:line="276" w:lineRule="auto"/>
        <w:rPr>
          <w:sz w:val="20"/>
          <w:szCs w:val="20"/>
          <w:color w:val="auto"/>
        </w:rPr>
      </w:pPr>
      <w:r>
        <w:rPr>
          <w:rFonts w:ascii="Arial" w:cs="Arial" w:eastAsia="Arial" w:hAnsi="Arial"/>
          <w:sz w:val="17"/>
          <w:szCs w:val="17"/>
          <w:color w:val="auto"/>
        </w:rPr>
        <w:t xml:space="preserve">SECTION 2.12. </w:t>
      </w:r>
      <w:r>
        <w:rPr>
          <w:rFonts w:ascii="Arial" w:cs="Arial" w:eastAsia="Arial" w:hAnsi="Arial"/>
          <w:sz w:val="17"/>
          <w:szCs w:val="17"/>
          <w:u w:val="single" w:color="auto"/>
          <w:color w:val="auto"/>
        </w:rPr>
        <w:t>CUSIP Numbers.</w:t>
      </w:r>
      <w:r>
        <w:rPr>
          <w:rFonts w:ascii="Arial" w:cs="Arial" w:eastAsia="Arial" w:hAnsi="Arial"/>
          <w:sz w:val="17"/>
          <w:szCs w:val="17"/>
          <w:color w:val="auto"/>
        </w:rPr>
        <w:t xml:space="preserve"> The Issuer in issuing the Securities may use “CUSIP” numbers (if then generally in use), and, if so, the Trustee shall use “CUSIP”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Issuer will promptly notify the Trustee in writing of any change in the “CUSIP” numbers.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Covenants of the Issuer and the Trustee</w:t>
      </w:r>
    </w:p>
    <w:p>
      <w:pPr>
        <w:spacing w:after="0" w:line="225" w:lineRule="exact"/>
        <w:rPr>
          <w:sz w:val="20"/>
          <w:szCs w:val="20"/>
          <w:color w:val="auto"/>
        </w:rPr>
      </w:pPr>
    </w:p>
    <w:p>
      <w:pPr>
        <w:ind w:right="260" w:firstLine="1297"/>
        <w:spacing w:after="0" w:line="286"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Payment of Principal and Interest.</w:t>
      </w:r>
      <w:r>
        <w:rPr>
          <w:rFonts w:ascii="Arial" w:cs="Arial" w:eastAsia="Arial" w:hAnsi="Arial"/>
          <w:sz w:val="17"/>
          <w:szCs w:val="17"/>
          <w:color w:val="auto"/>
        </w:rPr>
        <w:t xml:space="preserve"> The Issuer covenants and agrees for the benefit of each series of Securities that it will duly and punctually pay or cause to be paid the principal of, and interest on, each of the Securities of such series (together with any additional amounts payable pursuant to the terms of such Securities) at the place or places, at the respective times and in the manner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65" w:name="page66"/>
    <w:bookmarkEnd w:id="65"/>
    <w:p>
      <w:pPr>
        <w:ind w:right="380"/>
        <w:spacing w:after="0" w:line="259" w:lineRule="auto"/>
        <w:rPr>
          <w:sz w:val="20"/>
          <w:szCs w:val="20"/>
          <w:color w:val="auto"/>
        </w:rPr>
      </w:pPr>
      <w:r>
        <w:rPr>
          <w:rFonts w:ascii="Arial" w:cs="Arial" w:eastAsia="Arial" w:hAnsi="Arial"/>
          <w:sz w:val="18"/>
          <w:szCs w:val="18"/>
          <w:color w:val="auto"/>
        </w:rPr>
        <w:t>provided in such Securities. Subject to any other provisions that may be established pursuant to Section 2.03, the interest on Securities (together with any additional amounts payable pursuant to the terms of such Securities) shall be payable only to or upon the written order of the Holders thereof and, at the option of the Issuer, may be paid by wire transfer or by mailing checks for such interest payable to or upon the written order of such Holders at their last addresses as they appear on the registry books of the Issuer.</w:t>
      </w:r>
    </w:p>
    <w:p>
      <w:pPr>
        <w:spacing w:after="0" w:line="187" w:lineRule="exact"/>
        <w:rPr>
          <w:sz w:val="20"/>
          <w:szCs w:val="20"/>
          <w:color w:val="auto"/>
        </w:rPr>
      </w:pPr>
    </w:p>
    <w:p>
      <w:pPr>
        <w:ind w:right="20" w:firstLine="1297"/>
        <w:spacing w:after="0" w:line="254"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Offices for Payments, etc.</w:t>
      </w:r>
      <w:r>
        <w:rPr>
          <w:rFonts w:ascii="Arial" w:cs="Arial" w:eastAsia="Arial" w:hAnsi="Arial"/>
          <w:sz w:val="18"/>
          <w:szCs w:val="18"/>
          <w:color w:val="auto"/>
        </w:rPr>
        <w:t xml:space="preserve"> So long as any of the Securities remain outstanding, the Issuer will maintain in the Borough of Manhattan, The City of New York, the following for each series: an office or agency (a) where the Securities may be presented for payment, (b) where the Securities may be presented for registration of transfer and for exchange as in this Indenture provided and (c) where notices and demands to or upon the Issuer in respect of the Securities or of this Indenture may be served. The Issuer will give to the Trustee written notice of the location of any such office or agency and of any change of location thereof. Unless otherwise specified in accordance with Section 2.03, the Issuer hereby initially designates the Corporate Trust Office of the Trustee, as the office to be maintained by it for each such purpose. In case the Issuer shall fail to so designate or maintain any such office or agency or shall fail to give such notice of the location or of any change in the location thereof, presentations and demands may be made and notices may be served at the Corporate Trust Office.</w:t>
      </w:r>
    </w:p>
    <w:p>
      <w:pPr>
        <w:spacing w:after="0" w:line="192"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The Issuer may from time to time designate one or more additional offices or agencies where the Securities of a series may be presented for payment, where the Securities of that series may be presented for exchange as provided in this Indenture and pursuant to Section 2.03 and where the Securities of that series may be presented for registration of transfer as provided in this Indenture, and the Issuer may from time to time rescind any such designation, as the Issuer may deem desirable or expedient; provided, however, that no such designation or rescission shall in any manner relieve the Issuer of its obligation to maintain the agencies provided for in this Section. The Issuer will give to the Trustee prompt written notice of any such designation or rescission thereof.</w:t>
      </w:r>
    </w:p>
    <w:p>
      <w:pPr>
        <w:spacing w:after="0" w:line="193" w:lineRule="exact"/>
        <w:rPr>
          <w:sz w:val="20"/>
          <w:szCs w:val="20"/>
          <w:color w:val="auto"/>
        </w:rPr>
      </w:pPr>
    </w:p>
    <w:p>
      <w:pPr>
        <w:jc w:val="both"/>
        <w:ind w:right="100" w:firstLine="1297"/>
        <w:spacing w:after="0" w:line="264"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Appointment to Fill a Vacancy in Office of Trustee.</w:t>
      </w:r>
      <w:r>
        <w:rPr>
          <w:rFonts w:ascii="Arial" w:cs="Arial" w:eastAsia="Arial" w:hAnsi="Arial"/>
          <w:sz w:val="18"/>
          <w:szCs w:val="18"/>
          <w:color w:val="auto"/>
        </w:rPr>
        <w:t xml:space="preserve"> The Issuer, whenever necessary to avoid or fill a vacancy in the office of Trustee, will appoint, in the manner provided in Section 5.09, a Trustee, so that there shall at all times be a Trustee with respect to each series of Securities hereunder.</w:t>
      </w:r>
    </w:p>
    <w:p>
      <w:pPr>
        <w:spacing w:after="0" w:line="181" w:lineRule="exact"/>
        <w:rPr>
          <w:sz w:val="20"/>
          <w:szCs w:val="20"/>
          <w:color w:val="auto"/>
        </w:rPr>
      </w:pPr>
    </w:p>
    <w:p>
      <w:pPr>
        <w:ind w:right="140" w:firstLine="1297"/>
        <w:spacing w:after="0" w:line="264"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Paying Agents.</w:t>
      </w:r>
      <w:r>
        <w:rPr>
          <w:rFonts w:ascii="Arial" w:cs="Arial" w:eastAsia="Arial" w:hAnsi="Arial"/>
          <w:sz w:val="18"/>
          <w:szCs w:val="18"/>
          <w:color w:val="auto"/>
        </w:rPr>
        <w:t xml:space="preserve"> Whenever the Issuer shall appoint a paying agent other than the Trustee with respect to the Securities of any series, it will cause such paying agent to execute and deliver to the Trustee an instrument in which such agent shall agree with the Trustee, subject to the provisions of this Section,</w:t>
      </w:r>
    </w:p>
    <w:p>
      <w:pPr>
        <w:spacing w:after="0" w:line="181" w:lineRule="exact"/>
        <w:rPr>
          <w:sz w:val="20"/>
          <w:szCs w:val="20"/>
          <w:color w:val="auto"/>
        </w:rPr>
      </w:pPr>
    </w:p>
    <w:p>
      <w:pPr>
        <w:ind w:left="660" w:right="40" w:firstLine="645"/>
        <w:spacing w:after="0" w:line="264" w:lineRule="auto"/>
        <w:tabs>
          <w:tab w:leader="none" w:pos="1553"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that it will hold all sums received by it as such agent for the payment of the principal of or interest on the Securities of such series (whether such sums have been paid to it by the Issuer or by any other obligor on the Securities of such series) in trust for the benefit of the holders of the Securities of such series or of the Trustee,</w:t>
      </w:r>
    </w:p>
    <w:p>
      <w:pPr>
        <w:spacing w:after="0" w:line="181" w:lineRule="exact"/>
        <w:rPr>
          <w:rFonts w:ascii="Arial" w:cs="Arial" w:eastAsia="Arial" w:hAnsi="Arial"/>
          <w:sz w:val="18"/>
          <w:szCs w:val="18"/>
          <w:color w:val="auto"/>
        </w:rPr>
      </w:pPr>
    </w:p>
    <w:p>
      <w:pPr>
        <w:ind w:left="660" w:right="440" w:firstLine="645"/>
        <w:spacing w:after="0" w:line="277" w:lineRule="auto"/>
        <w:tabs>
          <w:tab w:leader="none" w:pos="1563"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that it will give the Trustee notice of any failure by the Issuer (or by any other obligor on the Securities of such series) to make any payment of the principal of or interest on the Securities of such series when the same shall be due and payable, and</w:t>
      </w:r>
    </w:p>
    <w:p>
      <w:pPr>
        <w:spacing w:after="0" w:line="170" w:lineRule="exact"/>
        <w:rPr>
          <w:rFonts w:ascii="Arial" w:cs="Arial" w:eastAsia="Arial" w:hAnsi="Arial"/>
          <w:sz w:val="18"/>
          <w:szCs w:val="18"/>
          <w:color w:val="auto"/>
        </w:rPr>
      </w:pPr>
    </w:p>
    <w:p>
      <w:pPr>
        <w:ind w:left="660" w:firstLine="645"/>
        <w:spacing w:after="0" w:line="277" w:lineRule="auto"/>
        <w:tabs>
          <w:tab w:leader="none" w:pos="1553"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that it will pay any such sums so held in trust by it to the Trustee upon the Trustee’s written request at any time during the continuance of the failure referred to in clause 3.04(b) above.</w:t>
      </w:r>
    </w:p>
    <w:p>
      <w:pPr>
        <w:spacing w:after="0" w:line="170"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The Issuer will, on or prior to 10:00 a.m. New York City time on each due date of the principal of or interest on the Securities of such series, deposit with the paying agent a sum sufficient to pay such principal or interest so becoming due, and (unless such paying agent is the Trustee) the Issuer will promptly notify the Trustee of any failure to take such action.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66" w:name="page67"/>
    <w:bookmarkEnd w:id="66"/>
    <w:p>
      <w:pPr>
        <w:ind w:right="100" w:firstLine="1297"/>
        <w:spacing w:after="0" w:line="286" w:lineRule="auto"/>
        <w:rPr>
          <w:sz w:val="20"/>
          <w:szCs w:val="20"/>
          <w:color w:val="auto"/>
        </w:rPr>
      </w:pPr>
      <w:r>
        <w:rPr>
          <w:rFonts w:ascii="Arial" w:cs="Arial" w:eastAsia="Arial" w:hAnsi="Arial"/>
          <w:sz w:val="17"/>
          <w:szCs w:val="17"/>
          <w:color w:val="auto"/>
        </w:rPr>
        <w:t>If the Issuer shall act as its own paying agent with respect to the Securities of any series, it will, on or before each due date of the principal of or interest on the Securities of such series, set aside, segregate and hold in trust for the benefit of the holders of the Securities of such series a sum sufficient to pay such principal or interest so becoming due. The Issuer will promptly notify the Trustee of any failure to take such action.</w:t>
      </w:r>
    </w:p>
    <w:p>
      <w:pPr>
        <w:spacing w:after="0" w:line="166"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Anything in this section to the contrary notwithstanding, the Issuer may at any time, for the purpose of obtaining a satisfaction and discharge with respect to one or more or all series of Securities hereunder, or for any other reason, pay or cause to be paid to the Trustee all sums held in trust for any such series by the Issuer or any paying agent hereunder, as required by this Section, such sums to be held by the Trustee upon the trusts herein contained.</w:t>
      </w:r>
    </w:p>
    <w:p>
      <w:pPr>
        <w:spacing w:after="0" w:line="187" w:lineRule="exact"/>
        <w:rPr>
          <w:sz w:val="20"/>
          <w:szCs w:val="20"/>
          <w:color w:val="auto"/>
        </w:rPr>
      </w:pPr>
    </w:p>
    <w:p>
      <w:pPr>
        <w:ind w:right="340" w:firstLine="1297"/>
        <w:spacing w:after="0" w:line="277" w:lineRule="auto"/>
        <w:rPr>
          <w:sz w:val="20"/>
          <w:szCs w:val="20"/>
          <w:color w:val="auto"/>
        </w:rPr>
      </w:pPr>
      <w:r>
        <w:rPr>
          <w:rFonts w:ascii="Arial" w:cs="Arial" w:eastAsia="Arial" w:hAnsi="Arial"/>
          <w:sz w:val="18"/>
          <w:szCs w:val="18"/>
          <w:color w:val="auto"/>
        </w:rPr>
        <w:t>Anything in this section to the contrary notwithstanding, the agreement to hold sums in trust as provided in this section is subject to the provisions of Section 9.03 and 9.04.</w:t>
      </w:r>
    </w:p>
    <w:p>
      <w:pPr>
        <w:spacing w:after="0" w:line="170" w:lineRule="exact"/>
        <w:rPr>
          <w:sz w:val="20"/>
          <w:szCs w:val="20"/>
          <w:color w:val="auto"/>
        </w:rPr>
      </w:pPr>
    </w:p>
    <w:p>
      <w:pPr>
        <w:ind w:right="400" w:firstLine="1297"/>
        <w:spacing w:after="0" w:line="297" w:lineRule="auto"/>
        <w:rPr>
          <w:sz w:val="20"/>
          <w:szCs w:val="20"/>
          <w:color w:val="auto"/>
        </w:rPr>
      </w:pPr>
      <w:r>
        <w:rPr>
          <w:rFonts w:ascii="Arial" w:cs="Arial" w:eastAsia="Arial" w:hAnsi="Arial"/>
          <w:sz w:val="16"/>
          <w:szCs w:val="16"/>
          <w:color w:val="auto"/>
        </w:rPr>
        <w:t xml:space="preserve">SECTION 3.05. </w:t>
      </w:r>
      <w:r>
        <w:rPr>
          <w:rFonts w:ascii="Arial" w:cs="Arial" w:eastAsia="Arial" w:hAnsi="Arial"/>
          <w:sz w:val="16"/>
          <w:szCs w:val="16"/>
          <w:u w:val="single" w:color="auto"/>
          <w:color w:val="auto"/>
        </w:rPr>
        <w:t>Certificate of the Issuer.</w:t>
      </w:r>
      <w:r>
        <w:rPr>
          <w:rFonts w:ascii="Arial" w:cs="Arial" w:eastAsia="Arial" w:hAnsi="Arial"/>
          <w:sz w:val="16"/>
          <w:szCs w:val="16"/>
          <w:color w:val="auto"/>
        </w:rPr>
        <w:t xml:space="preserve"> The Issuer will furnish to the Trustee on or before [__] in each year (beginning with [__]) an Officers’ Certificate of the Issuer as to the signers’ knowledge of the Issuer’s compliance with all conditions and covenants under the Indenture (such compliance to be determined without regard to any period of grace or requirement of notice provided under the Indenture). In the event an Officer of the Issuer comes to have actual knowledge of an Event of Default or an event which, with notice or the lapse of time or both, would constitute an Event of Default, regardless of the date, the Issuer shall deliver an Officers’ Certificate to the Trustee specifying such Default and the nature and status thereof.</w:t>
      </w:r>
    </w:p>
    <w:p>
      <w:pPr>
        <w:spacing w:after="0" w:line="158" w:lineRule="exact"/>
        <w:rPr>
          <w:sz w:val="20"/>
          <w:szCs w:val="20"/>
          <w:color w:val="auto"/>
        </w:rPr>
      </w:pPr>
    </w:p>
    <w:p>
      <w:pPr>
        <w:ind w:right="100" w:firstLine="1297"/>
        <w:spacing w:after="0" w:line="273" w:lineRule="auto"/>
        <w:rPr>
          <w:sz w:val="20"/>
          <w:szCs w:val="20"/>
          <w:color w:val="auto"/>
        </w:rPr>
      </w:pPr>
      <w:r>
        <w:rPr>
          <w:rFonts w:ascii="Arial" w:cs="Arial" w:eastAsia="Arial" w:hAnsi="Arial"/>
          <w:sz w:val="17"/>
          <w:szCs w:val="17"/>
          <w:color w:val="auto"/>
        </w:rPr>
        <w:t xml:space="preserve">SECTION 3.06. </w:t>
      </w:r>
      <w:r>
        <w:rPr>
          <w:rFonts w:ascii="Arial" w:cs="Arial" w:eastAsia="Arial" w:hAnsi="Arial"/>
          <w:sz w:val="17"/>
          <w:szCs w:val="17"/>
          <w:u w:val="single" w:color="auto"/>
          <w:color w:val="auto"/>
        </w:rPr>
        <w:t>Securityholders Lists.</w:t>
      </w:r>
      <w:r>
        <w:rPr>
          <w:rFonts w:ascii="Arial" w:cs="Arial" w:eastAsia="Arial" w:hAnsi="Arial"/>
          <w:sz w:val="17"/>
          <w:szCs w:val="17"/>
          <w:color w:val="auto"/>
        </w:rPr>
        <w:t xml:space="preserve"> If and so long as the Trustee shall not be the Security registrar for the Securities of any series, the Issuer will furnish or cause to be furnished to the Trustee a list in such form as the Trustee may reasonably require of the names and addresses of the holders of the Securities of such series pursuant to Section 312 of the Trust Indenture Act of 1939 (a) semi-annually not more than 15 days after each record date for the payment of interest on such Securities, as hereinabove specified, as of such record date and on dates to be determined pursuant to Section 2.03 for non-interest bearing securities in each year, and (b) at such other times as the Trustee may request in writing, within thirty days after receipt by the Issuer of any such request as of a date not more than 15 days prior to the time such information is furnished.</w:t>
      </w:r>
    </w:p>
    <w:p>
      <w:pPr>
        <w:spacing w:after="0" w:line="178" w:lineRule="exact"/>
        <w:rPr>
          <w:sz w:val="20"/>
          <w:szCs w:val="20"/>
          <w:color w:val="auto"/>
        </w:rPr>
      </w:pPr>
    </w:p>
    <w:p>
      <w:pPr>
        <w:ind w:right="140" w:firstLine="1297"/>
        <w:spacing w:after="0" w:line="255"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Reports by the Issuer.</w:t>
      </w:r>
      <w:r>
        <w:rPr>
          <w:rFonts w:ascii="Arial" w:cs="Arial" w:eastAsia="Arial" w:hAnsi="Arial"/>
          <w:sz w:val="18"/>
          <w:szCs w:val="18"/>
          <w:color w:val="auto"/>
        </w:rPr>
        <w:t xml:space="preserve"> The Issuer covenants to file with the Trustee, within 15 days after the Issuer files the same with the Commission, copies of the annual reports and of the information, documents, and other reports that the Issuer may be required to file with the Commission pursuant to Section 13 or Section 15(d) of the Securities Exchange Act of 1934. Delivery of such reports, information and documents to the Trustee is for informational purposes only and the Trustee’s receipt of such shall not constitute constructive notice of any information contained therein or determinable from information contained therein, including the Issuer’s compliance with any of its covenants hereunder (as to which the Trustee is entitled to rely exclusively on Officers’ Certificates).</w:t>
      </w:r>
    </w:p>
    <w:p>
      <w:pPr>
        <w:spacing w:after="0" w:line="193"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Reports by the Trustee.</w:t>
      </w:r>
      <w:r>
        <w:rPr>
          <w:rFonts w:ascii="Arial" w:cs="Arial" w:eastAsia="Arial" w:hAnsi="Arial"/>
          <w:sz w:val="18"/>
          <w:szCs w:val="18"/>
          <w:color w:val="auto"/>
        </w:rPr>
        <w:t xml:space="preserve"> Any Trustee’s report required under Section 313(a) of the Trust Indenture Act of 1939 shall be transmitted on or before [ ] in each year following the date hereof, so long as any Securities are outstanding hereunder, and shall be dated as of a date convenient to the Trustee no more than 60 nor less than 45 days prior thereto. The Trustee shall also comply with Section 313(b) of the Trust Indenture Act of 1939.</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4</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Remedies of the Trustee and Securityholders on Event of Default</w:t>
      </w:r>
    </w:p>
    <w:p>
      <w:pPr>
        <w:spacing w:after="0" w:line="225" w:lineRule="exact"/>
        <w:rPr>
          <w:sz w:val="20"/>
          <w:szCs w:val="20"/>
          <w:color w:val="auto"/>
        </w:rPr>
      </w:pPr>
    </w:p>
    <w:p>
      <w:pPr>
        <w:ind w:right="240" w:firstLine="1297"/>
        <w:spacing w:after="0" w:line="27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Event of Default; Acceleration of Maturity; Waiver of Default.</w:t>
      </w:r>
      <w:r>
        <w:rPr>
          <w:rFonts w:ascii="Arial" w:cs="Arial" w:eastAsia="Arial" w:hAnsi="Arial"/>
          <w:sz w:val="18"/>
          <w:szCs w:val="18"/>
          <w:color w:val="auto"/>
        </w:rPr>
        <w:t xml:space="preserve"> Unless otherwise established in accordance with Section 2.03 or by any applicable supplemental indenture, “Event</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09" w:right="279" w:bottom="1440" w:gutter="0" w:footer="0" w:header="0"/>
        </w:sectPr>
      </w:pPr>
    </w:p>
    <w:bookmarkStart w:id="67" w:name="page68"/>
    <w:bookmarkEnd w:id="67"/>
    <w:p>
      <w:pPr>
        <w:ind w:right="200"/>
        <w:spacing w:after="0" w:line="264" w:lineRule="auto"/>
        <w:rPr>
          <w:sz w:val="20"/>
          <w:szCs w:val="20"/>
          <w:color w:val="auto"/>
        </w:rPr>
      </w:pPr>
      <w:r>
        <w:rPr>
          <w:rFonts w:ascii="Arial" w:cs="Arial" w:eastAsia="Arial" w:hAnsi="Arial"/>
          <w:sz w:val="18"/>
          <w:szCs w:val="18"/>
          <w:color w:val="auto"/>
        </w:rPr>
        <w:t>of Default” with respect to Securities of any series wherever used herein, means each one of the following events which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81" w:lineRule="exact"/>
        <w:rPr>
          <w:sz w:val="20"/>
          <w:szCs w:val="20"/>
          <w:color w:val="auto"/>
        </w:rPr>
      </w:pPr>
    </w:p>
    <w:p>
      <w:pPr>
        <w:ind w:left="1540" w:hanging="235"/>
        <w:spacing w:after="0"/>
        <w:tabs>
          <w:tab w:leader="none" w:pos="1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default for more than 30 days in the payment of interest, premium or principal in respect of the Securities; or</w:t>
      </w:r>
    </w:p>
    <w:p>
      <w:pPr>
        <w:spacing w:after="0" w:line="225" w:lineRule="exact"/>
        <w:rPr>
          <w:rFonts w:ascii="Arial" w:cs="Arial" w:eastAsia="Arial" w:hAnsi="Arial"/>
          <w:sz w:val="18"/>
          <w:szCs w:val="18"/>
          <w:color w:val="auto"/>
        </w:rPr>
      </w:pPr>
    </w:p>
    <w:p>
      <w:pPr>
        <w:ind w:left="660" w:right="540" w:firstLine="645"/>
        <w:spacing w:after="0" w:line="277" w:lineRule="auto"/>
        <w:tabs>
          <w:tab w:leader="none" w:pos="1563"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failure to perform or observe any other obligations under the Securities which failure continues for the period of 60 days next following service on the Issuer of notice requiring the same to be remedied; or</w:t>
      </w:r>
    </w:p>
    <w:p>
      <w:pPr>
        <w:spacing w:after="0" w:line="170" w:lineRule="exact"/>
        <w:rPr>
          <w:rFonts w:ascii="Arial" w:cs="Arial" w:eastAsia="Arial" w:hAnsi="Arial"/>
          <w:sz w:val="18"/>
          <w:szCs w:val="18"/>
          <w:color w:val="auto"/>
        </w:rPr>
      </w:pPr>
    </w:p>
    <w:p>
      <w:pPr>
        <w:ind w:left="1540" w:hanging="235"/>
        <w:spacing w:after="0"/>
        <w:tabs>
          <w:tab w:leader="none" w:pos="1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entry by a court having jurisdiction in the premises of:</w:t>
      </w:r>
    </w:p>
    <w:p>
      <w:pPr>
        <w:spacing w:after="0" w:line="225" w:lineRule="exact"/>
        <w:rPr>
          <w:rFonts w:ascii="Arial" w:cs="Arial" w:eastAsia="Arial" w:hAnsi="Arial"/>
          <w:sz w:val="18"/>
          <w:szCs w:val="18"/>
          <w:color w:val="auto"/>
        </w:rPr>
      </w:pPr>
    </w:p>
    <w:p>
      <w:pPr>
        <w:ind w:left="1300" w:right="120" w:firstLine="653"/>
        <w:spacing w:after="0" w:line="277" w:lineRule="auto"/>
        <w:tabs>
          <w:tab w:leader="none" w:pos="2163" w:val="left"/>
        </w:tabs>
        <w:numPr>
          <w:ilvl w:val="1"/>
          <w:numId w:val="60"/>
        </w:numPr>
        <w:rPr>
          <w:rFonts w:ascii="Arial" w:cs="Arial" w:eastAsia="Arial" w:hAnsi="Arial"/>
          <w:sz w:val="18"/>
          <w:szCs w:val="18"/>
          <w:color w:val="auto"/>
        </w:rPr>
      </w:pPr>
      <w:r>
        <w:rPr>
          <w:rFonts w:ascii="Arial" w:cs="Arial" w:eastAsia="Arial" w:hAnsi="Arial"/>
          <w:sz w:val="18"/>
          <w:szCs w:val="18"/>
          <w:color w:val="auto"/>
        </w:rPr>
        <w:t>a decree or order for relief in respect of the Issuer in an involuntary case or proceeding under any applicable U.S. federal, state or non-U.S. bankruptcy, insolvency, reorganization or other similar law; or</w:t>
      </w:r>
    </w:p>
    <w:p>
      <w:pPr>
        <w:spacing w:after="0" w:line="170" w:lineRule="exact"/>
        <w:rPr>
          <w:rFonts w:ascii="Arial" w:cs="Arial" w:eastAsia="Arial" w:hAnsi="Arial"/>
          <w:sz w:val="18"/>
          <w:szCs w:val="18"/>
          <w:color w:val="auto"/>
        </w:rPr>
      </w:pPr>
    </w:p>
    <w:p>
      <w:pPr>
        <w:ind w:left="1300" w:firstLine="653"/>
        <w:spacing w:after="0" w:line="276" w:lineRule="auto"/>
        <w:tabs>
          <w:tab w:leader="none" w:pos="2213" w:val="left"/>
        </w:tabs>
        <w:numPr>
          <w:ilvl w:val="1"/>
          <w:numId w:val="60"/>
        </w:numPr>
        <w:rPr>
          <w:rFonts w:ascii="Arial" w:cs="Arial" w:eastAsia="Arial" w:hAnsi="Arial"/>
          <w:sz w:val="17"/>
          <w:szCs w:val="17"/>
          <w:color w:val="auto"/>
        </w:rPr>
      </w:pPr>
      <w:r>
        <w:rPr>
          <w:rFonts w:ascii="Arial" w:cs="Arial" w:eastAsia="Arial" w:hAnsi="Arial"/>
          <w:sz w:val="17"/>
          <w:szCs w:val="17"/>
          <w:color w:val="auto"/>
        </w:rPr>
        <w:t>a decree or order adjudging the Issuer a bankrupt or insolvent, or approving as properly filed a petition seeking reorganization, arrangement, adjustment or composition of or in respect of the Issuer under any applicable U.S. federal, state or non-U.S. law, or appointing a custodian, receiver, liquidator, assignee, trustee, sequestrator or other similar official of the Issuer or of any substantial part of its property, or ordering the winding up or liquidation of its affairs, and the continuance of any such decree or order for relief or any such other decree or order unstayed and in effect for a period of 60 consecutive days; or</w:t>
      </w:r>
    </w:p>
    <w:p>
      <w:pPr>
        <w:spacing w:after="0" w:line="172" w:lineRule="exact"/>
        <w:rPr>
          <w:rFonts w:ascii="Arial" w:cs="Arial" w:eastAsia="Arial" w:hAnsi="Arial"/>
          <w:sz w:val="17"/>
          <w:szCs w:val="17"/>
          <w:color w:val="auto"/>
        </w:rPr>
      </w:pPr>
    </w:p>
    <w:p>
      <w:pPr>
        <w:ind w:left="660" w:right="20" w:firstLine="645"/>
        <w:spacing w:after="0" w:line="289" w:lineRule="auto"/>
        <w:tabs>
          <w:tab w:leader="none" w:pos="1563"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commencement by the Issuer of a voluntary case or proceeding under any applicable U.S. federal, state or non-U.S. bankruptcy, insolvency, reorganization or other similar law or of any other case or proceeding to be adjudicated a bankrupt or insolvent, or the consent by the Issuer to the entry of a decree or order for relief in respect of the Issuer in an involuntary case or proceeding under any applicable U.S. federal, state or non-U.S. bankruptcy, insolvency, reorganization or other similar law or to the commencement of any bankruptcy or insolvency case or proceeding against the Issuer, or the filing by the Issuer of a petition or answer or consent seeking reorganization or relief under any applicable U.S. federal, state or non-U.S. law, or the consent by the Issuer to the filing of such petition or to the appointment of or the taking possession by a custodian, receiver, liquidator, assignee, trustee, sequestrator or other similar official of the Issuer or of any substantial part of its property, or the making by the Issuer of an assignment for the benefit of creditors, or the admission by the Issuer in writing of its inability to pay its debts generally as they become due, or the taking of corporate action by the Issuer expressly in furtherance of any such action; or</w:t>
      </w:r>
    </w:p>
    <w:p>
      <w:pPr>
        <w:spacing w:after="0" w:line="166" w:lineRule="exact"/>
        <w:rPr>
          <w:rFonts w:ascii="Arial" w:cs="Arial" w:eastAsia="Arial" w:hAnsi="Arial"/>
          <w:sz w:val="16"/>
          <w:szCs w:val="16"/>
          <w:color w:val="auto"/>
        </w:rPr>
      </w:pPr>
    </w:p>
    <w:p>
      <w:pPr>
        <w:ind w:left="660" w:right="280" w:firstLine="645"/>
        <w:spacing w:after="0" w:line="277" w:lineRule="auto"/>
        <w:tabs>
          <w:tab w:leader="none" w:pos="1553"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other Event of Default provided in the supplemental indenture or resolution of the Board under which such series of Securities is issued or in the form of Security for such series.</w:t>
      </w:r>
    </w:p>
    <w:p>
      <w:pPr>
        <w:spacing w:after="0" w:line="170"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Unless otherwise set forth in any applicable supplemental indenture, if an Event of Default described in clauses 4.01(a), 4.01(b), or 4.01(e) above (if the Event of Default under clauses 4.01(b) or 4.01(e) is with respect to less than all series of Securities then Outstanding) occurs and is continuing, then, and in each and every such case, except for any series the principal of which shall have already become due and payable, either the Trustee or the holders of not less than 25% in aggregate principal amount of the Securities of all series affected thereby then Outstanding hereunder (treated as one class) by notice in writing to the Issuer (and to the Trustee if given by Securityholders), may declare the entire principal (or, if the Securities of any such affected series are Original Issue Discount Securities, such</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68" w:name="page69"/>
    <w:bookmarkEnd w:id="68"/>
    <w:p>
      <w:pPr>
        <w:ind w:right="40"/>
        <w:spacing w:after="0" w:line="287" w:lineRule="auto"/>
        <w:rPr>
          <w:sz w:val="20"/>
          <w:szCs w:val="20"/>
          <w:color w:val="auto"/>
        </w:rPr>
      </w:pPr>
      <w:r>
        <w:rPr>
          <w:rFonts w:ascii="Arial" w:cs="Arial" w:eastAsia="Arial" w:hAnsi="Arial"/>
          <w:sz w:val="16"/>
          <w:szCs w:val="16"/>
          <w:color w:val="auto"/>
        </w:rPr>
        <w:t>portion of the principal amount as may be specified in the terms of such series) of all Securities of such affected series and the interest accrued thereon, if any, to be due and payable immediately, and upon any such declaration the same shall become immediately due and payable. Unless otherwise set forth in any applicable supplemental indenture, if an Event of Default described in clauses 4.01(b) or 4.01(e) (if the Event of Default under clauses 4.01(b) or 4.01(e) is with respect to all series of Securities at the time Outstanding) occurs and is continuing, then and in each and every such case, unless the principal of all the Securities shall have already become due and payable, either the Trustee or the holders of not less than 25% in aggregate principal amount of all the then Outstanding Securities hereunder (treated as one class) for which any applicable supplemental indenture does not prevent acceleration under the relevant circumstances, by notice in writing to the Issuer (and to the Trustee if given by Securityholders), may declare the entire principal (or, if any Securities are Original Issue Discount Securities, such portion of the principal as may be specified in the terms thereof) of all the Securities then Outstanding and interest accrued thereon, if any, to be due and payable immediately, and upon any such declaration the same shall become immediately due and payable. Unless otherwise set forth in any applicable supplemental indenture, if an Event of Default described in clauses 4.01(c) or 4.01(d) occurs, then the principal and accrued and unpaid interest, and premium of any, with respect to any Securities then Outstanding shall ipso facto become and be immediately due and payable without any declaration or other act on the part of the Trustee or any Holder.</w:t>
      </w:r>
    </w:p>
    <w:p>
      <w:pPr>
        <w:spacing w:after="0" w:line="169" w:lineRule="exact"/>
        <w:rPr>
          <w:sz w:val="20"/>
          <w:szCs w:val="20"/>
          <w:color w:val="auto"/>
        </w:rPr>
      </w:pPr>
    </w:p>
    <w:p>
      <w:pPr>
        <w:ind w:right="20" w:firstLine="1297"/>
        <w:spacing w:after="0" w:line="268" w:lineRule="auto"/>
        <w:rPr>
          <w:sz w:val="20"/>
          <w:szCs w:val="20"/>
          <w:color w:val="auto"/>
        </w:rPr>
      </w:pPr>
      <w:r>
        <w:rPr>
          <w:rFonts w:ascii="Arial" w:cs="Arial" w:eastAsia="Arial" w:hAnsi="Arial"/>
          <w:sz w:val="17"/>
          <w:szCs w:val="17"/>
          <w:color w:val="auto"/>
        </w:rPr>
        <w:t>The foregoing provisions, however, are subject to the condition that if, at any time after the principal (or, if the Securities are Original Issue Discount Securities, such portion of the principal as may be specified in the terms thereof) of the Securities of any series (or of all the Securities, as the case may be) shall have been so declared due and payable, and before any judgment or decree for the payment of the moneys due shall have been obtained or entered as hereinafter provided, the Issuer shall pay or shall deposit with the Trustee a sum sufficient to pay all matured installments of interest upon all the Securities of such series (or of all the Securities, as the case may be) and the principal of any and all Securities of such series (or of all the Securities, as the case may be) which shall have become due otherwise than by acceleration (with interest upon such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(or at the respective rates of interest or Yields to Maturity of all the Securities, as the case may be) to the date of such payment or deposit) and such amount as shall be sufficient to cover reasonable compensation to the Trustee, its agents, attorneys and counsel, and all other expenses and liabilities incurred, and all advances made, by the Trustee except as a result of negligence or bad faith, and if any and all Events of Default under the Indenture, other than the non-payment of the principal of Securities which shall have become due by acceleration, shall have been cured, waived or otherwise remedied as provided herein, then and in every such case the holders of a majority in aggregate principal amount of all the Securities of each such series (or of all the Securities, as the case may be) then Outstanding (in each case treated as one class), by written notice to the Issuer and to the Trustee, may waive all defaults with respect to each such series (or with respect to all the Securities, as the case may be) and rescind and annul such declaration and its consequences, but no such waiver or rescission and annulment shall extend to or shall affect any subsequent default or shall impair any right consequent thereon.</w:t>
      </w:r>
    </w:p>
    <w:p>
      <w:pPr>
        <w:spacing w:after="0" w:line="181"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For all purposes under this Indenture, if a portion of the principal of any Original Issue Discount Securities shall have been accelerated and declared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193"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Collection of Indebtedness by Trustee; Trustee May Prove Debt.</w:t>
      </w:r>
      <w:r>
        <w:rPr>
          <w:rFonts w:ascii="Arial" w:cs="Arial" w:eastAsia="Arial" w:hAnsi="Arial"/>
          <w:sz w:val="18"/>
          <w:szCs w:val="18"/>
          <w:color w:val="auto"/>
        </w:rPr>
        <w:t xml:space="preserve"> The Issuer covenants that (a) in case default shall be made in the payment of any installment of interest on any of the Securities of any series when such interest shall have become due and payable, and such default shall</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69" w:name="page70"/>
    <w:bookmarkEnd w:id="69"/>
    <w:p>
      <w:pPr>
        <w:spacing w:after="0" w:line="270" w:lineRule="auto"/>
        <w:rPr>
          <w:sz w:val="20"/>
          <w:szCs w:val="20"/>
          <w:color w:val="auto"/>
        </w:rPr>
      </w:pPr>
      <w:r>
        <w:rPr>
          <w:rFonts w:ascii="Arial" w:cs="Arial" w:eastAsia="Arial" w:hAnsi="Arial"/>
          <w:sz w:val="17"/>
          <w:szCs w:val="17"/>
          <w:color w:val="auto"/>
        </w:rPr>
        <w:t>have continued for a period of 30 days or (b) in case default shall be made in the payment of all or any part of the principal of any of the Securities of any series when the same shall have become due and payable, whether upon maturity of the Securities of such series or upon any redemption or by declaration or otherwise, then upon demand of the Trustee, the Issuer will pay to the Trustee for the benefit of the Holders of the Securities of such series the whole amount that then shall have become due and payable on all Securities of such series for principal or interest, as the case may be (with interest to the date of such payment upon the overdue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and in addition thereto, such further amount as shall be sufficient to cover the costs and expenses of collection, including reasonable compensation to the Trustee and each predecessor Trustee, their respective agents, attorneys and counsel, and any expenses and liabilities incurred, and all advances made, by the Trustee and each predecessor Trustee except as a result of its negligence or bad faith.</w:t>
      </w:r>
    </w:p>
    <w:p>
      <w:pPr>
        <w:spacing w:after="0" w:line="182"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Until such demand is made by the Trustee, the Issuer may pay the principal of and interest on the Securities of any series to the registered holders, whether or not the principal of and interest on the Securities of such series be overdue.</w:t>
      </w:r>
    </w:p>
    <w:p>
      <w:pPr>
        <w:spacing w:after="0" w:line="170"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In case the Issuer shall fail forthwith to pay such amounts upon such demand, the Trustee, in its own name and as trustee of an express trust, shall be entitled and empowered to institute any action or proceedings at law or in equity for the collection of the sums so due and unpaid, and may prosecute any such action or proceedings to judgment or final decree, and may enforce any such judgment or final decree against the Issuer or other obligor upon such Securities and collect in the manner provided by law out of the property of the Issuer or other obligor upon such Securities, wherever situated, the moneys adjudged or decreed to be payable.</w:t>
      </w:r>
    </w:p>
    <w:p>
      <w:pPr>
        <w:spacing w:after="0" w:line="188" w:lineRule="exact"/>
        <w:rPr>
          <w:sz w:val="20"/>
          <w:szCs w:val="20"/>
          <w:color w:val="auto"/>
        </w:rPr>
      </w:pPr>
    </w:p>
    <w:p>
      <w:pPr>
        <w:ind w:right="60" w:firstLine="1297"/>
        <w:spacing w:after="0" w:line="272" w:lineRule="auto"/>
        <w:rPr>
          <w:sz w:val="20"/>
          <w:szCs w:val="20"/>
          <w:color w:val="auto"/>
        </w:rPr>
      </w:pPr>
      <w:r>
        <w:rPr>
          <w:rFonts w:ascii="Arial" w:cs="Arial" w:eastAsia="Arial" w:hAnsi="Arial"/>
          <w:sz w:val="17"/>
          <w:szCs w:val="17"/>
          <w:color w:val="auto"/>
        </w:rPr>
        <w:t>In case there shall be pending proceedings relative to the Issuer or any other obligor upon the Securities under Title 11 of the United States Code or any other applicable federal, state or non-U.S. bankruptcy, insolvency or other similar law, or in case a receiver, assignee or trustee in bankruptcy or reorganization, liquidator, sequestrator or similar official shall have been appointed for or taken possession of the Issuer or its property or such other obligor, or in case of any other comparable judicial proceedings relative to the Issuer or other obligor upon the Securities of any series, or to the creditors or property of the Issuer or such other obligor, the Trustee, irrespective of whether the principal of any Securities shall then be due and payable as therein expressed or by declaration or otherwise and irrespective of whether the Trustee shall have made any demand pursuant to the provisions of this Section, shall be entitled and empowered, by intervention in such proceedings or otherwise:</w:t>
      </w:r>
    </w:p>
    <w:p>
      <w:pPr>
        <w:spacing w:after="0" w:line="178" w:lineRule="exact"/>
        <w:rPr>
          <w:sz w:val="20"/>
          <w:szCs w:val="20"/>
          <w:color w:val="auto"/>
        </w:rPr>
      </w:pPr>
    </w:p>
    <w:p>
      <w:pPr>
        <w:ind w:left="660" w:firstLine="645"/>
        <w:spacing w:after="0" w:line="272" w:lineRule="auto"/>
        <w:tabs>
          <w:tab w:leader="none" w:pos="1553" w:val="left"/>
        </w:tabs>
        <w:numPr>
          <w:ilvl w:val="0"/>
          <w:numId w:val="61"/>
        </w:numPr>
        <w:rPr>
          <w:rFonts w:ascii="Arial" w:cs="Arial" w:eastAsia="Arial" w:hAnsi="Arial"/>
          <w:sz w:val="17"/>
          <w:szCs w:val="17"/>
          <w:color w:val="auto"/>
        </w:rPr>
      </w:pPr>
      <w:r>
        <w:rPr>
          <w:rFonts w:ascii="Arial" w:cs="Arial" w:eastAsia="Arial" w:hAnsi="Arial"/>
          <w:sz w:val="17"/>
          <w:szCs w:val="17"/>
          <w:color w:val="auto"/>
        </w:rPr>
        <w:t>to file and prove a claim or claims for the whole amount of principal and interest (or, if the Securities of any series are Original Issue Discount Securities, such portion of the principal amount as may be specified in the terms of such series) owing and unpaid in respect of the Securities of any series, and to file such other papers or documents as may be necessary or advisable in order to have the claims of the Trustee (including any claim for reasonable compensation to the Trustee and each predecessor Trustee, and their respective agents, attorneys and counsel, and for reimbursement of all expenses and liabilities incurred, and all advances made, by the Trustee and each predecessor Trustee, except as a result of negligence or bad faith) and of the Securityholders allowed in any judicial proceedings relative to the Issuer or other obligor upon the Securities of any series, or to the creditors or property of the Issuer or such other obligor,</w:t>
      </w:r>
    </w:p>
    <w:p>
      <w:pPr>
        <w:spacing w:after="0" w:line="177" w:lineRule="exact"/>
        <w:rPr>
          <w:rFonts w:ascii="Arial" w:cs="Arial" w:eastAsia="Arial" w:hAnsi="Arial"/>
          <w:sz w:val="17"/>
          <w:szCs w:val="17"/>
          <w:color w:val="auto"/>
        </w:rPr>
      </w:pPr>
    </w:p>
    <w:p>
      <w:pPr>
        <w:jc w:val="both"/>
        <w:ind w:left="660" w:right="200" w:firstLine="645"/>
        <w:spacing w:after="0" w:line="264" w:lineRule="auto"/>
        <w:tabs>
          <w:tab w:leader="none" w:pos="1563" w:val="left"/>
        </w:tabs>
        <w:numPr>
          <w:ilvl w:val="0"/>
          <w:numId w:val="61"/>
        </w:numPr>
        <w:rPr>
          <w:rFonts w:ascii="Arial" w:cs="Arial" w:eastAsia="Arial" w:hAnsi="Arial"/>
          <w:sz w:val="18"/>
          <w:szCs w:val="18"/>
          <w:color w:val="auto"/>
        </w:rPr>
      </w:pPr>
      <w:r>
        <w:rPr>
          <w:rFonts w:ascii="Arial" w:cs="Arial" w:eastAsia="Arial" w:hAnsi="Arial"/>
          <w:sz w:val="18"/>
          <w:szCs w:val="18"/>
          <w:color w:val="auto"/>
        </w:rPr>
        <w:t>unless prohibited by applicable law and regulations, to vote on behalf of the holders of the Securities of any series in any election of a trustee or a standby trustee in arrangement, reorganization, liquidation or other bankruptcy or insolvency proceedings or person performing similar functions in comparable proceedings, and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70" w:name="page71"/>
    <w:bookmarkEnd w:id="70"/>
    <w:p>
      <w:pPr>
        <w:ind w:left="660" w:right="20" w:firstLine="645"/>
        <w:spacing w:after="0" w:line="293" w:lineRule="auto"/>
        <w:tabs>
          <w:tab w:leader="none" w:pos="1553" w:val="left"/>
        </w:tabs>
        <w:numPr>
          <w:ilvl w:val="0"/>
          <w:numId w:val="62"/>
        </w:numPr>
        <w:rPr>
          <w:rFonts w:ascii="Arial" w:cs="Arial" w:eastAsia="Arial" w:hAnsi="Arial"/>
          <w:sz w:val="16"/>
          <w:szCs w:val="16"/>
          <w:color w:val="auto"/>
        </w:rPr>
      </w:pPr>
      <w:r>
        <w:rPr>
          <w:rFonts w:ascii="Arial" w:cs="Arial" w:eastAsia="Arial" w:hAnsi="Arial"/>
          <w:sz w:val="16"/>
          <w:szCs w:val="16"/>
          <w:color w:val="auto"/>
        </w:rPr>
        <w:t>to collect and receive any moneys or other property payable or deliverable on any such claims, and to distribute all amounts received with respect to the claims of the Securityholders and of the Trustee on their behalf; and any trustee, receiver, or liquidator, custodian or other similar official is hereby authorized by each of the Securityholders to make payments to the Trustee, and, in the event that the Trustee shall consent to the making of payments directly to the Securityholders, to pay to the Trustee such amounts as shall be sufficient to cover reasonable compensation to the Trustee, each predecessor Trustee and their respective agents, attorneys and counsel, and all other expenses and liabilities incurred, and all advances made, by the Trustee and each predecessor Trustee except as a result of negligence or bad faith.</w:t>
      </w:r>
    </w:p>
    <w:p>
      <w:pPr>
        <w:spacing w:after="0" w:line="165"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Nothing herein contained shall be deemed to authorize the Trustee to authorize or consent to or vote for or accept or adopt on behalf of any Securityholder any plan or reorganization, arrangement, adjustment or composition affecting the Securities of any series or the rights of any Holder thereof, or to authorize the Trustee to vote in respect of the claim of any Securityholder in any such proceeding except, as aforesaid, to vote for the election of a trustee in bankruptcy or similar person.</w:t>
      </w:r>
    </w:p>
    <w:p>
      <w:pPr>
        <w:spacing w:after="0" w:line="187"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All rights of action and of asserting claims under this Indenture, or under any of the Securities, may be enforced by the Trustee without the possession of any of the Securities or the production thereof on any trial or other proceedings relative thereto, and any such action or proceedings instituted by the Trustee shall be brought in its own name as trustee of an express trust, and any recovery of judgment, subject to the payment of the expenses, disbursements and compensation of the Trustee, each predecessor Trustee and their respective agents and attorneys, shall be for the ratable benefit of the holders of the Securities in respect of which such action was taken.</w:t>
      </w:r>
    </w:p>
    <w:p>
      <w:pPr>
        <w:spacing w:after="0" w:line="18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In any proceedings brought by the Trustee (and also any proceedings involving the interpretation of any provision of this Indenture to which the Trustee shall be a party) the Trustee shall be held to represent all the holders of the Securities in respect to which such action was taken, and it shall not be necessary to make any holders of such Securities parties to any such proceedings.</w:t>
      </w:r>
    </w:p>
    <w:p>
      <w:pPr>
        <w:spacing w:after="0" w:line="181" w:lineRule="exact"/>
        <w:rPr>
          <w:sz w:val="20"/>
          <w:szCs w:val="20"/>
          <w:color w:val="auto"/>
        </w:rPr>
      </w:pPr>
    </w:p>
    <w:p>
      <w:pPr>
        <w:ind w:right="60" w:firstLine="1297"/>
        <w:spacing w:after="0" w:line="257"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Application of Proceeds.</w:t>
      </w:r>
      <w:r>
        <w:rPr>
          <w:rFonts w:ascii="Arial" w:cs="Arial" w:eastAsia="Arial" w:hAnsi="Arial"/>
          <w:sz w:val="18"/>
          <w:szCs w:val="18"/>
          <w:color w:val="auto"/>
        </w:rPr>
        <w:t xml:space="preserve"> Any moneys collected by the Trustee pursuant to this Article in respect of any series shall be applied in the following order at the date or dates fixed by the Trustee and, in case of the distribution of such moneys on account of principal or interest, upon presentation of the several Securities in respect of which monies have been collected and stamping (or otherwise noting) thereon the payment, or issuing Securities of such series in reduced principal amounts in exchange for the presented Securities of like series if only partially paid, or upon surrender thereof if fully paid:</w:t>
      </w:r>
    </w:p>
    <w:p>
      <w:pPr>
        <w:spacing w:after="0" w:line="188" w:lineRule="exact"/>
        <w:rPr>
          <w:sz w:val="20"/>
          <w:szCs w:val="20"/>
          <w:color w:val="auto"/>
        </w:rPr>
      </w:pPr>
    </w:p>
    <w:p>
      <w:pPr>
        <w:ind w:left="660" w:right="360" w:firstLine="648"/>
        <w:spacing w:after="0" w:line="312" w:lineRule="auto"/>
        <w:rPr>
          <w:sz w:val="20"/>
          <w:szCs w:val="20"/>
          <w:color w:val="auto"/>
        </w:rPr>
      </w:pPr>
      <w:r>
        <w:rPr>
          <w:rFonts w:ascii="Arial" w:cs="Arial" w:eastAsia="Arial" w:hAnsi="Arial"/>
          <w:sz w:val="16"/>
          <w:szCs w:val="16"/>
          <w:color w:val="auto"/>
        </w:rPr>
        <w:t>FIRST: To the payment of costs and expenses applicable to such series in respect of which monies have been collected, including reasonable compensation to the Trustee and each predecessor Trustee and their respective agents and attorneys and of all expenses and liabilities incurred, and all advances made, by the Trustee and each predecessor Trustee except as a result of negligence or bad faith;</w:t>
      </w:r>
    </w:p>
    <w:p>
      <w:pPr>
        <w:spacing w:after="0" w:line="147" w:lineRule="exact"/>
        <w:rPr>
          <w:sz w:val="20"/>
          <w:szCs w:val="20"/>
          <w:color w:val="auto"/>
        </w:rPr>
      </w:pPr>
    </w:p>
    <w:p>
      <w:pPr>
        <w:ind w:left="660" w:right="160" w:firstLine="648"/>
        <w:spacing w:after="0" w:line="276" w:lineRule="auto"/>
        <w:rPr>
          <w:sz w:val="20"/>
          <w:szCs w:val="20"/>
          <w:color w:val="auto"/>
        </w:rPr>
      </w:pPr>
      <w:r>
        <w:rPr>
          <w:rFonts w:ascii="Arial" w:cs="Arial" w:eastAsia="Arial" w:hAnsi="Arial"/>
          <w:sz w:val="17"/>
          <w:szCs w:val="17"/>
          <w:color w:val="auto"/>
        </w:rPr>
        <w:t>SECOND: In case the principal of the Securities of such series in respect of which moneys have been collected shall not have become and be then due and payable, to the payment of interest on the Securities of such series in default in the order of the maturity of the installments of such interest, with interest (to the extent that such interest has been collected by the Trustee) upon the overdue installments of interest at the same rate as the rate of interest or Yield to Maturity (in the case of Original Issue Discount Securities) specified in such Securities, such payments to be made ratably to the persons entitled thereto, without discrimination or preference;</w:t>
      </w:r>
    </w:p>
    <w:p>
      <w:pPr>
        <w:spacing w:after="0" w:line="173" w:lineRule="exact"/>
        <w:rPr>
          <w:sz w:val="20"/>
          <w:szCs w:val="20"/>
          <w:color w:val="auto"/>
        </w:rPr>
      </w:pPr>
    </w:p>
    <w:p>
      <w:pPr>
        <w:ind w:left="660" w:firstLine="648"/>
        <w:spacing w:after="0" w:line="342" w:lineRule="auto"/>
        <w:rPr>
          <w:sz w:val="20"/>
          <w:szCs w:val="20"/>
          <w:color w:val="auto"/>
        </w:rPr>
      </w:pPr>
      <w:r>
        <w:rPr>
          <w:rFonts w:ascii="Arial" w:cs="Arial" w:eastAsia="Arial" w:hAnsi="Arial"/>
          <w:sz w:val="16"/>
          <w:szCs w:val="16"/>
          <w:color w:val="auto"/>
        </w:rPr>
        <w:t>THIRD: In case the principal of the Securities of such series in respect of which moneys have been collected shall have become and shall be then due and payable, to the payment of the whole amount then owing and unpaid upon all the Securities of such series for principal and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71" w:name="page72"/>
    <w:bookmarkEnd w:id="71"/>
    <w:p>
      <w:pPr>
        <w:ind w:left="660"/>
        <w:spacing w:after="0" w:line="293" w:lineRule="auto"/>
        <w:rPr>
          <w:sz w:val="20"/>
          <w:szCs w:val="20"/>
          <w:color w:val="auto"/>
        </w:rPr>
      </w:pPr>
      <w:r>
        <w:rPr>
          <w:rFonts w:ascii="Arial" w:cs="Arial" w:eastAsia="Arial" w:hAnsi="Arial"/>
          <w:sz w:val="16"/>
          <w:szCs w:val="16"/>
          <w:color w:val="auto"/>
        </w:rPr>
        <w:t>interest, with interest upon the overdue principal, and (to the extent that such interest has been collected by the Trustee) upon overdue installments of interest at the same rate as the rate of interest or Yield to Maturity (in the case of Original Issue Discount Securities) specified in the Securities of such series; and in case such moneys shall be insufficient to pay in full the whole amount so due and unpaid upon the Securities of such series, then to the payment of such principal and interest or Yield to Maturity, without preference or priority of principal over interest or Yield to Maturity, or of interest or Yield to Maturity over principal, or of any installment of interest over any other installment of interest, or of any Security of such series over any other Security of such series, ratably to the aggregate of such principal and accrued and unpaid interest or Yield to Maturity; and</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FOURTH: To the payment of the remainder, if any, to the Issuer or as a court of competent jurisdiction shall direct in writing.</w:t>
      </w:r>
    </w:p>
    <w:p>
      <w:pPr>
        <w:spacing w:after="0" w:line="225"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Suits for Enforcement.</w:t>
      </w:r>
      <w:r>
        <w:rPr>
          <w:rFonts w:ascii="Arial" w:cs="Arial" w:eastAsia="Arial" w:hAnsi="Arial"/>
          <w:sz w:val="18"/>
          <w:szCs w:val="18"/>
          <w:color w:val="auto"/>
        </w:rPr>
        <w:t xml:space="preserve"> In case an Event of Default has occurred, has not been waived and is continuing, the Trustee may in its discretion proceed to protect and enforce the rights vested in it by this Indenture by such appropriate judicial proceedings as the Trustee shall deem necessary to protect and enforce any of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88" w:lineRule="exact"/>
        <w:rPr>
          <w:sz w:val="20"/>
          <w:szCs w:val="20"/>
          <w:color w:val="auto"/>
        </w:rPr>
      </w:pPr>
    </w:p>
    <w:p>
      <w:pPr>
        <w:ind w:right="100" w:firstLine="1297"/>
        <w:spacing w:after="0" w:line="279" w:lineRule="auto"/>
        <w:rPr>
          <w:sz w:val="20"/>
          <w:szCs w:val="20"/>
          <w:color w:val="auto"/>
        </w:rPr>
      </w:pPr>
      <w:r>
        <w:rPr>
          <w:rFonts w:ascii="Arial" w:cs="Arial" w:eastAsia="Arial" w:hAnsi="Arial"/>
          <w:sz w:val="17"/>
          <w:szCs w:val="17"/>
          <w:color w:val="auto"/>
        </w:rPr>
        <w:t xml:space="preserve">SECTION 4.05. </w:t>
      </w:r>
      <w:r>
        <w:rPr>
          <w:rFonts w:ascii="Arial" w:cs="Arial" w:eastAsia="Arial" w:hAnsi="Arial"/>
          <w:sz w:val="17"/>
          <w:szCs w:val="17"/>
          <w:u w:val="single" w:color="auto"/>
          <w:color w:val="auto"/>
        </w:rPr>
        <w:t>Restoration of Rights on Abandonment of Proceeding.</w:t>
      </w:r>
      <w:r>
        <w:rPr>
          <w:rFonts w:ascii="Arial" w:cs="Arial" w:eastAsia="Arial" w:hAnsi="Arial"/>
          <w:sz w:val="17"/>
          <w:szCs w:val="17"/>
          <w:color w:val="auto"/>
        </w:rPr>
        <w:t xml:space="preserve"> In case the Trustee shall have proceeded to enforce any right under this Indenture and such proceedings shall have been discontinued or abandoned for any reason, or shall have been determined adversely to the Trustee, then and in every such case the Issuer and the Trustee shall be restored respectively to their former positions and rights hereunder, and all rights, remedies and powers of the Issuer, the Trustee and the Securityholders shall continue as though no such proceedings had been taken.</w:t>
      </w:r>
    </w:p>
    <w:p>
      <w:pPr>
        <w:spacing w:after="0" w:line="171"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color w:val="auto"/>
        </w:rPr>
        <w:t xml:space="preserve">SECTION 4.06. </w:t>
      </w:r>
      <w:r>
        <w:rPr>
          <w:rFonts w:ascii="Arial" w:cs="Arial" w:eastAsia="Arial" w:hAnsi="Arial"/>
          <w:sz w:val="16"/>
          <w:szCs w:val="16"/>
          <w:u w:val="single" w:color="auto"/>
          <w:color w:val="auto"/>
        </w:rPr>
        <w:t>Limitations on Suits by Securityholder.</w:t>
      </w:r>
      <w:r>
        <w:rPr>
          <w:rFonts w:ascii="Arial" w:cs="Arial" w:eastAsia="Arial" w:hAnsi="Arial"/>
          <w:sz w:val="16"/>
          <w:szCs w:val="16"/>
          <w:color w:val="auto"/>
        </w:rPr>
        <w:t xml:space="preserve"> No holder of any Security of any series shall have any right by virtue or by availing of any provision of this Indenture to institute any action or proceeding at law or in equity or in bankruptcy or otherwise upon or under or with respect to this Indenture, or for the appointment of a trustee, receiver, liquidator, custodian or other similar official or for any other remedy hereunder, unless such Holder previously shall have given to the Trustee written notice of default and of the continuance thereof, as hereinbefore provided, and unless also the Holders of not less than 25% in aggregate principal amount of the Securities of each affected series then Outstanding (treated as a single class) shall have made written request upon the Trustee to institute such action or proceedings in its own name as trustee hereunder and shall have offered to the Trustee such indemnity as it may require against the costs, expenses and liabilities to be incurred therein or thereby and the Trustee for 60 days after its receipt of such notice, request and offer of indemnity shall have failed to institute any such action or proceeding and no direction inconsistent with such written request shall have been given to the Trustee pursuant to Section 4.09; it being understood and intended, and being expressly covenanted by the taker and Holder of every Security with every other taker and Holder and the Trustee, that no one or more Holders of Securities of any series shall have any right in any manner whatever by virtue or by availing of any provision of this Indenture to affect, disturb or prejudice the rights of any other such Holder of Securities, or to obtain or seek to obtain priority over or preference to any other such Holder or to enforce any right under this Indenture, except in the manner herein provided and for the equal, ratable and common benefit of all Holders of Securities of the applicable series. For the protection and enforcement of the provisions of this Section, each and every Securityholder and the Trustee shall be entitled to such relief as can be given either at law or in equity.</w:t>
      </w:r>
    </w:p>
    <w:p>
      <w:pPr>
        <w:spacing w:after="0" w:line="172" w:lineRule="exact"/>
        <w:rPr>
          <w:sz w:val="20"/>
          <w:szCs w:val="20"/>
          <w:color w:val="auto"/>
        </w:rPr>
      </w:pPr>
    </w:p>
    <w:p>
      <w:pPr>
        <w:ind w:right="140" w:firstLine="1297"/>
        <w:spacing w:after="0" w:line="342" w:lineRule="auto"/>
        <w:rPr>
          <w:sz w:val="20"/>
          <w:szCs w:val="20"/>
          <w:color w:val="auto"/>
        </w:rPr>
      </w:pPr>
      <w:r>
        <w:rPr>
          <w:rFonts w:ascii="Arial" w:cs="Arial" w:eastAsia="Arial" w:hAnsi="Arial"/>
          <w:sz w:val="16"/>
          <w:szCs w:val="16"/>
          <w:color w:val="auto"/>
        </w:rPr>
        <w:t xml:space="preserve">SECTION 4.07. </w:t>
      </w:r>
      <w:r>
        <w:rPr>
          <w:rFonts w:ascii="Arial" w:cs="Arial" w:eastAsia="Arial" w:hAnsi="Arial"/>
          <w:sz w:val="16"/>
          <w:szCs w:val="16"/>
          <w:u w:val="single" w:color="auto"/>
          <w:color w:val="auto"/>
        </w:rPr>
        <w:t>Unconditional Right of Securityholders to Institute Certain Suits.</w:t>
      </w:r>
      <w:r>
        <w:rPr>
          <w:rFonts w:ascii="Arial" w:cs="Arial" w:eastAsia="Arial" w:hAnsi="Arial"/>
          <w:sz w:val="16"/>
          <w:szCs w:val="16"/>
          <w:color w:val="auto"/>
        </w:rPr>
        <w:t xml:space="preserve"> Notwithstanding any other provision in this Indenture and any provision of any Security, the right of any Holder of any Security to receive payment of the principal of and interest on such Security on or after the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72" w:name="page73"/>
    <w:bookmarkEnd w:id="72"/>
    <w:p>
      <w:pPr>
        <w:ind w:right="380"/>
        <w:spacing w:after="0" w:line="277" w:lineRule="auto"/>
        <w:rPr>
          <w:sz w:val="20"/>
          <w:szCs w:val="20"/>
          <w:color w:val="auto"/>
        </w:rPr>
      </w:pPr>
      <w:r>
        <w:rPr>
          <w:rFonts w:ascii="Arial" w:cs="Arial" w:eastAsia="Arial" w:hAnsi="Arial"/>
          <w:sz w:val="18"/>
          <w:szCs w:val="18"/>
          <w:color w:val="auto"/>
        </w:rPr>
        <w:t>respective due dates expressed in such Security, or to institute suit for the enforcement of any such payment on or after such respective dates, shall not be impaired or affected without the consent of such Holder.</w:t>
      </w:r>
    </w:p>
    <w:p>
      <w:pPr>
        <w:spacing w:after="0" w:line="170" w:lineRule="exact"/>
        <w:rPr>
          <w:sz w:val="20"/>
          <w:szCs w:val="20"/>
          <w:color w:val="auto"/>
        </w:rPr>
      </w:pPr>
    </w:p>
    <w:p>
      <w:pPr>
        <w:ind w:right="60" w:firstLine="1297"/>
        <w:spacing w:after="0" w:line="257" w:lineRule="auto"/>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u w:val="single" w:color="auto"/>
          <w:color w:val="auto"/>
        </w:rPr>
        <w:t>Powers and Remedies Cumulative; Delay or Omission Not Waiver of Default.</w:t>
      </w:r>
      <w:r>
        <w:rPr>
          <w:rFonts w:ascii="Arial" w:cs="Arial" w:eastAsia="Arial" w:hAnsi="Arial"/>
          <w:sz w:val="18"/>
          <w:szCs w:val="18"/>
          <w:color w:val="auto"/>
        </w:rPr>
        <w:t xml:space="preserve"> Except as provided in Section 4.06, no right or remedy herein conferred upon or reserved to the Trustee or to the Securityholders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88"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No delay or omission of the Trustee or of any Securityholder to exercise any right or power accruing upon any Event of Default occurring and continuing as aforesaid shall impair any such right or power or shall be construed to be a waiver of any such Event of Default or an acquiescence therein; and, subject to Section 4.06, every power and remedy given by this Indenture or by law to the Trustee or to the Securityholders may be exercised from time to time, and as often as shall be deemed expedient, by the Trustee or by the Securityholders.</w:t>
      </w:r>
    </w:p>
    <w:p>
      <w:pPr>
        <w:spacing w:after="0" w:line="187" w:lineRule="exact"/>
        <w:rPr>
          <w:sz w:val="20"/>
          <w:szCs w:val="20"/>
          <w:color w:val="auto"/>
        </w:rPr>
      </w:pPr>
    </w:p>
    <w:p>
      <w:pPr>
        <w:ind w:right="100" w:firstLine="1297"/>
        <w:spacing w:after="0" w:line="288" w:lineRule="auto"/>
        <w:rPr>
          <w:sz w:val="20"/>
          <w:szCs w:val="20"/>
          <w:color w:val="auto"/>
        </w:rPr>
      </w:pPr>
      <w:r>
        <w:rPr>
          <w:rFonts w:ascii="Arial" w:cs="Arial" w:eastAsia="Arial" w:hAnsi="Arial"/>
          <w:sz w:val="16"/>
          <w:szCs w:val="16"/>
          <w:color w:val="auto"/>
        </w:rPr>
        <w:t xml:space="preserve">SECTION 4.09. </w:t>
      </w:r>
      <w:r>
        <w:rPr>
          <w:rFonts w:ascii="Arial" w:cs="Arial" w:eastAsia="Arial" w:hAnsi="Arial"/>
          <w:sz w:val="16"/>
          <w:szCs w:val="16"/>
          <w:u w:val="single" w:color="auto"/>
          <w:color w:val="auto"/>
        </w:rPr>
        <w:t>Control by Securityholders.</w:t>
      </w:r>
      <w:r>
        <w:rPr>
          <w:rFonts w:ascii="Arial" w:cs="Arial" w:eastAsia="Arial" w:hAnsi="Arial"/>
          <w:sz w:val="16"/>
          <w:szCs w:val="16"/>
          <w:color w:val="auto"/>
        </w:rPr>
        <w:t xml:space="preserve"> The Holders of a majority in aggregate principal amount of the Securities of each series affected (with all such series voting as a single class) at the time Outstanding shall have the right to direct the time, method, and place of conducting any proceeding for any remedy available to the Trustee, or exercising any trust or power conferred on the Trustee with respect to the Securities of such series by this Indenture; provided that such direction shall not be otherwise than in accordance with law and the provisions of this Indenture and provided further that (subject to the provisions of Section 5.01) the Trustee shall have the right to decline to follow any such direction if the Trustee shall determine that the action or proceeding so directed may not lawfully be taken or if the Trustee in good faith by its board of directors, the executive committee, or a trust committee of directors or Responsible Officers of the Trustee shall determine that the action or proceedings so directed would involve the Trustee in personal liability or if the Trustee in good faith shall so determine that the actions or forebearances specified in or pursuant to such direction would be unduly prejudicial to the interests of Holders of the Securities of all series so affected not joining in the giving of said direction, it being understood that (subject to Section 5.01) the Trustee shall have no duty to ascertain whether or not such actions or forebearances are unduly prejudicial to such Holders.</w:t>
      </w:r>
    </w:p>
    <w:p>
      <w:pPr>
        <w:spacing w:after="0" w:line="169"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Nothing in this Indenture shall impair the right of the Trustee in its discretion to take any action deemed proper by the Trustee and which is not inconsistent with such direction or directions by Securityholders.</w:t>
      </w:r>
    </w:p>
    <w:p>
      <w:pPr>
        <w:spacing w:after="0" w:line="170" w:lineRule="exact"/>
        <w:rPr>
          <w:sz w:val="20"/>
          <w:szCs w:val="20"/>
          <w:color w:val="auto"/>
        </w:rPr>
      </w:pPr>
    </w:p>
    <w:p>
      <w:pPr>
        <w:ind w:firstLine="1297"/>
        <w:spacing w:after="0" w:line="293" w:lineRule="auto"/>
        <w:rPr>
          <w:sz w:val="20"/>
          <w:szCs w:val="20"/>
          <w:color w:val="auto"/>
        </w:rPr>
      </w:pPr>
      <w:r>
        <w:rPr>
          <w:rFonts w:ascii="Arial" w:cs="Arial" w:eastAsia="Arial" w:hAnsi="Arial"/>
          <w:sz w:val="16"/>
          <w:szCs w:val="16"/>
          <w:color w:val="auto"/>
        </w:rPr>
        <w:t xml:space="preserve">SECTION 4.10. </w:t>
      </w:r>
      <w:r>
        <w:rPr>
          <w:rFonts w:ascii="Arial" w:cs="Arial" w:eastAsia="Arial" w:hAnsi="Arial"/>
          <w:sz w:val="16"/>
          <w:szCs w:val="16"/>
          <w:u w:val="single" w:color="auto"/>
          <w:color w:val="auto"/>
        </w:rPr>
        <w:t>Waiver of Past Defaults.</w:t>
      </w:r>
      <w:r>
        <w:rPr>
          <w:rFonts w:ascii="Arial" w:cs="Arial" w:eastAsia="Arial" w:hAnsi="Arial"/>
          <w:sz w:val="16"/>
          <w:szCs w:val="16"/>
          <w:color w:val="auto"/>
        </w:rPr>
        <w:t xml:space="preserve"> Prior to the acceleration of the maturity of any Securities as provided in Section 4.01, the Holders of a majority in aggregate principal amount of the Securities of all series at the time Outstanding with respect to which an Event of Default shall have occurred and be continuing (voting as a single class) may on behalf of the Holders of all such Securities waive any past default or Event of Default described in Section 4.01 and its consequences, except a default in respect of a covenant or provision hereof which cannot be modified or amended without the consent of the Holder of each Security affected. In the case of any such waiver, the Issuer, the Trustee and the Holders of all such Securities shall be restored to their former positions and rights hereunder, respectively; but no such waiver shall extend to any subsequent or other default or impair any right consequent thereon.</w:t>
      </w:r>
    </w:p>
    <w:p>
      <w:pPr>
        <w:spacing w:after="0" w:line="165"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Upon any such waiver, such default shall cease to exist and be deemed to have been cured and not to have occurred, and any Event of Default arising therefrom shall be deemed to have been cured, and not to have occurred for every purpose of this Indenture; but no such waiver shall extend to any subsequent or other default or Event of Default or impair any right consequent thereon.</w:t>
      </w:r>
    </w:p>
    <w:p>
      <w:pPr>
        <w:spacing w:after="0" w:line="181" w:lineRule="exact"/>
        <w:rPr>
          <w:sz w:val="20"/>
          <w:szCs w:val="20"/>
          <w:color w:val="auto"/>
        </w:rPr>
      </w:pPr>
    </w:p>
    <w:p>
      <w:pPr>
        <w:ind w:right="1040" w:firstLine="1297"/>
        <w:spacing w:after="0" w:line="277" w:lineRule="auto"/>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u w:val="single" w:color="auto"/>
          <w:color w:val="auto"/>
        </w:rPr>
        <w:t>Trustee to Give Notice of Default, But May Withhold in Certain Circumstances.</w:t>
      </w:r>
      <w:r>
        <w:rPr>
          <w:rFonts w:ascii="Arial" w:cs="Arial" w:eastAsia="Arial" w:hAnsi="Arial"/>
          <w:sz w:val="18"/>
          <w:szCs w:val="18"/>
          <w:color w:val="auto"/>
        </w:rPr>
        <w:t xml:space="preserve"> The Trustee shall give to the Securityholders of any series, as the names and addresses of</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73" w:name="page74"/>
    <w:bookmarkEnd w:id="73"/>
    <w:p>
      <w:pPr>
        <w:spacing w:after="0" w:line="291" w:lineRule="auto"/>
        <w:rPr>
          <w:sz w:val="20"/>
          <w:szCs w:val="20"/>
          <w:color w:val="auto"/>
        </w:rPr>
      </w:pPr>
      <w:r>
        <w:rPr>
          <w:rFonts w:ascii="Arial" w:cs="Arial" w:eastAsia="Arial" w:hAnsi="Arial"/>
          <w:sz w:val="16"/>
          <w:szCs w:val="16"/>
          <w:color w:val="auto"/>
        </w:rPr>
        <w:t>such Holders appear on the registry books, notice by mail of all defaults known to the Trustee which have occurred with respect to such series, such notice to be transmitted within 90 days after the occurrence thereof, unless such defaults shall have been cured before the giving of such notice (the term “default” or “defaults” for the purposes of this section being hereby defined to mean any event or condition which is, or with notice or lapse of time or both would become, an Event of Default); provided that, except in the case of default in the payment of the principal of or interest on any of the Securities of such series, or in the payment of any sinking or purchase fund installment with respect to the Securities of such series, the Trustee shall be protected in withholding such notice if and so long as the board of directors, the executive committee, or a trust committee of directors or trustees and/or Responsible Officers of the Trustee in good faith determines that the withholding of such notice is in the interests of the Securityholders of such series.</w:t>
      </w:r>
    </w:p>
    <w:p>
      <w:pPr>
        <w:spacing w:after="0" w:line="167" w:lineRule="exact"/>
        <w:rPr>
          <w:sz w:val="20"/>
          <w:szCs w:val="20"/>
          <w:color w:val="auto"/>
        </w:rPr>
      </w:pPr>
    </w:p>
    <w:p>
      <w:pPr>
        <w:ind w:right="80" w:firstLine="1297"/>
        <w:spacing w:after="0" w:line="287" w:lineRule="auto"/>
        <w:rPr>
          <w:sz w:val="20"/>
          <w:szCs w:val="20"/>
          <w:color w:val="auto"/>
        </w:rPr>
      </w:pPr>
      <w:r>
        <w:rPr>
          <w:rFonts w:ascii="Arial" w:cs="Arial" w:eastAsia="Arial" w:hAnsi="Arial"/>
          <w:sz w:val="16"/>
          <w:szCs w:val="16"/>
          <w:color w:val="auto"/>
        </w:rPr>
        <w:t xml:space="preserve">SECTION 4.12. </w:t>
      </w:r>
      <w:r>
        <w:rPr>
          <w:rFonts w:ascii="Arial" w:cs="Arial" w:eastAsia="Arial" w:hAnsi="Arial"/>
          <w:sz w:val="16"/>
          <w:szCs w:val="16"/>
          <w:u w:val="single" w:color="auto"/>
          <w:color w:val="auto"/>
        </w:rPr>
        <w:t>Right of Court to Require Filing of Undertaking to Pay Costs.</w:t>
      </w:r>
      <w:r>
        <w:rPr>
          <w:rFonts w:ascii="Arial" w:cs="Arial" w:eastAsia="Arial" w:hAnsi="Arial"/>
          <w:sz w:val="16"/>
          <w:szCs w:val="16"/>
          <w:color w:val="auto"/>
        </w:rPr>
        <w:t xml:space="preserve">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of any series holding in the aggregate more than 10% in aggregate principal amount of the Securities of such series, or, in the case of any suit relating to or arising under clauses 4.01(b) or 4.01(e) (if the suit relates to Securities of more than one but less than all series), 10% in aggregate principal amount of Securities Outstanding affected thereby, or in the case of any suit relating to or arising under clauses 4.01(b) or 4.01(e) (if the suit relates to all the Securities then Outstanding), 4.01(c) or 4.01(d), 10% in aggregate principal amount of all Securities Outstanding, or to any suit instituted by any Securityholder for the enforcement of the payment of the principal of or interest on any Security on or after the due date expressed in such Security.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Concerning the Trustee</w:t>
      </w:r>
    </w:p>
    <w:p>
      <w:pPr>
        <w:spacing w:after="0" w:line="225" w:lineRule="exact"/>
        <w:rPr>
          <w:sz w:val="20"/>
          <w:szCs w:val="20"/>
          <w:color w:val="auto"/>
        </w:rPr>
      </w:pPr>
    </w:p>
    <w:p>
      <w:pPr>
        <w:ind w:right="40" w:firstLine="1297"/>
        <w:spacing w:after="0" w:line="293"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Duties and Responsibilities of the Trustee; During Default; Prior to Default.</w:t>
      </w:r>
      <w:r>
        <w:rPr>
          <w:rFonts w:ascii="Arial" w:cs="Arial" w:eastAsia="Arial" w:hAnsi="Arial"/>
          <w:sz w:val="16"/>
          <w:szCs w:val="16"/>
          <w:color w:val="auto"/>
        </w:rPr>
        <w:t xml:space="preserve"> With respect to the Holders of any series of Securities issued hereunder, the Trustee, prior to the occurrence of an Event of Default with respect to the Securities of a particular series and after the curing or waiving of all Events of Default which may have occurred with respect to such series, undertakes to perform such duties and only such duties as are specifically set forth in this Indenture. In case an Event of Default with respect to the Securities of a series has occurred (which has not been cured or waived) the Trustee shall exercise with respect to such series of Securities such of the rights and powers vested in it by this Indenture, and use the same degree of care and skill in their exercise, as a prudent person would exercise or use under the circumstances in the conduct of his or her own affairs.</w:t>
      </w:r>
    </w:p>
    <w:p>
      <w:pPr>
        <w:spacing w:after="0" w:line="165"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w:t>
      </w:r>
    </w:p>
    <w:p>
      <w:pPr>
        <w:spacing w:after="0" w:line="170" w:lineRule="exact"/>
        <w:rPr>
          <w:sz w:val="20"/>
          <w:szCs w:val="20"/>
          <w:color w:val="auto"/>
        </w:rPr>
      </w:pPr>
    </w:p>
    <w:p>
      <w:pPr>
        <w:ind w:left="660" w:right="420" w:firstLine="645"/>
        <w:spacing w:after="0" w:line="277" w:lineRule="auto"/>
        <w:tabs>
          <w:tab w:leader="none" w:pos="1553"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prior to the occurrence of an Event of Default with respect to the Securities of any series and after the curing or waiving of all such Events of Default with respect to such series which may have occurred:</w:t>
      </w:r>
    </w:p>
    <w:p>
      <w:pPr>
        <w:spacing w:after="0" w:line="170" w:lineRule="exact"/>
        <w:rPr>
          <w:rFonts w:ascii="Arial" w:cs="Arial" w:eastAsia="Arial" w:hAnsi="Arial"/>
          <w:sz w:val="18"/>
          <w:szCs w:val="18"/>
          <w:color w:val="auto"/>
        </w:rPr>
      </w:pPr>
    </w:p>
    <w:p>
      <w:pPr>
        <w:ind w:left="1300" w:right="80" w:firstLine="653"/>
        <w:spacing w:after="0" w:line="312" w:lineRule="auto"/>
        <w:tabs>
          <w:tab w:leader="none" w:pos="2163" w:val="left"/>
        </w:tabs>
        <w:numPr>
          <w:ilvl w:val="1"/>
          <w:numId w:val="63"/>
        </w:numPr>
        <w:rPr>
          <w:rFonts w:ascii="Arial" w:cs="Arial" w:eastAsia="Arial" w:hAnsi="Arial"/>
          <w:sz w:val="16"/>
          <w:szCs w:val="16"/>
          <w:color w:val="auto"/>
        </w:rPr>
      </w:pPr>
      <w:r>
        <w:rPr>
          <w:rFonts w:ascii="Arial" w:cs="Arial" w:eastAsia="Arial" w:hAnsi="Arial"/>
          <w:sz w:val="16"/>
          <w:szCs w:val="16"/>
          <w:color w:val="auto"/>
        </w:rPr>
        <w:t>the duties and obligations of the Trustee with respect to the Securities of any series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74" w:name="page75"/>
    <w:bookmarkEnd w:id="74"/>
    <w:p>
      <w:pPr>
        <w:ind w:left="1300" w:firstLine="653"/>
        <w:spacing w:after="0" w:line="255" w:lineRule="auto"/>
        <w:tabs>
          <w:tab w:leader="none" w:pos="2213" w:val="left"/>
        </w:tabs>
        <w:numPr>
          <w:ilvl w:val="1"/>
          <w:numId w:val="64"/>
        </w:numPr>
        <w:rPr>
          <w:rFonts w:ascii="Arial" w:cs="Arial" w:eastAsia="Arial" w:hAnsi="Arial"/>
          <w:sz w:val="18"/>
          <w:szCs w:val="18"/>
          <w:color w:val="auto"/>
        </w:rPr>
      </w:pPr>
      <w:r>
        <w:rPr>
          <w:rFonts w:ascii="Arial" w:cs="Arial" w:eastAsia="Arial" w:hAnsi="Arial"/>
          <w:sz w:val="18"/>
          <w:szCs w:val="18"/>
          <w:color w:val="auto"/>
        </w:rPr>
        <w:t>in the absence of bad faith on the part of the Trustee, the Trustee may conclusively rely, as to the truth of the statements and the correctness of the opinions expressed therein, upon any statements, certificates or opinions furnished to the Trustee and conforming to the requirements of this Indenture; but in the case of any such statements, certificates or opinions which by any provision hereof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stated therein);</w:t>
      </w:r>
    </w:p>
    <w:p>
      <w:pPr>
        <w:spacing w:after="0" w:line="193" w:lineRule="exact"/>
        <w:rPr>
          <w:rFonts w:ascii="Arial" w:cs="Arial" w:eastAsia="Arial" w:hAnsi="Arial"/>
          <w:sz w:val="18"/>
          <w:szCs w:val="18"/>
          <w:color w:val="auto"/>
        </w:rPr>
      </w:pPr>
    </w:p>
    <w:p>
      <w:pPr>
        <w:ind w:left="660" w:right="420" w:firstLine="645"/>
        <w:spacing w:after="0" w:line="277" w:lineRule="auto"/>
        <w:tabs>
          <w:tab w:leader="none" w:pos="1563"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or Responsible Officers of the Trustee, unless it shall be proved that the Trustee was negligent in ascertaining the pertinent facts; and</w:t>
      </w:r>
    </w:p>
    <w:p>
      <w:pPr>
        <w:spacing w:after="0" w:line="170" w:lineRule="exact"/>
        <w:rPr>
          <w:rFonts w:ascii="Arial" w:cs="Arial" w:eastAsia="Arial" w:hAnsi="Arial"/>
          <w:sz w:val="18"/>
          <w:szCs w:val="18"/>
          <w:color w:val="auto"/>
        </w:rPr>
      </w:pPr>
    </w:p>
    <w:p>
      <w:pPr>
        <w:jc w:val="both"/>
        <w:ind w:left="660" w:right="100" w:firstLine="645"/>
        <w:spacing w:after="0" w:line="264" w:lineRule="auto"/>
        <w:tabs>
          <w:tab w:leader="none" w:pos="1553"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or omitted to be taken by it in good faith in accordance with the direction of the holders pursuant to Section 4.09 relating to the time, method and place of conducting any proceeding for any remedy available to the Trustee, or exercising any trust or power conferred upon the Trustee, under this Indenture.</w:t>
      </w:r>
    </w:p>
    <w:p>
      <w:pPr>
        <w:spacing w:after="0" w:line="181" w:lineRule="exact"/>
        <w:rPr>
          <w:sz w:val="20"/>
          <w:szCs w:val="20"/>
          <w:color w:val="auto"/>
        </w:rPr>
      </w:pPr>
    </w:p>
    <w:p>
      <w:pPr>
        <w:ind w:right="120" w:firstLine="1297"/>
        <w:spacing w:after="0" w:line="264" w:lineRule="auto"/>
        <w:rPr>
          <w:sz w:val="20"/>
          <w:szCs w:val="20"/>
          <w:color w:val="auto"/>
        </w:rPr>
      </w:pPr>
      <w:r>
        <w:rPr>
          <w:rFonts w:ascii="Arial" w:cs="Arial" w:eastAsia="Arial" w:hAnsi="Arial"/>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shall be reasonable ground for believing that the repayment of such funds or adequate indemnity against such liability is not reasonably assured to it.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provisions of this Section 5.01 are in furtherance of and subject to Sections 315 and 316 of the Trust Indenture Act of 1939.</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Certain Rights of the Trustee.</w:t>
      </w:r>
      <w:r>
        <w:rPr>
          <w:rFonts w:ascii="Arial" w:cs="Arial" w:eastAsia="Arial" w:hAnsi="Arial"/>
          <w:sz w:val="16"/>
          <w:szCs w:val="16"/>
          <w:color w:val="auto"/>
        </w:rPr>
        <w:t xml:space="preserve"> In furtherance of and subject to the Trust Indenture Act of 1939, and subject to Section 5.01:</w:t>
      </w:r>
    </w:p>
    <w:p>
      <w:pPr>
        <w:spacing w:after="0" w:line="248" w:lineRule="exact"/>
        <w:rPr>
          <w:sz w:val="20"/>
          <w:szCs w:val="20"/>
          <w:color w:val="auto"/>
        </w:rPr>
      </w:pPr>
    </w:p>
    <w:p>
      <w:pPr>
        <w:jc w:val="both"/>
        <w:ind w:left="660" w:right="100" w:firstLine="645"/>
        <w:spacing w:after="0" w:line="286" w:lineRule="auto"/>
        <w:tabs>
          <w:tab w:leader="none" w:pos="1553"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Trustee may conclusively rely and shall be protected in acting or refraining from acting upon any resolution, Officers’ Certificate or any other certificate, statement, instrument, opinion, report, notice, request, consent, order, bond, debenture, note, coupon, security or other paper or document believed by it to be genuine and to have been signed or presented by the proper party or parties;</w:t>
      </w:r>
    </w:p>
    <w:p>
      <w:pPr>
        <w:spacing w:after="0" w:line="165" w:lineRule="exact"/>
        <w:rPr>
          <w:rFonts w:ascii="Arial" w:cs="Arial" w:eastAsia="Arial" w:hAnsi="Arial"/>
          <w:sz w:val="17"/>
          <w:szCs w:val="17"/>
          <w:color w:val="auto"/>
        </w:rPr>
      </w:pPr>
    </w:p>
    <w:p>
      <w:pPr>
        <w:ind w:left="660" w:right="60" w:firstLine="645"/>
        <w:spacing w:after="0" w:line="264" w:lineRule="auto"/>
        <w:tabs>
          <w:tab w:leader="none" w:pos="1563"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request, direction, order or demand of the Issuer mentioned herein shall be sufficiently evidenced by an Officers’ Certificate (unless other evidence in respect thereof be herein specifically prescribed); and any resolution of the Board may be evidenced to the Trustee by a copy thereof certified by the secretary or an assistant secretary of the Issuer;</w:t>
      </w:r>
    </w:p>
    <w:p>
      <w:pPr>
        <w:spacing w:after="0" w:line="181" w:lineRule="exact"/>
        <w:rPr>
          <w:rFonts w:ascii="Arial" w:cs="Arial" w:eastAsia="Arial" w:hAnsi="Arial"/>
          <w:sz w:val="18"/>
          <w:szCs w:val="18"/>
          <w:color w:val="auto"/>
        </w:rPr>
      </w:pPr>
    </w:p>
    <w:p>
      <w:pPr>
        <w:ind w:left="660" w:right="40" w:firstLine="645"/>
        <w:spacing w:after="0" w:line="264" w:lineRule="auto"/>
        <w:tabs>
          <w:tab w:leader="none" w:pos="1553"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Trustee may consult with counsel of its selection and any advice or Opinion of Counsel shall be full and complete authorization and protection in respect of any action taken, suffered or omitted to be taken by it hereunder in good faith and in accordance with such advice or Opinion of Counsel;</w:t>
      </w:r>
    </w:p>
    <w:p>
      <w:pPr>
        <w:spacing w:after="0" w:line="181" w:lineRule="exact"/>
        <w:rPr>
          <w:rFonts w:ascii="Arial" w:cs="Arial" w:eastAsia="Arial" w:hAnsi="Arial"/>
          <w:sz w:val="18"/>
          <w:szCs w:val="18"/>
          <w:color w:val="auto"/>
        </w:rPr>
      </w:pPr>
    </w:p>
    <w:p>
      <w:pPr>
        <w:ind w:left="660" w:right="400" w:firstLine="645"/>
        <w:spacing w:after="0" w:line="286" w:lineRule="auto"/>
        <w:tabs>
          <w:tab w:leader="none" w:pos="1563"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Trustee shall be under no obligation to exercise any of the trusts or powers vested in it by this Indenture at the request, order or direction of any of the Securityholders pursuant to the provisions of this Indenture, unless such Securityholders shall have offered to the Trustee security or indemnity satisfactory to it against the costs, expenses and liabilities which might be incurred therein or thereby;</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75" w:name="page76"/>
    <w:bookmarkEnd w:id="75"/>
    <w:p>
      <w:pPr>
        <w:ind w:left="660" w:right="620" w:firstLine="645"/>
        <w:spacing w:after="0" w:line="277" w:lineRule="auto"/>
        <w:tabs>
          <w:tab w:leader="none" w:pos="1553"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or omitted by it in good faith and believed by it to be authorized or within the discretion, rights or powers conferred upon it by this Indenture;</w:t>
      </w:r>
    </w:p>
    <w:p>
      <w:pPr>
        <w:spacing w:after="0" w:line="170" w:lineRule="exact"/>
        <w:rPr>
          <w:rFonts w:ascii="Arial" w:cs="Arial" w:eastAsia="Arial" w:hAnsi="Arial"/>
          <w:sz w:val="18"/>
          <w:szCs w:val="18"/>
          <w:color w:val="auto"/>
        </w:rPr>
      </w:pPr>
    </w:p>
    <w:p>
      <w:pPr>
        <w:ind w:left="660" w:right="60" w:firstLine="645"/>
        <w:spacing w:after="0" w:line="290" w:lineRule="auto"/>
        <w:tabs>
          <w:tab w:leader="none" w:pos="1533" w:val="left"/>
        </w:tabs>
        <w:numPr>
          <w:ilvl w:val="0"/>
          <w:numId w:val="67"/>
        </w:numPr>
        <w:rPr>
          <w:rFonts w:ascii="Arial" w:cs="Arial" w:eastAsia="Arial" w:hAnsi="Arial"/>
          <w:sz w:val="16"/>
          <w:szCs w:val="16"/>
          <w:color w:val="auto"/>
        </w:rPr>
      </w:pPr>
      <w:r>
        <w:rPr>
          <w:rFonts w:ascii="Arial" w:cs="Arial" w:eastAsia="Arial" w:hAnsi="Arial"/>
          <w:sz w:val="16"/>
          <w:szCs w:val="16"/>
          <w:color w:val="auto"/>
        </w:rPr>
        <w:t>prior to the occurrence of an Event of Default hereunder and after the curing or waiving of all Events of Default, the Trustee shall not be bound to make any investigation into the facts or matters stated in any resolution, certificate, statement, instrument, opinion, report, notice, request, consent, order, approval, appraisal, bond, debenture, note, coupon, security, or other paper or document unless requested in writing so to do by the holders of not less than a majority in aggregate principal amount of the Securities of all series affected then outstanding; provided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indemnity satisfactory to it against such expenses or liabilities as a condition to proceeding; the reasonable expenses of every such investigation shall be paid by the Issuer or, if paid by the Trustee or any predecessor trustee, shall be repaid by the Issuer upon demand;</w:t>
      </w:r>
    </w:p>
    <w:p>
      <w:pPr>
        <w:spacing w:after="0" w:line="166" w:lineRule="exact"/>
        <w:rPr>
          <w:rFonts w:ascii="Arial" w:cs="Arial" w:eastAsia="Arial" w:hAnsi="Arial"/>
          <w:sz w:val="16"/>
          <w:szCs w:val="16"/>
          <w:color w:val="auto"/>
        </w:rPr>
      </w:pPr>
    </w:p>
    <w:p>
      <w:pPr>
        <w:ind w:left="660" w:right="40" w:firstLine="645"/>
        <w:spacing w:after="0" w:line="264" w:lineRule="auto"/>
        <w:tabs>
          <w:tab w:leader="none" w:pos="1563"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not regularly in its employ and the Trustee shall not be responsible for any misconduct or negligence on the part of any such agent or attorney appointed with due care by it hereunder;</w:t>
      </w:r>
    </w:p>
    <w:p>
      <w:pPr>
        <w:spacing w:after="0" w:line="181" w:lineRule="exact"/>
        <w:rPr>
          <w:rFonts w:ascii="Arial" w:cs="Arial" w:eastAsia="Arial" w:hAnsi="Arial"/>
          <w:sz w:val="18"/>
          <w:szCs w:val="18"/>
          <w:color w:val="auto"/>
        </w:rPr>
      </w:pPr>
    </w:p>
    <w:p>
      <w:pPr>
        <w:ind w:left="660" w:firstLine="645"/>
        <w:spacing w:after="0" w:line="264" w:lineRule="auto"/>
        <w:tabs>
          <w:tab w:leader="none" w:pos="1563" w:val="left"/>
        </w:tabs>
        <w:numPr>
          <w:ilvl w:val="0"/>
          <w:numId w:val="67"/>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conclusively rely upon an Officers’ Certificate;</w:t>
      </w:r>
    </w:p>
    <w:p>
      <w:pPr>
        <w:spacing w:after="0" w:line="181" w:lineRule="exact"/>
        <w:rPr>
          <w:rFonts w:ascii="Arial" w:cs="Arial" w:eastAsia="Arial" w:hAnsi="Arial"/>
          <w:sz w:val="18"/>
          <w:szCs w:val="18"/>
          <w:color w:val="auto"/>
        </w:rPr>
      </w:pPr>
    </w:p>
    <w:p>
      <w:pPr>
        <w:ind w:left="660" w:right="140" w:firstLine="645"/>
        <w:spacing w:after="0" w:line="259" w:lineRule="auto"/>
        <w:tabs>
          <w:tab w:leader="none" w:pos="1523"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Trustee shall not be deemed to have notice of any Event of Default or an event which, with notice or lapse of time or both, would constitute an Event of Default unless a Responsible Officer of the Trustee has actual knowledge thereof or unless written notice of any event which is in fact such a default is received by the Trustee at the Corporate Trust Office of the Trustee, and such notice references the Securities and this Indenture;</w:t>
      </w:r>
    </w:p>
    <w:p>
      <w:pPr>
        <w:spacing w:after="0" w:line="186" w:lineRule="exact"/>
        <w:rPr>
          <w:rFonts w:ascii="Arial" w:cs="Arial" w:eastAsia="Arial" w:hAnsi="Arial"/>
          <w:sz w:val="18"/>
          <w:szCs w:val="18"/>
          <w:color w:val="auto"/>
        </w:rPr>
      </w:pPr>
    </w:p>
    <w:p>
      <w:pPr>
        <w:ind w:left="660" w:firstLine="645"/>
        <w:spacing w:after="0" w:line="342" w:lineRule="auto"/>
        <w:tabs>
          <w:tab w:leader="none" w:pos="1523"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rights, privileges, protections, immunities and benefits given to the Trustee, including its right to be indemnified, are extended to, and shall be enforceable by, the Trustee in each of its capacities hereunder, and each agent, custodian and other Person employed to act hereunder;</w:t>
      </w:r>
    </w:p>
    <w:p>
      <w:pPr>
        <w:spacing w:after="0" w:line="123" w:lineRule="exact"/>
        <w:rPr>
          <w:rFonts w:ascii="Arial" w:cs="Arial" w:eastAsia="Arial" w:hAnsi="Arial"/>
          <w:sz w:val="16"/>
          <w:szCs w:val="16"/>
          <w:color w:val="auto"/>
        </w:rPr>
      </w:pPr>
    </w:p>
    <w:p>
      <w:pPr>
        <w:ind w:left="660" w:right="240" w:firstLine="645"/>
        <w:spacing w:after="0" w:line="312" w:lineRule="auto"/>
        <w:tabs>
          <w:tab w:leader="none" w:pos="1563"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Trustee may request that the Issuer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 and</w:t>
      </w:r>
    </w:p>
    <w:p>
      <w:pPr>
        <w:spacing w:after="0" w:line="146" w:lineRule="exact"/>
        <w:rPr>
          <w:rFonts w:ascii="Arial" w:cs="Arial" w:eastAsia="Arial" w:hAnsi="Arial"/>
          <w:sz w:val="16"/>
          <w:szCs w:val="16"/>
          <w:color w:val="auto"/>
        </w:rPr>
      </w:pPr>
    </w:p>
    <w:p>
      <w:pPr>
        <w:jc w:val="both"/>
        <w:ind w:left="660" w:right="560" w:firstLine="645"/>
        <w:spacing w:after="0" w:line="264" w:lineRule="auto"/>
        <w:tabs>
          <w:tab w:leader="none" w:pos="1523"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w:t>
      </w:r>
    </w:p>
    <w:p>
      <w:pPr>
        <w:spacing w:after="0" w:line="181"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Trustee Not Responsible for Recitals, Disposition of Securities or Application of Proceeds Thereof.</w:t>
      </w:r>
      <w:r>
        <w:rPr>
          <w:rFonts w:ascii="Arial" w:cs="Arial" w:eastAsia="Arial" w:hAnsi="Arial"/>
          <w:sz w:val="18"/>
          <w:szCs w:val="18"/>
          <w:color w:val="auto"/>
        </w:rPr>
        <w:t xml:space="preserve"> The recitals contained herein and in the Securities, except the Trustee’s certificates of authentication, shall be taken as the statements of the Issuer, and the Trustee assumes no responsibility for the correctness of the same. The Trustee makes no representation as to the validity or</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76" w:name="page77"/>
    <w:bookmarkEnd w:id="76"/>
    <w:p>
      <w:pPr>
        <w:ind w:right="60"/>
        <w:spacing w:after="0" w:line="277" w:lineRule="auto"/>
        <w:rPr>
          <w:sz w:val="20"/>
          <w:szCs w:val="20"/>
          <w:color w:val="auto"/>
        </w:rPr>
      </w:pPr>
      <w:r>
        <w:rPr>
          <w:rFonts w:ascii="Arial" w:cs="Arial" w:eastAsia="Arial" w:hAnsi="Arial"/>
          <w:sz w:val="18"/>
          <w:szCs w:val="18"/>
          <w:color w:val="auto"/>
        </w:rPr>
        <w:t>sufficiency of this Indenture or of the Securities. The Trustee shall not be accountable for the use or application by the Issuer of any of the Securities or of the proceeds thereof.</w:t>
      </w:r>
    </w:p>
    <w:p>
      <w:pPr>
        <w:spacing w:after="0" w:line="170"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Trustee and Agents May Hold Securities; Collections, etc.</w:t>
      </w:r>
      <w:r>
        <w:rPr>
          <w:rFonts w:ascii="Arial" w:cs="Arial" w:eastAsia="Arial" w:hAnsi="Arial"/>
          <w:sz w:val="18"/>
          <w:szCs w:val="18"/>
          <w:color w:val="auto"/>
        </w:rPr>
        <w:t xml:space="preserve"> Subject to Section 311 of the Trust Indenture Act of 1939, the Trustee or any agent of the Issuer or the Trustee, in its individual or any other capacity, may become the owner or pledgee of Securities with the same rights it would have if it were not the Trustee or such agent and may otherwise deal with the Issuer and receive, collect, hold and retain collections from the Issuer with the same rights it would have if it were not the Trustee or such agent.</w:t>
      </w:r>
    </w:p>
    <w:p>
      <w:pPr>
        <w:spacing w:after="0" w:line="187" w:lineRule="exact"/>
        <w:rPr>
          <w:sz w:val="20"/>
          <w:szCs w:val="20"/>
          <w:color w:val="auto"/>
        </w:rPr>
      </w:pPr>
    </w:p>
    <w:p>
      <w:pPr>
        <w:jc w:val="both"/>
        <w:ind w:right="200" w:firstLine="1297"/>
        <w:spacing w:after="0" w:line="259"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Moneys Held by Trustee.</w:t>
      </w:r>
      <w:r>
        <w:rPr>
          <w:rFonts w:ascii="Arial" w:cs="Arial" w:eastAsia="Arial" w:hAnsi="Arial"/>
          <w:sz w:val="18"/>
          <w:szCs w:val="18"/>
          <w:color w:val="auto"/>
        </w:rPr>
        <w:t xml:space="preserve"> Subject to the provisions of Section 9.04 hereof, all moneys received by the Trustee shall, until used or applied as herein provided, be held in trust for the purposes for which they were received, but need not be segregated from other funds except to the extent required by mandatory provisions of law. Neither the Trustee nor any agent of the Issuer or the Trustee shall be under any liability for interest on any moneys received by it hereunder.</w:t>
      </w:r>
    </w:p>
    <w:p>
      <w:pPr>
        <w:spacing w:after="0" w:line="187" w:lineRule="exact"/>
        <w:rPr>
          <w:sz w:val="20"/>
          <w:szCs w:val="20"/>
          <w:color w:val="auto"/>
        </w:rPr>
      </w:pPr>
    </w:p>
    <w:p>
      <w:pPr>
        <w:ind w:right="80" w:firstLine="1297"/>
        <w:spacing w:after="0" w:line="268"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u w:val="single" w:color="auto"/>
          <w:color w:val="auto"/>
        </w:rPr>
        <w:t>Compensation and Indemnification of Trustee and its Prior Claim.</w:t>
      </w:r>
      <w:r>
        <w:rPr>
          <w:rFonts w:ascii="Arial" w:cs="Arial" w:eastAsia="Arial" w:hAnsi="Arial"/>
          <w:sz w:val="17"/>
          <w:szCs w:val="17"/>
          <w:color w:val="auto"/>
        </w:rPr>
        <w:t xml:space="preserve"> The Issuer covenants and agrees to pay to the Trustee from time to time, and the Trustee shall be entitled to, compensation as the Issuer and the Trustee shall from time to time agree in writing (which shall not be limited by any provision of law in regard to the compensation of a trustee of an express trust) and the Issuer covenants and agrees to pay or reimburse the Trustee and each predecessor Trustee upon its request for all expenses, disbursements and advances incurred or made by or on behalf of it in accordance with any of the provisions of this Indenture (including the reasonable compensation and the expenses and disbursements of its counsel and of all agents and other persons not regularly in its employ) except to the extent any such expense, disbursement or advance is caused by its own negligence, willful misconduct or bad faith. The Issuer also covenants to indemnify the Trustee and each predecessor Trustee and their agents for, and to hold it harmless against, any loss, liability or expense arising out of or in connection with the acceptance or administration of this Indenture or the trusts hereunder and the performance of its duties hereunder, including the costs and expenses of defending itself against or investigating any claim of liability in the premises, except to the extent such loss liability or expense is caused by the negligence, willful misconduct or bad faith of the Trustee, its agents or employees or such predecessor Trustee. The obligations of the Issuer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Such additional indebtedness shall be a senior claim to that of the Securities upon all property and funds held or collected by the Trustee as such, except funds held in trust for the benefit of the holders of particular Securities, and the Securities are hereby subordinated to such senior claim.</w:t>
      </w:r>
    </w:p>
    <w:p>
      <w:pPr>
        <w:spacing w:after="0" w:line="183"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When the Trustee incurs expenses or renders services in connection with an Event of Default specified in Section 4.01(c) or Section 4.01(d), the expenses (including the reasonable charges and expenses of its counsel) and the compensation for the services are intended to constitute expenses of administration under any applicable federal, state or non-U.S. bankruptcy, insolvency or other similar law.</w:t>
      </w:r>
    </w:p>
    <w:p>
      <w:pPr>
        <w:spacing w:after="0" w:line="181" w:lineRule="exact"/>
        <w:rPr>
          <w:sz w:val="20"/>
          <w:szCs w:val="20"/>
          <w:color w:val="auto"/>
        </w:rPr>
      </w:pPr>
    </w:p>
    <w:p>
      <w:pPr>
        <w:ind w:right="60" w:firstLine="1297"/>
        <w:spacing w:after="0" w:line="255"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Right of Trustee to Rely on Officers’ Certificate, etc.</w:t>
      </w:r>
      <w:r>
        <w:rPr>
          <w:rFonts w:ascii="Arial" w:cs="Arial" w:eastAsia="Arial" w:hAnsi="Arial"/>
          <w:sz w:val="18"/>
          <w:szCs w:val="18"/>
          <w:color w:val="auto"/>
        </w:rPr>
        <w:t xml:space="preserve"> Subject to Sections 5.01 and 5.02,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w:t>
      </w:r>
    </w:p>
    <w:p>
      <w:pPr>
        <w:spacing w:after="0" w:line="193" w:lineRule="exact"/>
        <w:rPr>
          <w:sz w:val="20"/>
          <w:szCs w:val="20"/>
          <w:color w:val="auto"/>
        </w:rPr>
      </w:pPr>
    </w:p>
    <w:p>
      <w:pPr>
        <w:ind w:right="180" w:firstLine="1297"/>
        <w:spacing w:after="0" w:line="264"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Persons Eligible for Appointment as Trustee.</w:t>
      </w:r>
      <w:r>
        <w:rPr>
          <w:rFonts w:ascii="Arial" w:cs="Arial" w:eastAsia="Arial" w:hAnsi="Arial"/>
          <w:sz w:val="18"/>
          <w:szCs w:val="18"/>
          <w:color w:val="auto"/>
        </w:rPr>
        <w:t xml:space="preserve"> The Trustee for each series of Securities hereunder shall at all times be a corporation organized and doing business under the laws of the United States of America or the District of Columbia having a combined capital and surplus of</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77" w:name="page78"/>
    <w:bookmarkEnd w:id="77"/>
    <w:p>
      <w:pPr>
        <w:ind w:right="20"/>
        <w:spacing w:after="0" w:line="259" w:lineRule="auto"/>
        <w:rPr>
          <w:sz w:val="20"/>
          <w:szCs w:val="20"/>
          <w:color w:val="auto"/>
        </w:rPr>
      </w:pPr>
      <w:r>
        <w:rPr>
          <w:rFonts w:ascii="Arial" w:cs="Arial" w:eastAsia="Arial" w:hAnsi="Arial"/>
          <w:sz w:val="18"/>
          <w:szCs w:val="18"/>
          <w:color w:val="auto"/>
        </w:rPr>
        <w:t>at least $25,000,000, and which is eligible in accordance with the provisions of Section 310(a) of the Trust Indenture Act of 1939. If such corporation publishes reports of condition at least annually, pursuant to law or to the requirements of a federal, state or District of Columbia supervising or examining authority, then for the purposes of this Section, the combined capital and surplus of such corporation shall be deemed to be its combined capital and surplus as set forth in its most recent report of condition so published.</w:t>
      </w:r>
    </w:p>
    <w:p>
      <w:pPr>
        <w:spacing w:after="0" w:line="187" w:lineRule="exact"/>
        <w:rPr>
          <w:sz w:val="20"/>
          <w:szCs w:val="20"/>
          <w:color w:val="auto"/>
        </w:rPr>
      </w:pPr>
    </w:p>
    <w:p>
      <w:pPr>
        <w:ind w:firstLine="1297"/>
        <w:spacing w:after="0" w:line="288" w:lineRule="auto"/>
        <w:rPr>
          <w:sz w:val="20"/>
          <w:szCs w:val="20"/>
          <w:color w:val="auto"/>
        </w:rPr>
      </w:pPr>
      <w:r>
        <w:rPr>
          <w:rFonts w:ascii="Arial" w:cs="Arial" w:eastAsia="Arial" w:hAnsi="Arial"/>
          <w:sz w:val="16"/>
          <w:szCs w:val="16"/>
          <w:color w:val="auto"/>
        </w:rPr>
        <w:t xml:space="preserve">SECTION 5.09. </w:t>
      </w:r>
      <w:r>
        <w:rPr>
          <w:rFonts w:ascii="Arial" w:cs="Arial" w:eastAsia="Arial" w:hAnsi="Arial"/>
          <w:sz w:val="16"/>
          <w:szCs w:val="16"/>
          <w:u w:val="single" w:color="auto"/>
          <w:color w:val="auto"/>
        </w:rPr>
        <w:t>Resignation and Removal; Appointment of Successor Trustee.</w:t>
      </w:r>
      <w:r>
        <w:rPr>
          <w:rFonts w:ascii="Arial" w:cs="Arial" w:eastAsia="Arial" w:hAnsi="Arial"/>
          <w:sz w:val="16"/>
          <w:szCs w:val="16"/>
          <w:color w:val="auto"/>
        </w:rPr>
        <w:t xml:space="preserve"> (a) The Trustee, or any trustee or trustees hereafter appointed, may at any time resign with respect to one or more or all series of Securities by giving written notice of resignation to the Issuer and by mailing notice thereof by first class mail to Holders of the applicable series of Securities at their last addresses as they shall appear on the Security register. Upon receiving such notice of resignation, the Issuer shall promptly appoint a successor trustee or trustees with respect to the applicable series by written instrument in duplicate, executed by authority of the Board, one copy of which instrument shall be delivered to the resigning Trustee and one copy to the successor trustee or trustees. If no successor trustee shall have been so appointed with respect to any series and have accepted appointment within 30 days after the mailing of such notice of resignation, the resigning trustee at the Issuer’s expense may petition any court of competent jurisdiction for the appointment of a successor trustee, or any Securityholder who has been a bona fide Holder of a Security or Securities of the applicable series for at least six months may, subject to the provisions of Section 4.12, on behalf of himself and all others similarly situated, petition any such court for the appointment of a successor trustee. Such court may thereupon, after such notice, if any, as it may deem proper and prescribe, appoint a successor trustee.</w:t>
      </w:r>
    </w:p>
    <w:p>
      <w:pPr>
        <w:spacing w:after="0" w:line="169" w:lineRule="exact"/>
        <w:rPr>
          <w:sz w:val="20"/>
          <w:szCs w:val="20"/>
          <w:color w:val="auto"/>
        </w:rPr>
      </w:pPr>
    </w:p>
    <w:p>
      <w:pPr>
        <w:ind w:left="1560" w:hanging="255"/>
        <w:spacing w:after="0"/>
        <w:tabs>
          <w:tab w:leader="none" w:pos="15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case at any time any of the following shall occur:</w:t>
      </w:r>
    </w:p>
    <w:p>
      <w:pPr>
        <w:spacing w:after="0" w:line="225" w:lineRule="exact"/>
        <w:rPr>
          <w:rFonts w:ascii="Arial" w:cs="Arial" w:eastAsia="Arial" w:hAnsi="Arial"/>
          <w:sz w:val="18"/>
          <w:szCs w:val="18"/>
          <w:color w:val="auto"/>
        </w:rPr>
      </w:pPr>
    </w:p>
    <w:p>
      <w:pPr>
        <w:ind w:left="1300" w:right="280" w:firstLine="653"/>
        <w:spacing w:after="0" w:line="264" w:lineRule="auto"/>
        <w:tabs>
          <w:tab w:leader="none" w:pos="2163"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Trustee shall fail to comply with the provisions of Section 310(b) of the Trust Indenture Act of 1939 with respect to any series of Securities after written request therefor by the Issuer or by any Securityholder who has been a bona fide Holder of a Security or Securities of such series for at least six months; or</w:t>
      </w:r>
    </w:p>
    <w:p>
      <w:pPr>
        <w:spacing w:after="0" w:line="181" w:lineRule="exact"/>
        <w:rPr>
          <w:rFonts w:ascii="Arial" w:cs="Arial" w:eastAsia="Arial" w:hAnsi="Arial"/>
          <w:sz w:val="18"/>
          <w:szCs w:val="18"/>
          <w:color w:val="auto"/>
        </w:rPr>
      </w:pPr>
    </w:p>
    <w:p>
      <w:pPr>
        <w:ind w:left="1300" w:right="20" w:firstLine="653"/>
        <w:spacing w:after="0" w:line="277" w:lineRule="auto"/>
        <w:tabs>
          <w:tab w:leader="none" w:pos="2213"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Trustee shall cease to be eligible in accordance with the provisions of Section 310(a) of the Trust Indenture Act of 1939 and shall fail to resign after written request therefor by the Issuer or by any Securityholder; or</w:t>
      </w:r>
    </w:p>
    <w:p>
      <w:pPr>
        <w:spacing w:after="0" w:line="170" w:lineRule="exact"/>
        <w:rPr>
          <w:rFonts w:ascii="Arial" w:cs="Arial" w:eastAsia="Arial" w:hAnsi="Arial"/>
          <w:sz w:val="18"/>
          <w:szCs w:val="18"/>
          <w:color w:val="auto"/>
        </w:rPr>
      </w:pPr>
    </w:p>
    <w:p>
      <w:pPr>
        <w:ind w:left="1300" w:right="120" w:firstLine="653"/>
        <w:spacing w:after="0" w:line="264" w:lineRule="auto"/>
        <w:tabs>
          <w:tab w:leader="none" w:pos="2263"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Trustee shall become incapable of acting with respect to any series of Securities, or shall be adjudged a bankrupt or insolvent, or a receiver or liquidator of the Trustee or of its property shall be appointed, or any public officer shall take charge or control of the Trustee or of its property or affairs for the purpose of rehabilitation, conservation or liquidation;</w:t>
      </w:r>
    </w:p>
    <w:p>
      <w:pPr>
        <w:spacing w:after="0" w:line="18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then, in any such case, the Issuer may remove the Trustee with respect to the applicable series of Securities and appoint a successor trustee for such series by written instrument, in duplicate, executed by order of the Board of the Issuer, one copy of which instrument shall be delivered to the Trustee so removed and one copy to the successor trustee, or, subject to Section 315(e) of the Trust Indenture Act of 1939, any Securityholder who has been a bona fide Holder of a Security or Securities of such series for at least six months may on behalf of himself and all others similarly situated, petition any court of competent jurisdiction for the removal of the Trustee and the appointment of a successor trustee with respect to such series. Such court may thereupon, after such notice, if any, as it may deem proper and prescribe, remove the Trustee and appoint a successor trustee.</w:t>
      </w:r>
    </w:p>
    <w:p>
      <w:pPr>
        <w:spacing w:after="0" w:line="178" w:lineRule="exact"/>
        <w:rPr>
          <w:sz w:val="20"/>
          <w:szCs w:val="20"/>
          <w:color w:val="auto"/>
        </w:rPr>
      </w:pPr>
    </w:p>
    <w:p>
      <w:pPr>
        <w:ind w:left="660" w:firstLine="645"/>
        <w:spacing w:after="0" w:line="259" w:lineRule="auto"/>
        <w:tabs>
          <w:tab w:leader="none" w:pos="1553"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Holders of a majority in aggregate principal amount of the Securities of each series at the time outstanding may at any time remove the Trustee with respect to Securities of such series and appoint a successor trustee with respect to the Securities of such series by delivering to the Trustee so removed, to the successor trustee so appointed and to the Issuer the evidence provided for in Section 6.01 of the action in that regard taken by the Securityholders.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78" w:name="page79"/>
    <w:bookmarkEnd w:id="78"/>
    <w:p>
      <w:pPr>
        <w:ind w:left="660" w:right="360" w:firstLine="645"/>
        <w:spacing w:after="0" w:line="264" w:lineRule="auto"/>
        <w:tabs>
          <w:tab w:leader="none" w:pos="1563"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resignation or removal of the Trustee with respect to any series and any appointment of a successor trustee with respect to such series pursuant to any of the provisions of this Section 5.09 shall become effective upon acceptance of appointment by the successor trustee as provided in Section 5.10.</w:t>
      </w:r>
    </w:p>
    <w:p>
      <w:pPr>
        <w:spacing w:after="0" w:line="181" w:lineRule="exact"/>
        <w:rPr>
          <w:sz w:val="20"/>
          <w:szCs w:val="20"/>
          <w:color w:val="auto"/>
        </w:rPr>
      </w:pPr>
    </w:p>
    <w:p>
      <w:pPr>
        <w:ind w:right="60" w:firstLine="1297"/>
        <w:spacing w:after="0" w:line="270" w:lineRule="auto"/>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u w:val="single" w:color="auto"/>
          <w:color w:val="auto"/>
        </w:rPr>
        <w:t>Acceptance of Appointment by Successor Trustee.</w:t>
      </w:r>
      <w:r>
        <w:rPr>
          <w:rFonts w:ascii="Arial" w:cs="Arial" w:eastAsia="Arial" w:hAnsi="Arial"/>
          <w:sz w:val="17"/>
          <w:szCs w:val="17"/>
          <w:color w:val="auto"/>
        </w:rPr>
        <w:t xml:space="preserve"> Any successor trustee appointed as provided in Section 5.09 shall execute and deliver to the Issuer and to its predecessor trustee an instrument accepting such appointment hereunder, and thereupon the resignation or removal of the predecessor trustee with respect to all or any applicable series shall become effective and such successor trustee, without any further act, deed or conveyance, shall become vested with all rights, powers, duties and obligations with respect to such series of its predecessor hereunder, with like effect as if originally named as trustee for such series hereunder; but, nevertheless, on the written request of the Issuer or of the successor trustee, upon payment of its charges then unpaid, the trustee ceasing to act shall, subject to Section 9.04, pay over to the successor trustee all moneys at the time held by it hereunder and shall execute and deliver an instrument transferring to such successor trustee all such rights, powers, duties and obligations. Upon request of any such successor trustee, the Issuer shall execute any and all instruments in writing for more fully and certainly vesting in and confirming to such successor trustee all such rights and powers. Any trustee ceasing to act shall, nevertheless, retain a prior claim upon all property or funds held or collected by such trustee to secure any amounts then due it pursuant to the provisions of Section 5.06.</w:t>
      </w:r>
    </w:p>
    <w:p>
      <w:pPr>
        <w:spacing w:after="0" w:line="178" w:lineRule="exact"/>
        <w:rPr>
          <w:sz w:val="20"/>
          <w:szCs w:val="20"/>
          <w:color w:val="auto"/>
        </w:rPr>
      </w:pPr>
    </w:p>
    <w:p>
      <w:pPr>
        <w:ind w:right="20" w:firstLine="1297"/>
        <w:spacing w:after="0" w:line="272" w:lineRule="auto"/>
        <w:rPr>
          <w:sz w:val="20"/>
          <w:szCs w:val="20"/>
          <w:color w:val="auto"/>
        </w:rPr>
      </w:pPr>
      <w:r>
        <w:rPr>
          <w:rFonts w:ascii="Arial" w:cs="Arial" w:eastAsia="Arial" w:hAnsi="Arial"/>
          <w:sz w:val="17"/>
          <w:szCs w:val="17"/>
          <w:color w:val="auto"/>
        </w:rPr>
        <w:t>If a successor trustee is appointed with respect to the Securities of one or more (but not all) series, the Issuer, the predecessor Trustee and each successor trustee with respect to the Securities of any applicable series shall execute and deliver an indenture supplemental hereto which shall contain such provisions as shall be deemed necessary or desirable to confirm that all the rights, powers, trusts and duties of the predecessor Trustee with respect to the Securities of any series as to which the predecessor Trustee is not retiring shall continue to be vested in the predecessor Trustee, and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under separate indentures.</w:t>
      </w:r>
    </w:p>
    <w:p>
      <w:pPr>
        <w:spacing w:after="0" w:line="178" w:lineRule="exact"/>
        <w:rPr>
          <w:sz w:val="20"/>
          <w:szCs w:val="20"/>
          <w:color w:val="auto"/>
        </w:rPr>
      </w:pPr>
    </w:p>
    <w:p>
      <w:pPr>
        <w:ind w:right="100" w:firstLine="1297"/>
        <w:spacing w:after="0" w:line="276" w:lineRule="auto"/>
        <w:rPr>
          <w:sz w:val="20"/>
          <w:szCs w:val="20"/>
          <w:color w:val="auto"/>
        </w:rPr>
      </w:pPr>
      <w:r>
        <w:rPr>
          <w:rFonts w:ascii="Arial" w:cs="Arial" w:eastAsia="Arial" w:hAnsi="Arial"/>
          <w:sz w:val="17"/>
          <w:szCs w:val="17"/>
          <w:color w:val="auto"/>
        </w:rPr>
        <w:t>Upon acceptance of appointment by any successor trustee as provided in this Section 5.10, the Issuer shall mail notice thereof by first-class mail to the Holders of Securities of any series for which such successor trustee is acting as trustee at their last addresses as they shall appear in the Security register. If the acceptance of appointment is substantially contemporaneous with the resignation, then the notice called for by the preceding sentence may be combined with the notice called for by Section 5.09. If the Issuer fails to mail such notice within ten days after acceptance of appointment by the successor trustee, the successor trustee shall cause such notice to be mailed at the expense of the Issuer.</w:t>
      </w:r>
    </w:p>
    <w:p>
      <w:pPr>
        <w:spacing w:after="0" w:line="173" w:lineRule="exact"/>
        <w:rPr>
          <w:sz w:val="20"/>
          <w:szCs w:val="20"/>
          <w:color w:val="auto"/>
        </w:rPr>
      </w:pPr>
    </w:p>
    <w:p>
      <w:pPr>
        <w:ind w:right="60" w:firstLine="1297"/>
        <w:spacing w:after="0" w:line="276" w:lineRule="auto"/>
        <w:rPr>
          <w:sz w:val="20"/>
          <w:szCs w:val="20"/>
          <w:color w:val="auto"/>
        </w:rPr>
      </w:pPr>
      <w:r>
        <w:rPr>
          <w:rFonts w:ascii="Arial" w:cs="Arial" w:eastAsia="Arial" w:hAnsi="Arial"/>
          <w:sz w:val="17"/>
          <w:szCs w:val="17"/>
          <w:color w:val="auto"/>
        </w:rPr>
        <w:t xml:space="preserve">SECTION 5.11. </w:t>
      </w:r>
      <w:r>
        <w:rPr>
          <w:rFonts w:ascii="Arial" w:cs="Arial" w:eastAsia="Arial" w:hAnsi="Arial"/>
          <w:sz w:val="17"/>
          <w:szCs w:val="17"/>
          <w:u w:val="single" w:color="auto"/>
          <w:color w:val="auto"/>
        </w:rPr>
        <w:t>Merger, Conversion, Consolidation or Succession to Business of Trustee.</w:t>
      </w:r>
      <w:r>
        <w:rPr>
          <w:rFonts w:ascii="Arial" w:cs="Arial" w:eastAsia="Arial" w:hAnsi="Arial"/>
          <w:sz w:val="17"/>
          <w:szCs w:val="17"/>
          <w:color w:val="auto"/>
        </w:rPr>
        <w:t xml:space="preserve"> 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provided that such corporation shall be eligible under the provisions of Section 5.08, without the execution or filing of any paper or any further act on the part of any of the parties hereto, anything herein to the contrary notwithstanding.</w:t>
      </w:r>
    </w:p>
    <w:p>
      <w:pPr>
        <w:spacing w:after="0" w:line="173" w:lineRule="exact"/>
        <w:rPr>
          <w:sz w:val="20"/>
          <w:szCs w:val="20"/>
          <w:color w:val="auto"/>
        </w:rPr>
      </w:pPr>
    </w:p>
    <w:p>
      <w:pPr>
        <w:ind w:firstLine="1297"/>
        <w:spacing w:after="0" w:line="297" w:lineRule="auto"/>
        <w:rPr>
          <w:sz w:val="20"/>
          <w:szCs w:val="20"/>
          <w:color w:val="auto"/>
        </w:rPr>
      </w:pPr>
      <w:r>
        <w:rPr>
          <w:rFonts w:ascii="Arial" w:cs="Arial" w:eastAsia="Arial" w:hAnsi="Arial"/>
          <w:sz w:val="16"/>
          <w:szCs w:val="16"/>
          <w:color w:val="auto"/>
        </w:rPr>
        <w:t>In case at the time such successor to the Trustee shall succeed to the trusts created by this Indenture any of the Securities of any series shall have been authenticated but not delivered, any such successor to the Trustee may adopt the certificate of authentication of any predecessor Trustee and deliver such Securities so authenticated; and, in case at that time any of the Securities of any series shall not have been authenticated, any successor to the Trustee may authenticate such Securities either in the name of any predecessor hereunder or in the name of the successor Trustee; and in all such cases such certificate shall have the full force which it is anywhere in the Securities of such series or in this Indenture provided that the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79" w:name="page80"/>
    <w:bookmarkEnd w:id="79"/>
    <w:p>
      <w:pPr>
        <w:spacing w:after="0" w:line="308" w:lineRule="auto"/>
        <w:rPr>
          <w:sz w:val="20"/>
          <w:szCs w:val="20"/>
          <w:color w:val="auto"/>
        </w:rPr>
      </w:pPr>
      <w:r>
        <w:rPr>
          <w:rFonts w:ascii="Arial" w:cs="Arial" w:eastAsia="Arial" w:hAnsi="Arial"/>
          <w:sz w:val="17"/>
          <w:szCs w:val="17"/>
          <w:color w:val="auto"/>
        </w:rPr>
        <w:t>certificate of the Trustee shall have; provided, that the right to adopt the certificate of authentication of any predecessor Trustee or to authenticate Securities of any series in the name of any predecessor Trustee shall apply only to its successor or successors by merger, conversion or consolidation.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Concerning the Securityholders</w:t>
      </w:r>
    </w:p>
    <w:p>
      <w:pPr>
        <w:spacing w:after="0" w:line="225" w:lineRule="exact"/>
        <w:rPr>
          <w:sz w:val="20"/>
          <w:szCs w:val="20"/>
          <w:color w:val="auto"/>
        </w:rPr>
      </w:pPr>
    </w:p>
    <w:p>
      <w:pPr>
        <w:ind w:right="120" w:firstLine="1297"/>
        <w:spacing w:after="0" w:line="293"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u w:val="single" w:color="auto"/>
          <w:color w:val="auto"/>
        </w:rPr>
        <w:t>Evidence of Action Taken by Securityholders.</w:t>
      </w:r>
      <w:r>
        <w:rPr>
          <w:rFonts w:ascii="Arial" w:cs="Arial" w:eastAsia="Arial" w:hAnsi="Arial"/>
          <w:sz w:val="16"/>
          <w:szCs w:val="16"/>
          <w:color w:val="auto"/>
        </w:rPr>
        <w:t xml:space="preserve"> Any request, demand, authorization, direction, notice, consent, waiver or other action provided by this Indenture to be given or taken by a specified percentage in principal amount of the Securityholders of any or all series may be embodied in and evidenced by one or more instruments of substantially similar tenor signed by such specified percentage of Securityholders in person or by agent duly appointed in writing; and, except as herein otherwise expressly provided, such action shall become effective when such instrument or instruments are delivered to the Trustee. Proof of execution of any instrument or of a writing appointing any such agent shall be sufficient for any purpose of this Indenture and (subject to Sections 5.01 and 5.02) conclusive in favor of the Trustee and the Issuer, if made in the manner provided in this Article.</w:t>
      </w:r>
    </w:p>
    <w:p>
      <w:pPr>
        <w:spacing w:after="0" w:line="165" w:lineRule="exact"/>
        <w:rPr>
          <w:sz w:val="20"/>
          <w:szCs w:val="20"/>
          <w:color w:val="auto"/>
        </w:rPr>
      </w:pPr>
    </w:p>
    <w:p>
      <w:pPr>
        <w:ind w:right="120" w:firstLine="1297"/>
        <w:spacing w:after="0" w:line="271" w:lineRule="auto"/>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u w:val="single" w:color="auto"/>
          <w:color w:val="auto"/>
        </w:rPr>
        <w:t>Proof of Execution of Instruments and of Holding of Securities; Record Date.</w:t>
      </w:r>
      <w:r>
        <w:rPr>
          <w:rFonts w:ascii="Arial" w:cs="Arial" w:eastAsia="Arial" w:hAnsi="Arial"/>
          <w:sz w:val="17"/>
          <w:szCs w:val="17"/>
          <w:color w:val="auto"/>
        </w:rPr>
        <w:t xml:space="preserve"> Subject to Sections 5.01 and 5.02, the execution of any instrument by a Securityholder or his agent or proxy may be proved in accordance with such reasonable rules and regulations as may be prescribed by the Trustee or in such manner as shall be satisfactory to the Trustee. The holding of Securities shall be proved by the Security register or by a certificate of the registrar thereof. The Issuer may set a record date for purposes of determining the identity of holders of Securities of any series entitled to vote or consent to any action referred to in Section 6.01, which record date may be set at any time or from time to time by notice to the Trustee, for any date or dates (in the case of any adjournment or reconsideration) not more than 60 days nor less than five days prior to the proposed date of such vote or consent, and thereafter, notwithstanding any other provisions hereof, only holders of Securities of such series of record on such record date shall be entitled to so vote or give such consent or revoke such vote or consent.</w:t>
      </w:r>
    </w:p>
    <w:p>
      <w:pPr>
        <w:spacing w:after="0" w:line="179" w:lineRule="exact"/>
        <w:rPr>
          <w:sz w:val="20"/>
          <w:szCs w:val="20"/>
          <w:color w:val="auto"/>
        </w:rPr>
      </w:pPr>
    </w:p>
    <w:p>
      <w:pPr>
        <w:ind w:firstLine="1297"/>
        <w:spacing w:after="0" w:line="293"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u w:val="single" w:color="auto"/>
          <w:color w:val="auto"/>
        </w:rPr>
        <w:t>Holders to be Treated as Owners.</w:t>
      </w:r>
      <w:r>
        <w:rPr>
          <w:rFonts w:ascii="Arial" w:cs="Arial" w:eastAsia="Arial" w:hAnsi="Arial"/>
          <w:sz w:val="16"/>
          <w:szCs w:val="16"/>
          <w:color w:val="auto"/>
        </w:rPr>
        <w:t xml:space="preserve"> The Issuer, the Trustee and any agent of the Issuer or the Trustee may deem and treat the person in whose name any Security shall be registered upon the Security register for such series as the absolute owner of such Security (whether or not such Security shall be overdue and notwithstanding any notation of ownership or other writing thereon) for the purpose of receiving payment of or on account of the principal of and, subject to the provisions of this Indenture, interest on such Security and for all other purposes; and neither the Issuer nor the Trustee nor any agent of the Issuer or the Trustee shall be affected by any notice to the contrary. All such payments so made to any such person, or upon his order, shall be valid, and, to the extent of the sum or sums so paid, effectual to satisfy and discharge the liability for moneys payable upon any such Security.</w:t>
      </w:r>
    </w:p>
    <w:p>
      <w:pPr>
        <w:spacing w:after="0" w:line="165" w:lineRule="exact"/>
        <w:rPr>
          <w:sz w:val="20"/>
          <w:szCs w:val="20"/>
          <w:color w:val="auto"/>
        </w:rPr>
      </w:pPr>
    </w:p>
    <w:p>
      <w:pPr>
        <w:ind w:right="40" w:firstLine="1297"/>
        <w:spacing w:after="0" w:line="269" w:lineRule="auto"/>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u w:val="single" w:color="auto"/>
          <w:color w:val="auto"/>
        </w:rPr>
        <w:t>Securities Owned by Issuer Deemed Not Outstanding.</w:t>
      </w:r>
      <w:r>
        <w:rPr>
          <w:rFonts w:ascii="Arial" w:cs="Arial" w:eastAsia="Arial" w:hAnsi="Arial"/>
          <w:sz w:val="17"/>
          <w:szCs w:val="17"/>
          <w:color w:val="auto"/>
        </w:rPr>
        <w:t xml:space="preserve"> In determining whether the Holders of the requisite aggregate principal amount of Outstanding Securities of any or all series have concurred in any direction, consent or waiver under this Indenture, Securities which are owned by the Issuer or any other obligor on the Securities with respect to which such determination is being made or by any person directly or indirectly controlling or controlled by or under direct or indirect common control with the Issuer or any other obligor on the Securities with respect to which such determination is being made shall be disregarded and deemed not to be Outstanding for the purpose of any such determination, except that for the purpose of determining whether the Trustee shall be protected in relying on any such direction, consent or waiver only Securities which a Responsible Officer of the Trustee actually knows are so owned shall be so disregarded. Securities so owned which have been pledged in good faith may be regarded as Outstanding if the pledgee establishes to the satisfaction of the Trustee the pledgee’s right so to act with respect to such Securities and that the pledgee is not the Issuer or any other obligor upon the Securities or any person directly or indirectly controlling or controlled by or under direct or indirect common control with the Issuer or any other obligor on the Securities. In case of a dispute as to such right, the advice of counsel shall be full protection in respect of any decision made by the Trustee in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80" w:name="page81"/>
    <w:bookmarkEnd w:id="80"/>
    <w:p>
      <w:pPr>
        <w:spacing w:after="0" w:line="259" w:lineRule="auto"/>
        <w:rPr>
          <w:sz w:val="20"/>
          <w:szCs w:val="20"/>
          <w:color w:val="auto"/>
        </w:rPr>
      </w:pPr>
      <w:r>
        <w:rPr>
          <w:rFonts w:ascii="Arial" w:cs="Arial" w:eastAsia="Arial" w:hAnsi="Arial"/>
          <w:sz w:val="18"/>
          <w:szCs w:val="18"/>
          <w:color w:val="auto"/>
        </w:rPr>
        <w:t>accordance with such advice. Upon request of the Trustee, the Issuer shall furnish to the Trustee promptly an Officers’ Certificate listing and identifying all Securities, if any, known by the Issuer to be owned or held by or for the account of any of the above-described persons; and, subject to Sections 5.01 and 5.02, the Trustee shall be entitled to accept such Officers’ Certificate as conclusive evidence of the facts therein set forth and of the fact that all Securities not listed therein are Outstanding for the purpose of any such determination.</w:t>
      </w:r>
    </w:p>
    <w:p>
      <w:pPr>
        <w:spacing w:after="0" w:line="187" w:lineRule="exact"/>
        <w:rPr>
          <w:sz w:val="20"/>
          <w:szCs w:val="20"/>
          <w:color w:val="auto"/>
        </w:rPr>
      </w:pPr>
    </w:p>
    <w:p>
      <w:pPr>
        <w:ind w:right="20" w:firstLine="1297"/>
        <w:spacing w:after="0" w:line="270" w:lineRule="auto"/>
        <w:rPr>
          <w:sz w:val="20"/>
          <w:szCs w:val="20"/>
          <w:color w:val="auto"/>
        </w:rPr>
      </w:pPr>
      <w:r>
        <w:rPr>
          <w:rFonts w:ascii="Arial" w:cs="Arial" w:eastAsia="Arial" w:hAnsi="Arial"/>
          <w:sz w:val="17"/>
          <w:szCs w:val="17"/>
          <w:color w:val="auto"/>
        </w:rPr>
        <w:t xml:space="preserve">SECTION 6.05. </w:t>
      </w:r>
      <w:r>
        <w:rPr>
          <w:rFonts w:ascii="Arial" w:cs="Arial" w:eastAsia="Arial" w:hAnsi="Arial"/>
          <w:sz w:val="17"/>
          <w:szCs w:val="17"/>
          <w:u w:val="single" w:color="auto"/>
          <w:color w:val="auto"/>
        </w:rPr>
        <w:t>Right of Revocation of Action Taken.</w:t>
      </w:r>
      <w:r>
        <w:rPr>
          <w:rFonts w:ascii="Arial" w:cs="Arial" w:eastAsia="Arial" w:hAnsi="Arial"/>
          <w:sz w:val="17"/>
          <w:szCs w:val="17"/>
          <w:color w:val="auto"/>
        </w:rPr>
        <w:t xml:space="preserve"> At any time prior to (but not after) the evidencing to the Trustee, as provided in Section 6.01, of the taking of any action by the Holders of the percentage in aggregate principal amount of the Securities of any or all series, as the case may be, specified in this Indenture in connection with such action, any Holder of a Security the serial number of which is shown by the evidence to be included among the serial numbers of the Securities the Holders of which have consented to such action may, by filing written notice at the Corporate Trust Office and upon proof of holding as provided in this Article, revoke such action so far as concerns such Security. Except as aforesaid any such action taken by the Holder of any Security shall be conclusive and binding upon such Holder and upon all future Holders and owners of such Security and of any Securities issued in exchange or substitution therefor or on registration of transfer thereof, irrespective of whether or not any notation in regard thereto is made upon any such Security. Any action taken by the Holders of the percentage in aggregate principal amount of the Securities of any or all series, as the case may be, specified in this Indenture in connection with such action shall be conclusively binding upon the Issuer, the Trustee and the Holders of all the Securities affected by such action.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Supplemental Indentures</w:t>
      </w:r>
    </w:p>
    <w:p>
      <w:pPr>
        <w:spacing w:after="0" w:line="225"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Supplemental Indentures Without Consent of Securityholders.</w:t>
      </w:r>
      <w:r>
        <w:rPr>
          <w:rFonts w:ascii="Arial" w:cs="Arial" w:eastAsia="Arial" w:hAnsi="Arial"/>
          <w:sz w:val="18"/>
          <w:szCs w:val="18"/>
          <w:color w:val="auto"/>
        </w:rPr>
        <w:t xml:space="preserve"> The Issuer, when authorized by a resolution of its Board (which resolutions may provide general authorization for such action and may provide that the specific terms of such action may be determined by officers of the Issuer authorized thereby), and the Trustee may from time to time and at any time enter into an indenture or indentures supplemental hereto for one or more of the following purposes:</w:t>
      </w:r>
    </w:p>
    <w:p>
      <w:pPr>
        <w:spacing w:after="0" w:line="187" w:lineRule="exact"/>
        <w:rPr>
          <w:sz w:val="20"/>
          <w:szCs w:val="20"/>
          <w:color w:val="auto"/>
        </w:rPr>
      </w:pPr>
    </w:p>
    <w:p>
      <w:pPr>
        <w:ind w:left="1540" w:hanging="235"/>
        <w:spacing w:after="0"/>
        <w:tabs>
          <w:tab w:leader="none" w:pos="15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to convey, transfer, assign, mortgage or pledge to the Trustee as security for the Securities of one or more series any property or assets;</w:t>
      </w:r>
    </w:p>
    <w:p>
      <w:pPr>
        <w:spacing w:after="0" w:line="248" w:lineRule="exact"/>
        <w:rPr>
          <w:rFonts w:ascii="Arial" w:cs="Arial" w:eastAsia="Arial" w:hAnsi="Arial"/>
          <w:sz w:val="16"/>
          <w:szCs w:val="16"/>
          <w:color w:val="auto"/>
        </w:rPr>
      </w:pPr>
    </w:p>
    <w:p>
      <w:pPr>
        <w:ind w:left="660" w:right="380" w:firstLine="645"/>
        <w:spacing w:after="0" w:line="277" w:lineRule="auto"/>
        <w:tabs>
          <w:tab w:leader="none" w:pos="1563"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evidence the succession of another legal entity to the Issuer, or successive successions, and the assumption by the successor legal entity of the covenants, agreements and obligations of the Issuer pursuant to Article 8;</w:t>
      </w:r>
    </w:p>
    <w:p>
      <w:pPr>
        <w:spacing w:after="0" w:line="170" w:lineRule="exact"/>
        <w:rPr>
          <w:rFonts w:ascii="Arial" w:cs="Arial" w:eastAsia="Arial" w:hAnsi="Arial"/>
          <w:sz w:val="18"/>
          <w:szCs w:val="18"/>
          <w:color w:val="auto"/>
        </w:rPr>
      </w:pPr>
    </w:p>
    <w:p>
      <w:pPr>
        <w:ind w:left="660" w:firstLine="645"/>
        <w:spacing w:after="0" w:line="271" w:lineRule="auto"/>
        <w:tabs>
          <w:tab w:leader="none" w:pos="1553" w:val="left"/>
        </w:tabs>
        <w:numPr>
          <w:ilvl w:val="0"/>
          <w:numId w:val="71"/>
        </w:numPr>
        <w:rPr>
          <w:rFonts w:ascii="Arial" w:cs="Arial" w:eastAsia="Arial" w:hAnsi="Arial"/>
          <w:sz w:val="17"/>
          <w:szCs w:val="17"/>
          <w:color w:val="auto"/>
        </w:rPr>
      </w:pPr>
      <w:r>
        <w:rPr>
          <w:rFonts w:ascii="Arial" w:cs="Arial" w:eastAsia="Arial" w:hAnsi="Arial"/>
          <w:sz w:val="17"/>
          <w:szCs w:val="17"/>
          <w:color w:val="auto"/>
        </w:rPr>
        <w:t>to add to the covenants of the Issuer such further covenants, restrictions, conditions or provisions as the Issuer and the Trustee shall consider to be for the protection of the Holders of Securities, and to make the occurrence, or the occurrence and continuance, of a default in any such additional covenants, restrictions, conditions or provisions an Event of Default permitting the enforcement of all or any of the several remedies provided in this Indenture as herein set forth; provided,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an Event of Default or may limit the remedies available to the Trustee upon such an Event of Default or may limit the right of the Holders of a majority in aggregate principal amount of the Securities of such series to waive such an Event of Default;</w:t>
      </w:r>
    </w:p>
    <w:p>
      <w:pPr>
        <w:spacing w:after="0" w:line="178" w:lineRule="exact"/>
        <w:rPr>
          <w:rFonts w:ascii="Arial" w:cs="Arial" w:eastAsia="Arial" w:hAnsi="Arial"/>
          <w:sz w:val="17"/>
          <w:szCs w:val="17"/>
          <w:color w:val="auto"/>
        </w:rPr>
      </w:pPr>
    </w:p>
    <w:p>
      <w:pPr>
        <w:ind w:left="660" w:right="220" w:firstLine="645"/>
        <w:spacing w:after="0" w:line="342" w:lineRule="auto"/>
        <w:tabs>
          <w:tab w:leader="none" w:pos="1563" w:val="left"/>
        </w:tabs>
        <w:numPr>
          <w:ilvl w:val="0"/>
          <w:numId w:val="71"/>
        </w:numPr>
        <w:rPr>
          <w:rFonts w:ascii="Arial" w:cs="Arial" w:eastAsia="Arial" w:hAnsi="Arial"/>
          <w:sz w:val="16"/>
          <w:szCs w:val="16"/>
          <w:color w:val="auto"/>
        </w:rPr>
      </w:pPr>
      <w:r>
        <w:rPr>
          <w:rFonts w:ascii="Arial" w:cs="Arial" w:eastAsia="Arial" w:hAnsi="Arial"/>
          <w:sz w:val="16"/>
          <w:szCs w:val="16"/>
          <w:color w:val="auto"/>
        </w:rPr>
        <w:t>to cure any ambiguity or to correct or supplement any provision contained herein or in any supplemental indenture which may be defective or inconsistent with any other provision contained herein or in any supplemental indenture; or to make such other provisions in regard to</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81" w:name="page82"/>
    <w:bookmarkEnd w:id="81"/>
    <w:p>
      <w:pPr>
        <w:ind w:left="660" w:right="60"/>
        <w:spacing w:after="0" w:line="277" w:lineRule="auto"/>
        <w:rPr>
          <w:sz w:val="20"/>
          <w:szCs w:val="20"/>
          <w:color w:val="auto"/>
        </w:rPr>
      </w:pPr>
      <w:r>
        <w:rPr>
          <w:rFonts w:ascii="Arial" w:cs="Arial" w:eastAsia="Arial" w:hAnsi="Arial"/>
          <w:sz w:val="18"/>
          <w:szCs w:val="18"/>
          <w:color w:val="auto"/>
        </w:rPr>
        <w:t>matters or questions arising under this Indenture or under any supplemental indenture as the Board may deem necessary or desirable and which shall not adversely affect the interests of the Holders of the Securities in any material respect;</w:t>
      </w:r>
    </w:p>
    <w:p>
      <w:pPr>
        <w:spacing w:after="0" w:line="170" w:lineRule="exact"/>
        <w:rPr>
          <w:sz w:val="20"/>
          <w:szCs w:val="20"/>
          <w:color w:val="auto"/>
        </w:rPr>
      </w:pPr>
    </w:p>
    <w:p>
      <w:pPr>
        <w:ind w:left="1540" w:hanging="235"/>
        <w:spacing w:after="0"/>
        <w:tabs>
          <w:tab w:leader="none" w:pos="1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establish the form or terms of Securities of any series as permitted by Sections 2.01 and 2.03; and</w:t>
      </w:r>
    </w:p>
    <w:p>
      <w:pPr>
        <w:spacing w:after="0" w:line="225" w:lineRule="exact"/>
        <w:rPr>
          <w:rFonts w:ascii="Arial" w:cs="Arial" w:eastAsia="Arial" w:hAnsi="Arial"/>
          <w:sz w:val="18"/>
          <w:szCs w:val="18"/>
          <w:color w:val="auto"/>
        </w:rPr>
      </w:pPr>
    </w:p>
    <w:p>
      <w:pPr>
        <w:ind w:left="660" w:right="60" w:firstLine="645"/>
        <w:spacing w:after="0" w:line="264" w:lineRule="auto"/>
        <w:tabs>
          <w:tab w:leader="none" w:pos="1533"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5.10.</w:t>
      </w:r>
    </w:p>
    <w:p>
      <w:pPr>
        <w:spacing w:after="0" w:line="181" w:lineRule="exact"/>
        <w:rPr>
          <w:sz w:val="20"/>
          <w:szCs w:val="20"/>
          <w:color w:val="auto"/>
        </w:rPr>
      </w:pPr>
    </w:p>
    <w:p>
      <w:pPr>
        <w:ind w:right="420" w:firstLine="1297"/>
        <w:spacing w:after="0" w:line="259" w:lineRule="auto"/>
        <w:rPr>
          <w:sz w:val="20"/>
          <w:szCs w:val="20"/>
          <w:color w:val="auto"/>
        </w:rPr>
      </w:pPr>
      <w:r>
        <w:rPr>
          <w:rFonts w:ascii="Arial" w:cs="Arial" w:eastAsia="Arial" w:hAnsi="Arial"/>
          <w:sz w:val="18"/>
          <w:szCs w:val="18"/>
          <w:color w:val="auto"/>
        </w:rPr>
        <w:t>The Trustee is hereby authorized to join with the Issuer in the execution of any such supplemental indenture, to make any further appropriate agreements and stipulations which may be therein contained and to accept the conveyance, transfer, assignment, mortgage or pledge of any property thereunder, but the Trustee shall not be obligated to enter into any such supplemental indenture which affects the Trustee’s own rights, duties or immunities under this Indenture or otherwise.</w:t>
      </w:r>
    </w:p>
    <w:p>
      <w:pPr>
        <w:spacing w:after="0" w:line="187"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Any supplemental indenture authorized by the provisions of this section may be executed without the consent of the Holders of any of the Securities at the time outstanding, notwithstanding any of the provisions of Section 7.02.</w:t>
      </w:r>
    </w:p>
    <w:p>
      <w:pPr>
        <w:spacing w:after="0" w:line="170" w:lineRule="exact"/>
        <w:rPr>
          <w:sz w:val="20"/>
          <w:szCs w:val="20"/>
          <w:color w:val="auto"/>
        </w:rPr>
      </w:pPr>
    </w:p>
    <w:p>
      <w:pPr>
        <w:ind w:firstLine="1297"/>
        <w:spacing w:after="0" w:line="285"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u w:val="single" w:color="auto"/>
          <w:color w:val="auto"/>
        </w:rPr>
        <w:t>Supplemental Indentures With Consent of Securityholders.</w:t>
      </w:r>
      <w:r>
        <w:rPr>
          <w:rFonts w:ascii="Arial" w:cs="Arial" w:eastAsia="Arial" w:hAnsi="Arial"/>
          <w:sz w:val="16"/>
          <w:szCs w:val="16"/>
          <w:color w:val="auto"/>
        </w:rPr>
        <w:t xml:space="preserve"> With the consent (evidenced as provided in Article 6) of the Holders of not less than a majority in aggregate principal amount of the Securities at the time Outstanding of all series affected by such supplemental indenture (voting as one class), the Issuer, when authorized by a resolution of its Board (which resolutions may provide general authorization for such action and may provide that the specific terms of such action may be determined by officers of the Issuer authorized thereby), and the Trustee may, from time to time and at any time, enter into an indenture or indentures supplemental hereto for the purpose of adding any provisions to or changing in any manner or eliminating any of the provisions of this Indenture or of any supplemental indenture or of modifying in any manner the rights of the Holders of the Securities of each such series; provided, that no such supplemental indenture shall (a) (i) extend the final maturity of any Security, (ii) reduce the principal amount thereof, (iii) reduce the rate or extend the time of payment of interest thereon, (iv) reduce any amount payable on redemption thereof, (v) make the principal thereof (including any amount in respect of original issue discount), or interest thereon payable in any coin or currency other than that provided in the Securities or in accordance with the terms thereof, (vi) modify or amend any provisions for converting any currency into any other currency as provided in the Securities or in accordance with the terms thereof, (vii) reduce the amount of the principal of an Original Issue Discount Security that would be due and payable upon an acceleration of the maturity thereof pursuant to Section 4.01 or the amount thereof provable in bankruptcy pursuant to Section 4.02, (viii) modify or amend any provisions relating to the conversion or exchange of the Securities for securities of the Issuer or of other entities or other property (or the cash value thereof), including the determination of the amount of securities or other property (or cash) into which the Securities shall be converted or exchanged, other than as provided in the antidilution provisions or other similar adjustment provisions of the Securities or otherwise in accordance with the terms thereof, (ix) alter the provisions of Section 10.12 or Section 10.14 or impair or affect the right of any Securityholder to institute suit for the payment thereof or, if the Securities provide therefor, any right of repayment at the option of the Securityholder, in each case without the consent of the Holder of each Security so affected, or (b) reduce the aforesaid percentage of Securities of any series, the consent of the Holders of which is required for any such supplemental indenture, without the consent of the Holders of each Security so affected.</w:t>
      </w:r>
    </w:p>
    <w:p>
      <w:pPr>
        <w:spacing w:after="0" w:line="389" w:lineRule="exact"/>
        <w:rPr>
          <w:sz w:val="20"/>
          <w:szCs w:val="20"/>
          <w:color w:val="auto"/>
        </w:rPr>
      </w:pPr>
    </w:p>
    <w:p>
      <w:pPr>
        <w:ind w:right="60" w:firstLine="1297"/>
        <w:spacing w:after="0" w:line="342" w:lineRule="auto"/>
        <w:rPr>
          <w:sz w:val="20"/>
          <w:szCs w:val="20"/>
          <w:color w:val="auto"/>
        </w:rPr>
      </w:pPr>
      <w:r>
        <w:rPr>
          <w:rFonts w:ascii="Arial" w:cs="Arial" w:eastAsia="Arial" w:hAnsi="Arial"/>
          <w:sz w:val="16"/>
          <w:szCs w:val="16"/>
          <w:color w:val="auto"/>
        </w:rPr>
        <w:t>A supplemental indenture which changes or eliminates any covenant or other provision of this Indenture which has expressly been included solely for the benefit of one or more particular series of Securities, or which modifies the rights of holders of Securities of such series, with respect to such</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covenant or provision, shall be deemed not to affect the rights under this Indenture of the holders of Securities of any other series.</w:t>
      </w:r>
    </w:p>
    <w:p>
      <w:pPr>
        <w:spacing w:after="0" w:line="225" w:lineRule="exact"/>
        <w:rPr>
          <w:sz w:val="20"/>
          <w:szCs w:val="20"/>
          <w:color w:val="auto"/>
        </w:rPr>
      </w:pPr>
    </w:p>
    <w:p>
      <w:pPr>
        <w:ind w:right="40" w:firstLine="1297"/>
        <w:spacing w:after="0" w:line="293" w:lineRule="auto"/>
        <w:rPr>
          <w:sz w:val="20"/>
          <w:szCs w:val="20"/>
          <w:color w:val="auto"/>
        </w:rPr>
      </w:pPr>
      <w:r>
        <w:rPr>
          <w:rFonts w:ascii="Arial" w:cs="Arial" w:eastAsia="Arial" w:hAnsi="Arial"/>
          <w:sz w:val="16"/>
          <w:szCs w:val="16"/>
          <w:color w:val="auto"/>
        </w:rPr>
        <w:t>Upon the request of the Issuer, accompanied by a copy of a resolution of the Board (which resolutions may provide general authorization for such action and may provide that the specific terms of such action may be determined by officers of the Issuer authorized thereby) certified by the secretary or an assistant secretary of the Issuer authorizing the execution of any such supplemental indenture, and upon the filing with the Trustee of evidence of the consent of Securityholders as aforesaid and other documents, if any, required by Section 6.01, the Trustee shall join with the Issuer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165" w:lineRule="exact"/>
        <w:rPr>
          <w:sz w:val="20"/>
          <w:szCs w:val="20"/>
          <w:color w:val="auto"/>
        </w:rPr>
      </w:pPr>
    </w:p>
    <w:p>
      <w:pPr>
        <w:ind w:right="900" w:firstLine="1297"/>
        <w:spacing w:after="0" w:line="277" w:lineRule="auto"/>
        <w:rPr>
          <w:sz w:val="20"/>
          <w:szCs w:val="20"/>
          <w:color w:val="auto"/>
        </w:rPr>
      </w:pPr>
      <w:r>
        <w:rPr>
          <w:rFonts w:ascii="Arial" w:cs="Arial" w:eastAsia="Arial" w:hAnsi="Arial"/>
          <w:sz w:val="18"/>
          <w:szCs w:val="18"/>
          <w:color w:val="auto"/>
        </w:rPr>
        <w:t>It shall not be necessary for the consent of the Securityholders under this section to approve the particular form of any proposed supplemental indenture, but it shall be sufficient if such consent shall approve the substance thereof.</w:t>
      </w:r>
    </w:p>
    <w:p>
      <w:pPr>
        <w:spacing w:after="0" w:line="170" w:lineRule="exact"/>
        <w:rPr>
          <w:sz w:val="20"/>
          <w:szCs w:val="20"/>
          <w:color w:val="auto"/>
        </w:rPr>
      </w:pPr>
    </w:p>
    <w:p>
      <w:pPr>
        <w:ind w:right="40" w:firstLine="1297"/>
        <w:spacing w:after="0" w:line="257" w:lineRule="auto"/>
        <w:rPr>
          <w:sz w:val="20"/>
          <w:szCs w:val="20"/>
          <w:color w:val="auto"/>
        </w:rPr>
      </w:pPr>
      <w:r>
        <w:rPr>
          <w:rFonts w:ascii="Arial" w:cs="Arial" w:eastAsia="Arial" w:hAnsi="Arial"/>
          <w:sz w:val="18"/>
          <w:szCs w:val="18"/>
          <w:color w:val="auto"/>
        </w:rPr>
        <w:t>Promptly after the execution by the Issuer and the Trustee of any supplemental indenture pursuant to the provisions of this Section, the Trustee shall give notice thereof by (a) first class mail to the Holders of Securities of each series affected thereby at their addresses as they shall appear on the registry books of the Issuer or (b) by any other means set forth in such supplemental indenture, setting forth in general terms the substance of such supplemental indenture. Any failure of the Trustee to mail such notice, or any defect therein, shall not, however, in any way impair or affect the validity of any such supplemental indenture.</w:t>
      </w:r>
    </w:p>
    <w:p>
      <w:pPr>
        <w:spacing w:after="0" w:line="188" w:lineRule="exact"/>
        <w:rPr>
          <w:sz w:val="20"/>
          <w:szCs w:val="20"/>
          <w:color w:val="auto"/>
        </w:rPr>
      </w:pPr>
    </w:p>
    <w:p>
      <w:pPr>
        <w:ind w:firstLine="1297"/>
        <w:spacing w:after="0" w:line="276" w:lineRule="auto"/>
        <w:rPr>
          <w:sz w:val="20"/>
          <w:szCs w:val="20"/>
          <w:color w:val="auto"/>
        </w:rPr>
      </w:pPr>
      <w:r>
        <w:rPr>
          <w:rFonts w:ascii="Arial" w:cs="Arial" w:eastAsia="Arial" w:hAnsi="Arial"/>
          <w:sz w:val="17"/>
          <w:szCs w:val="17"/>
          <w:color w:val="auto"/>
        </w:rPr>
        <w:t xml:space="preserve">SECTION 7.03. </w:t>
      </w:r>
      <w:r>
        <w:rPr>
          <w:rFonts w:ascii="Arial" w:cs="Arial" w:eastAsia="Arial" w:hAnsi="Arial"/>
          <w:sz w:val="17"/>
          <w:szCs w:val="17"/>
          <w:u w:val="single" w:color="auto"/>
          <w:color w:val="auto"/>
        </w:rPr>
        <w:t>Effect of Supplemental Indenture.</w:t>
      </w:r>
      <w:r>
        <w:rPr>
          <w:rFonts w:ascii="Arial" w:cs="Arial" w:eastAsia="Arial" w:hAnsi="Arial"/>
          <w:sz w:val="17"/>
          <w:szCs w:val="17"/>
          <w:color w:val="auto"/>
        </w:rPr>
        <w:t xml:space="preserve"> Upon the execution of any supplemental indenture pursuant to the provisions hereof, this Indenture shall be and be deemed to be modified and amended in accordance therewith and the respective rights, limitations of rights, obligations, duties and immunities under this Indenture of the Trustee, the Issuer and the Holders of Securities of each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73" w:lineRule="exact"/>
        <w:rPr>
          <w:sz w:val="20"/>
          <w:szCs w:val="20"/>
          <w:color w:val="auto"/>
        </w:rPr>
      </w:pPr>
    </w:p>
    <w:p>
      <w:pPr>
        <w:ind w:right="100" w:firstLine="1297"/>
        <w:spacing w:after="0" w:line="257"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Documents to Be Given to Trustee.</w:t>
      </w:r>
      <w:r>
        <w:rPr>
          <w:rFonts w:ascii="Arial" w:cs="Arial" w:eastAsia="Arial" w:hAnsi="Arial"/>
          <w:sz w:val="18"/>
          <w:szCs w:val="18"/>
          <w:color w:val="auto"/>
        </w:rPr>
        <w:t xml:space="preserve"> In executing, or accepting the additional trusts created by, any supplemental indenture permitted by this Article or the modification thereby of the trusts created by this Indenture, the Trustee shall be provided with, and shall be fully protected in relying upon, an Opinion of Counsel stating that the execution of such supplemental indenture is authorized or permitted by this Indenture. The Trustee may, but shall not be obligated to, enter into any such supplemental indenture which adversely affects the Trustee’s own rights, duties or immunities under this Indenture or otherwise.</w:t>
      </w:r>
    </w:p>
    <w:p>
      <w:pPr>
        <w:spacing w:after="0" w:line="188"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Notation on Securities in Respect of Supplemental Indentures.</w:t>
      </w:r>
      <w:r>
        <w:rPr>
          <w:rFonts w:ascii="Arial" w:cs="Arial" w:eastAsia="Arial" w:hAnsi="Arial"/>
          <w:sz w:val="18"/>
          <w:szCs w:val="18"/>
          <w:color w:val="auto"/>
        </w:rPr>
        <w:t xml:space="preserve"> Securities of any series authenticated and delivered after the execution of any supplemental indenture pursuant to the provisions of this Article may bear a notation in form approved by the Trustee for such series as to any matter provided for by such supplemental indenture or as to any action taken by Securityholders. If the Issuer or the Trustee shall so determine, new Securities of any series so modified as to conform, in the opinion of the Trustee and the Board, to any modification of this Indenture contained in any such supplemental indenture may be prepared by the Issuer, authenticated by the Trustee and delivered in exchange for the Securities of such series then Outstanding.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color w:val="auto"/>
        </w:rPr>
        <w:t>ARTICLE 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Consolidation, Merger, Sale or Conveyance</w:t>
      </w:r>
    </w:p>
    <w:p>
      <w:pPr>
        <w:spacing w:after="0" w:line="225" w:lineRule="exact"/>
        <w:rPr>
          <w:sz w:val="20"/>
          <w:szCs w:val="20"/>
          <w:color w:val="auto"/>
        </w:rPr>
      </w:pPr>
    </w:p>
    <w:p>
      <w:pPr>
        <w:ind w:right="60" w:firstLine="1297"/>
        <w:spacing w:after="0" w:line="291" w:lineRule="auto"/>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u w:val="single" w:color="auto"/>
          <w:color w:val="auto"/>
        </w:rPr>
        <w:t>Issuer May Consolidate, etc., on Certain Terms.</w:t>
      </w:r>
      <w:r>
        <w:rPr>
          <w:rFonts w:ascii="Arial" w:cs="Arial" w:eastAsia="Arial" w:hAnsi="Arial"/>
          <w:sz w:val="16"/>
          <w:szCs w:val="16"/>
          <w:color w:val="auto"/>
        </w:rPr>
        <w:t xml:space="preserve"> The Issuer covenants that it will not merge or consolidate with any other Person or sell or convey all or substantially all of its assets to any Person, unless (i) either the Issuer shall be the continuing legal entity, or the successor legal entity or the Person which acquires by sale or conveyance substantially all the assets of the Issuer (if other than the Issuer) shall expressly assume the due and punctual payment of the principal of and interest on all the Securities, according to their tenor, and the due and punctual performance and observance of all of the covenants and conditions of this Indenture to be performed or observed by the Issuer, by supplemental indenture satisfactory to the Trustee, executed and delivered to the Trustee by such successor legal entity, and (ii) the Issuer or such successor legal entity, as the case may be, shall not, immediately after such merger or consolidation, or such sale or conveyance, be in default in the performance of any such covenant or condition.</w:t>
      </w:r>
    </w:p>
    <w:p>
      <w:pPr>
        <w:spacing w:after="0" w:line="167" w:lineRule="exact"/>
        <w:rPr>
          <w:sz w:val="20"/>
          <w:szCs w:val="20"/>
          <w:color w:val="auto"/>
        </w:rPr>
      </w:pPr>
    </w:p>
    <w:p>
      <w:pPr>
        <w:ind w:firstLine="1297"/>
        <w:spacing w:after="0" w:line="289" w:lineRule="auto"/>
        <w:rPr>
          <w:sz w:val="20"/>
          <w:szCs w:val="20"/>
          <w:color w:val="auto"/>
        </w:rPr>
      </w:pPr>
      <w:r>
        <w:rPr>
          <w:rFonts w:ascii="Arial" w:cs="Arial" w:eastAsia="Arial" w:hAnsi="Arial"/>
          <w:sz w:val="16"/>
          <w:szCs w:val="16"/>
          <w:color w:val="auto"/>
        </w:rPr>
        <w:t xml:space="preserve">SECTION 8.02. </w:t>
      </w:r>
      <w:r>
        <w:rPr>
          <w:rFonts w:ascii="Arial" w:cs="Arial" w:eastAsia="Arial" w:hAnsi="Arial"/>
          <w:sz w:val="16"/>
          <w:szCs w:val="16"/>
          <w:u w:val="single" w:color="auto"/>
          <w:color w:val="auto"/>
        </w:rPr>
        <w:t>Successor Substituted.</w:t>
      </w:r>
      <w:r>
        <w:rPr>
          <w:rFonts w:ascii="Arial" w:cs="Arial" w:eastAsia="Arial" w:hAnsi="Arial"/>
          <w:sz w:val="16"/>
          <w:szCs w:val="16"/>
          <w:color w:val="auto"/>
        </w:rPr>
        <w:t xml:space="preserve"> In case of any such consolidation, merger, sale or conveyance, and following such an assumption by the successor legal entity, all in the manner described in Section 8.01, such successor legal entity shall succeed to and be substituted for the Issuer, with the same effect as if it had been named herein. Such successor legal entity may cause to be signed, and may issue either in its own name or in the name of the Issuer prior to such succession any or all of the Securities issuable hereunder which theretofore shall not have been signed by the Issuer and delivered to the Trustee; and, upon the order of such successor legal entity instead of the Issuer and subject to all the terms, conditions and limitations in this Indenture prescribed, the Trustee shall authenticate and shall deliver any Securities which previously shall have been signed and delivered by the officers of the Issuer to the Trustee for authentication, and any Securities which such successor legal entity thereafter shall cause to be signed and delivered to the Trustee for that purpose. All of the Securities so issued shall in all respects have the same legal rank and benefit under this Indenture as the Securities theretofore or thereafter issued in accordance with the terms of this Indenture as though all of such Securities had been issued at the date of the execution hereof.</w:t>
      </w:r>
    </w:p>
    <w:p>
      <w:pPr>
        <w:spacing w:after="0" w:line="167"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In case of any such consolidation, merger, sale, lease or conveyance such changes in phrasing and form (but not in substance) may be made in the Securities thereafter to be issued as may be appropriate.</w:t>
      </w:r>
    </w:p>
    <w:p>
      <w:pPr>
        <w:spacing w:after="0" w:line="170" w:lineRule="exact"/>
        <w:rPr>
          <w:sz w:val="20"/>
          <w:szCs w:val="20"/>
          <w:color w:val="auto"/>
        </w:rPr>
      </w:pPr>
    </w:p>
    <w:p>
      <w:pPr>
        <w:ind w:right="200" w:firstLine="1297"/>
        <w:spacing w:after="0" w:line="264" w:lineRule="auto"/>
        <w:rPr>
          <w:sz w:val="20"/>
          <w:szCs w:val="20"/>
          <w:color w:val="auto"/>
        </w:rPr>
      </w:pPr>
      <w:r>
        <w:rPr>
          <w:rFonts w:ascii="Arial" w:cs="Arial" w:eastAsia="Arial" w:hAnsi="Arial"/>
          <w:sz w:val="18"/>
          <w:szCs w:val="18"/>
          <w:color w:val="auto"/>
        </w:rPr>
        <w:t>In the event of any such sale or conveyance (other than a conveyance by way of lease) the Issuer or any successor legal entity which shall theretofore have become such in the manner described in this Article shall be discharged from all obligations and covenants under this Indenture and the Securities and may be liquidated and dissolved.</w:t>
      </w:r>
    </w:p>
    <w:p>
      <w:pPr>
        <w:spacing w:after="0" w:line="181"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Opinion of Counsel to Trustee.</w:t>
      </w:r>
      <w:r>
        <w:rPr>
          <w:rFonts w:ascii="Arial" w:cs="Arial" w:eastAsia="Arial" w:hAnsi="Arial"/>
          <w:sz w:val="18"/>
          <w:szCs w:val="18"/>
          <w:color w:val="auto"/>
        </w:rPr>
        <w:t xml:space="preserve"> The Trustee, subject to the provisions of Sections 5.01 and 5.02, shall receive an Opinion of Counsel, prepared in accordance with Section 10.06, as conclusive evidence that any such consolidation, merger, sale, lease or conveyance, and any such assumption, and any such liquidation or dissolution, complies with the applicable provisions of this Indenture.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Satisfaction and Discharge of Indenture; Unclaimed Moneys</w:t>
      </w:r>
    </w:p>
    <w:p>
      <w:pPr>
        <w:spacing w:after="0" w:line="225" w:lineRule="exact"/>
        <w:rPr>
          <w:sz w:val="20"/>
          <w:szCs w:val="20"/>
          <w:color w:val="auto"/>
        </w:rPr>
      </w:pPr>
    </w:p>
    <w:p>
      <w:pPr>
        <w:jc w:val="both"/>
        <w:ind w:right="40" w:firstLine="1297"/>
        <w:spacing w:after="0" w:line="259"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Satisfaction and Discharge of Indenture.</w:t>
      </w:r>
      <w:r>
        <w:rPr>
          <w:rFonts w:ascii="Arial" w:cs="Arial" w:eastAsia="Arial" w:hAnsi="Arial"/>
          <w:sz w:val="18"/>
          <w:szCs w:val="18"/>
          <w:color w:val="auto"/>
        </w:rPr>
        <w:t xml:space="preserve"> (a) If at any time (i) the Issuer shall have paid or caused to be paid the principal of and interest on all the Securities of any series outstanding hereunder (other than Securities of such series which have been destroyed, lost or stolen and which have been replaced or paid as provided in Section 2.09) as and when the same shall have become due and payable, or (ii) the Issuer shall have delivered to the Trustee for cancellation all Securities of any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84" w:name="page85"/>
    <w:bookmarkEnd w:id="84"/>
    <w:p>
      <w:pPr>
        <w:spacing w:after="0" w:line="284" w:lineRule="auto"/>
        <w:rPr>
          <w:sz w:val="20"/>
          <w:szCs w:val="20"/>
          <w:color w:val="auto"/>
        </w:rPr>
      </w:pPr>
      <w:r>
        <w:rPr>
          <w:rFonts w:ascii="Arial" w:cs="Arial" w:eastAsia="Arial" w:hAnsi="Arial"/>
          <w:sz w:val="16"/>
          <w:szCs w:val="16"/>
          <w:color w:val="auto"/>
        </w:rPr>
        <w:t>series theretofore authenticated (other than any Securities of such series which shall have been destroyed, lost or stolen and which shall have been replaced or paid as provided in Section 2.09) or (iii) (A) all the securities of such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(B) the Issuer shall have irrevocably deposited or caused to be deposited with the Trustee as trust funds the entire amount in cash (other than moneys repaid by the Trustee or any paying agent to the Issuer in accordance with Section 9.04) in the case of any series of Securities the payments on which may only be made in United States dollars, direct obligations of the United States of America, backed by its full faith and credit (“</w:t>
      </w:r>
      <w:r>
        <w:rPr>
          <w:rFonts w:ascii="Arial" w:cs="Arial" w:eastAsia="Arial" w:hAnsi="Arial"/>
          <w:sz w:val="16"/>
          <w:szCs w:val="16"/>
          <w:u w:val="single" w:color="auto"/>
          <w:color w:val="auto"/>
        </w:rPr>
        <w:t>U.S. Government Obligations</w:t>
      </w:r>
      <w:r>
        <w:rPr>
          <w:rFonts w:ascii="Arial" w:cs="Arial" w:eastAsia="Arial" w:hAnsi="Arial"/>
          <w:sz w:val="16"/>
          <w:szCs w:val="16"/>
          <w:color w:val="auto"/>
        </w:rPr>
        <w:t>”), maturing as to principal and interest at such times and in such amounts as will insure the availability of cash, or a combination thereof, sufficient to pay at maturity or upon redemption all Securities of such series (other than any Securities of such series which shall have been destroyed, lost or stolen and which shall have been replaced or paid as provided in Section 2.09) not theretofore delivered to the Trustee for cancellation, including principal and interest due or to become due on or prior to such date of maturity as the case may be, and if, in any such case, the Issuer shall also pay or cause to be paid all other sums payable hereunder by the Issuer with respect to Securities of such series, then this Indenture shall cease to be of further effect with respect to Securities of such series (except as to (i) rights of registration of transfer and exchange of securities of such series, and the Issuer’s right of optional redemption, if any, (ii) substitution of mutilated, defaced, destroyed, lost or stolen Securities, (iii) rights of holders to receive payments of principal thereof and interest thereon upon the original stated due date therefor (but not upon acceleration), and remaining rights of the holders to receive mandatory sinking fund payments, if any, (iv) the rights, obligations and immunities of the Trustee hereunder and (v) the rights of the Securityholders of such series as beneficiaries hereof with respect to the property so deposited with the Trustee payable to all or any of them), and the Trustee, on demand of the Issuer accompanied by an Officers’ Certificate and an Opinion of Counsel and at the cost and expense of the Issuer, shall execute proper instruments acknowledging such satisfaction of and discharging this Indenture with respect to such series; provided, that the rights of Holders of the Securities to receive amounts in respect of principal of and interest on the Securities held by them shall not be delayed longer than required by then- applicable mandatory rules or policies of any securities exchange upon which the Securities are listed. The Issuer agrees to reimburse the Trustee for any costs or expenses thereafter reasonably and properly incurred and to compensate the Trustee for any services thereafter reasonably and properly rendered by the Trustee in connection with this Indenture or the Securities of such series.</w:t>
      </w:r>
    </w:p>
    <w:p>
      <w:pPr>
        <w:spacing w:after="0" w:line="180" w:lineRule="exact"/>
        <w:rPr>
          <w:sz w:val="20"/>
          <w:szCs w:val="20"/>
          <w:color w:val="auto"/>
        </w:rPr>
      </w:pPr>
    </w:p>
    <w:p>
      <w:pPr>
        <w:ind w:left="660" w:firstLine="645"/>
        <w:spacing w:after="0" w:line="287" w:lineRule="auto"/>
        <w:tabs>
          <w:tab w:leader="none" w:pos="1563"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following provisions shall apply to the Securities of each series unless specifically otherwise provided in a Board Resolution, Officers’ Certificate or indenture supplemental hereto provided pursuant to Section 2.03. In addition to discharge of the Indenture pursuant to the next preceding paragraph, in the case of any series of Securities the exact amounts (including the currency of payment) of principal of and interest due on which can be determined at the time of making the deposit referred to in clause 9.01(b)(i) below, the Issuer shall be deemed to have paid and discharged the entire indebtedness on all the Securities of such a series on the 91st day after the date of the deposit referred to in clause 9.01(b)(i) below, and the provisions of this Indenture with respect to the Securities of such series thereto shall no longer be in effect (except as to (1) rights of registration of transfer and exchange of Securities of such series and the Issuer’s right of optional redemption, if any, (2) substitution of mutilated, defaced, destroyed, lost or stolen Securities, (3) rights of Holders of Securities to receive payments of principal thereof and interest thereon, upon the original stated due dates therefor (but not upon acceleration), and remaining rights of the Holders to receive mandatory sinking fund payments, if any, (4) the rights, obligations, duties and immunities of the Trustee hereunder, (5) the rights of the Holders of Securities of such series as beneficiaries hereof with respect to the property so deposited with the Trustee payable to all or any of them and (6) the obligations of the Issuer under Section 3.02) and the Trustee, at the expense of the Issuer, shall at the Issuer’s request, execute proper instruments acknowledging the same, if</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85" w:name="page86"/>
    <w:bookmarkEnd w:id="85"/>
    <w:p>
      <w:pPr>
        <w:ind w:left="100" w:firstLine="653"/>
        <w:spacing w:after="0" w:line="290" w:lineRule="auto"/>
        <w:tabs>
          <w:tab w:leader="none" w:pos="963" w:val="left"/>
        </w:tabs>
        <w:numPr>
          <w:ilvl w:val="1"/>
          <w:numId w:val="74"/>
        </w:numPr>
        <w:rPr>
          <w:rFonts w:ascii="Arial" w:cs="Arial" w:eastAsia="Arial" w:hAnsi="Arial"/>
          <w:sz w:val="16"/>
          <w:szCs w:val="16"/>
          <w:color w:val="auto"/>
        </w:rPr>
      </w:pPr>
      <w:r>
        <w:rPr>
          <w:rFonts w:ascii="Arial" w:cs="Arial" w:eastAsia="Arial" w:hAnsi="Arial"/>
          <w:sz w:val="16"/>
          <w:szCs w:val="16"/>
          <w:color w:val="auto"/>
        </w:rPr>
        <w:t>with reference to this provision the Issuer has irrevocably deposited or caused to be irrevocably deposited with the Trustee as trust funds in trust, specifically pledged as security for, and dedicated solely to, the benefit of the Holders of the Securities of such series (A) cash in an amount, or (B) in the case of any series of Securities the payments on which may only be made in Dollars, U.S. Government Obligations, maturing as to principal and interest at such times and in such amounts as will insure the availability of cash or (C) a combination thereof, sufficient, in the opinion of a nationally recognized firm of independent public accountants expressed in a written certification thereof delivered to the Trustee, to pay (1) the principal and interest on all Securities of such series and coupons appertaining thereto on each date that such principal or interest is due and payable and (2) any mandatory sinking fund payments on the dates on which such payments are due and payable in accordance with the terms of the Indenture and the Securities of such series;</w:t>
      </w:r>
    </w:p>
    <w:p>
      <w:pPr>
        <w:spacing w:after="0" w:line="166" w:lineRule="exact"/>
        <w:rPr>
          <w:rFonts w:ascii="Arial" w:cs="Arial" w:eastAsia="Arial" w:hAnsi="Arial"/>
          <w:sz w:val="16"/>
          <w:szCs w:val="16"/>
          <w:color w:val="auto"/>
        </w:rPr>
      </w:pPr>
    </w:p>
    <w:p>
      <w:pPr>
        <w:ind w:left="100" w:right="160" w:firstLine="653"/>
        <w:spacing w:after="0" w:line="277" w:lineRule="auto"/>
        <w:tabs>
          <w:tab w:leader="none" w:pos="1013" w:val="left"/>
        </w:tabs>
        <w:numPr>
          <w:ilvl w:val="1"/>
          <w:numId w:val="74"/>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any agreement or instrument to which the Issuer is a party or by which it is bound;</w:t>
      </w:r>
    </w:p>
    <w:p>
      <w:pPr>
        <w:spacing w:after="0" w:line="170" w:lineRule="exact"/>
        <w:rPr>
          <w:rFonts w:ascii="Arial" w:cs="Arial" w:eastAsia="Arial" w:hAnsi="Arial"/>
          <w:sz w:val="18"/>
          <w:szCs w:val="18"/>
          <w:color w:val="auto"/>
        </w:rPr>
      </w:pPr>
    </w:p>
    <w:p>
      <w:pPr>
        <w:ind w:left="100" w:right="20" w:firstLine="653"/>
        <w:spacing w:after="0" w:line="273" w:lineRule="auto"/>
        <w:tabs>
          <w:tab w:leader="none" w:pos="1063" w:val="left"/>
        </w:tabs>
        <w:numPr>
          <w:ilvl w:val="1"/>
          <w:numId w:val="74"/>
        </w:numPr>
        <w:rPr>
          <w:rFonts w:ascii="Arial" w:cs="Arial" w:eastAsia="Arial" w:hAnsi="Arial"/>
          <w:sz w:val="17"/>
          <w:szCs w:val="17"/>
          <w:color w:val="auto"/>
        </w:rPr>
      </w:pPr>
      <w:r>
        <w:rPr>
          <w:rFonts w:ascii="Arial" w:cs="Arial" w:eastAsia="Arial" w:hAnsi="Arial"/>
          <w:sz w:val="17"/>
          <w:szCs w:val="17"/>
          <w:color w:val="auto"/>
        </w:rPr>
        <w:t>the Issuer has delivered to the Trustee an Opinion of Counsel based on the fact that (x) the Issuer has received from, or there has been published by, the Internal Revenue Service a ruling or (y) since the date hereof, there has been a change in the applicable federal income tax law, in either case to the effect that, and such opinion shall confirm that, the Holders of the Securities of such series and coupons appertaining thereto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 and</w:t>
      </w:r>
    </w:p>
    <w:p>
      <w:pPr>
        <w:spacing w:after="0" w:line="178" w:lineRule="exact"/>
        <w:rPr>
          <w:rFonts w:ascii="Arial" w:cs="Arial" w:eastAsia="Arial" w:hAnsi="Arial"/>
          <w:sz w:val="17"/>
          <w:szCs w:val="17"/>
          <w:color w:val="auto"/>
        </w:rPr>
      </w:pPr>
    </w:p>
    <w:p>
      <w:pPr>
        <w:ind w:left="100" w:right="460" w:firstLine="653"/>
        <w:spacing w:after="0" w:line="277" w:lineRule="auto"/>
        <w:tabs>
          <w:tab w:leader="none" w:pos="1053"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Issuer has delivered to the Trustee an Officers’ Certificate and an Opinion of Counsel, each stating that all conditions precedent provided for relating to the defeasance contemplated by this provision have been complied with.</w:t>
      </w:r>
    </w:p>
    <w:p>
      <w:pPr>
        <w:spacing w:after="0" w:line="170" w:lineRule="exact"/>
        <w:rPr>
          <w:rFonts w:ascii="Arial" w:cs="Arial" w:eastAsia="Arial" w:hAnsi="Arial"/>
          <w:sz w:val="18"/>
          <w:szCs w:val="18"/>
          <w:color w:val="auto"/>
        </w:rPr>
      </w:pPr>
    </w:p>
    <w:p>
      <w:pPr>
        <w:ind w:left="-540" w:right="80" w:firstLine="645"/>
        <w:spacing w:after="0" w:line="272" w:lineRule="auto"/>
        <w:tabs>
          <w:tab w:leader="none" w:pos="353"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Issuer shall be released from its obligations under Section 9.01 with respect to the Securities of any series Outstanding, on and after the date the conditions set forth below are satisfied (hereinafter, “</w:t>
      </w:r>
      <w:r>
        <w:rPr>
          <w:rFonts w:ascii="Arial" w:cs="Arial" w:eastAsia="Arial" w:hAnsi="Arial"/>
          <w:sz w:val="17"/>
          <w:szCs w:val="17"/>
          <w:u w:val="single" w:color="auto"/>
          <w:color w:val="auto"/>
        </w:rPr>
        <w:t>covenant defeasance</w:t>
      </w:r>
      <w:r>
        <w:rPr>
          <w:rFonts w:ascii="Arial" w:cs="Arial" w:eastAsia="Arial" w:hAnsi="Arial"/>
          <w:sz w:val="17"/>
          <w:szCs w:val="17"/>
          <w:color w:val="auto"/>
        </w:rPr>
        <w:t>”). For this purpose, such covenant defeasance means that, with respect to the Outstanding Securities of any series, the Issuer may omit to comply with and shall have no liability in respect of any term, condition or limitation set forth in such Sections, whether directly or indirectly by reason of any reference elsewhere herein to such Sections or by reason of any reference in such Sections to any other provision herein or in any other document and such omission to comply shall not constitute an Event of Default under Section 4.01, but the remainder of this Indenture and such Securities and coupons shall be unaffected thereby. The following shall be the conditions to application of this subsection (c) of this Section 9.01:</w:t>
      </w:r>
    </w:p>
    <w:p>
      <w:pPr>
        <w:spacing w:after="0" w:line="177" w:lineRule="exact"/>
        <w:rPr>
          <w:rFonts w:ascii="Arial" w:cs="Arial" w:eastAsia="Arial" w:hAnsi="Arial"/>
          <w:sz w:val="17"/>
          <w:szCs w:val="17"/>
          <w:color w:val="auto"/>
        </w:rPr>
      </w:pPr>
    </w:p>
    <w:p>
      <w:pPr>
        <w:ind w:left="100" w:right="20" w:firstLine="653"/>
        <w:spacing w:after="0" w:line="255" w:lineRule="auto"/>
        <w:tabs>
          <w:tab w:leader="none" w:pos="963"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Issuer has irrevocably deposited or caused to be deposited with the Trustee as trust funds in trust for the purpose of making the following payments, specifically pledged as security for, and dedicated solely to, the benefit of the holders of the Securities of such series, (A) cash in an amount, or (B) in the case of any series of Securities the payments on which may only be made in Dollars, U.S. Government Obligations maturing as to principal and interest at such times and in such amounts as will insure the availability of cash or (C) a combination thereof, sufficient, in the opinion of a nationally recognized firm of independent public accountants expressed in a written certification thereof delivered to the Trustee, to pay (1) the principal and interest on all Securities of such series and coupons appertaining thereto and (2) any mandatory sinking</w:t>
      </w:r>
    </w:p>
    <w:p>
      <w:pPr>
        <w:spacing w:after="0" w:line="17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135255</wp:posOffset>
            </wp:positionV>
            <wp:extent cx="7246620"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20"/>
          </w:cols>
          <w:pgMar w:left="1440" w:top="409" w:right="239" w:bottom="1440" w:gutter="0" w:footer="0" w:header="0"/>
        </w:sectPr>
      </w:pPr>
    </w:p>
    <w:bookmarkStart w:id="86" w:name="page87"/>
    <w:bookmarkEnd w:id="86"/>
    <w:p>
      <w:pPr>
        <w:ind w:left="1300" w:right="60"/>
        <w:spacing w:after="0" w:line="277" w:lineRule="auto"/>
        <w:rPr>
          <w:sz w:val="20"/>
          <w:szCs w:val="20"/>
          <w:color w:val="auto"/>
        </w:rPr>
      </w:pPr>
      <w:r>
        <w:rPr>
          <w:rFonts w:ascii="Arial" w:cs="Arial" w:eastAsia="Arial" w:hAnsi="Arial"/>
          <w:sz w:val="18"/>
          <w:szCs w:val="18"/>
          <w:color w:val="auto"/>
        </w:rPr>
        <w:t>fund payments on the day on which such payments are due and payable in accordance with the terms of the Indenture and the Securities of such series.</w:t>
      </w:r>
    </w:p>
    <w:p>
      <w:pPr>
        <w:spacing w:after="0" w:line="170" w:lineRule="exact"/>
        <w:rPr>
          <w:sz w:val="20"/>
          <w:szCs w:val="20"/>
          <w:color w:val="auto"/>
        </w:rPr>
      </w:pPr>
    </w:p>
    <w:p>
      <w:pPr>
        <w:jc w:val="both"/>
        <w:ind w:left="1300" w:right="40" w:firstLine="653"/>
        <w:spacing w:after="0" w:line="259" w:lineRule="auto"/>
        <w:tabs>
          <w:tab w:leader="none" w:pos="2213"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 Event of Default or event which with notice or lapse of time or both would become an Event of Default with respect to the Securities shall have occurred and be continuing on the date of such deposit or, insofar as subsections 4.01(c) and 4.01(d) are concerned, at any time during the period ending on the 91st day after the date of such deposit (it being understood that this condition shall not be deemed satisfied until the expiration of such period).</w:t>
      </w:r>
    </w:p>
    <w:p>
      <w:pPr>
        <w:spacing w:after="0" w:line="186" w:lineRule="exact"/>
        <w:rPr>
          <w:rFonts w:ascii="Arial" w:cs="Arial" w:eastAsia="Arial" w:hAnsi="Arial"/>
          <w:sz w:val="18"/>
          <w:szCs w:val="18"/>
          <w:color w:val="auto"/>
        </w:rPr>
      </w:pPr>
    </w:p>
    <w:p>
      <w:pPr>
        <w:ind w:left="1300" w:right="100" w:firstLine="653"/>
        <w:spacing w:after="0" w:line="277" w:lineRule="auto"/>
        <w:tabs>
          <w:tab w:leader="none" w:pos="2263"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Such covenant defeasance shall not cause the Trustee to have a conflicting interest for purposes of the Trust Indenture Act of 1939 with respect to any securities of the Issuer.</w:t>
      </w:r>
    </w:p>
    <w:p>
      <w:pPr>
        <w:spacing w:after="0" w:line="170" w:lineRule="exact"/>
        <w:rPr>
          <w:rFonts w:ascii="Arial" w:cs="Arial" w:eastAsia="Arial" w:hAnsi="Arial"/>
          <w:sz w:val="18"/>
          <w:szCs w:val="18"/>
          <w:color w:val="auto"/>
        </w:rPr>
      </w:pPr>
    </w:p>
    <w:p>
      <w:pPr>
        <w:ind w:left="1300" w:right="100" w:firstLine="653"/>
        <w:spacing w:after="0" w:line="277" w:lineRule="auto"/>
        <w:tabs>
          <w:tab w:leader="none" w:pos="2253"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Such covenant defeasance shall not result in a breach or violation of, or constitute a default under, this Indenture or any other agreement or instrument to which the Issuer is a party or by which it is bound.</w:t>
      </w:r>
    </w:p>
    <w:p>
      <w:pPr>
        <w:spacing w:after="0" w:line="170" w:lineRule="exact"/>
        <w:rPr>
          <w:rFonts w:ascii="Arial" w:cs="Arial" w:eastAsia="Arial" w:hAnsi="Arial"/>
          <w:sz w:val="18"/>
          <w:szCs w:val="18"/>
          <w:color w:val="auto"/>
        </w:rPr>
      </w:pPr>
    </w:p>
    <w:p>
      <w:pPr>
        <w:ind w:left="1300" w:right="240" w:firstLine="653"/>
        <w:spacing w:after="0" w:line="277" w:lineRule="auto"/>
        <w:tabs>
          <w:tab w:leader="none" w:pos="2203"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Such covenant defeasance shall not cause any Securities then listed on any registered national securities exchange under the Securities Exchange Act of 1934, as amended, to be delisted.</w:t>
      </w:r>
    </w:p>
    <w:p>
      <w:pPr>
        <w:spacing w:after="0" w:line="170" w:lineRule="exact"/>
        <w:rPr>
          <w:rFonts w:ascii="Arial" w:cs="Arial" w:eastAsia="Arial" w:hAnsi="Arial"/>
          <w:sz w:val="18"/>
          <w:szCs w:val="18"/>
          <w:color w:val="auto"/>
        </w:rPr>
      </w:pPr>
    </w:p>
    <w:p>
      <w:pPr>
        <w:jc w:val="both"/>
        <w:ind w:left="1300" w:right="20" w:firstLine="653"/>
        <w:spacing w:after="0" w:line="259" w:lineRule="auto"/>
        <w:tabs>
          <w:tab w:leader="none" w:pos="2253"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Issuer shall have delivered to the Trustee an Officers’ Certificate and Opinion of Counsel to the effect that the Holders of the Securities of such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86" w:lineRule="exact"/>
        <w:rPr>
          <w:rFonts w:ascii="Arial" w:cs="Arial" w:eastAsia="Arial" w:hAnsi="Arial"/>
          <w:sz w:val="18"/>
          <w:szCs w:val="18"/>
          <w:color w:val="auto"/>
        </w:rPr>
      </w:pPr>
    </w:p>
    <w:p>
      <w:pPr>
        <w:ind w:left="1300" w:right="600" w:firstLine="653"/>
        <w:spacing w:after="0" w:line="342" w:lineRule="auto"/>
        <w:tabs>
          <w:tab w:leader="none" w:pos="2303"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Issuer shall have delivered to the Trustee an Officers’ Certificate and an Opinion of Counsel, each stating that all conditions precedent provided for relating to the covenant defeasance contemplated by this provision have been complied with.</w:t>
      </w:r>
    </w:p>
    <w:p>
      <w:pPr>
        <w:spacing w:after="0" w:line="124" w:lineRule="exact"/>
        <w:rPr>
          <w:sz w:val="20"/>
          <w:szCs w:val="20"/>
          <w:color w:val="auto"/>
        </w:rPr>
      </w:pPr>
    </w:p>
    <w:p>
      <w:pPr>
        <w:ind w:firstLine="1297"/>
        <w:spacing w:after="0" w:line="276" w:lineRule="auto"/>
        <w:rPr>
          <w:sz w:val="20"/>
          <w:szCs w:val="20"/>
          <w:color w:val="auto"/>
        </w:rPr>
      </w:pPr>
      <w:r>
        <w:rPr>
          <w:rFonts w:ascii="Arial" w:cs="Arial" w:eastAsia="Arial" w:hAnsi="Arial"/>
          <w:sz w:val="17"/>
          <w:szCs w:val="17"/>
          <w:color w:val="auto"/>
        </w:rPr>
        <w:t xml:space="preserve">SECTION 9.02. </w:t>
      </w:r>
      <w:r>
        <w:rPr>
          <w:rFonts w:ascii="Arial" w:cs="Arial" w:eastAsia="Arial" w:hAnsi="Arial"/>
          <w:sz w:val="17"/>
          <w:szCs w:val="17"/>
          <w:u w:val="single" w:color="auto"/>
          <w:color w:val="auto"/>
        </w:rPr>
        <w:t>Application by Trustee of Funds Deposited for Payment of Securities.</w:t>
      </w:r>
      <w:r>
        <w:rPr>
          <w:rFonts w:ascii="Arial" w:cs="Arial" w:eastAsia="Arial" w:hAnsi="Arial"/>
          <w:sz w:val="17"/>
          <w:szCs w:val="17"/>
          <w:color w:val="auto"/>
        </w:rPr>
        <w:t xml:space="preserve"> Subject to Section 9.04 and any subordination provisions applicable to the Securities, all moneys deposited with the Trustee pursuant to Section 9.01 shall be held in trust and applied by it to the payment, either directly or through any paying agent (including the Issuer acting as its own paying agent), to the Holders of the particular Securities of such series for the payment or redemption of which such moneys have been deposited with the Trustee, of all sums due and to become due thereon for principal and interest; but such money need not be segregated from other funds except to the extent required by law.</w:t>
      </w:r>
    </w:p>
    <w:p>
      <w:pPr>
        <w:spacing w:after="0" w:line="173"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Repayment of Moneys Held by Paying Agent.</w:t>
      </w:r>
      <w:r>
        <w:rPr>
          <w:rFonts w:ascii="Arial" w:cs="Arial" w:eastAsia="Arial" w:hAnsi="Arial"/>
          <w:sz w:val="18"/>
          <w:szCs w:val="18"/>
          <w:color w:val="auto"/>
        </w:rPr>
        <w:t xml:space="preserve"> In connection with the satisfaction and discharge of this Indenture with respect to Securities of any series, all moneys then held by any paying agent under the provisions of this Indenture with respect to such series of Securities shall, upon demand of the Issuer, be repaid to it or paid to the Trustee and thereupon such paying agent shall be released from all further liability with respect to such moneys.</w:t>
      </w:r>
    </w:p>
    <w:p>
      <w:pPr>
        <w:spacing w:after="0" w:line="187" w:lineRule="exact"/>
        <w:rPr>
          <w:sz w:val="20"/>
          <w:szCs w:val="20"/>
          <w:color w:val="auto"/>
        </w:rPr>
      </w:pPr>
    </w:p>
    <w:p>
      <w:pPr>
        <w:ind w:firstLine="1297"/>
        <w:spacing w:after="0" w:line="276" w:lineRule="auto"/>
        <w:rPr>
          <w:sz w:val="20"/>
          <w:szCs w:val="20"/>
          <w:color w:val="auto"/>
        </w:rPr>
      </w:pPr>
      <w:r>
        <w:rPr>
          <w:rFonts w:ascii="Arial" w:cs="Arial" w:eastAsia="Arial" w:hAnsi="Arial"/>
          <w:sz w:val="17"/>
          <w:szCs w:val="17"/>
          <w:color w:val="auto"/>
        </w:rPr>
        <w:t xml:space="preserve">SECTION 9.04. </w:t>
      </w:r>
      <w:r>
        <w:rPr>
          <w:rFonts w:ascii="Arial" w:cs="Arial" w:eastAsia="Arial" w:hAnsi="Arial"/>
          <w:sz w:val="17"/>
          <w:szCs w:val="17"/>
          <w:u w:val="single" w:color="auto"/>
          <w:color w:val="auto"/>
        </w:rPr>
        <w:t>Return of Moneys Held by Trustee and Paying Agent Unclaimed for Two Years.</w:t>
      </w:r>
      <w:r>
        <w:rPr>
          <w:rFonts w:ascii="Arial" w:cs="Arial" w:eastAsia="Arial" w:hAnsi="Arial"/>
          <w:sz w:val="17"/>
          <w:szCs w:val="17"/>
          <w:color w:val="auto"/>
        </w:rPr>
        <w:t xml:space="preserve"> Any moneys deposited with or paid to the Trustee or any paying agent for the payment of the principal of or interest on any Security of any series and not applied but remaining unclaimed for two years after the date upon which such principal or interest shall have become due and payable, shall, upon the written request of the Issuer and unless otherwise required by mandatory provisions of applicable escheat or abandoned or unclaimed property law, be repaid to the Issuer by the Trustee for such series or such paying agent, and the Holder of the Security of such series shall, unless otherwise required by mandatory</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409" w:right="299" w:bottom="1440" w:gutter="0" w:footer="0" w:header="0"/>
        </w:sectPr>
      </w:pPr>
    </w:p>
    <w:bookmarkStart w:id="87" w:name="page88"/>
    <w:bookmarkEnd w:id="87"/>
    <w:p>
      <w:pPr>
        <w:ind w:right="340"/>
        <w:spacing w:after="0" w:line="277" w:lineRule="auto"/>
        <w:rPr>
          <w:sz w:val="20"/>
          <w:szCs w:val="20"/>
          <w:color w:val="auto"/>
        </w:rPr>
      </w:pPr>
      <w:r>
        <w:rPr>
          <w:rFonts w:ascii="Arial" w:cs="Arial" w:eastAsia="Arial" w:hAnsi="Arial"/>
          <w:sz w:val="18"/>
          <w:szCs w:val="18"/>
          <w:color w:val="auto"/>
        </w:rPr>
        <w:t>provisions of applicable escheat or abandoned or unclaimed property laws, thereafter look only to the Issuer for any payment which such Holder may be entitled to collect, and all liability of the Trustee or any paying agent with respect to such moneys shall thereupon cease.</w:t>
      </w:r>
    </w:p>
    <w:p>
      <w:pPr>
        <w:spacing w:after="0" w:line="170"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The Issuer shall pay and indemnify the Trustee against any tax, fee or other charge imposed on or assessed against the U.S. Government Obligations deposited pursuant to Section 9.01 or the principal and interest received in respect thereof other than any such tax, fee or other charge which by law is for the account of the Holders of Outstanding Securities.</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10</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Miscellaneous Provisions</w:t>
      </w:r>
    </w:p>
    <w:p>
      <w:pPr>
        <w:spacing w:after="0" w:line="225" w:lineRule="exact"/>
        <w:rPr>
          <w:sz w:val="20"/>
          <w:szCs w:val="20"/>
          <w:color w:val="auto"/>
        </w:rPr>
      </w:pPr>
    </w:p>
    <w:p>
      <w:pPr>
        <w:ind w:right="20" w:firstLine="1297"/>
        <w:spacing w:after="0" w:line="273" w:lineRule="auto"/>
        <w:rPr>
          <w:sz w:val="20"/>
          <w:szCs w:val="20"/>
          <w:color w:val="auto"/>
        </w:rPr>
      </w:pPr>
      <w:r>
        <w:rPr>
          <w:rFonts w:ascii="Arial" w:cs="Arial" w:eastAsia="Arial" w:hAnsi="Arial"/>
          <w:sz w:val="17"/>
          <w:szCs w:val="17"/>
          <w:color w:val="auto"/>
        </w:rPr>
        <w:t xml:space="preserve">SECTION 10.01. </w:t>
      </w:r>
      <w:r>
        <w:rPr>
          <w:rFonts w:ascii="Arial" w:cs="Arial" w:eastAsia="Arial" w:hAnsi="Arial"/>
          <w:sz w:val="17"/>
          <w:szCs w:val="17"/>
          <w:u w:val="single" w:color="auto"/>
          <w:color w:val="auto"/>
        </w:rPr>
        <w:t>Incorporators, Stockholders, Members, Officers and Directors of Issuer Exempt from Individual Liability.</w:t>
      </w:r>
      <w:r>
        <w:rPr>
          <w:rFonts w:ascii="Arial" w:cs="Arial" w:eastAsia="Arial" w:hAnsi="Arial"/>
          <w:sz w:val="17"/>
          <w:szCs w:val="17"/>
          <w:color w:val="auto"/>
        </w:rPr>
        <w:t xml:space="preserve"> No recourse under or upon any obligation, covenant or agreement contained in this Indenture, or in any Security, or because of any indebtedness evidenced thereby, shall be had against any incorporator, as such or against any past, present or future stockholder, member, officer or director, as such, of the Issuer or of any successor, either directly or through the Issuer or any successor, under any rule of law, statute or constitutional provision or by the enforcement of any assessment or by any legal or equitable proceeding or otherwise, all such liability being expressly waived and released by the acceptance of the Securities by the holders thereof and as part of the consideration for the issue of the Securities.</w:t>
      </w:r>
    </w:p>
    <w:p>
      <w:pPr>
        <w:spacing w:after="0" w:line="178" w:lineRule="exact"/>
        <w:rPr>
          <w:sz w:val="20"/>
          <w:szCs w:val="20"/>
          <w:color w:val="auto"/>
        </w:rPr>
      </w:pPr>
    </w:p>
    <w:p>
      <w:pPr>
        <w:ind w:firstLine="1297"/>
        <w:spacing w:after="0" w:line="302" w:lineRule="auto"/>
        <w:rPr>
          <w:sz w:val="20"/>
          <w:szCs w:val="20"/>
          <w:color w:val="auto"/>
        </w:rPr>
      </w:pPr>
      <w:r>
        <w:rPr>
          <w:rFonts w:ascii="Arial" w:cs="Arial" w:eastAsia="Arial" w:hAnsi="Arial"/>
          <w:sz w:val="16"/>
          <w:szCs w:val="16"/>
          <w:color w:val="auto"/>
        </w:rPr>
        <w:t xml:space="preserve">SECTION 10.02. </w:t>
      </w:r>
      <w:r>
        <w:rPr>
          <w:rFonts w:ascii="Arial" w:cs="Arial" w:eastAsia="Arial" w:hAnsi="Arial"/>
          <w:sz w:val="16"/>
          <w:szCs w:val="16"/>
          <w:u w:val="single" w:color="auto"/>
          <w:color w:val="auto"/>
        </w:rPr>
        <w:t>Provisions of Indenture for the Sole Benefit of Parties and Securityholders.</w:t>
      </w:r>
      <w:r>
        <w:rPr>
          <w:rFonts w:ascii="Arial" w:cs="Arial" w:eastAsia="Arial" w:hAnsi="Arial"/>
          <w:sz w:val="16"/>
          <w:szCs w:val="16"/>
          <w:color w:val="auto"/>
        </w:rPr>
        <w:t xml:space="preserve"> Nothing in this Indenture or in the Securities, expressed or implied, shall give or be construed to give to any person, firm or corporation, other than the parties hereto and their successors and the Holders of the Securities, any legal or equitable right, remedy or claim under this Indenture or under any covenant or provision herein contained, all such covenants and provisions being for the sole benefit of the parties hereto and their successors and of the Holders of the Securities.</w:t>
      </w:r>
    </w:p>
    <w:p>
      <w:pPr>
        <w:spacing w:after="0" w:line="154"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Successors and Assigns of Issuer Bound by Indenture.</w:t>
      </w:r>
      <w:r>
        <w:rPr>
          <w:rFonts w:ascii="Arial" w:cs="Arial" w:eastAsia="Arial" w:hAnsi="Arial"/>
          <w:sz w:val="18"/>
          <w:szCs w:val="18"/>
          <w:color w:val="auto"/>
        </w:rPr>
        <w:t xml:space="preserve"> All the covenants, stipulations, promises and agreements in this Indenture contained by or in behalf of the Issuer shall bind its successors and assigns, whether so expressed or not.</w:t>
      </w:r>
    </w:p>
    <w:p>
      <w:pPr>
        <w:spacing w:after="0" w:line="170" w:lineRule="exact"/>
        <w:rPr>
          <w:sz w:val="20"/>
          <w:szCs w:val="20"/>
          <w:color w:val="auto"/>
        </w:rPr>
      </w:pPr>
    </w:p>
    <w:p>
      <w:pPr>
        <w:ind w:right="280" w:firstLine="1297"/>
        <w:spacing w:after="0" w:line="259"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Notices and Demands on Issuer, Trustee and Securityholders.</w:t>
      </w:r>
      <w:r>
        <w:rPr>
          <w:rFonts w:ascii="Arial" w:cs="Arial" w:eastAsia="Arial" w:hAnsi="Arial"/>
          <w:sz w:val="18"/>
          <w:szCs w:val="18"/>
          <w:color w:val="auto"/>
        </w:rPr>
        <w:t xml:space="preserve"> Any notice or demand which by any provision of this Indenture is required or permitted to be given or served by the Trustee or by the Holders of Securities to or on the Issuer may be given or served by being deposited postage prepaid, first-class mail (except as otherwise specifically provided herein) addressed (until another address of the Issuer is filed by the Issuer with the Trustee) to GasLog Ltd. at the following address: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GasLog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GasLog Monaco S.A.M.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Gildo Pastor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 Rue du Gabian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MC 98000, Monaco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copies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D. Scott Bennett,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(212) 474-3700</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20"/>
          </w:cols>
          <w:pgMar w:left="240" w:top="409" w:right="339" w:bottom="1440" w:gutter="0" w:footer="0" w:header="0"/>
        </w:sectPr>
      </w:pPr>
    </w:p>
    <w:bookmarkStart w:id="88" w:name="page89"/>
    <w:bookmarkEnd w:id="88"/>
    <w:p>
      <w:pPr>
        <w:ind w:right="780" w:firstLine="1297"/>
        <w:spacing w:after="0" w:line="342" w:lineRule="auto"/>
        <w:rPr>
          <w:sz w:val="20"/>
          <w:szCs w:val="20"/>
          <w:color w:val="auto"/>
        </w:rPr>
      </w:pPr>
      <w:r>
        <w:rPr>
          <w:rFonts w:ascii="Arial" w:cs="Arial" w:eastAsia="Arial" w:hAnsi="Arial"/>
          <w:sz w:val="16"/>
          <w:szCs w:val="16"/>
          <w:color w:val="auto"/>
        </w:rPr>
        <w:t>Any notice, direction, request or demand by the Issuer or any Securityholder to or upon the Trustee shall be deemed to have been sufficiently given or made, for all purposes, if delivered in person or mailed by first-class mail to the Trustee at the following address: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Company, LLC</w:t>
      </w:r>
    </w:p>
    <w:p>
      <w:pPr>
        <w:spacing w:after="0" w:line="195" w:lineRule="auto"/>
        <w:rPr>
          <w:sz w:val="20"/>
          <w:szCs w:val="20"/>
          <w:color w:val="auto"/>
        </w:rPr>
      </w:pPr>
      <w:r>
        <w:rPr>
          <w:rFonts w:ascii="Arial" w:cs="Arial" w:eastAsia="Arial" w:hAnsi="Arial"/>
          <w:sz w:val="18"/>
          <w:szCs w:val="18"/>
          <w:color w:val="auto"/>
        </w:rPr>
        <w:t>6201 15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Avenue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Brooklyn, New York 11219</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Attention: Relationship Management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copies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Company, LLC</w:t>
      </w:r>
    </w:p>
    <w:p>
      <w:pPr>
        <w:spacing w:after="0" w:line="195" w:lineRule="auto"/>
        <w:rPr>
          <w:sz w:val="20"/>
          <w:szCs w:val="20"/>
          <w:color w:val="auto"/>
        </w:rPr>
      </w:pPr>
      <w:r>
        <w:rPr>
          <w:rFonts w:ascii="Arial" w:cs="Arial" w:eastAsia="Arial" w:hAnsi="Arial"/>
          <w:sz w:val="18"/>
          <w:szCs w:val="18"/>
          <w:color w:val="auto"/>
        </w:rPr>
        <w:t>48 Wall Street, 22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10005</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Attention: Legal Department</w:t>
      </w:r>
    </w:p>
    <w:p>
      <w:pPr>
        <w:spacing w:after="0" w:line="211" w:lineRule="exact"/>
        <w:rPr>
          <w:sz w:val="20"/>
          <w:szCs w:val="20"/>
          <w:color w:val="auto"/>
        </w:rPr>
      </w:pPr>
    </w:p>
    <w:p>
      <w:pPr>
        <w:ind w:right="20" w:firstLine="1297"/>
        <w:spacing w:after="0" w:line="293" w:lineRule="auto"/>
        <w:rPr>
          <w:sz w:val="20"/>
          <w:szCs w:val="20"/>
          <w:color w:val="auto"/>
        </w:rPr>
      </w:pPr>
      <w:r>
        <w:rPr>
          <w:rFonts w:ascii="Arial" w:cs="Arial" w:eastAsia="Arial" w:hAnsi="Arial"/>
          <w:sz w:val="16"/>
          <w:szCs w:val="16"/>
          <w:color w:val="auto"/>
        </w:rPr>
        <w:t>Where this Indenture provides for notice to Holders, such notice shall be sufficiently given (unless otherwise herein expressly provided) if in writing and mailed, first-class postage prepaid, to each Holder entitled thereto, at his last address as it appears in the Security register. In any case where notice to Holders is given by mail, neither the failure to mail such notice, nor any defect in any notice so mailed,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65" w:lineRule="exact"/>
        <w:rPr>
          <w:sz w:val="20"/>
          <w:szCs w:val="20"/>
          <w:color w:val="auto"/>
        </w:rPr>
      </w:pPr>
    </w:p>
    <w:p>
      <w:pPr>
        <w:ind w:right="400" w:firstLine="1297"/>
        <w:spacing w:after="0" w:line="264" w:lineRule="auto"/>
        <w:rPr>
          <w:sz w:val="20"/>
          <w:szCs w:val="20"/>
          <w:color w:val="auto"/>
        </w:rPr>
      </w:pPr>
      <w:r>
        <w:rPr>
          <w:rFonts w:ascii="Arial" w:cs="Arial" w:eastAsia="Arial" w:hAnsi="Arial"/>
          <w:sz w:val="18"/>
          <w:szCs w:val="18"/>
          <w:color w:val="auto"/>
        </w:rPr>
        <w:t>In case, by reason of the suspension of or irregularities in regular mail service, it shall be impracticable to mail notice to the Issuer and Securityholders when such notice is required to be given pursuant to any provision of this Indenture, then any manner of giving such notice as shall be satisfactory to the Trustee shall be deemed to be a sufficient giving of such notice.</w:t>
      </w:r>
    </w:p>
    <w:p>
      <w:pPr>
        <w:spacing w:after="0" w:line="181" w:lineRule="exact"/>
        <w:rPr>
          <w:sz w:val="20"/>
          <w:szCs w:val="20"/>
          <w:color w:val="auto"/>
        </w:rPr>
      </w:pPr>
    </w:p>
    <w:p>
      <w:pPr>
        <w:ind w:right="20" w:firstLine="1297"/>
        <w:spacing w:after="0" w:line="270" w:lineRule="auto"/>
        <w:rPr>
          <w:sz w:val="20"/>
          <w:szCs w:val="20"/>
          <w:color w:val="auto"/>
        </w:rPr>
      </w:pPr>
      <w:r>
        <w:rPr>
          <w:rFonts w:ascii="Arial" w:cs="Arial" w:eastAsia="Arial" w:hAnsi="Arial"/>
          <w:sz w:val="17"/>
          <w:szCs w:val="17"/>
          <w:color w:val="auto"/>
        </w:rPr>
        <w:t>Notwithstanding anything to the contrary, the Trustee agrees to accept and act upon instructions or directions pursuant to this Indenture sent by unsecured e-mail, pdf, facsimile transmission or other similar unsecured electronic methods; provided, however, that (a) the party providing such written instructions, subsequent to such transmission of written instructions, shall provide the originally executed instructions or directions to the Trustee in a timely manner, and (b) such originally executed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w:t>
      </w:r>
    </w:p>
    <w:p>
      <w:pPr>
        <w:spacing w:after="0" w:line="178"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Communication by Securityholders with Other Securityholders</w:t>
      </w:r>
      <w:r>
        <w:rPr>
          <w:rFonts w:ascii="Arial" w:cs="Arial" w:eastAsia="Arial" w:hAnsi="Arial"/>
          <w:sz w:val="18"/>
          <w:szCs w:val="18"/>
          <w:color w:val="auto"/>
        </w:rPr>
        <w:t>. Securityholders may communicate pursuant to Section 312(b) of the Trust Indenture Act of 1939 with other Securityholders with respect to their rights under this Indenture or the Securities. The Issuer, the Trustee, any registrar and anyone else shall have the protection of Section 312(c) of the Trust Indenture Act of 1939.</w:t>
      </w:r>
    </w:p>
    <w:p>
      <w:pPr>
        <w:spacing w:after="0" w:line="181" w:lineRule="exact"/>
        <w:rPr>
          <w:sz w:val="20"/>
          <w:szCs w:val="20"/>
          <w:color w:val="auto"/>
        </w:rPr>
      </w:pPr>
    </w:p>
    <w:p>
      <w:pPr>
        <w:ind w:right="60" w:firstLine="1297"/>
        <w:spacing w:after="0" w:line="342" w:lineRule="auto"/>
        <w:rPr>
          <w:sz w:val="20"/>
          <w:szCs w:val="20"/>
          <w:color w:val="auto"/>
        </w:rPr>
      </w:pPr>
      <w:r>
        <w:rPr>
          <w:rFonts w:ascii="Arial" w:cs="Arial" w:eastAsia="Arial" w:hAnsi="Arial"/>
          <w:sz w:val="16"/>
          <w:szCs w:val="16"/>
          <w:color w:val="auto"/>
        </w:rPr>
        <w:t xml:space="preserve">SECTION 10.06. </w:t>
      </w:r>
      <w:r>
        <w:rPr>
          <w:rFonts w:ascii="Arial" w:cs="Arial" w:eastAsia="Arial" w:hAnsi="Arial"/>
          <w:sz w:val="16"/>
          <w:szCs w:val="16"/>
          <w:u w:val="single" w:color="auto"/>
          <w:color w:val="auto"/>
        </w:rPr>
        <w:t>Officers’ Certificates and Opinions of Counsel; Statements to be Contained Therein.</w:t>
      </w:r>
      <w:r>
        <w:rPr>
          <w:rFonts w:ascii="Arial" w:cs="Arial" w:eastAsia="Arial" w:hAnsi="Arial"/>
          <w:sz w:val="16"/>
          <w:szCs w:val="16"/>
          <w:color w:val="auto"/>
        </w:rPr>
        <w:t xml:space="preserve"> Upon any application or demand by the Issuer to the Trustee to take any action under any of the provisions of this Indenture, the Issuer shall furnish to the Trustee an Officers’ Certificate stating</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09" w:right="279" w:bottom="1440" w:gutter="0" w:footer="0" w:header="0"/>
        </w:sectPr>
      </w:pPr>
    </w:p>
    <w:bookmarkStart w:id="89" w:name="page90"/>
    <w:bookmarkEnd w:id="89"/>
    <w:p>
      <w:pPr>
        <w:ind w:right="100"/>
        <w:spacing w:after="0" w:line="277" w:lineRule="auto"/>
        <w:rPr>
          <w:sz w:val="20"/>
          <w:szCs w:val="20"/>
          <w:color w:val="auto"/>
        </w:rPr>
      </w:pPr>
      <w:r>
        <w:rPr>
          <w:rFonts w:ascii="Arial" w:cs="Arial" w:eastAsia="Arial" w:hAnsi="Arial"/>
          <w:sz w:val="18"/>
          <w:szCs w:val="18"/>
          <w:color w:val="auto"/>
        </w:rPr>
        <w:t>that all conditions precedent provided for in this Indenture relating to the proposed action have been complied with and an Opinion of Counsel stating that in the opinion of such counsel all such conditions precedent have been complied with.</w:t>
      </w:r>
    </w:p>
    <w:p>
      <w:pPr>
        <w:spacing w:after="0" w:line="170" w:lineRule="exact"/>
        <w:rPr>
          <w:sz w:val="20"/>
          <w:szCs w:val="20"/>
          <w:color w:val="auto"/>
        </w:rPr>
      </w:pPr>
    </w:p>
    <w:p>
      <w:pPr>
        <w:ind w:right="220" w:firstLine="1297"/>
        <w:spacing w:after="0" w:line="291" w:lineRule="auto"/>
        <w:rPr>
          <w:sz w:val="20"/>
          <w:szCs w:val="20"/>
          <w:color w:val="auto"/>
        </w:rPr>
      </w:pPr>
      <w:r>
        <w:rPr>
          <w:rFonts w:ascii="Arial" w:cs="Arial" w:eastAsia="Arial" w:hAnsi="Arial"/>
          <w:sz w:val="16"/>
          <w:szCs w:val="16"/>
          <w:color w:val="auto"/>
        </w:rPr>
        <w:t>Each certificate or opinion provided for in this Indenture and delivered to the Trustee with respect to compliance with a condition or covenant provided for in this Indenture shall include (a) a statement that the person making such certificate or opinion has read such covenant or condition,</w:t>
      </w:r>
    </w:p>
    <w:p>
      <w:pPr>
        <w:ind w:right="120" w:firstLine="8"/>
        <w:spacing w:after="0" w:line="254" w:lineRule="auto"/>
        <w:tabs>
          <w:tab w:leader="none" w:pos="2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 (c) a statement that, in the opinion of such person, he has made such examination or investigation as is necessary to enable him to express an informed opinion as to whether or not such covenant or condition has been complied with and (d) a statement as to whether or not, in the opinion of such person, such condition or covenant has been complied with.</w:t>
      </w:r>
    </w:p>
    <w:p>
      <w:pPr>
        <w:spacing w:after="0" w:line="190" w:lineRule="exact"/>
        <w:rPr>
          <w:sz w:val="20"/>
          <w:szCs w:val="20"/>
          <w:color w:val="auto"/>
        </w:rPr>
      </w:pPr>
    </w:p>
    <w:p>
      <w:pPr>
        <w:ind w:firstLine="1297"/>
        <w:spacing w:after="0" w:line="272" w:lineRule="auto"/>
        <w:rPr>
          <w:sz w:val="20"/>
          <w:szCs w:val="20"/>
          <w:color w:val="auto"/>
        </w:rPr>
      </w:pPr>
      <w:r>
        <w:rPr>
          <w:rFonts w:ascii="Arial" w:cs="Arial" w:eastAsia="Arial" w:hAnsi="Arial"/>
          <w:sz w:val="17"/>
          <w:szCs w:val="17"/>
          <w:color w:val="auto"/>
        </w:rPr>
        <w:t>Any certificate, statement or opinion of an officer of the Issuer may be based, insofar as it relates to legal matters, upon a certificate or opinion of or representations by counsel, unless such officer knows that the certificate or opinion or representations with respect to the matters upon which his certificate, statement or opinion may be based as aforesaid are erroneous, or in the exercise of reasonable care should know that the same are erroneous. Any certificate, statement or opinion of counsel may be based, insofar as it relates to factual matters, information with respect to which is in the possession of the Issuer, upon the certificate, statement or opinion of or representations by an officer of officers of the Issuer, unless such counsel knows that the certificate, statement or opinion or representations with respect to the matters upon which his certificate, statement or opinion may be based as aforesaid are erroneous, or in the exercise of reasonable care should know that the same are erroneous.</w:t>
      </w:r>
    </w:p>
    <w:p>
      <w:pPr>
        <w:spacing w:after="0" w:line="178" w:lineRule="exact"/>
        <w:rPr>
          <w:sz w:val="20"/>
          <w:szCs w:val="20"/>
          <w:color w:val="auto"/>
        </w:rPr>
      </w:pPr>
    </w:p>
    <w:p>
      <w:pPr>
        <w:ind w:right="20" w:firstLine="1297"/>
        <w:spacing w:after="0" w:line="279" w:lineRule="auto"/>
        <w:rPr>
          <w:sz w:val="20"/>
          <w:szCs w:val="20"/>
          <w:color w:val="auto"/>
        </w:rPr>
      </w:pPr>
      <w:r>
        <w:rPr>
          <w:rFonts w:ascii="Arial" w:cs="Arial" w:eastAsia="Arial" w:hAnsi="Arial"/>
          <w:sz w:val="17"/>
          <w:szCs w:val="17"/>
          <w:color w:val="auto"/>
        </w:rPr>
        <w:t>Any certificate, statement or opinion of an officer of the Issuer or of counsel may be based, insofar as it relates to accounting matters, upon a certificate or opinion of or representations by an accountant or firm of accountants in the employ of the Issuer, unless such officer or counsel, as the case may be, knows that the certificate or opinion or representations with respect to the accounting matters upon which his certificate, statement or opinion may be based as aforesaid are erroneous, or in the exercise of reasonable care should know that the same are erroneous.</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Any certificate or opinion of any independent firm of public accountants filed with the Trustee shall contain a statement that such firm 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independent.</w:t>
      </w:r>
    </w:p>
    <w:p>
      <w:pPr>
        <w:spacing w:after="0" w:line="211" w:lineRule="exact"/>
        <w:rPr>
          <w:sz w:val="20"/>
          <w:szCs w:val="20"/>
          <w:color w:val="auto"/>
        </w:rPr>
      </w:pPr>
    </w:p>
    <w:p>
      <w:pPr>
        <w:ind w:right="100" w:firstLine="1297"/>
        <w:spacing w:after="0" w:line="259" w:lineRule="auto"/>
        <w:rPr>
          <w:sz w:val="20"/>
          <w:szCs w:val="20"/>
          <w:color w:val="auto"/>
        </w:rPr>
      </w:pPr>
      <w:r>
        <w:rPr>
          <w:rFonts w:ascii="Arial" w:cs="Arial" w:eastAsia="Arial" w:hAnsi="Arial"/>
          <w:sz w:val="18"/>
          <w:szCs w:val="18"/>
          <w:color w:val="auto"/>
        </w:rPr>
        <w:t xml:space="preserve">SECTION 10.07. </w:t>
      </w:r>
      <w:r>
        <w:rPr>
          <w:rFonts w:ascii="Arial" w:cs="Arial" w:eastAsia="Arial" w:hAnsi="Arial"/>
          <w:sz w:val="18"/>
          <w:szCs w:val="18"/>
          <w:u w:val="single" w:color="auto"/>
          <w:color w:val="auto"/>
        </w:rPr>
        <w:t>Payments Due on Saturdays, Sundays and Holidays.</w:t>
      </w:r>
      <w:r>
        <w:rPr>
          <w:rFonts w:ascii="Arial" w:cs="Arial" w:eastAsia="Arial" w:hAnsi="Arial"/>
          <w:sz w:val="18"/>
          <w:szCs w:val="18"/>
          <w:color w:val="auto"/>
        </w:rPr>
        <w:t xml:space="preserve"> If the date of maturity of interest on or principal of the Securities of any series or the date fixed for redemption or repayment of any such Security shall not be a Business Day, then payment of interest or principal need not be made on such date, but may be made on the next succeeding Business Day with the same force and effect as if made on the date of maturity or the date fixed for redemption, and no interest shall accrue for the period after such date.</w:t>
      </w:r>
    </w:p>
    <w:p>
      <w:pPr>
        <w:spacing w:after="0" w:line="187"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 xml:space="preserve">SECTION 10.08. </w:t>
      </w:r>
      <w:r>
        <w:rPr>
          <w:rFonts w:ascii="Arial" w:cs="Arial" w:eastAsia="Arial" w:hAnsi="Arial"/>
          <w:sz w:val="18"/>
          <w:szCs w:val="18"/>
          <w:u w:val="single" w:color="auto"/>
          <w:color w:val="auto"/>
        </w:rPr>
        <w:t>Conflict of any Provision of Indenture with Trust Indenture Act of 1939.</w:t>
      </w:r>
      <w:r>
        <w:rPr>
          <w:rFonts w:ascii="Arial" w:cs="Arial" w:eastAsia="Arial" w:hAnsi="Arial"/>
          <w:sz w:val="18"/>
          <w:szCs w:val="18"/>
          <w:color w:val="auto"/>
        </w:rPr>
        <w:t xml:space="preserve"> If and to the extent that any provision of this Indenture limits, qualifies or conflicts with another provision included in this Indenture by operation of Sections 310 to 317, inclusive, of the Trust Indenture Act of 1939 (an “</w:t>
      </w:r>
      <w:r>
        <w:rPr>
          <w:rFonts w:ascii="Arial" w:cs="Arial" w:eastAsia="Arial" w:hAnsi="Arial"/>
          <w:sz w:val="18"/>
          <w:szCs w:val="18"/>
          <w:u w:val="single" w:color="auto"/>
          <w:color w:val="auto"/>
        </w:rPr>
        <w:t>incorporated provision</w:t>
      </w:r>
      <w:r>
        <w:rPr>
          <w:rFonts w:ascii="Arial" w:cs="Arial" w:eastAsia="Arial" w:hAnsi="Arial"/>
          <w:sz w:val="18"/>
          <w:szCs w:val="18"/>
          <w:color w:val="auto"/>
        </w:rPr>
        <w:t>”), such incorporated provision shall control.</w:t>
      </w:r>
    </w:p>
    <w:p>
      <w:pPr>
        <w:spacing w:after="0" w:line="181"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u w:val="single" w:color="auto"/>
          <w:color w:val="auto"/>
        </w:rPr>
        <w:t>New York Law to Govern.</w:t>
      </w:r>
      <w:r>
        <w:rPr>
          <w:rFonts w:ascii="Arial" w:cs="Arial" w:eastAsia="Arial" w:hAnsi="Arial"/>
          <w:sz w:val="18"/>
          <w:szCs w:val="18"/>
          <w:color w:val="auto"/>
        </w:rPr>
        <w:t xml:space="preserve"> This Indenture and each Security shall be governed by, and construed in accordance with, the laws of the State of New York, except as may otherwise be required by mandatory provisions of law.</w:t>
      </w:r>
    </w:p>
    <w:p>
      <w:pPr>
        <w:spacing w:after="0" w:line="170"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Indenture may be executed in any number of counterparts, each of which shall be an original; but such counterparts shall together constitute but one and the same instrument.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90" w:name="page91"/>
    <w:bookmarkEnd w:id="90"/>
    <w:p>
      <w:pPr>
        <w:ind w:right="80" w:firstLine="1297"/>
        <w:spacing w:after="0" w:line="277" w:lineRule="auto"/>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u w:val="single" w:color="auto"/>
          <w:color w:val="auto"/>
        </w:rPr>
        <w:t>Effect of Headings.</w:t>
      </w:r>
      <w:r>
        <w:rPr>
          <w:rFonts w:ascii="Arial" w:cs="Arial" w:eastAsia="Arial" w:hAnsi="Arial"/>
          <w:sz w:val="18"/>
          <w:szCs w:val="18"/>
          <w:color w:val="auto"/>
        </w:rPr>
        <w:t xml:space="preserve"> The Article and Section headings herein and the Table of Contents are for convenience only and shall not affect the construction hereof.</w:t>
      </w:r>
    </w:p>
    <w:p>
      <w:pPr>
        <w:spacing w:after="0" w:line="170" w:lineRule="exact"/>
        <w:rPr>
          <w:sz w:val="20"/>
          <w:szCs w:val="20"/>
          <w:color w:val="auto"/>
        </w:rPr>
      </w:pPr>
    </w:p>
    <w:p>
      <w:pPr>
        <w:ind w:firstLine="1297"/>
        <w:spacing w:after="0" w:line="269" w:lineRule="auto"/>
        <w:rPr>
          <w:sz w:val="20"/>
          <w:szCs w:val="20"/>
          <w:color w:val="auto"/>
        </w:rPr>
      </w:pPr>
      <w:r>
        <w:rPr>
          <w:rFonts w:ascii="Arial" w:cs="Arial" w:eastAsia="Arial" w:hAnsi="Arial"/>
          <w:sz w:val="17"/>
          <w:szCs w:val="17"/>
          <w:color w:val="auto"/>
        </w:rPr>
        <w:t xml:space="preserve">SECTION 10.12. </w:t>
      </w:r>
      <w:r>
        <w:rPr>
          <w:rFonts w:ascii="Arial" w:cs="Arial" w:eastAsia="Arial" w:hAnsi="Arial"/>
          <w:sz w:val="17"/>
          <w:szCs w:val="17"/>
          <w:u w:val="single" w:color="auto"/>
          <w:color w:val="auto"/>
        </w:rPr>
        <w:t>Securities in a Non-U.S. Currency.</w:t>
      </w:r>
      <w:r>
        <w:rPr>
          <w:rFonts w:ascii="Arial" w:cs="Arial" w:eastAsia="Arial" w:hAnsi="Arial"/>
          <w:sz w:val="17"/>
          <w:szCs w:val="17"/>
          <w:color w:val="auto"/>
        </w:rPr>
        <w:t xml:space="preserve"> Unless otherwise specified in an Officers’ Certificate delivered pursuant to Section 2.03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a coin or currency other than Dollars, then the principal amount of Securities of such series which shall be deemed to be Outstanding for the purpose of taking such action shall be that amount of Dollars that could be obtained for such amount at the Market Exchange Rate. For purposes of this Section 10.12, Market Exchange Rate shall mean the noon Dollar buying rate in New York City for cable transfers of that currency as published by the Federal Reserve Bank of New York. If such Market Exchange Rate is not available for any reason with respect to such currency, the Trustee shall use, in its sole discretion and without liability on its part, such quotation of the Federal Reserve Bank of New York as of the most recent available date, or quotations from one or more major banks in The City of New York or in the country of issue of the currency in question, or such other quotations as the Trustee shall deem appropriate. The provisions of this paragraph shall apply in determining the equivalent principal amount in respect of Securities of a series denominated in a currency other than Dollars in connection with any action taken by Holders of Securities pursuant to the terms of this Indenture.</w:t>
      </w:r>
    </w:p>
    <w:p>
      <w:pPr>
        <w:spacing w:after="0" w:line="180"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All decisions and determinations of the Trustee regarding the Market Exchange Rate or any alternative determination provided for in the preceding paragraph shall be in its sole discretion and shall, in the absence of manifest error, be conclusive to the extent permitted by law for all purposes and irrevocably binding upon the Issuer and all Holders.</w:t>
      </w:r>
    </w:p>
    <w:p>
      <w:pPr>
        <w:spacing w:after="0" w:line="181"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color w:val="auto"/>
        </w:rPr>
        <w:t xml:space="preserve">SECTION 10.13. </w:t>
      </w: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xml:space="preserve"> The Issuer agrees that any legal suit, action or proceeding arising out of or based upon this Indenture may be instituted in any federal or state court sitting in New York City, and, to the fullest extent permitted by law, waives any objection which it may now or hereafter have to the laying of venue of any such proceeding, and irrevocably submits to the jurisdiction of such court in any suit, action or proceeding. The Issuer, as long as any of the Securities remain Outstanding or the parties hereto have any obligation under this Indenture, shall have an authorized agent (the “</w:t>
      </w:r>
      <w:r>
        <w:rPr>
          <w:rFonts w:ascii="Arial" w:cs="Arial" w:eastAsia="Arial" w:hAnsi="Arial"/>
          <w:sz w:val="17"/>
          <w:szCs w:val="17"/>
          <w:u w:val="single" w:color="auto"/>
          <w:color w:val="auto"/>
        </w:rPr>
        <w:t>Authorized Agent</w:t>
      </w:r>
      <w:r>
        <w:rPr>
          <w:rFonts w:ascii="Arial" w:cs="Arial" w:eastAsia="Arial" w:hAnsi="Arial"/>
          <w:sz w:val="17"/>
          <w:szCs w:val="17"/>
          <w:color w:val="auto"/>
        </w:rPr>
        <w:t>”) in the United States upon whom process may be served in any such legal action or proceeding. Service of process upon such agent and written notice of such service mailed or delivered to it shall to the extent permitted by law be deemed in every respect effective service of process upon it in any such legal action or proceeding and, if it fails to maintain such agent, any such process or summons may be served by mailing a copy thereof by registered mail, or a form of mail substantially equivalent thereto, addressed to it at its address as provided for notices hereunder. The Issuer hereby appoints [ ] as its agent for such purposes, and covenants and agrees that service of process in any legal action or proceeding may be made upon it at such office of such agent.</w:t>
      </w:r>
    </w:p>
    <w:p>
      <w:pPr>
        <w:spacing w:after="0" w:line="178" w:lineRule="exact"/>
        <w:rPr>
          <w:sz w:val="20"/>
          <w:szCs w:val="20"/>
          <w:color w:val="auto"/>
        </w:rPr>
      </w:pPr>
    </w:p>
    <w:p>
      <w:pPr>
        <w:ind w:right="80" w:firstLine="1297"/>
        <w:spacing w:after="0" w:line="288" w:lineRule="auto"/>
        <w:rPr>
          <w:sz w:val="20"/>
          <w:szCs w:val="20"/>
          <w:color w:val="auto"/>
        </w:rPr>
      </w:pPr>
      <w:r>
        <w:rPr>
          <w:rFonts w:ascii="Arial" w:cs="Arial" w:eastAsia="Arial" w:hAnsi="Arial"/>
          <w:sz w:val="16"/>
          <w:szCs w:val="16"/>
          <w:color w:val="auto"/>
        </w:rPr>
        <w:t xml:space="preserve">SECTION 10.14. </w:t>
      </w:r>
      <w:r>
        <w:rPr>
          <w:rFonts w:ascii="Arial" w:cs="Arial" w:eastAsia="Arial" w:hAnsi="Arial"/>
          <w:sz w:val="16"/>
          <w:szCs w:val="16"/>
          <w:u w:val="single" w:color="auto"/>
          <w:color w:val="auto"/>
        </w:rPr>
        <w:t>Judgment Currency.</w:t>
      </w:r>
      <w:r>
        <w:rPr>
          <w:rFonts w:ascii="Arial" w:cs="Arial" w:eastAsia="Arial" w:hAnsi="Arial"/>
          <w:sz w:val="16"/>
          <w:szCs w:val="16"/>
          <w:color w:val="auto"/>
        </w:rPr>
        <w:t xml:space="preserve"> The Issuer agrees, to the fullest extent that it may effectively do so under applicable law, that (a) if for the purpose of obtaining judgment in any court it is necessary to convert the sum due in respect of the principal of or interest on the Securities of any series (the “</w:t>
      </w:r>
      <w:r>
        <w:rPr>
          <w:rFonts w:ascii="Arial" w:cs="Arial" w:eastAsia="Arial" w:hAnsi="Arial"/>
          <w:sz w:val="16"/>
          <w:szCs w:val="16"/>
          <w:u w:val="single" w:color="auto"/>
          <w:color w:val="auto"/>
        </w:rPr>
        <w:t>Required Currency</w:t>
      </w:r>
      <w:r>
        <w:rPr>
          <w:rFonts w:ascii="Arial" w:cs="Arial" w:eastAsia="Arial" w:hAnsi="Arial"/>
          <w:sz w:val="16"/>
          <w:szCs w:val="16"/>
          <w:color w:val="auto"/>
        </w:rPr>
        <w:t>”) into a currency in which a judgment will be rendered (the “</w:t>
      </w:r>
      <w:r>
        <w:rPr>
          <w:rFonts w:ascii="Arial" w:cs="Arial" w:eastAsia="Arial" w:hAnsi="Arial"/>
          <w:sz w:val="16"/>
          <w:szCs w:val="16"/>
          <w:u w:val="single" w:color="auto"/>
          <w:color w:val="auto"/>
        </w:rPr>
        <w:t>Judgment Currency</w:t>
      </w:r>
      <w:r>
        <w:rPr>
          <w:rFonts w:ascii="Arial" w:cs="Arial" w:eastAsia="Arial" w:hAnsi="Arial"/>
          <w:sz w:val="16"/>
          <w:szCs w:val="16"/>
          <w:color w:val="auto"/>
        </w:rPr>
        <w:t>”),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to the extent permitted by applicable law,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or any recovery pursuant to any judgment (whether or not entered in accordance with subsection (a)), in any currency other than the Required Currency, except to the extent that such tender or recovery shall result in the actual receipt, by the payee, of the full amount of</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91" w:name="page92"/>
    <w:bookmarkEnd w:id="91"/>
    <w:p>
      <w:pPr>
        <w:ind w:right="160"/>
        <w:spacing w:after="0" w:line="276" w:lineRule="auto"/>
        <w:rPr>
          <w:sz w:val="20"/>
          <w:szCs w:val="20"/>
          <w:color w:val="auto"/>
        </w:rPr>
      </w:pPr>
      <w:r>
        <w:rPr>
          <w:rFonts w:ascii="Arial" w:cs="Arial" w:eastAsia="Arial" w:hAnsi="Arial"/>
          <w:sz w:val="17"/>
          <w:szCs w:val="17"/>
          <w:color w:val="auto"/>
        </w:rPr>
        <w:t>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“New York Banking Day” means any day except a Saturday, Sunday or a legal holiday in The City of New York or a day on which banking institutions in The City of New York are authorized or required by law or executive order to close.</w:t>
      </w:r>
    </w:p>
    <w:p>
      <w:pPr>
        <w:spacing w:after="0" w:line="173" w:lineRule="exact"/>
        <w:rPr>
          <w:sz w:val="20"/>
          <w:szCs w:val="20"/>
          <w:color w:val="auto"/>
        </w:rPr>
      </w:pPr>
    </w:p>
    <w:p>
      <w:pPr>
        <w:jc w:val="both"/>
        <w:ind w:right="160" w:firstLine="1297"/>
        <w:spacing w:after="0" w:line="264" w:lineRule="auto"/>
        <w:rPr>
          <w:sz w:val="20"/>
          <w:szCs w:val="20"/>
          <w:color w:val="auto"/>
        </w:rPr>
      </w:pPr>
      <w:r>
        <w:rPr>
          <w:rFonts w:ascii="Arial" w:cs="Arial" w:eastAsia="Arial" w:hAnsi="Arial"/>
          <w:sz w:val="18"/>
          <w:szCs w:val="18"/>
          <w:color w:val="auto"/>
        </w:rPr>
        <w:t xml:space="preserve">SECTION 10.15.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ISSUER AND THE TRUSTEE HEREBY IRREVOCABLY WAIVES, TO THE FULLEST EXTENT PERMITTED BY APPLICABLE LAW, ANY AND ALL RIGHT TO TRIAL BY JURY IN ANY LEGAL PROCEEDING ARISING OUT OF OR RELATING TO THIS INDENTURE, THE SECURITIES OR THE TRANSACTION CONTEMPLATED HEREBY.</w:t>
      </w:r>
    </w:p>
    <w:p>
      <w:pPr>
        <w:spacing w:after="0" w:line="181" w:lineRule="exact"/>
        <w:rPr>
          <w:sz w:val="20"/>
          <w:szCs w:val="20"/>
          <w:color w:val="auto"/>
        </w:rPr>
      </w:pPr>
    </w:p>
    <w:p>
      <w:pPr>
        <w:ind w:right="80" w:firstLine="1297"/>
        <w:spacing w:after="0" w:line="276" w:lineRule="auto"/>
        <w:rPr>
          <w:sz w:val="20"/>
          <w:szCs w:val="20"/>
          <w:color w:val="auto"/>
        </w:rPr>
      </w:pPr>
      <w:r>
        <w:rPr>
          <w:rFonts w:ascii="Arial" w:cs="Arial" w:eastAsia="Arial" w:hAnsi="Arial"/>
          <w:sz w:val="17"/>
          <w:szCs w:val="17"/>
          <w:color w:val="auto"/>
        </w:rPr>
        <w:t xml:space="preserve">SECTION 10.16. </w:t>
      </w:r>
      <w:r>
        <w:rPr>
          <w:rFonts w:ascii="Arial" w:cs="Arial" w:eastAsia="Arial" w:hAnsi="Arial"/>
          <w:sz w:val="17"/>
          <w:szCs w:val="17"/>
          <w:u w:val="single" w:color="auto"/>
          <w:color w:val="auto"/>
        </w:rPr>
        <w:t>Force Majeure.</w:t>
      </w:r>
      <w:r>
        <w:rPr>
          <w:rFonts w:ascii="Arial" w:cs="Arial" w:eastAsia="Arial" w:hAnsi="Arial"/>
          <w:sz w:val="17"/>
          <w:szCs w:val="17"/>
          <w:color w:val="auto"/>
        </w:rPr>
        <w:t xml:space="preserve">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11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Redemption of Securities</w:t>
      </w:r>
    </w:p>
    <w:p>
      <w:pPr>
        <w:spacing w:after="0" w:line="225" w:lineRule="exact"/>
        <w:rPr>
          <w:sz w:val="20"/>
          <w:szCs w:val="20"/>
          <w:color w:val="auto"/>
        </w:rPr>
      </w:pPr>
    </w:p>
    <w:p>
      <w:pPr>
        <w:ind w:right="580" w:firstLine="1297"/>
        <w:spacing w:after="0" w:line="277" w:lineRule="auto"/>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 xml:space="preserve"> The provisions of this Article shall be applicable to the Securities of any series which are redeemable before their maturity except as otherwise specified as contemplated by Section 2.03 for Securities of such series.</w:t>
      </w:r>
    </w:p>
    <w:p>
      <w:pPr>
        <w:spacing w:after="0" w:line="170" w:lineRule="exact"/>
        <w:rPr>
          <w:sz w:val="20"/>
          <w:szCs w:val="20"/>
          <w:color w:val="auto"/>
        </w:rPr>
      </w:pPr>
    </w:p>
    <w:p>
      <w:pPr>
        <w:ind w:right="20" w:firstLine="1297"/>
        <w:spacing w:after="0" w:line="273" w:lineRule="auto"/>
        <w:rPr>
          <w:sz w:val="20"/>
          <w:szCs w:val="20"/>
          <w:color w:val="auto"/>
        </w:rPr>
      </w:pPr>
      <w:r>
        <w:rPr>
          <w:rFonts w:ascii="Arial" w:cs="Arial" w:eastAsia="Arial" w:hAnsi="Arial"/>
          <w:sz w:val="17"/>
          <w:szCs w:val="17"/>
          <w:color w:val="auto"/>
        </w:rPr>
        <w:t xml:space="preserve">SECTION 11.02. </w:t>
      </w:r>
      <w:r>
        <w:rPr>
          <w:rFonts w:ascii="Arial" w:cs="Arial" w:eastAsia="Arial" w:hAnsi="Arial"/>
          <w:sz w:val="17"/>
          <w:szCs w:val="17"/>
          <w:u w:val="single" w:color="auto"/>
          <w:color w:val="auto"/>
        </w:rPr>
        <w:t>Notice Of Redemption; Partial Redemptions.</w:t>
      </w:r>
      <w:r>
        <w:rPr>
          <w:rFonts w:ascii="Arial" w:cs="Arial" w:eastAsia="Arial" w:hAnsi="Arial"/>
          <w:sz w:val="17"/>
          <w:szCs w:val="17"/>
          <w:color w:val="auto"/>
        </w:rPr>
        <w:t xml:space="preserve"> Notice of redemption to the Holders of Securities of any series to be redeemed as a whole or in part at the option of the Issuer shall be given by mailing notice of such redemption by first class mail, postage prepaid, at least 30 days and not more than 60 days prior to the date fixed for redemption to such Holders of Securities of such series at their last addresses as they shall appear upon the registry books. Any notice which is mailed in the manner herein provided shall be conclusively presumed to have been duly given, whether or not the Holder receives the notice. Failure to give notice by mail, or any defect in the notice to the Holder of any Security of a series designated for redemption as a whole or in part shall not affect the validity of the proceedings for the redemption of any other Security of such series.</w:t>
      </w:r>
    </w:p>
    <w:p>
      <w:pPr>
        <w:spacing w:after="0" w:line="178" w:lineRule="exact"/>
        <w:rPr>
          <w:sz w:val="20"/>
          <w:szCs w:val="20"/>
          <w:color w:val="auto"/>
        </w:rPr>
      </w:pPr>
    </w:p>
    <w:p>
      <w:pPr>
        <w:ind w:right="60" w:firstLine="1297"/>
        <w:spacing w:after="0" w:line="272" w:lineRule="auto"/>
        <w:rPr>
          <w:sz w:val="20"/>
          <w:szCs w:val="20"/>
          <w:color w:val="auto"/>
        </w:rPr>
      </w:pPr>
      <w:r>
        <w:rPr>
          <w:rFonts w:ascii="Arial" w:cs="Arial" w:eastAsia="Arial" w:hAnsi="Arial"/>
          <w:sz w:val="17"/>
          <w:szCs w:val="17"/>
          <w:color w:val="auto"/>
        </w:rPr>
        <w:t>The notice of redemption to each such Holder shall specify the principal amount of each Security of such series held by such Holder to be redeemed, the date fixed for redemption, the redemption price, the place or places of payment, that payment will be made upon presentation and surrender of such Securities, that such redemption is pursuant to the mandatory or optional sinking fund, or both, if such be the case, that interest accrued to the date fixed for redemption will be paid as specified in such notice and that on and after said date interest thereon or on the portions thereof to be redeemed will cease to accrue. In case any Security of a series is to be redeemed in part only the notice of redemption shall state the portion of the principal amount thereof to be redeemed and shall state that on and after the date fixed for redemption, upon surrender of such Security, a new Security or Securities of such series in principal amount equal to the unredeemed portion thereof will be issued.</w:t>
      </w:r>
    </w:p>
    <w:p>
      <w:pPr>
        <w:spacing w:after="0" w:line="178" w:lineRule="exact"/>
        <w:rPr>
          <w:sz w:val="20"/>
          <w:szCs w:val="20"/>
          <w:color w:val="auto"/>
        </w:rPr>
      </w:pPr>
    </w:p>
    <w:p>
      <w:pPr>
        <w:ind w:firstLine="1297"/>
        <w:spacing w:after="0" w:line="342" w:lineRule="auto"/>
        <w:rPr>
          <w:sz w:val="20"/>
          <w:szCs w:val="20"/>
          <w:color w:val="auto"/>
        </w:rPr>
      </w:pPr>
      <w:r>
        <w:rPr>
          <w:rFonts w:ascii="Arial" w:cs="Arial" w:eastAsia="Arial" w:hAnsi="Arial"/>
          <w:sz w:val="16"/>
          <w:szCs w:val="16"/>
          <w:color w:val="auto"/>
        </w:rPr>
        <w:t xml:space="preserve">The notice of redemption of Securities of any series to be redeemed at the option of the Issuer shall be given by the Issuer or, at the Issuer’s request, by the Trustee in the name and at the expense of the Issuer;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the latter case the Issuer shall give the Trustee at least ten (10) days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t>advance notice of the date upon which the notice is to be given (unless a shorter notice period shall be agreed to by the Trustee in writing).</w:t>
      </w:r>
    </w:p>
    <w:p>
      <w:pPr>
        <w:spacing w:after="0" w:line="225" w:lineRule="exact"/>
        <w:rPr>
          <w:sz w:val="20"/>
          <w:szCs w:val="20"/>
          <w:color w:val="auto"/>
        </w:rPr>
      </w:pPr>
    </w:p>
    <w:p>
      <w:pPr>
        <w:ind w:right="220" w:firstLine="1297"/>
        <w:spacing w:after="0" w:line="264" w:lineRule="auto"/>
        <w:rPr>
          <w:sz w:val="20"/>
          <w:szCs w:val="20"/>
          <w:color w:val="auto"/>
        </w:rPr>
      </w:pPr>
      <w:r>
        <w:rPr>
          <w:rFonts w:ascii="Arial" w:cs="Arial" w:eastAsia="Arial" w:hAnsi="Arial"/>
          <w:sz w:val="18"/>
          <w:szCs w:val="18"/>
          <w:color w:val="auto"/>
        </w:rPr>
        <w:t>A notice of redemption may be conditioned and provide that it is subject to the occurrence of any event described in the notice before the date fixed for the redemption. A notice of conditional redemption will be of no effect unless all conditions to the redemption have occurred before the redemption date or have been waived by the Issuer.</w:t>
      </w:r>
    </w:p>
    <w:p>
      <w:pPr>
        <w:spacing w:after="0" w:line="181"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On or before the redemption date specified in the notice of redemption given as provided in this Section, the Issuer will deposit with the Trustee or with one or more paying agents (or, if the Issuer is acting as its own paying agent, set aside, segregate and hold in trust as provided in Section 3.04) an amount of money or other property sufficient to redeem on the redemption date all the Securities of such series so called for redemption at the appropriate redemption price, together with accrued interest to the date fixed for redemption. If less than all the outstanding Securities of a series are to be redeemed, the Issuer will deliver to the Trustee at least 70 days prior to the date fixed for redemption an Officers’ Certificate stating the aggregate principal amount of Securities to be redeemed.</w:t>
      </w:r>
    </w:p>
    <w:p>
      <w:pPr>
        <w:spacing w:after="0" w:line="193" w:lineRule="exact"/>
        <w:rPr>
          <w:sz w:val="20"/>
          <w:szCs w:val="20"/>
          <w:color w:val="auto"/>
        </w:rPr>
      </w:pPr>
    </w:p>
    <w:p>
      <w:pPr>
        <w:ind w:right="140" w:firstLine="1297"/>
        <w:spacing w:after="0" w:line="293" w:lineRule="auto"/>
        <w:rPr>
          <w:sz w:val="20"/>
          <w:szCs w:val="20"/>
          <w:color w:val="auto"/>
        </w:rPr>
      </w:pPr>
      <w:r>
        <w:rPr>
          <w:rFonts w:ascii="Arial" w:cs="Arial" w:eastAsia="Arial" w:hAnsi="Arial"/>
          <w:sz w:val="16"/>
          <w:szCs w:val="16"/>
          <w:color w:val="auto"/>
        </w:rPr>
        <w:t>If less than all the Securities of a series are to be redeemed, the Trustee shall select, in such manner as it shall deem appropriate and fair, Securities of such series to be redeemed in whole or in part. Securities may be redeemed in part in multiples equal to the minimum authorized denomination for Securities of such series or any multiple thereof. The Trustee shall promptly notify the Issuer in writing of the Securities of such series selected for redemption and, in the case of any Securities of such series selected for partial redemption, the principal amount thereof to be redeemed. For all purposes of this Indenture, unless the context otherwise requires, all provisions relating to the redemption of Securities of any series shall relate, in the case of any Security redeemed or to be redeemed only in part, to the portion of the principal amount of such Security which has been or is to be redeemed.</w:t>
      </w:r>
    </w:p>
    <w:p>
      <w:pPr>
        <w:spacing w:after="0" w:line="165" w:lineRule="exact"/>
        <w:rPr>
          <w:sz w:val="20"/>
          <w:szCs w:val="20"/>
          <w:color w:val="auto"/>
        </w:rPr>
      </w:pPr>
    </w:p>
    <w:p>
      <w:pPr>
        <w:ind w:firstLine="1297"/>
        <w:spacing w:after="0" w:line="288" w:lineRule="auto"/>
        <w:rPr>
          <w:sz w:val="20"/>
          <w:szCs w:val="20"/>
          <w:color w:val="auto"/>
        </w:rPr>
      </w:pPr>
      <w:r>
        <w:rPr>
          <w:rFonts w:ascii="Arial" w:cs="Arial" w:eastAsia="Arial" w:hAnsi="Arial"/>
          <w:sz w:val="16"/>
          <w:szCs w:val="16"/>
          <w:color w:val="auto"/>
        </w:rPr>
        <w:t xml:space="preserve">SECTION 11.03. </w:t>
      </w:r>
      <w:r>
        <w:rPr>
          <w:rFonts w:ascii="Arial" w:cs="Arial" w:eastAsia="Arial" w:hAnsi="Arial"/>
          <w:sz w:val="16"/>
          <w:szCs w:val="16"/>
          <w:u w:val="single" w:color="auto"/>
          <w:color w:val="auto"/>
        </w:rPr>
        <w:t>Payment of Securities Called for Redemption.</w:t>
      </w:r>
      <w:r>
        <w:rPr>
          <w:rFonts w:ascii="Arial" w:cs="Arial" w:eastAsia="Arial" w:hAnsi="Arial"/>
          <w:sz w:val="16"/>
          <w:szCs w:val="16"/>
          <w:color w:val="auto"/>
        </w:rPr>
        <w:t xml:space="preserve"> If notice of redemption has been given as above provided, the Securities or portions of Securities specified in such notice shall become due and payable on the date and at the place stated in such notice at the applicable redemption price, together with interest accrued to the date fixed for redemption, and on and after said date (unless the Issuer shall default in the payment of such Securities at the redemption price, together with interest accrued to said date) interest on the Securities or portions of Securities so called for redemption shall cease to accrue and, except as provided in Sections 5.05 and 9.04, such Securities shall cease from and after the date fixed for redemption to be entitled to any benefit or security under this Indenture, and the Holders thereof shall have no right in respect of such Securities except the right to receive the redemption price thereof and unpaid interest to the date fixed for redemption. On presentation and surrender of such Securities at a place of payment specified in said notice, said Securities or the specified portions thereof shall be paid and redeemed by the Issuer at the applicable redemption price, together with interest accrued thereon to the date fixed for redemption; provided that any semiannual payment of interest becoming due on the date fixed for redemption shall be payable to the Holders of such Securities registered as such on the relevant record date subject to the terms and provisions of Sections 2.03 and 2.04 hereof.</w:t>
      </w:r>
    </w:p>
    <w:p>
      <w:pPr>
        <w:spacing w:after="0" w:line="169" w:lineRule="exact"/>
        <w:rPr>
          <w:sz w:val="20"/>
          <w:szCs w:val="20"/>
          <w:color w:val="auto"/>
        </w:rPr>
      </w:pPr>
    </w:p>
    <w:p>
      <w:pPr>
        <w:ind w:right="240" w:firstLine="1297"/>
        <w:spacing w:after="0" w:line="264"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principal shall, until paid or duly provided for, bear interest from the date fixed for redemption at the rate of interest or Yield to Maturity (in the case of an Original Issue Discount Security) borne by such Security.</w:t>
      </w:r>
    </w:p>
    <w:p>
      <w:pPr>
        <w:spacing w:after="0" w:line="181"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Upon presentation of any Security redeemed in part only, the Issuer shall execute and the Trustee shall authenticate and deliver to or on the order of the Holder thereof, at the expense of the Issuer, a new Security or Securities of such series, of authorized denominations, in principal amount equal to the unredeemed portion of the Security so presented.</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Exclusion of Certain Securities from Eligibility for Selection for Redemption.</w:t>
      </w:r>
      <w:r>
        <w:rPr>
          <w:rFonts w:ascii="Arial" w:cs="Arial" w:eastAsia="Arial" w:hAnsi="Arial"/>
          <w:sz w:val="18"/>
          <w:szCs w:val="18"/>
          <w:color w:val="auto"/>
        </w:rPr>
        <w:t xml:space="preserve"> Securities shall be excluded from eligibility for selection for redemption if they are identified</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93" w:name="page94"/>
    <w:bookmarkEnd w:id="93"/>
    <w:p>
      <w:pPr>
        <w:spacing w:after="0" w:line="259" w:lineRule="auto"/>
        <w:rPr>
          <w:sz w:val="20"/>
          <w:szCs w:val="20"/>
          <w:color w:val="auto"/>
        </w:rPr>
      </w:pPr>
      <w:r>
        <w:rPr>
          <w:rFonts w:ascii="Arial" w:cs="Arial" w:eastAsia="Arial" w:hAnsi="Arial"/>
          <w:sz w:val="18"/>
          <w:szCs w:val="18"/>
          <w:color w:val="auto"/>
        </w:rPr>
        <w:t>by registration and certificate number in a written statement signed by an authorized officer of the Issuer and delivered to the Trustee at least 40 days prior to the last date on which notice of redemption may be given as being owned of record and beneficially by, and not pledged or hypothecated by either (a) the Issuer or (b) an entity specifically identified in such written statement as directly or indirectly controlling or controlled by or under direct or indirect common control with the Issuer.</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[Signature Page Follows]</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40"/>
          </w:cols>
          <w:pgMar w:left="240" w:top="409" w:right="319" w:bottom="1440" w:gutter="0" w:footer="0" w:header="0"/>
        </w:sectPr>
      </w:pPr>
    </w:p>
    <w:bookmarkStart w:id="94" w:name="page95"/>
    <w:bookmarkEnd w:id="94"/>
    <w:p>
      <w:pPr>
        <w:ind w:left="100"/>
        <w:spacing w:after="0"/>
        <w:rPr>
          <w:sz w:val="20"/>
          <w:szCs w:val="20"/>
          <w:color w:val="auto"/>
        </w:rPr>
      </w:pPr>
      <w:r>
        <w:rPr>
          <w:rFonts w:ascii="Arial" w:cs="Arial" w:eastAsia="Arial" w:hAnsi="Arial"/>
          <w:sz w:val="17"/>
          <w:szCs w:val="17"/>
          <w:color w:val="auto"/>
        </w:rPr>
        <w:t>IN WITNESS WHEREOF, the parties hereto have caused this Indenture to be duly executed as of March 22, 2017.</w:t>
      </w:r>
    </w:p>
    <w:p>
      <w:pPr>
        <w:spacing w:after="0" w:line="23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Nicola Lloyd</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Nicola Lloyd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General Counsel</w:t>
      </w:r>
    </w:p>
    <w:p>
      <w:pPr>
        <w:spacing w:after="0" w:line="211" w:lineRule="exact"/>
        <w:rPr>
          <w:sz w:val="20"/>
          <w:szCs w:val="20"/>
          <w:color w:val="auto"/>
        </w:rPr>
      </w:pPr>
    </w:p>
    <w:p>
      <w:pPr>
        <w:ind w:left="4180" w:right="99"/>
        <w:spacing w:after="0" w:line="277" w:lineRule="auto"/>
        <w:rPr>
          <w:sz w:val="20"/>
          <w:szCs w:val="20"/>
          <w:color w:val="auto"/>
        </w:rPr>
      </w:pPr>
      <w:r>
        <w:rPr>
          <w:rFonts w:ascii="Arial" w:cs="Arial" w:eastAsia="Arial" w:hAnsi="Arial"/>
          <w:sz w:val="18"/>
          <w:szCs w:val="18"/>
          <w:color w:val="auto"/>
        </w:rPr>
        <w:t>AMERICAN STOCK TRANSFER &amp; TRUST COMPANY, LLC, AS TRUSTEE,</w:t>
      </w:r>
    </w:p>
    <w:p>
      <w:pPr>
        <w:spacing w:after="0" w:line="170"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Paul H. Kim</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Paul H.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Assistant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160020</wp:posOffset>
            </wp:positionV>
            <wp:extent cx="7246620" cy="342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019"/>
          </w:cols>
          <w:pgMar w:left="1440" w:top="409" w:right="1440" w:bottom="1440" w:gutter="0" w:footer="0" w:header="0"/>
        </w:sectPr>
      </w:pPr>
    </w:p>
    <w:bookmarkStart w:id="95" w:name="page96"/>
    <w:bookmarkEnd w:id="95"/>
    <w:p>
      <w:pPr>
        <w:jc w:val="right"/>
        <w:spacing w:after="0"/>
        <w:rPr>
          <w:sz w:val="20"/>
          <w:szCs w:val="20"/>
          <w:color w:val="auto"/>
        </w:rPr>
      </w:pPr>
      <w:r>
        <w:rPr>
          <w:rFonts w:ascii="Arial" w:cs="Arial" w:eastAsia="Arial" w:hAnsi="Arial"/>
          <w:sz w:val="22"/>
          <w:szCs w:val="22"/>
          <w:b w:val="1"/>
          <w:bCs w:val="1"/>
          <w:color w:val="auto"/>
        </w:rPr>
        <w:t>Exhibit 4.2</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Version</w:t>
      </w:r>
    </w:p>
    <w:p>
      <w:pPr>
        <w:spacing w:after="0" w:line="227"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GASLOG LTD.,</w:t>
      </w:r>
    </w:p>
    <w:p>
      <w:pPr>
        <w:spacing w:after="0" w:line="233"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as Issuer</w:t>
      </w:r>
    </w:p>
    <w:p>
      <w:pPr>
        <w:spacing w:after="0" w:line="233"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and</w:t>
      </w:r>
    </w:p>
    <w:p>
      <w:pPr>
        <w:spacing w:after="0" w:line="233"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AMERICAN STOCK TRANSFER &amp; TRUST COMPANY, LLC, as Trustee</w:t>
      </w:r>
    </w:p>
    <w:p>
      <w:pPr>
        <w:spacing w:after="0" w:line="245"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FIRST SUPPLEMENTAL INDENTURE</w:t>
      </w:r>
    </w:p>
    <w:p>
      <w:pPr>
        <w:spacing w:after="0" w:line="233"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Dated as of March 22, 2017</w:t>
      </w:r>
    </w:p>
    <w:p>
      <w:pPr>
        <w:spacing w:after="0" w:line="233"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To</w:t>
      </w:r>
    </w:p>
    <w:p>
      <w:pPr>
        <w:spacing w:after="0" w:line="233"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INDENTURE</w:t>
      </w:r>
    </w:p>
    <w:p>
      <w:pPr>
        <w:spacing w:after="0" w:line="233" w:lineRule="exact"/>
        <w:rPr>
          <w:sz w:val="20"/>
          <w:szCs w:val="20"/>
          <w:color w:val="auto"/>
        </w:rPr>
      </w:pPr>
    </w:p>
    <w:p>
      <w:pPr>
        <w:ind w:left="3260"/>
        <w:spacing w:after="0"/>
        <w:rPr>
          <w:sz w:val="20"/>
          <w:szCs w:val="20"/>
          <w:color w:val="auto"/>
        </w:rPr>
      </w:pPr>
      <w:r>
        <w:rPr>
          <w:rFonts w:ascii="Arial" w:cs="Arial" w:eastAsia="Arial" w:hAnsi="Arial"/>
          <w:sz w:val="22"/>
          <w:szCs w:val="22"/>
          <w:b w:val="1"/>
          <w:bCs w:val="1"/>
          <w:color w:val="auto"/>
        </w:rPr>
        <w:t>Dated as of March 22, 2017</w:t>
      </w:r>
    </w:p>
    <w:p>
      <w:pPr>
        <w:spacing w:after="0" w:line="233" w:lineRule="exact"/>
        <w:rPr>
          <w:sz w:val="20"/>
          <w:szCs w:val="20"/>
          <w:color w:val="auto"/>
        </w:rPr>
      </w:pPr>
    </w:p>
    <w:p>
      <w:pPr>
        <w:ind w:left="3120"/>
        <w:spacing w:after="0"/>
        <w:rPr>
          <w:sz w:val="20"/>
          <w:szCs w:val="20"/>
          <w:color w:val="auto"/>
        </w:rPr>
      </w:pPr>
      <w:r>
        <w:rPr>
          <w:rFonts w:ascii="Arial" w:cs="Arial" w:eastAsia="Arial" w:hAnsi="Arial"/>
          <w:sz w:val="22"/>
          <w:szCs w:val="22"/>
          <w:b w:val="1"/>
          <w:bCs w:val="1"/>
          <w:color w:val="auto"/>
        </w:rPr>
        <w:t>8.875% Senior Notes due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165735</wp:posOffset>
            </wp:positionV>
            <wp:extent cx="7246620" cy="34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20"/>
          </w:cols>
          <w:pgMar w:left="1440" w:top="111" w:right="239" w:bottom="1440" w:gutter="0" w:footer="0" w:header="0"/>
        </w:sectPr>
      </w:pPr>
    </w:p>
    <w:bookmarkStart w:id="96" w:name="page97"/>
    <w:bookmarkEnd w:id="96"/>
    <w:p>
      <w:pPr>
        <w:ind w:right="20" w:firstLine="648"/>
        <w:spacing w:after="0" w:line="239" w:lineRule="auto"/>
        <w:rPr>
          <w:sz w:val="20"/>
          <w:szCs w:val="20"/>
          <w:color w:val="auto"/>
        </w:rPr>
      </w:pPr>
      <w:r>
        <w:rPr>
          <w:rFonts w:ascii="Arial" w:cs="Arial" w:eastAsia="Arial" w:hAnsi="Arial"/>
          <w:sz w:val="22"/>
          <w:szCs w:val="22"/>
          <w:b w:val="1"/>
          <w:bCs w:val="1"/>
          <w:color w:val="auto"/>
        </w:rPr>
        <w:t xml:space="preserve">FIRST SUPPLEMENTAL INDENTURE </w:t>
      </w:r>
      <w:r>
        <w:rPr>
          <w:rFonts w:ascii="Arial" w:cs="Arial" w:eastAsia="Arial" w:hAnsi="Arial"/>
          <w:sz w:val="22"/>
          <w:szCs w:val="22"/>
          <w:color w:val="auto"/>
        </w:rPr>
        <w:t>, dated as of March 22, 2017 (this “</w:t>
      </w:r>
      <w:r>
        <w:rPr>
          <w:rFonts w:ascii="Arial" w:cs="Arial" w:eastAsia="Arial" w:hAnsi="Arial"/>
          <w:sz w:val="22"/>
          <w:szCs w:val="22"/>
          <w:b w:val="1"/>
          <w:bCs w:val="1"/>
          <w:color w:val="auto"/>
        </w:rPr>
        <w:t>Supplemental Indenture</w:t>
      </w:r>
      <w:r>
        <w:rPr>
          <w:rFonts w:ascii="Arial" w:cs="Arial" w:eastAsia="Arial" w:hAnsi="Arial"/>
          <w:sz w:val="22"/>
          <w:szCs w:val="22"/>
          <w:color w:val="auto"/>
        </w:rPr>
        <w:t>” or “</w:t>
      </w:r>
      <w:r>
        <w:rPr>
          <w:rFonts w:ascii="Arial" w:cs="Arial" w:eastAsia="Arial" w:hAnsi="Arial"/>
          <w:sz w:val="22"/>
          <w:szCs w:val="22"/>
          <w:b w:val="1"/>
          <w:bCs w:val="1"/>
          <w:color w:val="auto"/>
        </w:rPr>
        <w:t>First Supplemental Indenture</w:t>
      </w:r>
      <w:r>
        <w:rPr>
          <w:rFonts w:ascii="Arial" w:cs="Arial" w:eastAsia="Arial" w:hAnsi="Arial"/>
          <w:sz w:val="22"/>
          <w:szCs w:val="22"/>
          <w:color w:val="auto"/>
        </w:rPr>
        <w:t>”), between GasLog Ltd., a Bermuda exempted company (herein called the “</w:t>
      </w:r>
      <w:r>
        <w:rPr>
          <w:rFonts w:ascii="Arial" w:cs="Arial" w:eastAsia="Arial" w:hAnsi="Arial"/>
          <w:sz w:val="22"/>
          <w:szCs w:val="22"/>
          <w:b w:val="1"/>
          <w:bCs w:val="1"/>
          <w:color w:val="auto"/>
        </w:rPr>
        <w:t>Issuer</w:t>
      </w:r>
      <w:r>
        <w:rPr>
          <w:rFonts w:ascii="Arial" w:cs="Arial" w:eastAsia="Arial" w:hAnsi="Arial"/>
          <w:sz w:val="22"/>
          <w:szCs w:val="22"/>
          <w:color w:val="auto"/>
        </w:rPr>
        <w:t>”), having its principal</w:t>
      </w:r>
      <w:r>
        <w:rPr>
          <w:rFonts w:ascii="Arial" w:cs="Arial" w:eastAsia="Arial" w:hAnsi="Arial"/>
          <w:sz w:val="22"/>
          <w:szCs w:val="22"/>
          <w:b w:val="1"/>
          <w:bCs w:val="1"/>
          <w:color w:val="auto"/>
        </w:rPr>
        <w:t xml:space="preserve"> </w:t>
      </w:r>
      <w:r>
        <w:rPr>
          <w:rFonts w:ascii="Arial" w:cs="Arial" w:eastAsia="Arial" w:hAnsi="Arial"/>
          <w:sz w:val="22"/>
          <w:szCs w:val="22"/>
          <w:color w:val="auto"/>
        </w:rPr>
        <w:t>office at Gildo Pastor Center, 7 Rue du Gabian, MC 98000, Monaco, and American Stock Transfer &amp; Trust Company, LLC, as Trustee (herein called the “</w:t>
      </w:r>
      <w:r>
        <w:rPr>
          <w:rFonts w:ascii="Arial" w:cs="Arial" w:eastAsia="Arial" w:hAnsi="Arial"/>
          <w:sz w:val="22"/>
          <w:szCs w:val="22"/>
          <w:b w:val="1"/>
          <w:bCs w:val="1"/>
          <w:color w:val="auto"/>
        </w:rPr>
        <w:t>Trustee</w:t>
      </w:r>
      <w:r>
        <w:rPr>
          <w:rFonts w:ascii="Arial" w:cs="Arial" w:eastAsia="Arial" w:hAnsi="Arial"/>
          <w:sz w:val="22"/>
          <w:szCs w:val="22"/>
          <w:color w:val="auto"/>
        </w:rPr>
        <w: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 OF THE ISSUER</w:t>
      </w:r>
    </w:p>
    <w:p>
      <w:pPr>
        <w:spacing w:after="0" w:line="233" w:lineRule="exact"/>
        <w:rPr>
          <w:sz w:val="20"/>
          <w:szCs w:val="20"/>
          <w:color w:val="auto"/>
        </w:rPr>
      </w:pPr>
    </w:p>
    <w:p>
      <w:pPr>
        <w:jc w:val="both"/>
        <w:ind w:right="40" w:firstLine="648"/>
        <w:spacing w:after="0" w:line="301" w:lineRule="auto"/>
        <w:rPr>
          <w:sz w:val="20"/>
          <w:szCs w:val="20"/>
          <w:color w:val="auto"/>
        </w:rPr>
      </w:pPr>
      <w:r>
        <w:rPr>
          <w:rFonts w:ascii="Arial" w:cs="Arial" w:eastAsia="Arial" w:hAnsi="Arial"/>
          <w:sz w:val="19"/>
          <w:szCs w:val="19"/>
          <w:color w:val="auto"/>
        </w:rPr>
        <w:t>WHEREAS, the Issuer and the Trustee are parties to an Indenture dated as of March 22, 2017 (the “</w:t>
      </w:r>
      <w:r>
        <w:rPr>
          <w:rFonts w:ascii="Arial" w:cs="Arial" w:eastAsia="Arial" w:hAnsi="Arial"/>
          <w:sz w:val="19"/>
          <w:szCs w:val="19"/>
          <w:b w:val="1"/>
          <w:bCs w:val="1"/>
          <w:color w:val="auto"/>
        </w:rPr>
        <w:t>Indenture</w:t>
      </w:r>
      <w:r>
        <w:rPr>
          <w:rFonts w:ascii="Arial" w:cs="Arial" w:eastAsia="Arial" w:hAnsi="Arial"/>
          <w:sz w:val="19"/>
          <w:szCs w:val="19"/>
          <w:color w:val="auto"/>
        </w:rPr>
        <w:t>”), providing for the issuance from time to time of debentures, notes or other evidences of indebtedness to be issued in one or more series (herein called the “</w:t>
      </w:r>
      <w:r>
        <w:rPr>
          <w:rFonts w:ascii="Arial" w:cs="Arial" w:eastAsia="Arial" w:hAnsi="Arial"/>
          <w:sz w:val="19"/>
          <w:szCs w:val="19"/>
          <w:b w:val="1"/>
          <w:bCs w:val="1"/>
          <w:color w:val="auto"/>
        </w:rPr>
        <w:t>Securities</w:t>
      </w:r>
      <w:r>
        <w:rPr>
          <w:rFonts w:ascii="Arial" w:cs="Arial" w:eastAsia="Arial" w:hAnsi="Arial"/>
          <w:sz w:val="19"/>
          <w:szCs w:val="19"/>
          <w:color w:val="auto"/>
        </w:rPr>
        <w:t>”), the terms of which are to be determined as set forth in Section 2.03 of the Indenture;</w:t>
      </w:r>
    </w:p>
    <w:p>
      <w:pPr>
        <w:spacing w:after="0" w:line="156" w:lineRule="exact"/>
        <w:rPr>
          <w:sz w:val="20"/>
          <w:szCs w:val="20"/>
          <w:color w:val="auto"/>
        </w:rPr>
      </w:pPr>
    </w:p>
    <w:p>
      <w:pPr>
        <w:ind w:right="40" w:firstLine="648"/>
        <w:spacing w:after="0" w:line="297" w:lineRule="auto"/>
        <w:rPr>
          <w:sz w:val="20"/>
          <w:szCs w:val="20"/>
          <w:color w:val="auto"/>
        </w:rPr>
      </w:pPr>
      <w:r>
        <w:rPr>
          <w:rFonts w:ascii="Arial" w:cs="Arial" w:eastAsia="Arial" w:hAnsi="Arial"/>
          <w:sz w:val="19"/>
          <w:szCs w:val="19"/>
          <w:color w:val="auto"/>
        </w:rPr>
        <w:t>WHEREAS, pursuant to Section 7.01 of the Indenture, without the consent of any Holders, the Issuer, when authorized by a resolution of its Board, and the Trustee, may from time to time and at any time enter into an indenture or indentures supplemental to the Indenture to establish the form or terms of Securities of any series as permitted by Sections 2.01 and 2.03 of the Indenture;</w:t>
      </w:r>
    </w:p>
    <w:p>
      <w:pPr>
        <w:spacing w:after="0" w:line="161" w:lineRule="exact"/>
        <w:rPr>
          <w:sz w:val="20"/>
          <w:szCs w:val="20"/>
          <w:color w:val="auto"/>
        </w:rPr>
      </w:pPr>
    </w:p>
    <w:p>
      <w:pPr>
        <w:ind w:right="320" w:firstLine="648"/>
        <w:spacing w:after="0" w:line="258" w:lineRule="auto"/>
        <w:rPr>
          <w:sz w:val="20"/>
          <w:szCs w:val="20"/>
          <w:color w:val="auto"/>
        </w:rPr>
      </w:pPr>
      <w:r>
        <w:rPr>
          <w:rFonts w:ascii="Arial" w:cs="Arial" w:eastAsia="Arial" w:hAnsi="Arial"/>
          <w:sz w:val="21"/>
          <w:szCs w:val="21"/>
          <w:color w:val="auto"/>
        </w:rPr>
        <w:t>WHEREAS, pursuant to this Supplemental Indenture, the Issuer desires to create a new series of Securities under the Indenture, to be titled the 8.875% Senior Notes due 2022 in an initial aggregate principal amount of $250,000,000 (the “</w:t>
      </w:r>
      <w:r>
        <w:rPr>
          <w:rFonts w:ascii="Arial" w:cs="Arial" w:eastAsia="Arial" w:hAnsi="Arial"/>
          <w:sz w:val="21"/>
          <w:szCs w:val="21"/>
          <w:b w:val="1"/>
          <w:bCs w:val="1"/>
          <w:color w:val="auto"/>
        </w:rPr>
        <w:t>Notes</w:t>
      </w:r>
      <w:r>
        <w:rPr>
          <w:rFonts w:ascii="Arial" w:cs="Arial" w:eastAsia="Arial" w:hAnsi="Arial"/>
          <w:sz w:val="21"/>
          <w:szCs w:val="21"/>
          <w:color w:val="auto"/>
        </w:rPr>
        <w:t>”) and to establish the forms and the terms, conditions, rights and preferences thereof;</w:t>
      </w:r>
    </w:p>
    <w:p>
      <w:pPr>
        <w:spacing w:after="0" w:line="194" w:lineRule="exact"/>
        <w:rPr>
          <w:sz w:val="20"/>
          <w:szCs w:val="20"/>
          <w:color w:val="auto"/>
        </w:rPr>
      </w:pPr>
    </w:p>
    <w:p>
      <w:pPr>
        <w:ind w:right="40" w:firstLine="648"/>
        <w:spacing w:after="0" w:line="251" w:lineRule="auto"/>
        <w:rPr>
          <w:sz w:val="20"/>
          <w:szCs w:val="20"/>
          <w:color w:val="auto"/>
        </w:rPr>
      </w:pPr>
      <w:r>
        <w:rPr>
          <w:rFonts w:ascii="Arial" w:cs="Arial" w:eastAsia="Arial" w:hAnsi="Arial"/>
          <w:sz w:val="22"/>
          <w:szCs w:val="22"/>
          <w:color w:val="auto"/>
        </w:rPr>
        <w:t>WHEREAS, all action on the part of the Issuer necessary to authorize the issuance of the Notes under the Indenture and this Supplemental Indenture has been duly taken; and</w:t>
      </w:r>
    </w:p>
    <w:p>
      <w:pPr>
        <w:spacing w:after="0" w:line="200" w:lineRule="exact"/>
        <w:rPr>
          <w:sz w:val="20"/>
          <w:szCs w:val="20"/>
          <w:color w:val="auto"/>
        </w:rPr>
      </w:pPr>
    </w:p>
    <w:p>
      <w:pPr>
        <w:ind w:right="340" w:firstLine="648"/>
        <w:spacing w:after="0" w:line="238" w:lineRule="auto"/>
        <w:rPr>
          <w:sz w:val="20"/>
          <w:szCs w:val="20"/>
          <w:color w:val="auto"/>
        </w:rPr>
      </w:pPr>
      <w:r>
        <w:rPr>
          <w:rFonts w:ascii="Arial" w:cs="Arial" w:eastAsia="Arial" w:hAnsi="Arial"/>
          <w:sz w:val="22"/>
          <w:szCs w:val="22"/>
          <w:color w:val="auto"/>
        </w:rPr>
        <w:t>WHEREAS, all acts and requirements necessary to make the Notes, when executed by the Issuer and authenticated and delivered by the Trustee as provided in the Indenture and this Supplemental Indenture, the valid and binding obligations of the Issuer and to make this Supplemental Indenture a valid and binding agreement in accordance with the Indenture have been done and performed.</w:t>
      </w:r>
    </w:p>
    <w:p>
      <w:pPr>
        <w:spacing w:after="0" w:line="212" w:lineRule="exact"/>
        <w:rPr>
          <w:sz w:val="20"/>
          <w:szCs w:val="20"/>
          <w:color w:val="auto"/>
        </w:rPr>
      </w:pPr>
    </w:p>
    <w:p>
      <w:pPr>
        <w:ind w:right="40" w:firstLine="648"/>
        <w:spacing w:after="0"/>
        <w:rPr>
          <w:sz w:val="20"/>
          <w:szCs w:val="20"/>
          <w:color w:val="auto"/>
        </w:rPr>
      </w:pPr>
      <w:r>
        <w:rPr>
          <w:rFonts w:ascii="Arial" w:cs="Arial" w:eastAsia="Arial" w:hAnsi="Arial"/>
          <w:sz w:val="22"/>
          <w:szCs w:val="22"/>
          <w:color w:val="auto"/>
        </w:rPr>
        <w:t>NOW, THEREFORE, in consideration of the premises, agreements and obligations set forth herein and for other good and valuable consideration, the receipt and sufficiency of which are hereby acknowledged, the parties hereto hereby agree, for the equal and proportionate benefit of all Holders of the Notes, as follows: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w:t>
      </w:r>
      <w:r>
        <w:rPr>
          <w:rFonts w:ascii="Arial" w:cs="Arial" w:eastAsia="Arial" w:hAnsi="Arial"/>
          <w:sz w:val="14"/>
          <w:szCs w:val="14"/>
          <w:b w:val="1"/>
          <w:bCs w:val="1"/>
          <w:color w:val="auto"/>
        </w:rPr>
        <w:t>EFINITIONS AND</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ROVISIONS OF</w:t>
      </w:r>
      <w:r>
        <w:rPr>
          <w:rFonts w:ascii="Arial" w:cs="Arial" w:eastAsia="Arial" w:hAnsi="Arial"/>
          <w:sz w:val="22"/>
          <w:szCs w:val="22"/>
          <w:b w:val="1"/>
          <w:bCs w:val="1"/>
          <w:color w:val="auto"/>
        </w:rPr>
        <w:t xml:space="preserve"> G</w:t>
      </w:r>
      <w:r>
        <w:rPr>
          <w:rFonts w:ascii="Arial" w:cs="Arial" w:eastAsia="Arial" w:hAnsi="Arial"/>
          <w:sz w:val="14"/>
          <w:szCs w:val="14"/>
          <w:b w:val="1"/>
          <w:bCs w:val="1"/>
          <w:color w:val="auto"/>
        </w:rPr>
        <w:t>ENERAL</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PPLICATION</w:t>
      </w:r>
    </w:p>
    <w:p>
      <w:pPr>
        <w:spacing w:after="0" w:line="20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Section 1.01 </w:t>
      </w:r>
      <w:r>
        <w:rPr>
          <w:rFonts w:ascii="Arial" w:cs="Arial" w:eastAsia="Arial" w:hAnsi="Arial"/>
          <w:sz w:val="22"/>
          <w:szCs w:val="22"/>
          <w:b w:val="1"/>
          <w:bCs w:val="1"/>
          <w:i w:val="1"/>
          <w:iCs w:val="1"/>
          <w:color w:val="auto"/>
        </w:rPr>
        <w:t>Relationship with Indenture</w:t>
      </w:r>
      <w:r>
        <w:rPr>
          <w:rFonts w:ascii="Arial" w:cs="Arial" w:eastAsia="Arial" w:hAnsi="Arial"/>
          <w:sz w:val="22"/>
          <w:szCs w:val="22"/>
          <w:color w:val="auto"/>
        </w:rPr>
        <w:t>. With respect to the Notes, this Supplemental Indenture constitutes an integral</w:t>
      </w:r>
      <w:r>
        <w:rPr>
          <w:rFonts w:ascii="Arial" w:cs="Arial" w:eastAsia="Arial" w:hAnsi="Arial"/>
          <w:sz w:val="22"/>
          <w:szCs w:val="22"/>
          <w:b w:val="1"/>
          <w:bCs w:val="1"/>
          <w:color w:val="auto"/>
        </w:rPr>
        <w:t xml:space="preserve"> </w:t>
      </w:r>
      <w:r>
        <w:rPr>
          <w:rFonts w:ascii="Arial" w:cs="Arial" w:eastAsia="Arial" w:hAnsi="Arial"/>
          <w:sz w:val="22"/>
          <w:szCs w:val="22"/>
          <w:color w:val="auto"/>
        </w:rPr>
        <w:t>part of the Indenture. In the event of any inconsistency between the Indenture and this Supplemental Indenture, this Supplemental Indenture shall govern with respect to the Notes. The words “herein,” “hereof,” “hereunder,” and words of similar import shall refer to this Supplemental Indenture.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97" w:name="page98"/>
    <w:bookmarkEnd w:id="97"/>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Section 1.02 </w:t>
      </w:r>
      <w:r>
        <w:rPr>
          <w:rFonts w:ascii="Arial" w:cs="Arial" w:eastAsia="Arial" w:hAnsi="Arial"/>
          <w:sz w:val="19"/>
          <w:szCs w:val="19"/>
          <w:b w:val="1"/>
          <w:bCs w:val="1"/>
          <w:i w:val="1"/>
          <w:iCs w:val="1"/>
          <w:color w:val="auto"/>
        </w:rPr>
        <w:t>Definitions</w:t>
      </w:r>
      <w:r>
        <w:rPr>
          <w:rFonts w:ascii="Arial" w:cs="Arial" w:eastAsia="Arial" w:hAnsi="Arial"/>
          <w:sz w:val="19"/>
          <w:szCs w:val="19"/>
          <w:color w:val="auto"/>
        </w:rPr>
        <w:t>. All terms contained in this Supplemental Indenture shall, except as specifically provided herein or</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the context may otherwise require, have the meanings defined in the Indenture. Solely with respect to the Notes and this Supplemental Indenture, the following definitions shall be added to Section 1.01 of the Indenture and replace any existing definitions (as applicable) in the Indenture, each in appropriate alphabetical order, unless the context requires otherwise.</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Additional Amounts</w:t>
      </w:r>
      <w:r>
        <w:rPr>
          <w:rFonts w:ascii="Arial" w:cs="Arial" w:eastAsia="Arial" w:hAnsi="Arial"/>
          <w:sz w:val="22"/>
          <w:szCs w:val="22"/>
          <w:color w:val="auto"/>
        </w:rPr>
        <w:t>” has the meaning specified in Section 7.01(a) herein.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Additional Interest</w:t>
      </w:r>
      <w:r>
        <w:rPr>
          <w:rFonts w:ascii="Arial" w:cs="Arial" w:eastAsia="Arial" w:hAnsi="Arial"/>
          <w:sz w:val="22"/>
          <w:szCs w:val="22"/>
          <w:color w:val="auto"/>
        </w:rPr>
        <w:t>” has the meaning specified in Section 8.01 herein.</w:t>
      </w:r>
    </w:p>
    <w:p>
      <w:pPr>
        <w:spacing w:after="0" w:line="2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Affiliate</w:t>
      </w:r>
      <w:r>
        <w:rPr>
          <w:rFonts w:ascii="Arial" w:cs="Arial" w:eastAsia="Arial" w:hAnsi="Arial"/>
          <w:sz w:val="21"/>
          <w:szCs w:val="21"/>
          <w:color w:val="auto"/>
        </w:rPr>
        <w:t>” of any specified Person means any other Person directly or indirectly controlling or controlled by or under direct or indirect common control with such specified Person. For purposes of this definition, “control” (including, with correlative meanings, the terms “controlling,” “controlled by” and “under common control with”), as used with respect to any Person, shall mean the possession, directly or indirectly, of the power to direct or cause the direction of the management or policies of such Person, whether through the ownership of voting securities, by agreement or otherwise.</w:t>
      </w:r>
    </w:p>
    <w:p>
      <w:pPr>
        <w:spacing w:after="0" w:line="1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Cash and Cash Equivalents</w:t>
      </w:r>
      <w:r>
        <w:rPr>
          <w:rFonts w:ascii="Arial" w:cs="Arial" w:eastAsia="Arial" w:hAnsi="Arial"/>
          <w:sz w:val="21"/>
          <w:szCs w:val="21"/>
          <w:color w:val="auto"/>
        </w:rPr>
        <w:t>” means cash on hand, deposits with banks which are repayable on demand, short term, highly liquid investments which are readily convertible into known amounts of cash with original maturities of six months or less that are subject to an insignificant risk of change in value, but exclude any cash that is specifically blocked and/or charged. For the avoidance of doubt, Cash and Cash Equivalents shall not be subject to any Encumbrances.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of Control Purchase Date</w:t>
      </w:r>
      <w:r>
        <w:rPr>
          <w:rFonts w:ascii="Arial" w:cs="Arial" w:eastAsia="Arial" w:hAnsi="Arial"/>
          <w:sz w:val="22"/>
          <w:szCs w:val="22"/>
          <w:color w:val="auto"/>
        </w:rPr>
        <w:t>” has the meaning specified in Section 6.01(a) herein.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of Control Purchase Price</w:t>
      </w:r>
      <w:r>
        <w:rPr>
          <w:rFonts w:ascii="Arial" w:cs="Arial" w:eastAsia="Arial" w:hAnsi="Arial"/>
          <w:sz w:val="22"/>
          <w:szCs w:val="22"/>
          <w:color w:val="auto"/>
        </w:rPr>
        <w:t>” has the meaning specified in Section 6.01(a) herein.</w:t>
      </w:r>
    </w:p>
    <w:p>
      <w:pPr>
        <w:spacing w:after="0" w:line="233"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Change of Control</w:t>
      </w:r>
      <w:r>
        <w:rPr>
          <w:rFonts w:ascii="Arial" w:cs="Arial" w:eastAsia="Arial" w:hAnsi="Arial"/>
          <w:sz w:val="21"/>
          <w:szCs w:val="21"/>
          <w:color w:val="auto"/>
        </w:rPr>
        <w:t>” means (1) any “person” (as such term is used in Sections 13(d) and 14(d) of the Exchange Act), other than one or more Permitted Holders, is or becomes the “Beneficial Owner” (as defined in Rules 13d-3 and 13d-5 under the Exchange Act, except that for purposes of this clause (1) such “person” shall be deemed to have “Beneficial Ownership” of all shares that any such “person” has the right to acquire, whether such right is exercisable immediately or only after the passage of time), directly or indirectly, of more than 50% of the total voting power of the Voting Stock (as defined below) of the Issuer; or (2) the merger or consolidation of the Issuer with or into another “person” or the merger of another “person” with or into the Issuer, or the sale of all or substantially all the assets of the Issuer (determined on a consolidated basis) to another “person” other than (i) a transaction in which the survivor or transferee is a “person” that is controlled by the Permitted Holders or (ii) a transaction following which, in the case of a merger or consolidation transaction, holders of securities that represented 100% of the Voting Stock of the Issuer immediately prior to such transaction (or other securities into which such securities are converted as part of such merger or consolidation transaction) own directly or indirectly at least a majority of the voting power of the Voting Stock of the surviving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98" w:name="page99"/>
    <w:bookmarkEnd w:id="98"/>
    <w:p>
      <w:pPr>
        <w:jc w:val="both"/>
        <w:spacing w:after="0" w:line="251" w:lineRule="auto"/>
        <w:rPr>
          <w:sz w:val="20"/>
          <w:szCs w:val="20"/>
          <w:color w:val="auto"/>
        </w:rPr>
      </w:pPr>
      <w:r>
        <w:rPr>
          <w:rFonts w:ascii="Arial" w:cs="Arial" w:eastAsia="Arial" w:hAnsi="Arial"/>
          <w:sz w:val="22"/>
          <w:szCs w:val="22"/>
          <w:color w:val="auto"/>
        </w:rPr>
        <w:t>“person” in such merger or consolidation transaction immediately after such transaction and in substantially the same proportion as before the transaction.</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xml:space="preserve"> has the meaning specified in Section 7.01(a)(8) herein.</w:t>
      </w:r>
    </w:p>
    <w:p>
      <w:pPr>
        <w:spacing w:after="0" w:line="23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color w:val="auto"/>
        </w:rPr>
        <w:t xml:space="preserve">“Comparable Treasury Issue” </w:t>
      </w:r>
      <w:r>
        <w:rPr>
          <w:rFonts w:ascii="Arial" w:cs="Arial" w:eastAsia="Arial" w:hAnsi="Arial"/>
          <w:sz w:val="21"/>
          <w:szCs w:val="21"/>
          <w:color w:val="auto"/>
        </w:rPr>
        <w:t>means the United States Treasury security selected by an Independent Investment Banker</w:t>
      </w:r>
      <w:r>
        <w:rPr>
          <w:rFonts w:ascii="Arial" w:cs="Arial" w:eastAsia="Arial" w:hAnsi="Arial"/>
          <w:sz w:val="21"/>
          <w:szCs w:val="21"/>
          <w:b w:val="1"/>
          <w:bCs w:val="1"/>
          <w:color w:val="auto"/>
        </w:rPr>
        <w:t xml:space="preserve"> </w:t>
      </w:r>
      <w:r>
        <w:rPr>
          <w:rFonts w:ascii="Arial" w:cs="Arial" w:eastAsia="Arial" w:hAnsi="Arial"/>
          <w:sz w:val="21"/>
          <w:szCs w:val="21"/>
          <w:color w:val="auto"/>
        </w:rPr>
        <w:t>as having a maturity comparable to March 22, 2022 that would be utilized, at the time of selection and in accordance with customary financial practice, in pricing new issues of corporate debt securities of comparable maturity.</w:t>
      </w:r>
    </w:p>
    <w:p>
      <w:pPr>
        <w:spacing w:after="0" w:line="185" w:lineRule="exact"/>
        <w:rPr>
          <w:sz w:val="20"/>
          <w:szCs w:val="20"/>
          <w:color w:val="auto"/>
        </w:rPr>
      </w:pPr>
    </w:p>
    <w:p>
      <w:pPr>
        <w:ind w:right="20" w:firstLine="648"/>
        <w:spacing w:after="0" w:line="248" w:lineRule="auto"/>
        <w:rPr>
          <w:sz w:val="20"/>
          <w:szCs w:val="20"/>
          <w:color w:val="auto"/>
        </w:rPr>
      </w:pPr>
      <w:r>
        <w:rPr>
          <w:rFonts w:ascii="Arial" w:cs="Arial" w:eastAsia="Arial" w:hAnsi="Arial"/>
          <w:sz w:val="21"/>
          <w:szCs w:val="21"/>
          <w:b w:val="1"/>
          <w:bCs w:val="1"/>
          <w:color w:val="auto"/>
        </w:rPr>
        <w:t xml:space="preserve">“Comparable Treasury Price” </w:t>
      </w:r>
      <w:r>
        <w:rPr>
          <w:rFonts w:ascii="Arial" w:cs="Arial" w:eastAsia="Arial" w:hAnsi="Arial"/>
          <w:sz w:val="21"/>
          <w:szCs w:val="21"/>
          <w:color w:val="auto"/>
        </w:rPr>
        <w:t>means, with respect to any Redemption Date (a) the average of the bid and asked prices for</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Comparable Treasury Issue (expressed in each case as a percentage of its principal amount) on the third business day preceding such Redemption Date, as set forth in the most recently published statistical release designated “H.15(519)” (or any successor release) published by the Board of Governors of the Federal Reserve System and which establishes yields on actively traded United States treasury securities adjusted to constant maturity under the caption “Treasury Constant Maturities,” or (b) if such release (or any successor release) is not published and does not contain such prices on such business day, the average of the Reference Treasury Dealer Quotations for such Redemption Date.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Covenant Defeasance</w:t>
      </w:r>
      <w:r>
        <w:rPr>
          <w:rFonts w:ascii="Arial" w:cs="Arial" w:eastAsia="Arial" w:hAnsi="Arial"/>
          <w:sz w:val="22"/>
          <w:szCs w:val="22"/>
          <w:color w:val="auto"/>
        </w:rPr>
        <w:t>” has the meaning specified in Section 9.02 herein.</w:t>
      </w:r>
    </w:p>
    <w:p>
      <w:pPr>
        <w:spacing w:after="0" w:line="233" w:lineRule="exact"/>
        <w:rPr>
          <w:sz w:val="20"/>
          <w:szCs w:val="20"/>
          <w:color w:val="auto"/>
        </w:rPr>
      </w:pPr>
    </w:p>
    <w:p>
      <w:pPr>
        <w:ind w:right="380" w:firstLine="648"/>
        <w:spacing w:after="0" w:line="256" w:lineRule="auto"/>
        <w:rPr>
          <w:sz w:val="20"/>
          <w:szCs w:val="20"/>
          <w:color w:val="auto"/>
        </w:rPr>
      </w:pPr>
      <w:r>
        <w:rPr>
          <w:rFonts w:ascii="Arial" w:cs="Arial" w:eastAsia="Arial" w:hAnsi="Arial"/>
          <w:sz w:val="22"/>
          <w:szCs w:val="22"/>
          <w:b w:val="1"/>
          <w:bCs w:val="1"/>
          <w:color w:val="auto"/>
        </w:rPr>
        <w:t xml:space="preserve">“Current Assets” </w:t>
      </w:r>
      <w:r>
        <w:rPr>
          <w:rFonts w:ascii="Arial" w:cs="Arial" w:eastAsia="Arial" w:hAnsi="Arial"/>
          <w:sz w:val="22"/>
          <w:szCs w:val="22"/>
          <w:color w:val="auto"/>
        </w:rPr>
        <w:t>means current assets of the Group as shown in the then most recent Financial Statements and Interim</w:t>
      </w:r>
      <w:r>
        <w:rPr>
          <w:rFonts w:ascii="Arial" w:cs="Arial" w:eastAsia="Arial" w:hAnsi="Arial"/>
          <w:sz w:val="22"/>
          <w:szCs w:val="22"/>
          <w:b w:val="1"/>
          <w:bCs w:val="1"/>
          <w:color w:val="auto"/>
        </w:rPr>
        <w:t xml:space="preserve"> </w:t>
      </w:r>
      <w:r>
        <w:rPr>
          <w:rFonts w:ascii="Arial" w:cs="Arial" w:eastAsia="Arial" w:hAnsi="Arial"/>
          <w:sz w:val="22"/>
          <w:szCs w:val="22"/>
          <w:color w:val="auto"/>
        </w:rPr>
        <w:t>Accounts relevant to such period.</w:t>
      </w:r>
    </w:p>
    <w:p>
      <w:pPr>
        <w:spacing w:after="0" w:line="190" w:lineRule="exact"/>
        <w:rPr>
          <w:sz w:val="20"/>
          <w:szCs w:val="20"/>
          <w:color w:val="auto"/>
        </w:rPr>
      </w:pPr>
    </w:p>
    <w:p>
      <w:pPr>
        <w:ind w:right="100" w:firstLine="648"/>
        <w:spacing w:after="0" w:line="256" w:lineRule="auto"/>
        <w:rPr>
          <w:sz w:val="20"/>
          <w:szCs w:val="20"/>
          <w:color w:val="auto"/>
        </w:rPr>
      </w:pPr>
      <w:r>
        <w:rPr>
          <w:rFonts w:ascii="Arial" w:cs="Arial" w:eastAsia="Arial" w:hAnsi="Arial"/>
          <w:sz w:val="22"/>
          <w:szCs w:val="22"/>
          <w:b w:val="1"/>
          <w:bCs w:val="1"/>
          <w:color w:val="auto"/>
        </w:rPr>
        <w:t xml:space="preserve">“Current Liabilities” </w:t>
      </w:r>
      <w:r>
        <w:rPr>
          <w:rFonts w:ascii="Arial" w:cs="Arial" w:eastAsia="Arial" w:hAnsi="Arial"/>
          <w:sz w:val="22"/>
          <w:szCs w:val="22"/>
          <w:color w:val="auto"/>
        </w:rPr>
        <w:t>means the current liabilities of the Group as shown in the then most recent Financial Statements and</w:t>
      </w:r>
      <w:r>
        <w:rPr>
          <w:rFonts w:ascii="Arial" w:cs="Arial" w:eastAsia="Arial" w:hAnsi="Arial"/>
          <w:sz w:val="22"/>
          <w:szCs w:val="22"/>
          <w:b w:val="1"/>
          <w:bCs w:val="1"/>
          <w:color w:val="auto"/>
        </w:rPr>
        <w:t xml:space="preserve"> </w:t>
      </w:r>
      <w:r>
        <w:rPr>
          <w:rFonts w:ascii="Arial" w:cs="Arial" w:eastAsia="Arial" w:hAnsi="Arial"/>
          <w:sz w:val="22"/>
          <w:szCs w:val="22"/>
          <w:color w:val="auto"/>
        </w:rPr>
        <w:t>Interim Accounts relevant to such period.</w:t>
      </w:r>
    </w:p>
    <w:p>
      <w:pPr>
        <w:spacing w:after="0" w:line="190" w:lineRule="exact"/>
        <w:rPr>
          <w:sz w:val="20"/>
          <w:szCs w:val="20"/>
          <w:color w:val="auto"/>
        </w:rPr>
      </w:pPr>
    </w:p>
    <w:p>
      <w:pPr>
        <w:ind w:right="220" w:firstLine="648"/>
        <w:spacing w:after="0" w:line="256" w:lineRule="auto"/>
        <w:rPr>
          <w:sz w:val="20"/>
          <w:szCs w:val="20"/>
          <w:color w:val="auto"/>
        </w:rPr>
      </w:pPr>
      <w:r>
        <w:rPr>
          <w:rFonts w:ascii="Arial" w:cs="Arial" w:eastAsia="Arial" w:hAnsi="Arial"/>
          <w:sz w:val="22"/>
          <w:szCs w:val="22"/>
          <w:b w:val="1"/>
          <w:bCs w:val="1"/>
          <w:color w:val="auto"/>
        </w:rPr>
        <w:t xml:space="preserve">“Current Portion of Loans” </w:t>
      </w:r>
      <w:r>
        <w:rPr>
          <w:rFonts w:ascii="Arial" w:cs="Arial" w:eastAsia="Arial" w:hAnsi="Arial"/>
          <w:sz w:val="22"/>
          <w:szCs w:val="22"/>
          <w:color w:val="auto"/>
        </w:rPr>
        <w:t>means the current portion of loans as shown in the then most recent Financial Statements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Issuer.</w:t>
      </w:r>
    </w:p>
    <w:p>
      <w:pPr>
        <w:spacing w:after="0" w:line="190" w:lineRule="exact"/>
        <w:rPr>
          <w:sz w:val="20"/>
          <w:szCs w:val="20"/>
          <w:color w:val="auto"/>
        </w:rPr>
      </w:pPr>
    </w:p>
    <w:p>
      <w:pPr>
        <w:ind w:right="40" w:firstLine="648"/>
        <w:spacing w:after="0" w:line="237" w:lineRule="auto"/>
        <w:rPr>
          <w:sz w:val="20"/>
          <w:szCs w:val="20"/>
          <w:color w:val="auto"/>
        </w:rPr>
      </w:pPr>
      <w:r>
        <w:rPr>
          <w:rFonts w:ascii="Arial" w:cs="Arial" w:eastAsia="Arial" w:hAnsi="Arial"/>
          <w:sz w:val="22"/>
          <w:szCs w:val="22"/>
          <w:b w:val="1"/>
          <w:bCs w:val="1"/>
          <w:color w:val="auto"/>
        </w:rPr>
        <w:t xml:space="preserve">“Debt Service” </w:t>
      </w:r>
      <w:r>
        <w:rPr>
          <w:rFonts w:ascii="Arial" w:cs="Arial" w:eastAsia="Arial" w:hAnsi="Arial"/>
          <w:sz w:val="22"/>
          <w:szCs w:val="22"/>
          <w:color w:val="auto"/>
        </w:rPr>
        <w:t>means, for any financial period of the Group, the sum to be the aggregate amount of: (i) scheduled amounts</w:t>
      </w:r>
      <w:r>
        <w:rPr>
          <w:rFonts w:ascii="Arial" w:cs="Arial" w:eastAsia="Arial" w:hAnsi="Arial"/>
          <w:sz w:val="22"/>
          <w:szCs w:val="22"/>
          <w:b w:val="1"/>
          <w:bCs w:val="1"/>
          <w:color w:val="auto"/>
        </w:rPr>
        <w:t xml:space="preserve"> </w:t>
      </w:r>
      <w:r>
        <w:rPr>
          <w:rFonts w:ascii="Arial" w:cs="Arial" w:eastAsia="Arial" w:hAnsi="Arial"/>
          <w:sz w:val="22"/>
          <w:szCs w:val="22"/>
          <w:color w:val="auto"/>
        </w:rPr>
        <w:t>of principal; (ii) scheduled amounts of interest thereon (taking into account any hedging contracts); and (iii) all other amounts in excess of $30,000,000 in aggregate which shall fall due and will be paid by the Group in such period as non-recurrent fees or upfront fees, costs and expenses, in respect of Total Indebtedness, as shown in the then most recent Financial Statements and Interim Accounts relevant to such period.</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Defeasance</w:t>
      </w:r>
      <w:r>
        <w:rPr>
          <w:rFonts w:ascii="Arial" w:cs="Arial" w:eastAsia="Arial" w:hAnsi="Arial"/>
          <w:sz w:val="22"/>
          <w:szCs w:val="22"/>
          <w:color w:val="auto"/>
        </w:rPr>
        <w:t>” has the meaning specified in Section 9.01 herein.</w:t>
      </w:r>
    </w:p>
    <w:p>
      <w:pPr>
        <w:spacing w:after="0" w:line="23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b w:val="1"/>
          <w:bCs w:val="1"/>
          <w:color w:val="auto"/>
        </w:rPr>
        <w:t xml:space="preserve">“EBITDA” </w:t>
      </w:r>
      <w:r>
        <w:rPr>
          <w:rFonts w:ascii="Arial" w:cs="Arial" w:eastAsia="Arial" w:hAnsi="Arial"/>
          <w:sz w:val="19"/>
          <w:szCs w:val="19"/>
          <w:color w:val="auto"/>
        </w:rPr>
        <w:t>means, in respect of any period, the consolidated profit on ordinary activities of the Group before taxation for</w:t>
      </w:r>
      <w:r>
        <w:rPr>
          <w:rFonts w:ascii="Arial" w:cs="Arial" w:eastAsia="Arial" w:hAnsi="Arial"/>
          <w:sz w:val="19"/>
          <w:szCs w:val="19"/>
          <w:b w:val="1"/>
          <w:bCs w:val="1"/>
          <w:color w:val="auto"/>
        </w:rPr>
        <w:t xml:space="preserve"> </w:t>
      </w:r>
      <w:r>
        <w:rPr>
          <w:rFonts w:ascii="Arial" w:cs="Arial" w:eastAsia="Arial" w:hAnsi="Arial"/>
          <w:sz w:val="19"/>
          <w:szCs w:val="19"/>
          <w:color w:val="auto"/>
        </w:rPr>
        <w:t>such period; but: (a) adjusted to exclude Interest Receivable and Interest Payable and other similar income or costs to the extent not already excluded, (b) adjusted to exclude any gain or loss realized on the disposal of fixed assets (whether tangible or intangible),</w:t>
      </w:r>
    </w:p>
    <w:p>
      <w:pPr>
        <w:spacing w:after="0" w:line="2" w:lineRule="exact"/>
        <w:rPr>
          <w:sz w:val="20"/>
          <w:szCs w:val="20"/>
          <w:color w:val="auto"/>
        </w:rPr>
      </w:pPr>
    </w:p>
    <w:p>
      <w:pPr>
        <w:jc w:val="both"/>
        <w:ind w:firstLine="8"/>
        <w:spacing w:after="0" w:line="234" w:lineRule="auto"/>
        <w:tabs>
          <w:tab w:leader="none" w:pos="295" w:val="left"/>
        </w:tabs>
        <w:numPr>
          <w:ilvl w:val="0"/>
          <w:numId w:val="78"/>
        </w:numPr>
        <w:rPr>
          <w:rFonts w:ascii="Arial" w:cs="Arial" w:eastAsia="Arial" w:hAnsi="Arial"/>
          <w:sz w:val="22"/>
          <w:szCs w:val="22"/>
          <w:color w:val="auto"/>
        </w:rPr>
      </w:pPr>
      <w:r>
        <w:rPr>
          <w:rFonts w:ascii="Arial" w:cs="Arial" w:eastAsia="Arial" w:hAnsi="Arial"/>
          <w:sz w:val="22"/>
          <w:szCs w:val="22"/>
          <w:color w:val="auto"/>
        </w:rPr>
        <w:t>after adding back depreciation and amortization charged which relates to such period, (d) adjusted to exclude any exceptional or extraordinary costs or income (e) after deducting any profit arising out of the release of any provisions against a liability or charge and adding back any provision relating to long term assets or contracts, and (f)</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99" w:name="page100"/>
    <w:bookmarkEnd w:id="99"/>
    <w:p>
      <w:pPr>
        <w:jc w:val="both"/>
        <w:spacing w:after="0" w:line="251" w:lineRule="auto"/>
        <w:rPr>
          <w:sz w:val="20"/>
          <w:szCs w:val="20"/>
          <w:color w:val="auto"/>
        </w:rPr>
      </w:pPr>
      <w:r>
        <w:rPr>
          <w:rFonts w:ascii="Arial" w:cs="Arial" w:eastAsia="Arial" w:hAnsi="Arial"/>
          <w:sz w:val="22"/>
          <w:szCs w:val="22"/>
          <w:color w:val="auto"/>
        </w:rPr>
        <w:t>adjusted to exclude any profit or loss due to mark-to-market of derivative agreements and non-cash currency gains or losses, as shown in the then most recent Financial Statement or Interim Account relevant to such period.</w:t>
      </w:r>
    </w:p>
    <w:p>
      <w:pPr>
        <w:spacing w:after="0" w:line="19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 xml:space="preserve">“Encumbrance” </w:t>
      </w:r>
      <w:r>
        <w:rPr>
          <w:rFonts w:ascii="Arial" w:cs="Arial" w:eastAsia="Arial" w:hAnsi="Arial"/>
          <w:sz w:val="22"/>
          <w:szCs w:val="22"/>
          <w:color w:val="auto"/>
        </w:rPr>
        <w:t>means any encumbrance, mortgage, pledge, lien, charge (whether fixed or floating), assignment by way of</w:t>
      </w:r>
      <w:r>
        <w:rPr>
          <w:rFonts w:ascii="Arial" w:cs="Arial" w:eastAsia="Arial" w:hAnsi="Arial"/>
          <w:sz w:val="22"/>
          <w:szCs w:val="22"/>
          <w:b w:val="1"/>
          <w:bCs w:val="1"/>
          <w:color w:val="auto"/>
        </w:rPr>
        <w:t xml:space="preserve"> </w:t>
      </w:r>
      <w:r>
        <w:rPr>
          <w:rFonts w:ascii="Arial" w:cs="Arial" w:eastAsia="Arial" w:hAnsi="Arial"/>
          <w:sz w:val="22"/>
          <w:szCs w:val="22"/>
          <w:color w:val="auto"/>
        </w:rPr>
        <w:t>security, finance lease, sale and repurchase or sale and leaseback arrangement, sale of receivables on a recourse basis or security interest or any other agreement or arrangement having the effect of conferring security (provided that the foregoing shall not include a pledge of deposit accounts to the extent such pledge does not prevent withdrawal from such accounts at the time of the measurement date).</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Event of Default</w:t>
      </w:r>
      <w:r>
        <w:rPr>
          <w:rFonts w:ascii="Arial" w:cs="Arial" w:eastAsia="Arial" w:hAnsi="Arial"/>
          <w:sz w:val="22"/>
          <w:szCs w:val="22"/>
          <w:color w:val="auto"/>
        </w:rPr>
        <w:t>” has the meaning specified in Section 8.01 herein.</w:t>
      </w:r>
    </w:p>
    <w:p>
      <w:pPr>
        <w:spacing w:after="0" w:line="233"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9"/>
          <w:szCs w:val="19"/>
          <w:b w:val="1"/>
          <w:bCs w:val="1"/>
          <w:color w:val="auto"/>
        </w:rPr>
        <w:t xml:space="preserve">“Financial Indebtedness” </w:t>
      </w:r>
      <w:r>
        <w:rPr>
          <w:rFonts w:ascii="Arial" w:cs="Arial" w:eastAsia="Arial" w:hAnsi="Arial"/>
          <w:sz w:val="19"/>
          <w:szCs w:val="19"/>
          <w:color w:val="auto"/>
        </w:rPr>
        <w:t>means any indebtedness for or in respect of: (i) moneys borrowed and debit balances at banks or</w:t>
      </w:r>
      <w:r>
        <w:rPr>
          <w:rFonts w:ascii="Arial" w:cs="Arial" w:eastAsia="Arial" w:hAnsi="Arial"/>
          <w:sz w:val="19"/>
          <w:szCs w:val="19"/>
          <w:b w:val="1"/>
          <w:bCs w:val="1"/>
          <w:color w:val="auto"/>
        </w:rPr>
        <w:t xml:space="preserve"> </w:t>
      </w:r>
      <w:r>
        <w:rPr>
          <w:rFonts w:ascii="Arial" w:cs="Arial" w:eastAsia="Arial" w:hAnsi="Arial"/>
          <w:sz w:val="19"/>
          <w:szCs w:val="19"/>
          <w:color w:val="auto"/>
        </w:rPr>
        <w:t>other financial institutions; (ii) any amount raised by acceptance under any acceptance credit facility or dematerialized equivalent;</w:t>
      </w:r>
    </w:p>
    <w:p>
      <w:pPr>
        <w:jc w:val="both"/>
        <w:ind w:firstLine="8"/>
        <w:spacing w:after="0" w:line="270" w:lineRule="auto"/>
        <w:tabs>
          <w:tab w:leader="none" w:pos="399" w:val="left"/>
        </w:tabs>
        <w:numPr>
          <w:ilvl w:val="0"/>
          <w:numId w:val="79"/>
        </w:numPr>
        <w:rPr>
          <w:rFonts w:ascii="Arial" w:cs="Arial" w:eastAsia="Arial" w:hAnsi="Arial"/>
          <w:sz w:val="19"/>
          <w:szCs w:val="19"/>
          <w:color w:val="auto"/>
        </w:rPr>
      </w:pPr>
      <w:r>
        <w:rPr>
          <w:rFonts w:ascii="Arial" w:cs="Arial" w:eastAsia="Arial" w:hAnsi="Arial"/>
          <w:sz w:val="19"/>
          <w:szCs w:val="19"/>
          <w:color w:val="auto"/>
        </w:rPr>
        <w:t>any amount raised pursuant to any note purchase facility or the issue of bonds, notes, debentures, loan stock or any similar instrument; (iv) the amount of any liability in respect of any lease or hire purchase contract which would, in accordance with GAAP, be treated as a finance or capital lease; (v) receivables sold or discounted (other than any receivables to the extent they are sold on a non-recourse basis); (vi) any treasury transaction (and, when calculating the value of that treasury transaction, only the marked to market value shall be taken into account and/or, if any actual amount is due as a result of the termination or close out of a treasury transaction, that also shall be taken into account); (vii) any counter-indemnity obligation in respect of a guarantee, indemnity, bond, standby or documentary letter of credit or any other instrument issued by a bank or financial institution; (viii) any amount of liability under an advance or deferred purchase agreement if (a) one of the primary reasons behind entering into the agreement is to raise finance or (b) the agreement is in respect of the supply of assets or services and payment is due more than 180 days after the date of supply; (ix) any amount raised under any other transaction (including any forward sale or purchase agreement) having the commercial effect of a borrowing or otherwise classified as borrowings under GAAP; and (x) the amount of any liability in respect of any guarantee for any of the items referred to in paragraphs (i) to (ix) above.</w:t>
      </w:r>
    </w:p>
    <w:p>
      <w:pPr>
        <w:spacing w:after="0" w:line="187" w:lineRule="exact"/>
        <w:rPr>
          <w:sz w:val="20"/>
          <w:szCs w:val="20"/>
          <w:color w:val="auto"/>
        </w:rPr>
      </w:pPr>
    </w:p>
    <w:p>
      <w:pPr>
        <w:ind w:firstLine="648"/>
        <w:spacing w:after="0" w:line="335" w:lineRule="auto"/>
        <w:rPr>
          <w:sz w:val="20"/>
          <w:szCs w:val="20"/>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means the audited consolidated annual financial statements of the Issuer for any financial year,</w:t>
      </w:r>
      <w:r>
        <w:rPr>
          <w:rFonts w:ascii="Arial" w:cs="Arial" w:eastAsia="Arial" w:hAnsi="Arial"/>
          <w:sz w:val="19"/>
          <w:szCs w:val="19"/>
          <w:b w:val="1"/>
          <w:bCs w:val="1"/>
          <w:color w:val="auto"/>
        </w:rPr>
        <w:t xml:space="preserve"> </w:t>
      </w:r>
      <w:r>
        <w:rPr>
          <w:rFonts w:ascii="Arial" w:cs="Arial" w:eastAsia="Arial" w:hAnsi="Arial"/>
          <w:sz w:val="19"/>
          <w:szCs w:val="19"/>
          <w:color w:val="auto"/>
        </w:rPr>
        <w:t>prepared in accordance with GAAP, such accounts to include a profit and loss account, balance sheet and cash flow statement.</w:t>
      </w:r>
    </w:p>
    <w:p>
      <w:pPr>
        <w:spacing w:after="0" w:line="119"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b w:val="1"/>
          <w:bCs w:val="1"/>
          <w:color w:val="auto"/>
        </w:rPr>
        <w:t xml:space="preserve">“GAAP” </w:t>
      </w:r>
      <w:r>
        <w:rPr>
          <w:rFonts w:ascii="Arial" w:cs="Arial" w:eastAsia="Arial" w:hAnsi="Arial"/>
          <w:sz w:val="22"/>
          <w:szCs w:val="22"/>
          <w:color w:val="auto"/>
        </w:rPr>
        <w:t>means International Financial Reporting Standards as issued by the International Accounting Standards Board as</w:t>
      </w:r>
      <w:r>
        <w:rPr>
          <w:rFonts w:ascii="Arial" w:cs="Arial" w:eastAsia="Arial" w:hAnsi="Arial"/>
          <w:sz w:val="22"/>
          <w:szCs w:val="22"/>
          <w:b w:val="1"/>
          <w:bCs w:val="1"/>
          <w:color w:val="auto"/>
        </w:rPr>
        <w:t xml:space="preserve"> </w:t>
      </w:r>
      <w:r>
        <w:rPr>
          <w:rFonts w:ascii="Arial" w:cs="Arial" w:eastAsia="Arial" w:hAnsi="Arial"/>
          <w:sz w:val="22"/>
          <w:szCs w:val="22"/>
          <w:color w:val="auto"/>
        </w:rPr>
        <w:t>in effect from time to time.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“General Partner” </w:t>
      </w:r>
      <w:r>
        <w:rPr>
          <w:rFonts w:ascii="Arial" w:cs="Arial" w:eastAsia="Arial" w:hAnsi="Arial"/>
          <w:sz w:val="22"/>
          <w:szCs w:val="22"/>
          <w:color w:val="auto"/>
        </w:rPr>
        <w:t>means the general partner of the MLP.</w:t>
      </w:r>
    </w:p>
    <w:p>
      <w:pPr>
        <w:spacing w:after="0" w:line="233"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b w:val="1"/>
          <w:bCs w:val="1"/>
          <w:color w:val="auto"/>
        </w:rPr>
        <w:t xml:space="preserve">“Group” </w:t>
      </w:r>
      <w:r>
        <w:rPr>
          <w:rFonts w:ascii="Arial" w:cs="Arial" w:eastAsia="Arial" w:hAnsi="Arial"/>
          <w:sz w:val="22"/>
          <w:szCs w:val="22"/>
          <w:color w:val="auto"/>
        </w:rPr>
        <w:t>means the Issuer and its Subsidiaries, and a “</w:t>
      </w:r>
      <w:r>
        <w:rPr>
          <w:rFonts w:ascii="Arial" w:cs="Arial" w:eastAsia="Arial" w:hAnsi="Arial"/>
          <w:sz w:val="22"/>
          <w:szCs w:val="22"/>
          <w:b w:val="1"/>
          <w:bCs w:val="1"/>
          <w:color w:val="auto"/>
        </w:rPr>
        <w:t>Group Company</w:t>
      </w:r>
      <w:r>
        <w:rPr>
          <w:rFonts w:ascii="Arial" w:cs="Arial" w:eastAsia="Arial" w:hAnsi="Arial"/>
          <w:sz w:val="22"/>
          <w:szCs w:val="22"/>
          <w:color w:val="auto"/>
        </w:rPr>
        <w:t>” means the Issuer or any of its Subsidiaries (as</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Indenture</w:t>
      </w:r>
      <w:r>
        <w:rPr>
          <w:rFonts w:ascii="Arial" w:cs="Arial" w:eastAsia="Arial" w:hAnsi="Arial"/>
          <w:sz w:val="22"/>
          <w:szCs w:val="22"/>
          <w:color w:val="auto"/>
        </w:rPr>
        <w:t>” has the meaning specified in the recitals to this Supplemental Indenture.</w:t>
      </w:r>
    </w:p>
    <w:p>
      <w:pPr>
        <w:spacing w:after="0" w:line="185"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00" w:name="page101"/>
    <w:bookmarkEnd w:id="100"/>
    <w:p>
      <w:pPr>
        <w:ind w:left="660"/>
        <w:spacing w:after="0"/>
        <w:rPr>
          <w:sz w:val="20"/>
          <w:szCs w:val="20"/>
          <w:color w:val="auto"/>
        </w:rPr>
      </w:pPr>
      <w:r>
        <w:rPr>
          <w:rFonts w:ascii="Arial" w:cs="Arial" w:eastAsia="Arial" w:hAnsi="Arial"/>
          <w:sz w:val="22"/>
          <w:szCs w:val="22"/>
          <w:b w:val="1"/>
          <w:bCs w:val="1"/>
          <w:color w:val="auto"/>
        </w:rPr>
        <w:t xml:space="preserve">“Independent Investment Banker” </w:t>
      </w:r>
      <w:r>
        <w:rPr>
          <w:rFonts w:ascii="Arial" w:cs="Arial" w:eastAsia="Arial" w:hAnsi="Arial"/>
          <w:sz w:val="22"/>
          <w:szCs w:val="22"/>
          <w:color w:val="auto"/>
        </w:rPr>
        <w:t>means one of the Reference Treasury Dealers appointed by the Issuer.</w:t>
      </w:r>
    </w:p>
    <w:p>
      <w:pPr>
        <w:spacing w:after="0" w:line="23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“Interest” </w:t>
      </w:r>
      <w:r>
        <w:rPr>
          <w:rFonts w:ascii="Arial" w:cs="Arial" w:eastAsia="Arial" w:hAnsi="Arial"/>
          <w:sz w:val="22"/>
          <w:szCs w:val="22"/>
          <w:color w:val="auto"/>
        </w:rPr>
        <w:t>means, in respect to any specified Financial Indebtedness, all continuing regular or periodic costs, charges and</w:t>
      </w:r>
      <w:r>
        <w:rPr>
          <w:rFonts w:ascii="Arial" w:cs="Arial" w:eastAsia="Arial" w:hAnsi="Arial"/>
          <w:sz w:val="22"/>
          <w:szCs w:val="22"/>
          <w:b w:val="1"/>
          <w:bCs w:val="1"/>
          <w:color w:val="auto"/>
        </w:rPr>
        <w:t xml:space="preserve"> </w:t>
      </w:r>
      <w:r>
        <w:rPr>
          <w:rFonts w:ascii="Arial" w:cs="Arial" w:eastAsia="Arial" w:hAnsi="Arial"/>
          <w:sz w:val="22"/>
          <w:szCs w:val="22"/>
          <w:color w:val="auto"/>
        </w:rPr>
        <w:t>expenses incurred in effecting, servicing or maintaining such Financial Indebtedness including (a) gross interest, commitment fees, discount and acceptance fees and guarantee, fronting and ancillary fees payable or incurred on any form of Financial Indebtedness and (b) arrangement fees or other upfront fees.</w:t>
      </w:r>
    </w:p>
    <w:p>
      <w:pPr>
        <w:spacing w:after="0" w:line="208"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9"/>
          <w:szCs w:val="19"/>
          <w:b w:val="1"/>
          <w:bCs w:val="1"/>
          <w:color w:val="auto"/>
        </w:rPr>
        <w:t xml:space="preserve">“Interest Payable” </w:t>
      </w:r>
      <w:r>
        <w:rPr>
          <w:rFonts w:ascii="Arial" w:cs="Arial" w:eastAsia="Arial" w:hAnsi="Arial"/>
          <w:sz w:val="19"/>
          <w:szCs w:val="19"/>
          <w:color w:val="auto"/>
        </w:rPr>
        <w:t>means, in respect of any period, the aggregate (calculated on a consolidated basis) of: (a) the amounts</w:t>
      </w:r>
      <w:r>
        <w:rPr>
          <w:rFonts w:ascii="Arial" w:cs="Arial" w:eastAsia="Arial" w:hAnsi="Arial"/>
          <w:sz w:val="19"/>
          <w:szCs w:val="19"/>
          <w:b w:val="1"/>
          <w:bCs w:val="1"/>
          <w:color w:val="auto"/>
        </w:rPr>
        <w:t xml:space="preserve"> </w:t>
      </w:r>
      <w:r>
        <w:rPr>
          <w:rFonts w:ascii="Arial" w:cs="Arial" w:eastAsia="Arial" w:hAnsi="Arial"/>
          <w:sz w:val="19"/>
          <w:szCs w:val="19"/>
          <w:color w:val="auto"/>
        </w:rPr>
        <w:t>charged and posted (or estimated to be charged and posted) as a current accrual accrued during such period in respect of members of the Group by way of Interest on all Financial Indebtedness, but excluding any amount accruing as interest in-kind (and not as cash pay) to the extent capitalized as principal during such period and (b) net payments in relation to interest rate or currency hedging arrangements in respect of Financial Indebtedness (after deducting net income in relation to such interest rate or currency hedging arrangements), as shown in the then most recent Financial Statement or Interim Account relevant to such period.</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Interest Payment Date</w:t>
      </w:r>
      <w:r>
        <w:rPr>
          <w:rFonts w:ascii="Arial" w:cs="Arial" w:eastAsia="Arial" w:hAnsi="Arial"/>
          <w:sz w:val="22"/>
          <w:szCs w:val="22"/>
          <w:color w:val="auto"/>
        </w:rPr>
        <w:t>” has the meaning specified in Section 2.04(b) herein.</w:t>
      </w:r>
    </w:p>
    <w:p>
      <w:pPr>
        <w:spacing w:after="0" w:line="23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b w:val="1"/>
          <w:bCs w:val="1"/>
          <w:color w:val="auto"/>
        </w:rPr>
        <w:t xml:space="preserve">“Interest Receivable” </w:t>
      </w:r>
      <w:r>
        <w:rPr>
          <w:rFonts w:ascii="Arial" w:cs="Arial" w:eastAsia="Arial" w:hAnsi="Arial"/>
          <w:sz w:val="19"/>
          <w:szCs w:val="19"/>
          <w:color w:val="auto"/>
        </w:rPr>
        <w:t>means, in respect of any period, the amount of interest accrued on cash balances of the Group</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the amount of interest accrued on the Accounts, to the extent that the account holder is entitled to receive such interest) during such period, as shown in the then most recent Financial Statement or Interim Account relevant to such period.</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“Interim Accounts” </w:t>
      </w:r>
      <w:r>
        <w:rPr>
          <w:rFonts w:ascii="Arial" w:cs="Arial" w:eastAsia="Arial" w:hAnsi="Arial"/>
          <w:sz w:val="22"/>
          <w:szCs w:val="22"/>
          <w:color w:val="auto"/>
        </w:rPr>
        <w:t>means the unaudited consolidated quarterly financial statements of the Issuer for any quarter ending</w:t>
      </w:r>
      <w:r>
        <w:rPr>
          <w:rFonts w:ascii="Arial" w:cs="Arial" w:eastAsia="Arial" w:hAnsi="Arial"/>
          <w:sz w:val="22"/>
          <w:szCs w:val="22"/>
          <w:b w:val="1"/>
          <w:bCs w:val="1"/>
          <w:color w:val="auto"/>
        </w:rPr>
        <w:t xml:space="preserve"> </w:t>
      </w:r>
      <w:r>
        <w:rPr>
          <w:rFonts w:ascii="Arial" w:cs="Arial" w:eastAsia="Arial" w:hAnsi="Arial"/>
          <w:sz w:val="22"/>
          <w:szCs w:val="22"/>
          <w:color w:val="auto"/>
        </w:rPr>
        <w:t>on a Quarter Date, drawn up according to GAAP.</w:t>
      </w:r>
    </w:p>
    <w:p>
      <w:pPr>
        <w:spacing w:after="0" w:line="19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Issue Date</w:t>
      </w:r>
      <w:r>
        <w:rPr>
          <w:rFonts w:ascii="Arial" w:cs="Arial" w:eastAsia="Arial" w:hAnsi="Arial"/>
          <w:sz w:val="22"/>
          <w:szCs w:val="22"/>
          <w:color w:val="auto"/>
        </w:rPr>
        <w:t>” means, with respect to the Notes being issued on the date hereof, the date hereof and with respect to any additional Notes, the date of original issuance of such additional Notes.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“Market Adjusted Net Worth” </w:t>
      </w:r>
      <w:r>
        <w:rPr>
          <w:rFonts w:ascii="Arial" w:cs="Arial" w:eastAsia="Arial" w:hAnsi="Arial"/>
          <w:sz w:val="22"/>
          <w:szCs w:val="22"/>
          <w:color w:val="auto"/>
        </w:rPr>
        <w:t>means Total Market Adjusted Assets less Total Indebtedness.</w:t>
      </w:r>
    </w:p>
    <w:p>
      <w:pPr>
        <w:spacing w:after="0" w:line="23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“Material Adverse Effect” </w:t>
      </w:r>
      <w:r>
        <w:rPr>
          <w:rFonts w:ascii="Arial" w:cs="Arial" w:eastAsia="Arial" w:hAnsi="Arial"/>
          <w:sz w:val="22"/>
          <w:szCs w:val="22"/>
          <w:color w:val="auto"/>
        </w:rPr>
        <w:t>means a material adverse effect on: (a) the business, financial condition or operations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Group taken as a whole; (b) the Issuer’s ability to perform and comply with its obligations under the Indenture or the Notes; or (c) the validity or enforceability of the Indenture or the Notes.</w:t>
      </w:r>
    </w:p>
    <w:p>
      <w:pPr>
        <w:spacing w:after="0" w:line="20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“Material Group Company” </w:t>
      </w:r>
      <w:r>
        <w:rPr>
          <w:rFonts w:ascii="Arial" w:cs="Arial" w:eastAsia="Arial" w:hAnsi="Arial"/>
          <w:sz w:val="22"/>
          <w:szCs w:val="22"/>
          <w:color w:val="auto"/>
        </w:rPr>
        <w:t>means any Group Company whose total EBITDA represent at least 10% of the total</w:t>
      </w:r>
      <w:r>
        <w:rPr>
          <w:rFonts w:ascii="Arial" w:cs="Arial" w:eastAsia="Arial" w:hAnsi="Arial"/>
          <w:sz w:val="22"/>
          <w:szCs w:val="22"/>
          <w:b w:val="1"/>
          <w:bCs w:val="1"/>
          <w:color w:val="auto"/>
        </w:rPr>
        <w:t xml:space="preserve"> </w:t>
      </w:r>
      <w:r>
        <w:rPr>
          <w:rFonts w:ascii="Arial" w:cs="Arial" w:eastAsia="Arial" w:hAnsi="Arial"/>
          <w:sz w:val="22"/>
          <w:szCs w:val="22"/>
          <w:color w:val="auto"/>
        </w:rPr>
        <w:t>consolidated EBITDA of the Group, always provided that the Issuer shall, if required, appoint Group Companies as “Material Group Companies” to procure that the Group Companies not being Material Group Companies shall in aggregate not exceed 20% of the consolidated EBITDA of the Group.</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Maturity Date</w:t>
      </w:r>
      <w:r>
        <w:rPr>
          <w:rFonts w:ascii="Arial" w:cs="Arial" w:eastAsia="Arial" w:hAnsi="Arial"/>
          <w:sz w:val="22"/>
          <w:szCs w:val="22"/>
          <w:color w:val="auto"/>
        </w:rPr>
        <w:t>” has the meaning specified in Section 2.04(a) herein.</w:t>
      </w:r>
    </w:p>
    <w:p>
      <w:pPr>
        <w:spacing w:after="0" w:line="185"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101" w:name="page102"/>
    <w:bookmarkEnd w:id="101"/>
    <w:p>
      <w:pPr>
        <w:jc w:val="both"/>
        <w:ind w:firstLine="648"/>
        <w:spacing w:after="0" w:line="284" w:lineRule="auto"/>
        <w:rPr>
          <w:sz w:val="20"/>
          <w:szCs w:val="20"/>
          <w:color w:val="auto"/>
        </w:rPr>
      </w:pPr>
      <w:r>
        <w:rPr>
          <w:rFonts w:ascii="Arial" w:cs="Arial" w:eastAsia="Arial" w:hAnsi="Arial"/>
          <w:sz w:val="19"/>
          <w:szCs w:val="19"/>
          <w:b w:val="1"/>
          <w:bCs w:val="1"/>
          <w:color w:val="auto"/>
        </w:rPr>
        <w:t xml:space="preserve">“MLP” </w:t>
      </w:r>
      <w:r>
        <w:rPr>
          <w:rFonts w:ascii="Arial" w:cs="Arial" w:eastAsia="Arial" w:hAnsi="Arial"/>
          <w:sz w:val="19"/>
          <w:szCs w:val="19"/>
          <w:color w:val="auto"/>
        </w:rPr>
        <w:t>means GasLog Partners L.P. (or another MLP established and controlled by the Issuer), a master limited</w:t>
      </w:r>
      <w:r>
        <w:rPr>
          <w:rFonts w:ascii="Arial" w:cs="Arial" w:eastAsia="Arial" w:hAnsi="Arial"/>
          <w:sz w:val="19"/>
          <w:szCs w:val="19"/>
          <w:b w:val="1"/>
          <w:bCs w:val="1"/>
          <w:color w:val="auto"/>
        </w:rPr>
        <w:t xml:space="preserve"> </w:t>
      </w:r>
      <w:r>
        <w:rPr>
          <w:rFonts w:ascii="Arial" w:cs="Arial" w:eastAsia="Arial" w:hAnsi="Arial"/>
          <w:sz w:val="19"/>
          <w:szCs w:val="19"/>
          <w:color w:val="auto"/>
        </w:rPr>
        <w:t>partnership whose limited partnership units are traded on a regulated market place or a securities exchange established by a sponsor and which is managed and controlled by a General Partner with a number of limited partners (with customary limited voting rights in the MLP) as investors into which the profit is paid to the partners based on “available cash” with an aim of maximizing the MLP’s distributions, but so that the actual distributions are based on the General Partner’s discretion.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Note Issuance Tax</w:t>
      </w:r>
      <w:r>
        <w:rPr>
          <w:rFonts w:ascii="Arial" w:cs="Arial" w:eastAsia="Arial" w:hAnsi="Arial"/>
          <w:sz w:val="22"/>
          <w:szCs w:val="22"/>
          <w:color w:val="auto"/>
        </w:rPr>
        <w:t>” has the meaning specified in Section 7.01(e) herein.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Notes</w:t>
      </w:r>
      <w:r>
        <w:rPr>
          <w:rFonts w:ascii="Arial" w:cs="Arial" w:eastAsia="Arial" w:hAnsi="Arial"/>
          <w:sz w:val="22"/>
          <w:szCs w:val="22"/>
          <w:color w:val="auto"/>
        </w:rPr>
        <w:t>” has the meaning specified in the recitals to this Supplemental Indenture.</w:t>
      </w:r>
    </w:p>
    <w:p>
      <w:pPr>
        <w:spacing w:after="0" w:line="233" w:lineRule="exact"/>
        <w:rPr>
          <w:sz w:val="20"/>
          <w:szCs w:val="20"/>
          <w:color w:val="auto"/>
        </w:rPr>
      </w:pPr>
    </w:p>
    <w:p>
      <w:pPr>
        <w:ind w:right="42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Holder</w:t>
      </w:r>
      <w:r>
        <w:rPr>
          <w:rFonts w:ascii="Arial" w:cs="Arial" w:eastAsia="Arial" w:hAnsi="Arial"/>
          <w:sz w:val="22"/>
          <w:szCs w:val="22"/>
          <w:color w:val="auto"/>
        </w:rPr>
        <w:t>” means collectively the Livanos family and the Radziwill family, including trusts and other entities formed for the benefit of these families.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“Quarter Date” </w:t>
      </w:r>
      <w:r>
        <w:rPr>
          <w:rFonts w:ascii="Arial" w:cs="Arial" w:eastAsia="Arial" w:hAnsi="Arial"/>
          <w:sz w:val="22"/>
          <w:szCs w:val="22"/>
          <w:color w:val="auto"/>
        </w:rPr>
        <w:t>means each of March 31, June 30, September 30 and December 31.</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Redemption Price</w:t>
      </w:r>
      <w:r>
        <w:rPr>
          <w:rFonts w:ascii="Arial" w:cs="Arial" w:eastAsia="Arial" w:hAnsi="Arial"/>
          <w:sz w:val="22"/>
          <w:szCs w:val="22"/>
          <w:color w:val="auto"/>
        </w:rPr>
        <w:t>” has the meaning specified in Section 5.01 herein.</w:t>
      </w:r>
    </w:p>
    <w:p>
      <w:pPr>
        <w:spacing w:after="0" w:line="23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b w:val="1"/>
          <w:bCs w:val="1"/>
          <w:color w:val="auto"/>
        </w:rPr>
        <w:t xml:space="preserve">“Reference Treasury Dealer” </w:t>
      </w:r>
      <w:r>
        <w:rPr>
          <w:rFonts w:ascii="Arial" w:cs="Arial" w:eastAsia="Arial" w:hAnsi="Arial"/>
          <w:sz w:val="19"/>
          <w:szCs w:val="19"/>
          <w:color w:val="auto"/>
        </w:rPr>
        <w:t>means each of the four nationally recognized investment banking firms selected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Issuer that are primary U.S. government securities dealers in New York City (a “Primary Treasury Dealer”); provided that if any of the foregoing shall cease to be Primary Treasury Dealer, the Issuer shall substitute therefor another Primary Treasury Dealer.</w:t>
      </w:r>
    </w:p>
    <w:p>
      <w:pPr>
        <w:spacing w:after="0" w:line="15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“Reference Treasury Dealer Quotations</w:t>
      </w:r>
      <w:r>
        <w:rPr>
          <w:rFonts w:ascii="Arial" w:cs="Arial" w:eastAsia="Arial" w:hAnsi="Arial"/>
          <w:sz w:val="19"/>
          <w:szCs w:val="19"/>
          <w:color w:val="auto"/>
        </w:rPr>
        <w:t>” means, with respect to each Reference Treasury Dealer and any Redemption</w:t>
      </w:r>
      <w:r>
        <w:rPr>
          <w:rFonts w:ascii="Arial" w:cs="Arial" w:eastAsia="Arial" w:hAnsi="Arial"/>
          <w:sz w:val="19"/>
          <w:szCs w:val="19"/>
          <w:b w:val="1"/>
          <w:bCs w:val="1"/>
          <w:color w:val="auto"/>
        </w:rPr>
        <w:t xml:space="preserve"> </w:t>
      </w:r>
      <w:r>
        <w:rPr>
          <w:rFonts w:ascii="Arial" w:cs="Arial" w:eastAsia="Arial" w:hAnsi="Arial"/>
          <w:sz w:val="19"/>
          <w:szCs w:val="19"/>
          <w:color w:val="auto"/>
        </w:rPr>
        <w:t>Date, the average, as determined by the Independent Investment Banker, of the bid and asked prices for the Comparable Treasury Issue (expressed in each case as a percentage of its principal amount) quoted in writing to the Independent Investment Banker by such Reference Treasury Dealer at 5:00 p.m. on the third business day preceding such Redemption Date.</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Regular Record Date</w:t>
      </w:r>
      <w:r>
        <w:rPr>
          <w:rFonts w:ascii="Arial" w:cs="Arial" w:eastAsia="Arial" w:hAnsi="Arial"/>
          <w:sz w:val="22"/>
          <w:szCs w:val="22"/>
          <w:color w:val="auto"/>
        </w:rPr>
        <w:t>” has the meaning specified in Section 2.04(b) herein.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Reporting Default</w:t>
      </w:r>
      <w:r>
        <w:rPr>
          <w:rFonts w:ascii="Arial" w:cs="Arial" w:eastAsia="Arial" w:hAnsi="Arial"/>
          <w:sz w:val="22"/>
          <w:szCs w:val="22"/>
          <w:color w:val="auto"/>
        </w:rPr>
        <w:t>” has the meaning specified in Section 7.01 herein.</w:t>
      </w:r>
    </w:p>
    <w:p>
      <w:pPr>
        <w:spacing w:after="0" w:line="23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b w:val="1"/>
          <w:bCs w:val="1"/>
          <w:color w:val="auto"/>
        </w:rPr>
        <w:t xml:space="preserve">“Restricted Payment” </w:t>
      </w:r>
      <w:r>
        <w:rPr>
          <w:rFonts w:ascii="Arial" w:cs="Arial" w:eastAsia="Arial" w:hAnsi="Arial"/>
          <w:sz w:val="21"/>
          <w:szCs w:val="21"/>
          <w:color w:val="auto"/>
        </w:rPr>
        <w:t>means any dividend or other distribution (whether in cash, securities or other property) with respect</w:t>
      </w:r>
      <w:r>
        <w:rPr>
          <w:rFonts w:ascii="Arial" w:cs="Arial" w:eastAsia="Arial" w:hAnsi="Arial"/>
          <w:sz w:val="21"/>
          <w:szCs w:val="21"/>
          <w:b w:val="1"/>
          <w:bCs w:val="1"/>
          <w:color w:val="auto"/>
        </w:rPr>
        <w:t xml:space="preserve"> </w:t>
      </w:r>
      <w:r>
        <w:rPr>
          <w:rFonts w:ascii="Arial" w:cs="Arial" w:eastAsia="Arial" w:hAnsi="Arial"/>
          <w:sz w:val="21"/>
          <w:szCs w:val="21"/>
          <w:color w:val="auto"/>
        </w:rPr>
        <w:t>to any units or shares of any class of capital stock of or other ownership interests in the Issuer or any Subsidiary (as the case may be), or any payment (whether in cash, securities or other property), including any sinking fund or similar deposit, on account of the purchase, redemption, retirement, acquisition, cancellation or termination of any such shares of capital stock of or other ownership interests in the Issuer or any Subsidiary or any option, warrant or other right to acquire any such shares of capital stock of or other ownership interests in the Issuer or any Subsidiary other than any such payments that may be made by and between or among one or more of the Group Companies.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Securities</w:t>
      </w:r>
      <w:r>
        <w:rPr>
          <w:rFonts w:ascii="Arial" w:cs="Arial" w:eastAsia="Arial" w:hAnsi="Arial"/>
          <w:sz w:val="22"/>
          <w:szCs w:val="22"/>
          <w:color w:val="auto"/>
        </w:rPr>
        <w:t>” has the meaning specified in the recitals to this Supplemental Indenture.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Specified Tax Jurisdiction</w:t>
      </w:r>
      <w:r>
        <w:rPr>
          <w:rFonts w:ascii="Arial" w:cs="Arial" w:eastAsia="Arial" w:hAnsi="Arial"/>
          <w:sz w:val="22"/>
          <w:szCs w:val="22"/>
          <w:color w:val="auto"/>
        </w:rPr>
        <w:t>” has the meaning specified in Section 7.01(a) herein.</w:t>
      </w:r>
    </w:p>
    <w:p>
      <w:pPr>
        <w:spacing w:after="0" w:line="185"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102" w:name="page103"/>
    <w:bookmarkEnd w:id="102"/>
    <w:p>
      <w:pPr>
        <w:jc w:val="both"/>
        <w:ind w:firstLine="648"/>
        <w:spacing w:after="0" w:line="251" w:lineRule="auto"/>
        <w:rPr>
          <w:sz w:val="20"/>
          <w:szCs w:val="20"/>
          <w:color w:val="auto"/>
        </w:rPr>
      </w:pPr>
      <w:r>
        <w:rPr>
          <w:rFonts w:ascii="Arial" w:cs="Arial" w:eastAsia="Arial" w:hAnsi="Arial"/>
          <w:sz w:val="21"/>
          <w:szCs w:val="21"/>
          <w:b w:val="1"/>
          <w:bCs w:val="1"/>
          <w:color w:val="auto"/>
        </w:rPr>
        <w:t xml:space="preserve">“Subsidiary” </w:t>
      </w:r>
      <w:r>
        <w:rPr>
          <w:rFonts w:ascii="Arial" w:cs="Arial" w:eastAsia="Arial" w:hAnsi="Arial"/>
          <w:sz w:val="21"/>
          <w:szCs w:val="21"/>
          <w:color w:val="auto"/>
        </w:rPr>
        <w:t>means an entity over which another entity or person has a determining influence due to (i) direct and indirect</w:t>
      </w:r>
      <w:r>
        <w:rPr>
          <w:rFonts w:ascii="Arial" w:cs="Arial" w:eastAsia="Arial" w:hAnsi="Arial"/>
          <w:sz w:val="21"/>
          <w:szCs w:val="21"/>
          <w:b w:val="1"/>
          <w:bCs w:val="1"/>
          <w:color w:val="auto"/>
        </w:rPr>
        <w:t xml:space="preserve"> </w:t>
      </w:r>
      <w:r>
        <w:rPr>
          <w:rFonts w:ascii="Arial" w:cs="Arial" w:eastAsia="Arial" w:hAnsi="Arial"/>
          <w:sz w:val="21"/>
          <w:szCs w:val="21"/>
          <w:color w:val="auto"/>
        </w:rPr>
        <w:t>ownership of shares or other ownership interests, (ii) control of the general partner of any such other entity that is a limited partnership and/or (iii) agreement, understanding or other arrangement. An entity shall always be considered to be the subsidiary of another entity or person if such entity or person has such number of shares or ownership interests so as to represent the majority of the votes in the entity, or has the right to elect or dismiss a majority of the directors in the entity.</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Taxes</w:t>
      </w:r>
      <w:r>
        <w:rPr>
          <w:rFonts w:ascii="Arial" w:cs="Arial" w:eastAsia="Arial" w:hAnsi="Arial"/>
          <w:sz w:val="22"/>
          <w:szCs w:val="22"/>
          <w:color w:val="auto"/>
        </w:rPr>
        <w:t>” has the meaning specified in Section 7.01(a) herein.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“Total Capitalization” </w:t>
      </w:r>
      <w:r>
        <w:rPr>
          <w:rFonts w:ascii="Arial" w:cs="Arial" w:eastAsia="Arial" w:hAnsi="Arial"/>
          <w:sz w:val="22"/>
          <w:szCs w:val="22"/>
          <w:color w:val="auto"/>
        </w:rPr>
        <w:t>means the sum of Total Indebtedness and Total Equity of the Group.</w:t>
      </w:r>
    </w:p>
    <w:p>
      <w:pPr>
        <w:spacing w:after="0" w:line="23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“Total Equity” </w:t>
      </w:r>
      <w:r>
        <w:rPr>
          <w:rFonts w:ascii="Arial" w:cs="Arial" w:eastAsia="Arial" w:hAnsi="Arial"/>
          <w:sz w:val="22"/>
          <w:szCs w:val="22"/>
          <w:color w:val="auto"/>
        </w:rPr>
        <w:t>means the Total Equity of the Group on a consolidated basis as determined in accordance with GAAP as</w:t>
      </w:r>
      <w:r>
        <w:rPr>
          <w:rFonts w:ascii="Arial" w:cs="Arial" w:eastAsia="Arial" w:hAnsi="Arial"/>
          <w:sz w:val="22"/>
          <w:szCs w:val="22"/>
          <w:b w:val="1"/>
          <w:bCs w:val="1"/>
          <w:color w:val="auto"/>
        </w:rPr>
        <w:t xml:space="preserve"> </w:t>
      </w:r>
      <w:r>
        <w:rPr>
          <w:rFonts w:ascii="Arial" w:cs="Arial" w:eastAsia="Arial" w:hAnsi="Arial"/>
          <w:sz w:val="22"/>
          <w:szCs w:val="22"/>
          <w:color w:val="auto"/>
        </w:rPr>
        <w:t>shown in the then recent Financial Statements or Interim Accounts.</w:t>
      </w:r>
    </w:p>
    <w:p>
      <w:pPr>
        <w:spacing w:after="0" w:line="19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“Total Indebtedness” </w:t>
      </w:r>
      <w:r>
        <w:rPr>
          <w:rFonts w:ascii="Arial" w:cs="Arial" w:eastAsia="Arial" w:hAnsi="Arial"/>
          <w:sz w:val="22"/>
          <w:szCs w:val="22"/>
          <w:color w:val="auto"/>
        </w:rPr>
        <w:t>means the aggregate Financial Indebtedness (on a consolidated basis) of the Group as demonstrated</w:t>
      </w:r>
      <w:r>
        <w:rPr>
          <w:rFonts w:ascii="Arial" w:cs="Arial" w:eastAsia="Arial" w:hAnsi="Arial"/>
          <w:sz w:val="22"/>
          <w:szCs w:val="22"/>
          <w:b w:val="1"/>
          <w:bCs w:val="1"/>
          <w:color w:val="auto"/>
        </w:rPr>
        <w:t xml:space="preserve"> </w:t>
      </w:r>
      <w:r>
        <w:rPr>
          <w:rFonts w:ascii="Arial" w:cs="Arial" w:eastAsia="Arial" w:hAnsi="Arial"/>
          <w:sz w:val="22"/>
          <w:szCs w:val="22"/>
          <w:color w:val="auto"/>
        </w:rPr>
        <w:t>by the Financial Statements and Interim Accounts.</w:t>
      </w:r>
    </w:p>
    <w:p>
      <w:pPr>
        <w:spacing w:after="0" w:line="19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color w:val="auto"/>
        </w:rPr>
        <w:t xml:space="preserve">“Total Market Adjusted Assets” </w:t>
      </w:r>
      <w:r>
        <w:rPr>
          <w:rFonts w:ascii="Arial" w:cs="Arial" w:eastAsia="Arial" w:hAnsi="Arial"/>
          <w:sz w:val="21"/>
          <w:szCs w:val="21"/>
          <w:color w:val="auto"/>
        </w:rPr>
        <w:t>means the Total Assets adjusted upwards or downwards, as the case may be, to reflect</w:t>
      </w:r>
      <w:r>
        <w:rPr>
          <w:rFonts w:ascii="Arial" w:cs="Arial" w:eastAsia="Arial" w:hAnsi="Arial"/>
          <w:sz w:val="21"/>
          <w:szCs w:val="21"/>
          <w:b w:val="1"/>
          <w:bCs w:val="1"/>
          <w:color w:val="auto"/>
        </w:rPr>
        <w:t xml:space="preserve"> </w:t>
      </w:r>
      <w:r>
        <w:rPr>
          <w:rFonts w:ascii="Arial" w:cs="Arial" w:eastAsia="Arial" w:hAnsi="Arial"/>
          <w:sz w:val="21"/>
          <w:szCs w:val="21"/>
          <w:color w:val="auto"/>
        </w:rPr>
        <w:t>any difference between the book value of delivered vessels owned wholly or in part by the Group and mean valuations of such vessels provided to the Trustee in each compliance certificate conducted by two independent valuers.</w:t>
      </w:r>
    </w:p>
    <w:p>
      <w:pPr>
        <w:spacing w:after="0" w:line="18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color w:val="auto"/>
        </w:rPr>
        <w:t xml:space="preserve">“Treasury Rate” </w:t>
      </w:r>
      <w:r>
        <w:rPr>
          <w:rFonts w:ascii="Arial" w:cs="Arial" w:eastAsia="Arial" w:hAnsi="Arial"/>
          <w:sz w:val="21"/>
          <w:szCs w:val="21"/>
          <w:color w:val="auto"/>
        </w:rPr>
        <w:t>means, with respect to any Redemption Date, the rate per annum equal to the yield to maturity of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Comparable Treasury Issue, compounded quarterly, assuming a price for such Comparable Treasury Issue (expressed as a percentage of its principal amount) equal to the Comparable Treasury Price for such Redemption Date.</w:t>
      </w:r>
    </w:p>
    <w:p>
      <w:pPr>
        <w:spacing w:after="0" w:line="18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Voting Stock</w:t>
      </w:r>
      <w:r>
        <w:rPr>
          <w:rFonts w:ascii="Arial" w:cs="Arial" w:eastAsia="Arial" w:hAnsi="Arial"/>
          <w:sz w:val="22"/>
          <w:szCs w:val="22"/>
          <w:color w:val="auto"/>
        </w:rPr>
        <w:t>”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20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“Wholly Owned Group Company” </w:t>
      </w:r>
      <w:r>
        <w:rPr>
          <w:rFonts w:ascii="Arial" w:cs="Arial" w:eastAsia="Arial" w:hAnsi="Arial"/>
          <w:sz w:val="22"/>
          <w:szCs w:val="22"/>
          <w:color w:val="auto"/>
        </w:rPr>
        <w:t>of any Person means a Group Company of such Person, all of the capital stock of</w:t>
      </w:r>
      <w:r>
        <w:rPr>
          <w:rFonts w:ascii="Arial" w:cs="Arial" w:eastAsia="Arial" w:hAnsi="Arial"/>
          <w:sz w:val="22"/>
          <w:szCs w:val="22"/>
          <w:b w:val="1"/>
          <w:bCs w:val="1"/>
          <w:color w:val="auto"/>
        </w:rPr>
        <w:t xml:space="preserve"> </w:t>
      </w:r>
      <w:r>
        <w:rPr>
          <w:rFonts w:ascii="Arial" w:cs="Arial" w:eastAsia="Arial" w:hAnsi="Arial"/>
          <w:sz w:val="22"/>
          <w:szCs w:val="22"/>
          <w:color w:val="auto"/>
        </w:rPr>
        <w:t>which is owned by the Issuer or another Wholly Owned Group Company.</w:t>
      </w:r>
    </w:p>
    <w:p>
      <w:pPr>
        <w:spacing w:after="0" w:line="190" w:lineRule="exact"/>
        <w:rPr>
          <w:sz w:val="20"/>
          <w:szCs w:val="20"/>
          <w:color w:val="auto"/>
        </w:rPr>
      </w:pPr>
    </w:p>
    <w:p>
      <w:pPr>
        <w:jc w:val="both"/>
        <w:ind w:right="20" w:firstLine="648"/>
        <w:spacing w:after="0" w:line="301" w:lineRule="auto"/>
        <w:rPr>
          <w:sz w:val="20"/>
          <w:szCs w:val="20"/>
          <w:color w:val="auto"/>
        </w:rPr>
      </w:pPr>
      <w:r>
        <w:rPr>
          <w:rFonts w:ascii="Arial" w:cs="Arial" w:eastAsia="Arial" w:hAnsi="Arial"/>
          <w:sz w:val="19"/>
          <w:szCs w:val="19"/>
          <w:b w:val="1"/>
          <w:bCs w:val="1"/>
          <w:color w:val="auto"/>
        </w:rPr>
        <w:t xml:space="preserve">Section 1.03 </w:t>
      </w:r>
      <w:r>
        <w:rPr>
          <w:rFonts w:ascii="Arial" w:cs="Arial" w:eastAsia="Arial" w:hAnsi="Arial"/>
          <w:sz w:val="19"/>
          <w:szCs w:val="19"/>
          <w:b w:val="1"/>
          <w:bCs w:val="1"/>
          <w:i w:val="1"/>
          <w:iCs w:val="1"/>
          <w:color w:val="auto"/>
        </w:rPr>
        <w:t>Applicability</w:t>
      </w:r>
      <w:r>
        <w:rPr>
          <w:rFonts w:ascii="Arial" w:cs="Arial" w:eastAsia="Arial" w:hAnsi="Arial"/>
          <w:sz w:val="19"/>
          <w:szCs w:val="19"/>
          <w:color w:val="auto"/>
        </w:rPr>
        <w:t>. The provisions contained in this Supplemental Indenture shall apply only to the Notes and not to</w:t>
      </w:r>
      <w:r>
        <w:rPr>
          <w:rFonts w:ascii="Arial" w:cs="Arial" w:eastAsia="Arial" w:hAnsi="Arial"/>
          <w:sz w:val="19"/>
          <w:szCs w:val="19"/>
          <w:b w:val="1"/>
          <w:bCs w:val="1"/>
          <w:color w:val="auto"/>
        </w:rPr>
        <w:t xml:space="preserve"> </w:t>
      </w:r>
      <w:r>
        <w:rPr>
          <w:rFonts w:ascii="Arial" w:cs="Arial" w:eastAsia="Arial" w:hAnsi="Arial"/>
          <w:sz w:val="19"/>
          <w:szCs w:val="19"/>
          <w:color w:val="auto"/>
        </w:rPr>
        <w:t>any other series of Securities issued under the Indenture and any covenants provided herein are solely for the benefit of the Holders of the Notes and not for the benefit of the Holders of any other series of Securities issued under the Indenture.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22"/>
          <w:szCs w:val="22"/>
          <w:b w:val="1"/>
          <w:bCs w:val="1"/>
          <w:color w:val="auto"/>
        </w:rPr>
        <w:t>ARTICLE 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HE</w:t>
      </w:r>
      <w:r>
        <w:rPr>
          <w:rFonts w:ascii="Arial" w:cs="Arial" w:eastAsia="Arial" w:hAnsi="Arial"/>
          <w:sz w:val="22"/>
          <w:szCs w:val="22"/>
          <w:b w:val="1"/>
          <w:bCs w:val="1"/>
          <w:color w:val="auto"/>
        </w:rPr>
        <w:t xml:space="preserve"> N</w:t>
      </w:r>
      <w:r>
        <w:rPr>
          <w:rFonts w:ascii="Arial" w:cs="Arial" w:eastAsia="Arial" w:hAnsi="Arial"/>
          <w:sz w:val="14"/>
          <w:szCs w:val="14"/>
          <w:b w:val="1"/>
          <w:bCs w:val="1"/>
          <w:color w:val="auto"/>
        </w:rPr>
        <w:t>OTES</w:t>
      </w:r>
    </w:p>
    <w:p>
      <w:pPr>
        <w:spacing w:after="0" w:line="20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2.01 </w:t>
      </w:r>
      <w:r>
        <w:rPr>
          <w:rFonts w:ascii="Arial" w:cs="Arial" w:eastAsia="Arial" w:hAnsi="Arial"/>
          <w:sz w:val="22"/>
          <w:szCs w:val="22"/>
          <w:b w:val="1"/>
          <w:bCs w:val="1"/>
          <w:i w:val="1"/>
          <w:iCs w:val="1"/>
          <w:color w:val="auto"/>
        </w:rPr>
        <w:t>Issue Of Notes</w:t>
      </w:r>
      <w:r>
        <w:rPr>
          <w:rFonts w:ascii="Arial" w:cs="Arial" w:eastAsia="Arial" w:hAnsi="Arial"/>
          <w:sz w:val="22"/>
          <w:szCs w:val="22"/>
          <w:color w:val="auto"/>
        </w:rPr>
        <w:t>. A new series of Securities is to be issued under the Indenture as supplemented by this</w:t>
      </w:r>
      <w:r>
        <w:rPr>
          <w:rFonts w:ascii="Arial" w:cs="Arial" w:eastAsia="Arial" w:hAnsi="Arial"/>
          <w:sz w:val="22"/>
          <w:szCs w:val="22"/>
          <w:b w:val="1"/>
          <w:bCs w:val="1"/>
          <w:color w:val="auto"/>
        </w:rPr>
        <w:t xml:space="preserve"> </w:t>
      </w:r>
      <w:r>
        <w:rPr>
          <w:rFonts w:ascii="Arial" w:cs="Arial" w:eastAsia="Arial" w:hAnsi="Arial"/>
          <w:sz w:val="22"/>
          <w:szCs w:val="22"/>
          <w:color w:val="auto"/>
        </w:rPr>
        <w:t>Supplemental Indenture. The series shall be titled the “8.875% Senior Notes due 2022.”</w:t>
      </w:r>
    </w:p>
    <w:p>
      <w:pPr>
        <w:spacing w:after="0" w:line="19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Section 2.02 </w:t>
      </w:r>
      <w:r>
        <w:rPr>
          <w:rFonts w:ascii="Arial" w:cs="Arial" w:eastAsia="Arial" w:hAnsi="Arial"/>
          <w:sz w:val="22"/>
          <w:szCs w:val="22"/>
          <w:b w:val="1"/>
          <w:bCs w:val="1"/>
          <w:i w:val="1"/>
          <w:iCs w:val="1"/>
          <w:color w:val="auto"/>
        </w:rPr>
        <w:t>Form Of Notes</w:t>
      </w:r>
      <w:r>
        <w:rPr>
          <w:rFonts w:ascii="Arial" w:cs="Arial" w:eastAsia="Arial" w:hAnsi="Arial"/>
          <w:sz w:val="22"/>
          <w:szCs w:val="22"/>
          <w:color w:val="auto"/>
        </w:rPr>
        <w:t>. The Notes shall each be issued in the form of a global Security, duly executed by the Issuer</w:t>
      </w:r>
      <w:r>
        <w:rPr>
          <w:rFonts w:ascii="Arial" w:cs="Arial" w:eastAsia="Arial" w:hAnsi="Arial"/>
          <w:sz w:val="22"/>
          <w:szCs w:val="22"/>
          <w:b w:val="1"/>
          <w:bCs w:val="1"/>
          <w:color w:val="auto"/>
        </w:rPr>
        <w:t xml:space="preserve"> </w:t>
      </w:r>
      <w:r>
        <w:rPr>
          <w:rFonts w:ascii="Arial" w:cs="Arial" w:eastAsia="Arial" w:hAnsi="Arial"/>
          <w:sz w:val="22"/>
          <w:szCs w:val="22"/>
          <w:color w:val="auto"/>
        </w:rPr>
        <w:t>and authenticated by the Trustee, which shall be deposited with the Trustee as custodian for the Depositary and registered in the name of “Cede &amp; Co.,” as the nominee of the Depositary.</w:t>
      </w:r>
    </w:p>
    <w:p>
      <w:pPr>
        <w:spacing w:after="0" w:line="20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b w:val="1"/>
          <w:bCs w:val="1"/>
          <w:color w:val="auto"/>
        </w:rPr>
        <w:t xml:space="preserve">Section 2.03 </w:t>
      </w:r>
      <w:r>
        <w:rPr>
          <w:rFonts w:ascii="Arial" w:cs="Arial" w:eastAsia="Arial" w:hAnsi="Arial"/>
          <w:sz w:val="19"/>
          <w:szCs w:val="19"/>
          <w:b w:val="1"/>
          <w:bCs w:val="1"/>
          <w:i w:val="1"/>
          <w:iCs w:val="1"/>
          <w:color w:val="auto"/>
        </w:rPr>
        <w:t>Additional Notes</w:t>
      </w:r>
      <w:r>
        <w:rPr>
          <w:rFonts w:ascii="Arial" w:cs="Arial" w:eastAsia="Arial" w:hAnsi="Arial"/>
          <w:sz w:val="19"/>
          <w:szCs w:val="19"/>
          <w:color w:val="auto"/>
        </w:rPr>
        <w:t>. The Issuer will initially issue $250,000,000 aggregate principal amount of the Notes. The</w:t>
      </w:r>
      <w:r>
        <w:rPr>
          <w:rFonts w:ascii="Arial" w:cs="Arial" w:eastAsia="Arial" w:hAnsi="Arial"/>
          <w:sz w:val="19"/>
          <w:szCs w:val="19"/>
          <w:b w:val="1"/>
          <w:bCs w:val="1"/>
          <w:color w:val="auto"/>
        </w:rPr>
        <w:t xml:space="preserve"> </w:t>
      </w:r>
      <w:r>
        <w:rPr>
          <w:rFonts w:ascii="Arial" w:cs="Arial" w:eastAsia="Arial" w:hAnsi="Arial"/>
          <w:sz w:val="19"/>
          <w:szCs w:val="19"/>
          <w:color w:val="auto"/>
        </w:rPr>
        <w:t>Issuer may, without notice to or the consent of the Holders or beneficial owners of the Notes, issue in a separate offering additional notes of the same series as the Notes having the same ranking, interest rate, maturity and other terms as the Notes (except for the Issue Date and public offering price and, if applicable, the initial Interest Payment Date and initial interest accrual date). No such additional notes of the same series as the Notes may be issued if an Event of Default has occurred and is continuing with respect to the Notes. Any such additional notes of the same series, together with the original Notes, will constitute a single series under the Indenture as supplemented by this Supplemental Indenture. Such additional notes of the same series of the Notes will be fungible with the Outstanding Notes for United States federal income tax purposes or will be issued under a separate CUSIP number.</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1"/>
          <w:szCs w:val="21"/>
          <w:b w:val="1"/>
          <w:bCs w:val="1"/>
          <w:color w:val="auto"/>
        </w:rPr>
        <w:t xml:space="preserve">Section 2.04 </w:t>
      </w:r>
      <w:r>
        <w:rPr>
          <w:rFonts w:ascii="Arial" w:cs="Arial" w:eastAsia="Arial" w:hAnsi="Arial"/>
          <w:sz w:val="21"/>
          <w:szCs w:val="21"/>
          <w:b w:val="1"/>
          <w:bCs w:val="1"/>
          <w:i w:val="1"/>
          <w:iCs w:val="1"/>
          <w:color w:val="auto"/>
        </w:rPr>
        <w:t>Terms Of Notes Incorporated</w:t>
      </w:r>
      <w:r>
        <w:rPr>
          <w:rFonts w:ascii="Arial" w:cs="Arial" w:eastAsia="Arial" w:hAnsi="Arial"/>
          <w:sz w:val="21"/>
          <w:szCs w:val="21"/>
          <w:color w:val="auto"/>
        </w:rPr>
        <w:t>. The terms and provisions contained in the form of Notes attached as Exhibit A</w:t>
      </w:r>
      <w:r>
        <w:rPr>
          <w:rFonts w:ascii="Arial" w:cs="Arial" w:eastAsia="Arial" w:hAnsi="Arial"/>
          <w:sz w:val="21"/>
          <w:szCs w:val="21"/>
          <w:b w:val="1"/>
          <w:bCs w:val="1"/>
          <w:color w:val="auto"/>
        </w:rPr>
        <w:t xml:space="preserve"> </w:t>
      </w:r>
      <w:r>
        <w:rPr>
          <w:rFonts w:ascii="Arial" w:cs="Arial" w:eastAsia="Arial" w:hAnsi="Arial"/>
          <w:sz w:val="21"/>
          <w:szCs w:val="21"/>
          <w:color w:val="auto"/>
        </w:rPr>
        <w:t>shall constitute, and are hereby expressly made, a part of this Supplemental Indenture and, to the extent applicable, the Issuer and the Trustee, by their execution and delivery of this Supplemental Indenture, expressly agree to such terms and provisions and to be bound thereby. In particular, the following provisions shall be terms of the Notes:</w:t>
      </w:r>
    </w:p>
    <w:p>
      <w:pPr>
        <w:spacing w:after="0" w:line="199" w:lineRule="exact"/>
        <w:rPr>
          <w:sz w:val="20"/>
          <w:szCs w:val="20"/>
          <w:color w:val="auto"/>
        </w:rPr>
      </w:pPr>
    </w:p>
    <w:p>
      <w:pPr>
        <w:ind w:firstLine="656"/>
        <w:spacing w:after="0" w:line="251" w:lineRule="auto"/>
        <w:tabs>
          <w:tab w:leader="none" w:pos="942"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Maturity Date</w:t>
      </w:r>
      <w:r>
        <w:rPr>
          <w:rFonts w:ascii="Arial" w:cs="Arial" w:eastAsia="Arial" w:hAnsi="Arial"/>
          <w:sz w:val="22"/>
          <w:szCs w:val="22"/>
          <w:color w:val="auto"/>
        </w:rPr>
        <w:t>. The Notes shall mature, and the principal of the Notes shall be due and payable in Dollars to the Holders thereof, together with all accrued and unpaid interest thereon, on March 22, 2022 (the “</w:t>
      </w:r>
      <w:r>
        <w:rPr>
          <w:rFonts w:ascii="Arial" w:cs="Arial" w:eastAsia="Arial" w:hAnsi="Arial"/>
          <w:sz w:val="22"/>
          <w:szCs w:val="22"/>
          <w:b w:val="1"/>
          <w:bCs w:val="1"/>
          <w:color w:val="auto"/>
        </w:rPr>
        <w:t>Maturity Date</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jc w:val="both"/>
        <w:ind w:firstLine="656"/>
        <w:spacing w:after="0" w:line="274" w:lineRule="auto"/>
        <w:tabs>
          <w:tab w:leader="none" w:pos="968"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Payment of Principal and Interest; Additional Amounts</w:t>
      </w:r>
      <w:r>
        <w:rPr>
          <w:rFonts w:ascii="Arial" w:cs="Arial" w:eastAsia="Arial" w:hAnsi="Arial"/>
          <w:sz w:val="19"/>
          <w:szCs w:val="19"/>
          <w:color w:val="auto"/>
        </w:rPr>
        <w:t>. The Notes shall bear interest at 8.875% per annum, from and including March 22, 2017, or from the most recent Interest Payment Date (as defined hereafter) on which interest has been paid or provided for until the principal thereof becomes due and payable, and on any overdue principal. Interest shall be calculated on the basis of a 360-day year comprised of twelve 30-day months. Interest on the Notes shall be payable quarterly in arrears in Dollars on March 30, June 30, September 30 and December 30 of each year, commencing on June 30, 2017 (each such date, an “</w:t>
      </w:r>
      <w:r>
        <w:rPr>
          <w:rFonts w:ascii="Arial" w:cs="Arial" w:eastAsia="Arial" w:hAnsi="Arial"/>
          <w:sz w:val="19"/>
          <w:szCs w:val="19"/>
          <w:b w:val="1"/>
          <w:bCs w:val="1"/>
          <w:color w:val="auto"/>
        </w:rPr>
        <w:t>Interest</w:t>
      </w:r>
      <w:r>
        <w:rPr>
          <w:rFonts w:ascii="Arial" w:cs="Arial" w:eastAsia="Arial" w:hAnsi="Arial"/>
          <w:sz w:val="19"/>
          <w:szCs w:val="19"/>
          <w:color w:val="auto"/>
        </w:rPr>
        <w:t xml:space="preserve"> </w:t>
      </w:r>
      <w:r>
        <w:rPr>
          <w:rFonts w:ascii="Arial" w:cs="Arial" w:eastAsia="Arial" w:hAnsi="Arial"/>
          <w:sz w:val="19"/>
          <w:szCs w:val="19"/>
          <w:b w:val="1"/>
          <w:bCs w:val="1"/>
          <w:color w:val="auto"/>
        </w:rPr>
        <w:t>Payment Date</w:t>
      </w:r>
      <w:r>
        <w:rPr>
          <w:rFonts w:ascii="Arial" w:cs="Arial" w:eastAsia="Arial" w:hAnsi="Arial"/>
          <w:sz w:val="19"/>
          <w:szCs w:val="19"/>
          <w:color w:val="auto"/>
        </w:rPr>
        <w:t>” for the purposes of the Notes issued under this First Supplemental Indenture); provided, however, that if an Interest</w:t>
      </w:r>
      <w:r>
        <w:rPr>
          <w:rFonts w:ascii="Arial" w:cs="Arial" w:eastAsia="Arial" w:hAnsi="Arial"/>
          <w:sz w:val="19"/>
          <w:szCs w:val="19"/>
          <w:b w:val="1"/>
          <w:bCs w:val="1"/>
          <w:color w:val="auto"/>
        </w:rPr>
        <w:t xml:space="preserve"> </w:t>
      </w:r>
      <w:r>
        <w:rPr>
          <w:rFonts w:ascii="Arial" w:cs="Arial" w:eastAsia="Arial" w:hAnsi="Arial"/>
          <w:sz w:val="19"/>
          <w:szCs w:val="19"/>
          <w:color w:val="auto"/>
        </w:rPr>
        <w:t>Payment Date shall not be a Business Day, then payment of interest need not be made on such date, but may be made on the next succeeding Business Day with the same force and effect as if made on the date of maturity. Payments of interest shall be made to the Person in whose name a Note (or predecessor Note) is registered at the close of</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104" w:name="page105"/>
    <w:bookmarkEnd w:id="104"/>
    <w:p>
      <w:pPr>
        <w:jc w:val="both"/>
        <w:spacing w:after="0" w:line="238" w:lineRule="auto"/>
        <w:rPr>
          <w:sz w:val="20"/>
          <w:szCs w:val="20"/>
          <w:color w:val="auto"/>
        </w:rPr>
      </w:pPr>
      <w:r>
        <w:rPr>
          <w:rFonts w:ascii="Arial" w:cs="Arial" w:eastAsia="Arial" w:hAnsi="Arial"/>
          <w:sz w:val="22"/>
          <w:szCs w:val="22"/>
          <w:color w:val="auto"/>
        </w:rPr>
        <w:t>business on March 15, June 15, September 15 or December 15 (whether or not that date is a Business Day), as the case may be, immediately preceding such Interest Payment Date (each such date, a “</w:t>
      </w:r>
      <w:r>
        <w:rPr>
          <w:rFonts w:ascii="Arial" w:cs="Arial" w:eastAsia="Arial" w:hAnsi="Arial"/>
          <w:sz w:val="22"/>
          <w:szCs w:val="22"/>
          <w:b w:val="1"/>
          <w:bCs w:val="1"/>
          <w:color w:val="auto"/>
        </w:rPr>
        <w:t>Regular Record Date</w:t>
      </w:r>
      <w:r>
        <w:rPr>
          <w:rFonts w:ascii="Arial" w:cs="Arial" w:eastAsia="Arial" w:hAnsi="Arial"/>
          <w:sz w:val="22"/>
          <w:szCs w:val="22"/>
          <w:color w:val="auto"/>
        </w:rPr>
        <w:t>” for the purposes of the Notes issued under this First Supplemental Indenture). All payments in respect of the Notes shall include Additional Amounts as and to the extent set forth in Article 7 of this First Supplemental Indenture.</w:t>
      </w:r>
    </w:p>
    <w:p>
      <w:pPr>
        <w:spacing w:after="0" w:line="212" w:lineRule="exact"/>
        <w:rPr>
          <w:sz w:val="20"/>
          <w:szCs w:val="20"/>
          <w:color w:val="auto"/>
        </w:rPr>
      </w:pPr>
    </w:p>
    <w:p>
      <w:pPr>
        <w:jc w:val="both"/>
        <w:ind w:firstLine="656"/>
        <w:spacing w:after="0" w:line="238" w:lineRule="auto"/>
        <w:tabs>
          <w:tab w:leader="none" w:pos="996"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Registration and Form; Denomination</w:t>
      </w:r>
      <w:r>
        <w:rPr>
          <w:rFonts w:ascii="Arial" w:cs="Arial" w:eastAsia="Arial" w:hAnsi="Arial"/>
          <w:sz w:val="22"/>
          <w:szCs w:val="22"/>
          <w:color w:val="auto"/>
        </w:rPr>
        <w:t xml:space="preserve">. The Notes shall be issuable as registered securities as provided in Section 2.05 of this Article II. The form of the Notes shall be as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 which is incorporated herein by reference. The Notes shall be issued and may be transferred only in minimum denomination of $1,000 and integral multiples of $1,000 in excess thereof.</w:t>
      </w:r>
    </w:p>
    <w:p>
      <w:pPr>
        <w:spacing w:after="0" w:line="212" w:lineRule="exact"/>
        <w:rPr>
          <w:rFonts w:ascii="Arial" w:cs="Arial" w:eastAsia="Arial" w:hAnsi="Arial"/>
          <w:sz w:val="22"/>
          <w:szCs w:val="22"/>
          <w:color w:val="auto"/>
        </w:rPr>
      </w:pPr>
    </w:p>
    <w:p>
      <w:pPr>
        <w:jc w:val="both"/>
        <w:ind w:firstLine="656"/>
        <w:spacing w:after="0" w:line="234" w:lineRule="auto"/>
        <w:tabs>
          <w:tab w:leader="none" w:pos="954"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Legal Defeasance and Covenant Defeasance</w:t>
      </w:r>
      <w:r>
        <w:rPr>
          <w:rFonts w:ascii="Arial" w:cs="Arial" w:eastAsia="Arial" w:hAnsi="Arial"/>
          <w:sz w:val="22"/>
          <w:szCs w:val="22"/>
          <w:color w:val="auto"/>
        </w:rPr>
        <w:t>. The provisions for legal defeasance in Section 9.01(b) of the Indenture, as supplemented by this First Supplemental Indenture, and the provisions for covenant defeasance in Section 9.01(c) of the Indenture, as supplemented by this First Supplemental Indenture, shall be applicable to the Notes. If the Issuer shall effect a covenant defeasance of the Notes pursuant to Section 9.01(c) of the Indenture, (1) the Issuer shall cease to have any obligation to comply with the covenants and agreements set forth in Articles 3 and 6 of this First Supplemental Indenture and Section 3.07 of the Indenture (as supplemented by this First Supplemental Indenture) and (2) the Events of Default set forth in Section 4.01(d), 4.01(f) and 4.01(g), as supplemented by this First Supplemental Indenture, shall no longer constitute Events of Default for purposes of the Notes.</w:t>
      </w:r>
    </w:p>
    <w:p>
      <w:pPr>
        <w:spacing w:after="0" w:line="214" w:lineRule="exact"/>
        <w:rPr>
          <w:rFonts w:ascii="Arial" w:cs="Arial" w:eastAsia="Arial" w:hAnsi="Arial"/>
          <w:sz w:val="22"/>
          <w:szCs w:val="22"/>
          <w:color w:val="auto"/>
        </w:rPr>
      </w:pPr>
    </w:p>
    <w:p>
      <w:pPr>
        <w:ind w:firstLine="656"/>
        <w:spacing w:after="0" w:line="328" w:lineRule="auto"/>
        <w:tabs>
          <w:tab w:leader="none" w:pos="956"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Redemption</w:t>
      </w:r>
      <w:r>
        <w:rPr>
          <w:rFonts w:ascii="Arial" w:cs="Arial" w:eastAsia="Arial" w:hAnsi="Arial"/>
          <w:sz w:val="19"/>
          <w:szCs w:val="19"/>
          <w:color w:val="auto"/>
        </w:rPr>
        <w:t>. The Notes are subject to redemption by the Issuer at its option prior to maturity and tax redemption, and may be the subject of an offer to purchase upon the occurrence of a Change of Control as further described herein.</w:t>
      </w:r>
    </w:p>
    <w:p>
      <w:pPr>
        <w:spacing w:after="0" w:line="132" w:lineRule="exact"/>
        <w:rPr>
          <w:rFonts w:ascii="Arial" w:cs="Arial" w:eastAsia="Arial" w:hAnsi="Arial"/>
          <w:sz w:val="19"/>
          <w:szCs w:val="19"/>
          <w:color w:val="auto"/>
        </w:rPr>
      </w:pPr>
    </w:p>
    <w:p>
      <w:pPr>
        <w:ind w:left="920" w:hanging="264"/>
        <w:spacing w:after="0"/>
        <w:tabs>
          <w:tab w:leader="none" w:pos="920"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Sinking Fund</w:t>
      </w:r>
      <w:r>
        <w:rPr>
          <w:rFonts w:ascii="Arial" w:cs="Arial" w:eastAsia="Arial" w:hAnsi="Arial"/>
          <w:sz w:val="22"/>
          <w:szCs w:val="22"/>
          <w:color w:val="auto"/>
        </w:rPr>
        <w:t>. The Notes are not entitled to any sinking fund.</w:t>
      </w:r>
    </w:p>
    <w:p>
      <w:pPr>
        <w:spacing w:after="0" w:line="22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b w:val="1"/>
          <w:bCs w:val="1"/>
          <w:color w:val="auto"/>
        </w:rPr>
        <w:t xml:space="preserve">Section 2.05 </w:t>
      </w:r>
      <w:r>
        <w:rPr>
          <w:rFonts w:ascii="Arial" w:cs="Arial" w:eastAsia="Arial" w:hAnsi="Arial"/>
          <w:sz w:val="21"/>
          <w:szCs w:val="21"/>
          <w:b w:val="1"/>
          <w:bCs w:val="1"/>
          <w:i w:val="1"/>
          <w:iCs w:val="1"/>
          <w:color w:val="auto"/>
        </w:rPr>
        <w:t>Global Notes.</w:t>
      </w:r>
      <w:r>
        <w:rPr>
          <w:rFonts w:ascii="Arial" w:cs="Arial" w:eastAsia="Arial" w:hAnsi="Arial"/>
          <w:sz w:val="21"/>
          <w:szCs w:val="21"/>
          <w:b w:val="1"/>
          <w:bCs w:val="1"/>
          <w:color w:val="auto"/>
        </w:rPr>
        <w:t xml:space="preserve"> </w:t>
      </w:r>
      <w:r>
        <w:rPr>
          <w:rFonts w:ascii="Arial" w:cs="Arial" w:eastAsia="Arial" w:hAnsi="Arial"/>
          <w:sz w:val="21"/>
          <w:szCs w:val="21"/>
          <w:color w:val="auto"/>
        </w:rPr>
        <w:t>The Notes will be represented by one or more Global Notes. The Depository Trust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initially shall serve as Depositary for the Notes. So long as the Depositary, or its nominee, is the registered owner of a global Security, the Depositary or its nominee, as the case may be, shall be considered the sole owner or Holder of the Notes represented by such global Security for all purposes under the Indenture and under such Notes. Ownership of beneficial interests in such global Security shall be shown on, and transfers thereof will be effective only through, records maintained by the Depositary or its nominee (with respect to beneficial interests of participants) or by participants or Persons that hold interests through participants (with respect to beneficial interests of beneficial owners).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OVENANTS</w:t>
      </w:r>
    </w:p>
    <w:p>
      <w:pPr>
        <w:spacing w:after="0" w:line="215"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covenants set forth in this Article 3 shall be applicable to the Issuer in addition to the covenants in Article 3 of the Indenture, which shall in all respects be applicable in respect of the Notes.</w:t>
      </w:r>
    </w:p>
    <w:p>
      <w:pPr>
        <w:spacing w:after="0" w:line="19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3.01 </w:t>
      </w:r>
      <w:r>
        <w:rPr>
          <w:rFonts w:ascii="Arial" w:cs="Arial" w:eastAsia="Arial" w:hAnsi="Arial"/>
          <w:sz w:val="22"/>
          <w:szCs w:val="22"/>
          <w:b w:val="1"/>
          <w:bCs w:val="1"/>
          <w:i w:val="1"/>
          <w:iCs w:val="1"/>
          <w:color w:val="auto"/>
        </w:rPr>
        <w:t>Pari Passu Ranking.</w:t>
      </w:r>
      <w:r>
        <w:rPr>
          <w:rFonts w:ascii="Arial" w:cs="Arial" w:eastAsia="Arial" w:hAnsi="Arial"/>
          <w:sz w:val="22"/>
          <w:szCs w:val="22"/>
          <w:b w:val="1"/>
          <w:bCs w:val="1"/>
          <w:color w:val="auto"/>
        </w:rPr>
        <w:t xml:space="preserve"> </w:t>
      </w:r>
      <w:r>
        <w:rPr>
          <w:rFonts w:ascii="Arial" w:cs="Arial" w:eastAsia="Arial" w:hAnsi="Arial"/>
          <w:sz w:val="22"/>
          <w:szCs w:val="22"/>
          <w:color w:val="auto"/>
        </w:rPr>
        <w:t>The Issuer’s payment obligations under the Notes shall at all times rank at least pari</w:t>
      </w:r>
      <w:r>
        <w:rPr>
          <w:rFonts w:ascii="Arial" w:cs="Arial" w:eastAsia="Arial" w:hAnsi="Arial"/>
          <w:sz w:val="22"/>
          <w:szCs w:val="22"/>
          <w:b w:val="1"/>
          <w:bCs w:val="1"/>
          <w:color w:val="auto"/>
        </w:rPr>
        <w:t xml:space="preserve"> </w:t>
      </w:r>
      <w:r>
        <w:rPr>
          <w:rFonts w:ascii="Arial" w:cs="Arial" w:eastAsia="Arial" w:hAnsi="Arial"/>
          <w:sz w:val="22"/>
          <w:szCs w:val="22"/>
          <w:color w:val="auto"/>
        </w:rPr>
        <w:t>passu with the claims of all its other unsecured and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05" w:name="page106"/>
    <w:bookmarkEnd w:id="105"/>
    <w:p>
      <w:pPr>
        <w:jc w:val="both"/>
        <w:spacing w:after="0"/>
        <w:rPr>
          <w:sz w:val="20"/>
          <w:szCs w:val="20"/>
          <w:color w:val="auto"/>
        </w:rPr>
      </w:pPr>
      <w:r>
        <w:rPr>
          <w:rFonts w:ascii="Arial" w:cs="Arial" w:eastAsia="Arial" w:hAnsi="Arial"/>
          <w:sz w:val="22"/>
          <w:szCs w:val="22"/>
          <w:color w:val="auto"/>
        </w:rPr>
        <w:t>unsubordinated creditors save for those whose claims that are preferred solely by any bankruptcy, insolvency, liquidation or other similar laws of general application and for other obligations that are mandatorily preferred by law applying to companies generally. The Notes shall rank ahead of any current or future subordinated debt.</w:t>
      </w:r>
    </w:p>
    <w:p>
      <w:pPr>
        <w:spacing w:after="0" w:line="207"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Section 3.02 </w:t>
      </w:r>
      <w:r>
        <w:rPr>
          <w:rFonts w:ascii="Arial" w:cs="Arial" w:eastAsia="Arial" w:hAnsi="Arial"/>
          <w:sz w:val="22"/>
          <w:szCs w:val="22"/>
          <w:b w:val="1"/>
          <w:bCs w:val="1"/>
          <w:i w:val="1"/>
          <w:iCs w:val="1"/>
          <w:color w:val="auto"/>
        </w:rPr>
        <w:t>Mergers</w:t>
      </w:r>
      <w:r>
        <w:rPr>
          <w:rFonts w:ascii="Arial" w:cs="Arial" w:eastAsia="Arial" w:hAnsi="Arial"/>
          <w:sz w:val="22"/>
          <w:szCs w:val="22"/>
          <w:b w:val="1"/>
          <w:bCs w:val="1"/>
          <w:color w:val="auto"/>
        </w:rPr>
        <w:t xml:space="preserve">. </w:t>
      </w:r>
      <w:r>
        <w:rPr>
          <w:rFonts w:ascii="Arial" w:cs="Arial" w:eastAsia="Arial" w:hAnsi="Arial"/>
          <w:sz w:val="22"/>
          <w:szCs w:val="22"/>
          <w:color w:val="auto"/>
        </w:rPr>
        <w:t>The Issuer shall not, and shall ensure that no Group Company shall, carry out any merger or other</w:t>
      </w:r>
      <w:r>
        <w:rPr>
          <w:rFonts w:ascii="Arial" w:cs="Arial" w:eastAsia="Arial" w:hAnsi="Arial"/>
          <w:sz w:val="22"/>
          <w:szCs w:val="22"/>
          <w:b w:val="1"/>
          <w:bCs w:val="1"/>
          <w:color w:val="auto"/>
        </w:rPr>
        <w:t xml:space="preserve"> </w:t>
      </w:r>
      <w:r>
        <w:rPr>
          <w:rFonts w:ascii="Arial" w:cs="Arial" w:eastAsia="Arial" w:hAnsi="Arial"/>
          <w:sz w:val="22"/>
          <w:szCs w:val="22"/>
          <w:color w:val="auto"/>
        </w:rPr>
        <w:t>business combination or corporate reorganization involving consolidating the assets and obligations of any of the Group Companies with any other companies or entities not being a member of the Group if such transaction would reasonably be expected to have a Material Adverse Effect.</w:t>
      </w:r>
    </w:p>
    <w:p>
      <w:pPr>
        <w:spacing w:after="0" w:line="20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Section 3.03 </w:t>
      </w:r>
      <w:r>
        <w:rPr>
          <w:rFonts w:ascii="Arial" w:cs="Arial" w:eastAsia="Arial" w:hAnsi="Arial"/>
          <w:sz w:val="22"/>
          <w:szCs w:val="22"/>
          <w:b w:val="1"/>
          <w:bCs w:val="1"/>
          <w:i w:val="1"/>
          <w:iCs w:val="1"/>
          <w:color w:val="auto"/>
        </w:rPr>
        <w:t>De-Mergers</w:t>
      </w:r>
      <w:r>
        <w:rPr>
          <w:rFonts w:ascii="Arial" w:cs="Arial" w:eastAsia="Arial" w:hAnsi="Arial"/>
          <w:sz w:val="22"/>
          <w:szCs w:val="22"/>
          <w:b w:val="1"/>
          <w:bCs w:val="1"/>
          <w:color w:val="auto"/>
        </w:rPr>
        <w:t xml:space="preserve">. </w:t>
      </w:r>
      <w:r>
        <w:rPr>
          <w:rFonts w:ascii="Arial" w:cs="Arial" w:eastAsia="Arial" w:hAnsi="Arial"/>
          <w:sz w:val="22"/>
          <w:szCs w:val="22"/>
          <w:color w:val="auto"/>
        </w:rPr>
        <w:t>The Issuer shall not, and shall ensure that no Group Company shall, carry out any de-merger or</w:t>
      </w:r>
      <w:r>
        <w:rPr>
          <w:rFonts w:ascii="Arial" w:cs="Arial" w:eastAsia="Arial" w:hAnsi="Arial"/>
          <w:sz w:val="22"/>
          <w:szCs w:val="22"/>
          <w:b w:val="1"/>
          <w:bCs w:val="1"/>
          <w:color w:val="auto"/>
        </w:rPr>
        <w:t xml:space="preserve"> </w:t>
      </w:r>
      <w:r>
        <w:rPr>
          <w:rFonts w:ascii="Arial" w:cs="Arial" w:eastAsia="Arial" w:hAnsi="Arial"/>
          <w:sz w:val="22"/>
          <w:szCs w:val="22"/>
          <w:color w:val="auto"/>
        </w:rPr>
        <w:t>other corporate reorganization involving splitting any Group Company into two or more separate companies or entities, if such transaction would reasonably be expected to have a Material Adverse Effect.</w:t>
      </w:r>
    </w:p>
    <w:p>
      <w:pPr>
        <w:spacing w:after="0" w:line="20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1"/>
          <w:szCs w:val="21"/>
          <w:b w:val="1"/>
          <w:bCs w:val="1"/>
          <w:color w:val="auto"/>
        </w:rPr>
        <w:t xml:space="preserve">Section 3.04 </w:t>
      </w:r>
      <w:r>
        <w:rPr>
          <w:rFonts w:ascii="Arial" w:cs="Arial" w:eastAsia="Arial" w:hAnsi="Arial"/>
          <w:sz w:val="21"/>
          <w:szCs w:val="21"/>
          <w:b w:val="1"/>
          <w:bCs w:val="1"/>
          <w:i w:val="1"/>
          <w:iCs w:val="1"/>
          <w:color w:val="auto"/>
        </w:rPr>
        <w:t>Continuation of Business</w:t>
      </w:r>
      <w:r>
        <w:rPr>
          <w:rFonts w:ascii="Arial" w:cs="Arial" w:eastAsia="Arial" w:hAnsi="Arial"/>
          <w:sz w:val="21"/>
          <w:szCs w:val="21"/>
          <w:b w:val="1"/>
          <w:bCs w:val="1"/>
          <w:color w:val="auto"/>
        </w:rPr>
        <w:t xml:space="preserve">. </w:t>
      </w:r>
      <w:r>
        <w:rPr>
          <w:rFonts w:ascii="Arial" w:cs="Arial" w:eastAsia="Arial" w:hAnsi="Arial"/>
          <w:sz w:val="21"/>
          <w:szCs w:val="21"/>
          <w:color w:val="auto"/>
        </w:rPr>
        <w:t>The Issuer shall procure that no material change is made to the general nature or</w:t>
      </w:r>
      <w:r>
        <w:rPr>
          <w:rFonts w:ascii="Arial" w:cs="Arial" w:eastAsia="Arial" w:hAnsi="Arial"/>
          <w:sz w:val="21"/>
          <w:szCs w:val="21"/>
          <w:b w:val="1"/>
          <w:bCs w:val="1"/>
          <w:color w:val="auto"/>
        </w:rPr>
        <w:t xml:space="preserve"> </w:t>
      </w:r>
      <w:r>
        <w:rPr>
          <w:rFonts w:ascii="Arial" w:cs="Arial" w:eastAsia="Arial" w:hAnsi="Arial"/>
          <w:sz w:val="21"/>
          <w:szCs w:val="21"/>
          <w:color w:val="auto"/>
        </w:rPr>
        <w:t>scope of the business of the Group Companies from that carried on at the date of the Indenture, as described in this prospectus, and any business reasonably related, ancillary or complimentary thereto, including without limitation any business in the marine energy transportation or LNG storage, liquefaction or regassification sectors.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3.05 </w:t>
      </w:r>
      <w:r>
        <w:rPr>
          <w:rFonts w:ascii="Arial" w:cs="Arial" w:eastAsia="Arial" w:hAnsi="Arial"/>
          <w:sz w:val="22"/>
          <w:szCs w:val="22"/>
          <w:b w:val="1"/>
          <w:bCs w:val="1"/>
          <w:i w:val="1"/>
          <w:iCs w:val="1"/>
          <w:color w:val="auto"/>
        </w:rPr>
        <w:t>Disposal of Business</w:t>
      </w:r>
      <w:r>
        <w:rPr>
          <w:rFonts w:ascii="Arial" w:cs="Arial" w:eastAsia="Arial" w:hAnsi="Arial"/>
          <w:sz w:val="22"/>
          <w:szCs w:val="22"/>
          <w:b w:val="1"/>
          <w:bCs w:val="1"/>
          <w:color w:val="auto"/>
        </w:rPr>
        <w:t xml:space="preserve">. </w:t>
      </w:r>
      <w:r>
        <w:rPr>
          <w:rFonts w:ascii="Arial" w:cs="Arial" w:eastAsia="Arial" w:hAnsi="Arial"/>
          <w:sz w:val="22"/>
          <w:szCs w:val="22"/>
          <w:color w:val="auto"/>
        </w:rPr>
        <w:t>The Issuer shall not, and shall ensure that no Group Company shall, sell or otherwise</w:t>
      </w:r>
      <w:r>
        <w:rPr>
          <w:rFonts w:ascii="Arial" w:cs="Arial" w:eastAsia="Arial" w:hAnsi="Arial"/>
          <w:sz w:val="22"/>
          <w:szCs w:val="22"/>
          <w:b w:val="1"/>
          <w:bCs w:val="1"/>
          <w:color w:val="auto"/>
        </w:rPr>
        <w:t xml:space="preserve"> </w:t>
      </w:r>
      <w:r>
        <w:rPr>
          <w:rFonts w:ascii="Arial" w:cs="Arial" w:eastAsia="Arial" w:hAnsi="Arial"/>
          <w:sz w:val="22"/>
          <w:szCs w:val="22"/>
          <w:color w:val="auto"/>
        </w:rPr>
        <w:t>dispose of all or a substantial part of the Group’s aggregate assets or operations, unless:</w:t>
      </w:r>
    </w:p>
    <w:p>
      <w:pPr>
        <w:spacing w:after="0" w:line="196" w:lineRule="exact"/>
        <w:rPr>
          <w:sz w:val="20"/>
          <w:szCs w:val="20"/>
          <w:color w:val="auto"/>
        </w:rPr>
      </w:pPr>
    </w:p>
    <w:p>
      <w:pPr>
        <w:ind w:left="1960" w:right="80" w:hanging="655"/>
        <w:spacing w:after="0" w:line="251" w:lineRule="auto"/>
        <w:tabs>
          <w:tab w:leader="none" w:pos="1960"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transaction is carried out at fair market value, as determined in good faith by the board of directors of the Issuer; and</w:t>
      </w:r>
    </w:p>
    <w:p>
      <w:pPr>
        <w:spacing w:after="0" w:line="200" w:lineRule="exact"/>
        <w:rPr>
          <w:rFonts w:ascii="Arial" w:cs="Arial" w:eastAsia="Arial" w:hAnsi="Arial"/>
          <w:sz w:val="22"/>
          <w:szCs w:val="22"/>
          <w:color w:val="auto"/>
        </w:rPr>
      </w:pPr>
    </w:p>
    <w:p>
      <w:pPr>
        <w:ind w:left="1960" w:hanging="655"/>
        <w:spacing w:after="0"/>
        <w:tabs>
          <w:tab w:leader="none" w:pos="1960" w:val="left"/>
        </w:tabs>
        <w:numPr>
          <w:ilvl w:val="0"/>
          <w:numId w:val="82"/>
        </w:numPr>
        <w:rPr>
          <w:rFonts w:ascii="Arial" w:cs="Arial" w:eastAsia="Arial" w:hAnsi="Arial"/>
          <w:sz w:val="22"/>
          <w:szCs w:val="22"/>
          <w:color w:val="auto"/>
        </w:rPr>
      </w:pPr>
      <w:r>
        <w:rPr>
          <w:rFonts w:ascii="Arial" w:cs="Arial" w:eastAsia="Arial" w:hAnsi="Arial"/>
          <w:sz w:val="22"/>
          <w:szCs w:val="22"/>
          <w:color w:val="auto"/>
        </w:rPr>
        <w:t>such transaction would not reasonably be expected to have a Material Adverse Effect.</w:t>
      </w:r>
    </w:p>
    <w:p>
      <w:pPr>
        <w:spacing w:after="0" w:line="22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9"/>
          <w:szCs w:val="19"/>
          <w:b w:val="1"/>
          <w:bCs w:val="1"/>
          <w:color w:val="auto"/>
        </w:rPr>
        <w:t xml:space="preserve">Section 3.06 </w:t>
      </w:r>
      <w:r>
        <w:rPr>
          <w:rFonts w:ascii="Arial" w:cs="Arial" w:eastAsia="Arial" w:hAnsi="Arial"/>
          <w:sz w:val="19"/>
          <w:szCs w:val="19"/>
          <w:b w:val="1"/>
          <w:bCs w:val="1"/>
          <w:i w:val="1"/>
          <w:iCs w:val="1"/>
          <w:color w:val="auto"/>
        </w:rPr>
        <w:t>Related Party Transactions</w:t>
      </w:r>
      <w:r>
        <w:rPr>
          <w:rFonts w:ascii="Arial" w:cs="Arial" w:eastAsia="Arial" w:hAnsi="Arial"/>
          <w:sz w:val="19"/>
          <w:szCs w:val="19"/>
          <w:b w:val="1"/>
          <w:bCs w:val="1"/>
          <w:color w:val="auto"/>
        </w:rPr>
        <w:t xml:space="preserve">. </w:t>
      </w:r>
      <w:r>
        <w:rPr>
          <w:rFonts w:ascii="Arial" w:cs="Arial" w:eastAsia="Arial" w:hAnsi="Arial"/>
          <w:sz w:val="19"/>
          <w:szCs w:val="19"/>
          <w:color w:val="auto"/>
        </w:rPr>
        <w:t>The Issuer shall not engage in, or permit any member of the Group to engage in,</w:t>
      </w:r>
      <w:r>
        <w:rPr>
          <w:rFonts w:ascii="Arial" w:cs="Arial" w:eastAsia="Arial" w:hAnsi="Arial"/>
          <w:sz w:val="19"/>
          <w:szCs w:val="19"/>
          <w:b w:val="1"/>
          <w:bCs w:val="1"/>
          <w:color w:val="auto"/>
        </w:rPr>
        <w:t xml:space="preserve"> </w:t>
      </w:r>
      <w:r>
        <w:rPr>
          <w:rFonts w:ascii="Arial" w:cs="Arial" w:eastAsia="Arial" w:hAnsi="Arial"/>
          <w:sz w:val="19"/>
          <w:szCs w:val="19"/>
          <w:color w:val="auto"/>
        </w:rPr>
        <w:t>directly or indirectly, any transaction with any affiliate of the Issuer that is not a Group Company (including, without limitation, the purchase, sale or exchange of assets or the rendering of any service), except (i) pursuant to existing agreements and arrangements with such affiliates or (ii) transactions that are (A) approved by a majority of the independent members of the audit committee of the Issuer’s board of directors, (B) on terms no less favorable to the Issuer or such Group member than those generally being provided to or available from unrelated third parties, (C) fair and reasonable to the Issuer or such Group member, as determined in good faith by the board of directors of the Issuer or (D) immaterial in amount or significance to the Issuer or the Group.</w:t>
      </w:r>
    </w:p>
    <w:p>
      <w:pPr>
        <w:spacing w:after="0" w:line="17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1"/>
          <w:szCs w:val="21"/>
          <w:b w:val="1"/>
          <w:bCs w:val="1"/>
          <w:color w:val="auto"/>
        </w:rPr>
        <w:t xml:space="preserve">Section 3.07 </w:t>
      </w:r>
      <w:r>
        <w:rPr>
          <w:rFonts w:ascii="Arial" w:cs="Arial" w:eastAsia="Arial" w:hAnsi="Arial"/>
          <w:sz w:val="21"/>
          <w:szCs w:val="21"/>
          <w:b w:val="1"/>
          <w:bCs w:val="1"/>
          <w:i w:val="1"/>
          <w:iCs w:val="1"/>
          <w:color w:val="auto"/>
        </w:rPr>
        <w:t>Restricted Payments</w:t>
      </w:r>
      <w:r>
        <w:rPr>
          <w:rFonts w:ascii="Arial" w:cs="Arial" w:eastAsia="Arial" w:hAnsi="Arial"/>
          <w:sz w:val="21"/>
          <w:szCs w:val="21"/>
          <w:b w:val="1"/>
          <w:bCs w:val="1"/>
          <w:color w:val="auto"/>
        </w:rPr>
        <w:t xml:space="preserve">. </w:t>
      </w:r>
      <w:r>
        <w:rPr>
          <w:rFonts w:ascii="Arial" w:cs="Arial" w:eastAsia="Arial" w:hAnsi="Arial"/>
          <w:sz w:val="21"/>
          <w:szCs w:val="21"/>
          <w:color w:val="auto"/>
        </w:rPr>
        <w:t>The Issuer shall not, and shall not permit any Group Company to, declare or make, or</w:t>
      </w:r>
      <w:r>
        <w:rPr>
          <w:rFonts w:ascii="Arial" w:cs="Arial" w:eastAsia="Arial" w:hAnsi="Arial"/>
          <w:sz w:val="21"/>
          <w:szCs w:val="21"/>
          <w:b w:val="1"/>
          <w:bCs w:val="1"/>
          <w:color w:val="auto"/>
        </w:rPr>
        <w:t xml:space="preserve"> </w:t>
      </w:r>
      <w:r>
        <w:rPr>
          <w:rFonts w:ascii="Arial" w:cs="Arial" w:eastAsia="Arial" w:hAnsi="Arial"/>
          <w:sz w:val="21"/>
          <w:szCs w:val="21"/>
          <w:color w:val="auto"/>
        </w:rPr>
        <w:t>agree to pay or make, directly or indirectly, any Restricted Payment, except (a) Restricted Payments payable solely in equity interests issued by the Issuer and not in cash, (b) a Subsidiary of the Issuer may make Restricted Payments to the Issuer or another Subsidiary (and if such Group Company is not a Wholly Owned Group Company, so</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06" w:name="page107"/>
    <w:bookmarkEnd w:id="106"/>
    <w:p>
      <w:pPr>
        <w:jc w:val="both"/>
        <w:spacing w:after="0" w:line="238" w:lineRule="auto"/>
        <w:rPr>
          <w:sz w:val="20"/>
          <w:szCs w:val="20"/>
          <w:color w:val="auto"/>
        </w:rPr>
      </w:pPr>
      <w:r>
        <w:rPr>
          <w:rFonts w:ascii="Arial" w:cs="Arial" w:eastAsia="Arial" w:hAnsi="Arial"/>
          <w:sz w:val="22"/>
          <w:szCs w:val="22"/>
          <w:color w:val="auto"/>
        </w:rPr>
        <w:t>long as the Issuer or a Group Company receives at least its pro rata share of such dividend or distribution in accordance with its equity or ownership interests in such class or series of securities), and (c) any other Restricted Payments in cash in accordance with applicable law so long as after giving effect thereto no Event of Default has occurred and is continuing and no Default or Event of Default will result therefrom.</w:t>
      </w:r>
    </w:p>
    <w:p>
      <w:pPr>
        <w:spacing w:after="0" w:line="20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Section 3.08 </w:t>
      </w:r>
      <w:r>
        <w:rPr>
          <w:rFonts w:ascii="Arial" w:cs="Arial" w:eastAsia="Arial" w:hAnsi="Arial"/>
          <w:sz w:val="22"/>
          <w:szCs w:val="22"/>
          <w:b w:val="1"/>
          <w:bCs w:val="1"/>
          <w:i w:val="1"/>
          <w:iCs w:val="1"/>
          <w:color w:val="auto"/>
        </w:rPr>
        <w:t>Corporate Status</w:t>
      </w:r>
      <w:r>
        <w:rPr>
          <w:rFonts w:ascii="Arial" w:cs="Arial" w:eastAsia="Arial" w:hAnsi="Arial"/>
          <w:sz w:val="22"/>
          <w:szCs w:val="22"/>
          <w:b w:val="1"/>
          <w:bCs w:val="1"/>
          <w:color w:val="auto"/>
        </w:rPr>
        <w:t xml:space="preserve">. </w:t>
      </w:r>
      <w:r>
        <w:rPr>
          <w:rFonts w:ascii="Arial" w:cs="Arial" w:eastAsia="Arial" w:hAnsi="Arial"/>
          <w:sz w:val="22"/>
          <w:szCs w:val="22"/>
          <w:color w:val="auto"/>
        </w:rPr>
        <w:t>The Issuer shall not, and shall ensure that no Group Company shall change its type of</w:t>
      </w:r>
      <w:r>
        <w:rPr>
          <w:rFonts w:ascii="Arial" w:cs="Arial" w:eastAsia="Arial" w:hAnsi="Arial"/>
          <w:sz w:val="22"/>
          <w:szCs w:val="22"/>
          <w:b w:val="1"/>
          <w:bCs w:val="1"/>
          <w:color w:val="auto"/>
        </w:rPr>
        <w:t xml:space="preserve"> </w:t>
      </w:r>
      <w:r>
        <w:rPr>
          <w:rFonts w:ascii="Arial" w:cs="Arial" w:eastAsia="Arial" w:hAnsi="Arial"/>
          <w:sz w:val="22"/>
          <w:szCs w:val="22"/>
          <w:color w:val="auto"/>
        </w:rPr>
        <w:t>organization or jurisdiction of organization unless (i) such change in type or jurisdiction of organization would not reasonably be expected to have a Material Adverse Effect and (ii) in the case of the Issuer, such change is made pursuant to and in accordance with Article 6 hereof.</w:t>
      </w:r>
    </w:p>
    <w:p>
      <w:pPr>
        <w:spacing w:after="0" w:line="20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b w:val="1"/>
          <w:bCs w:val="1"/>
          <w:color w:val="auto"/>
        </w:rPr>
        <w:t xml:space="preserve">Section 3.09 </w:t>
      </w:r>
      <w:r>
        <w:rPr>
          <w:rFonts w:ascii="Arial" w:cs="Arial" w:eastAsia="Arial" w:hAnsi="Arial"/>
          <w:sz w:val="19"/>
          <w:szCs w:val="19"/>
          <w:b w:val="1"/>
          <w:bCs w:val="1"/>
          <w:i w:val="1"/>
          <w:iCs w:val="1"/>
          <w:color w:val="auto"/>
        </w:rPr>
        <w:t>Compliance with Laws</w:t>
      </w:r>
      <w:r>
        <w:rPr>
          <w:rFonts w:ascii="Arial" w:cs="Arial" w:eastAsia="Arial" w:hAnsi="Arial"/>
          <w:sz w:val="19"/>
          <w:szCs w:val="19"/>
          <w:b w:val="1"/>
          <w:bCs w:val="1"/>
          <w:color w:val="auto"/>
        </w:rPr>
        <w:t xml:space="preserve">. </w:t>
      </w:r>
      <w:r>
        <w:rPr>
          <w:rFonts w:ascii="Arial" w:cs="Arial" w:eastAsia="Arial" w:hAnsi="Arial"/>
          <w:sz w:val="19"/>
          <w:szCs w:val="19"/>
          <w:color w:val="auto"/>
        </w:rPr>
        <w:t>The Issuer shall (and shall ensure that all Group Companies shall) comply in all</w:t>
      </w:r>
      <w:r>
        <w:rPr>
          <w:rFonts w:ascii="Arial" w:cs="Arial" w:eastAsia="Arial" w:hAnsi="Arial"/>
          <w:sz w:val="19"/>
          <w:szCs w:val="19"/>
          <w:b w:val="1"/>
          <w:bCs w:val="1"/>
          <w:color w:val="auto"/>
        </w:rPr>
        <w:t xml:space="preserve"> </w:t>
      </w:r>
      <w:r>
        <w:rPr>
          <w:rFonts w:ascii="Arial" w:cs="Arial" w:eastAsia="Arial" w:hAnsi="Arial"/>
          <w:sz w:val="19"/>
          <w:szCs w:val="19"/>
          <w:color w:val="auto"/>
        </w:rPr>
        <w:t>material respects with all laws and regulations it or they may be subject to from time to time (including any environmental laws and regulations) if such failure to comply would reasonably be expected to have a Material Adverse Effect.</w:t>
      </w:r>
    </w:p>
    <w:p>
      <w:pPr>
        <w:spacing w:after="0" w:line="150"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Section 3.10 </w:t>
      </w:r>
      <w:r>
        <w:rPr>
          <w:rFonts w:ascii="Arial" w:cs="Arial" w:eastAsia="Arial" w:hAnsi="Arial"/>
          <w:sz w:val="22"/>
          <w:szCs w:val="22"/>
          <w:b w:val="1"/>
          <w:bCs w:val="1"/>
          <w:i w:val="1"/>
          <w:iCs w:val="1"/>
          <w:color w:val="auto"/>
        </w:rPr>
        <w:t>MLP</w:t>
      </w:r>
      <w:r>
        <w:rPr>
          <w:rFonts w:ascii="Arial" w:cs="Arial" w:eastAsia="Arial" w:hAnsi="Arial"/>
          <w:sz w:val="22"/>
          <w:szCs w:val="22"/>
          <w:b w:val="1"/>
          <w:bCs w:val="1"/>
          <w:color w:val="auto"/>
        </w:rPr>
        <w:t xml:space="preserve">. </w:t>
      </w:r>
      <w:r>
        <w:rPr>
          <w:rFonts w:ascii="Arial" w:cs="Arial" w:eastAsia="Arial" w:hAnsi="Arial"/>
          <w:sz w:val="22"/>
          <w:szCs w:val="22"/>
          <w:color w:val="auto"/>
        </w:rPr>
        <w:t>The Issuer shall not cease to control, directly or indirectly, the composition of the majority of the board</w:t>
      </w:r>
      <w:r>
        <w:rPr>
          <w:rFonts w:ascii="Arial" w:cs="Arial" w:eastAsia="Arial" w:hAnsi="Arial"/>
          <w:sz w:val="22"/>
          <w:szCs w:val="22"/>
          <w:b w:val="1"/>
          <w:bCs w:val="1"/>
          <w:color w:val="auto"/>
        </w:rPr>
        <w:t xml:space="preserve"> </w:t>
      </w:r>
      <w:r>
        <w:rPr>
          <w:rFonts w:ascii="Arial" w:cs="Arial" w:eastAsia="Arial" w:hAnsi="Arial"/>
          <w:sz w:val="22"/>
          <w:szCs w:val="22"/>
          <w:color w:val="auto"/>
        </w:rPr>
        <w:t>of directors (or equivalent) of the MLP.</w:t>
      </w:r>
    </w:p>
    <w:p>
      <w:pPr>
        <w:spacing w:after="0" w:line="19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Section 3.11 </w:t>
      </w:r>
      <w:r>
        <w:rPr>
          <w:rFonts w:ascii="Arial" w:cs="Arial" w:eastAsia="Arial" w:hAnsi="Arial"/>
          <w:sz w:val="22"/>
          <w:szCs w:val="22"/>
          <w:b w:val="1"/>
          <w:bCs w:val="1"/>
          <w:i w:val="1"/>
          <w:iCs w:val="1"/>
          <w:color w:val="auto"/>
        </w:rPr>
        <w:t>Negative Pledge</w:t>
      </w:r>
      <w:r>
        <w:rPr>
          <w:rFonts w:ascii="Arial" w:cs="Arial" w:eastAsia="Arial" w:hAnsi="Arial"/>
          <w:sz w:val="22"/>
          <w:szCs w:val="22"/>
          <w:b w:val="1"/>
          <w:bCs w:val="1"/>
          <w:color w:val="auto"/>
        </w:rPr>
        <w:t xml:space="preserve">. </w:t>
      </w:r>
      <w:r>
        <w:rPr>
          <w:rFonts w:ascii="Arial" w:cs="Arial" w:eastAsia="Arial" w:hAnsi="Arial"/>
          <w:sz w:val="22"/>
          <w:szCs w:val="22"/>
          <w:color w:val="auto"/>
        </w:rPr>
        <w:t>The Issuer shall not, and it shall ensure that no Group Companies shall, create, permit to</w:t>
      </w:r>
      <w:r>
        <w:rPr>
          <w:rFonts w:ascii="Arial" w:cs="Arial" w:eastAsia="Arial" w:hAnsi="Arial"/>
          <w:sz w:val="22"/>
          <w:szCs w:val="22"/>
          <w:b w:val="1"/>
          <w:bCs w:val="1"/>
          <w:color w:val="auto"/>
        </w:rPr>
        <w:t xml:space="preserve"> </w:t>
      </w:r>
      <w:r>
        <w:rPr>
          <w:rFonts w:ascii="Arial" w:cs="Arial" w:eastAsia="Arial" w:hAnsi="Arial"/>
          <w:sz w:val="22"/>
          <w:szCs w:val="22"/>
          <w:color w:val="auto"/>
        </w:rPr>
        <w:t>subsist or allow to exist any mortgage, pledge, lien or any other encumbrances over any of the Issuer’s equity interests in the General Partner or the MLP.</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Section 3.12 </w:t>
      </w:r>
      <w:r>
        <w:rPr>
          <w:rFonts w:ascii="Arial" w:cs="Arial" w:eastAsia="Arial" w:hAnsi="Arial"/>
          <w:sz w:val="19"/>
          <w:szCs w:val="19"/>
          <w:b w:val="1"/>
          <w:bCs w:val="1"/>
          <w:i w:val="1"/>
          <w:iCs w:val="1"/>
          <w:color w:val="auto"/>
        </w:rPr>
        <w:t>Debt Service Cover</w:t>
      </w:r>
      <w:r>
        <w:rPr>
          <w:rFonts w:ascii="Arial" w:cs="Arial" w:eastAsia="Arial" w:hAnsi="Arial"/>
          <w:sz w:val="19"/>
          <w:szCs w:val="19"/>
          <w:b w:val="1"/>
          <w:bCs w:val="1"/>
          <w:color w:val="auto"/>
        </w:rPr>
        <w:t xml:space="preserve">. </w:t>
      </w:r>
      <w:r>
        <w:rPr>
          <w:rFonts w:ascii="Arial" w:cs="Arial" w:eastAsia="Arial" w:hAnsi="Arial"/>
          <w:sz w:val="19"/>
          <w:szCs w:val="19"/>
          <w:color w:val="auto"/>
        </w:rPr>
        <w:t>The Issuer shall ensure that the ratio of EBITDA: Debt Service, on a trailing four quarter</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basis, shall be no less than 1.00: 1.00.</w:t>
      </w:r>
    </w:p>
    <w:p>
      <w:pPr>
        <w:spacing w:after="0" w:line="209"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21"/>
          <w:szCs w:val="21"/>
          <w:b w:val="1"/>
          <w:bCs w:val="1"/>
          <w:color w:val="auto"/>
        </w:rPr>
        <w:t xml:space="preserve">Section 3.13 </w:t>
      </w:r>
      <w:r>
        <w:rPr>
          <w:rFonts w:ascii="Arial" w:cs="Arial" w:eastAsia="Arial" w:hAnsi="Arial"/>
          <w:sz w:val="21"/>
          <w:szCs w:val="21"/>
          <w:b w:val="1"/>
          <w:bCs w:val="1"/>
          <w:i w:val="1"/>
          <w:iCs w:val="1"/>
          <w:color w:val="auto"/>
        </w:rPr>
        <w:t>Free Liquidity</w:t>
      </w:r>
      <w:r>
        <w:rPr>
          <w:rFonts w:ascii="Arial" w:cs="Arial" w:eastAsia="Arial" w:hAnsi="Arial"/>
          <w:sz w:val="21"/>
          <w:szCs w:val="21"/>
          <w:b w:val="1"/>
          <w:bCs w:val="1"/>
          <w:color w:val="auto"/>
        </w:rPr>
        <w:t xml:space="preserve">. </w:t>
      </w:r>
      <w:r>
        <w:rPr>
          <w:rFonts w:ascii="Arial" w:cs="Arial" w:eastAsia="Arial" w:hAnsi="Arial"/>
          <w:sz w:val="21"/>
          <w:szCs w:val="21"/>
          <w:color w:val="auto"/>
        </w:rPr>
        <w:t>The Issuer shall, at any time during the term of the Notes, ensure that the Issuer shall maintain</w:t>
      </w:r>
      <w:r>
        <w:rPr>
          <w:rFonts w:ascii="Arial" w:cs="Arial" w:eastAsia="Arial" w:hAnsi="Arial"/>
          <w:sz w:val="21"/>
          <w:szCs w:val="21"/>
          <w:b w:val="1"/>
          <w:bCs w:val="1"/>
          <w:color w:val="auto"/>
        </w:rPr>
        <w:t xml:space="preserve"> </w:t>
      </w:r>
      <w:r>
        <w:rPr>
          <w:rFonts w:ascii="Arial" w:cs="Arial" w:eastAsia="Arial" w:hAnsi="Arial"/>
          <w:sz w:val="21"/>
          <w:szCs w:val="21"/>
          <w:color w:val="auto"/>
        </w:rPr>
        <w:t>Cash and Cash Equivalents of a minimum of the greater of (a) $35,000,000 and (b) 2.50% of Total Indebtedness.</w:t>
      </w:r>
    </w:p>
    <w:p>
      <w:pPr>
        <w:spacing w:after="0" w:line="16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3.14 </w:t>
      </w:r>
      <w:r>
        <w:rPr>
          <w:rFonts w:ascii="Arial" w:cs="Arial" w:eastAsia="Arial" w:hAnsi="Arial"/>
          <w:sz w:val="22"/>
          <w:szCs w:val="22"/>
          <w:b w:val="1"/>
          <w:bCs w:val="1"/>
          <w:i w:val="1"/>
          <w:iCs w:val="1"/>
          <w:color w:val="auto"/>
        </w:rPr>
        <w:t>Limitation on Total Indebtedness</w:t>
      </w:r>
      <w:r>
        <w:rPr>
          <w:rFonts w:ascii="Arial" w:cs="Arial" w:eastAsia="Arial" w:hAnsi="Arial"/>
          <w:sz w:val="22"/>
          <w:szCs w:val="22"/>
          <w:b w:val="1"/>
          <w:bCs w:val="1"/>
          <w:color w:val="auto"/>
        </w:rPr>
        <w:t xml:space="preserve">. </w:t>
      </w:r>
      <w:r>
        <w:rPr>
          <w:rFonts w:ascii="Arial" w:cs="Arial" w:eastAsia="Arial" w:hAnsi="Arial"/>
          <w:sz w:val="22"/>
          <w:szCs w:val="22"/>
          <w:color w:val="auto"/>
        </w:rPr>
        <w:t>The Issuer shall not permit Total Indebtedness to exceed 75% of Total</w:t>
      </w:r>
      <w:r>
        <w:rPr>
          <w:rFonts w:ascii="Arial" w:cs="Arial" w:eastAsia="Arial" w:hAnsi="Arial"/>
          <w:sz w:val="22"/>
          <w:szCs w:val="22"/>
          <w:b w:val="1"/>
          <w:bCs w:val="1"/>
          <w:color w:val="auto"/>
        </w:rPr>
        <w:t xml:space="preserve"> </w:t>
      </w:r>
      <w:r>
        <w:rPr>
          <w:rFonts w:ascii="Arial" w:cs="Arial" w:eastAsia="Arial" w:hAnsi="Arial"/>
          <w:sz w:val="22"/>
          <w:szCs w:val="22"/>
          <w:color w:val="auto"/>
        </w:rPr>
        <w:t>Capitalization.</w:t>
      </w:r>
    </w:p>
    <w:p>
      <w:pPr>
        <w:spacing w:after="0" w:line="19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3.15 </w:t>
      </w:r>
      <w:r>
        <w:rPr>
          <w:rFonts w:ascii="Arial" w:cs="Arial" w:eastAsia="Arial" w:hAnsi="Arial"/>
          <w:sz w:val="22"/>
          <w:szCs w:val="22"/>
          <w:b w:val="1"/>
          <w:bCs w:val="1"/>
          <w:i w:val="1"/>
          <w:iCs w:val="1"/>
          <w:color w:val="auto"/>
        </w:rPr>
        <w:t>Minimum Market Adjusted Net Worth</w:t>
      </w:r>
      <w:r>
        <w:rPr>
          <w:rFonts w:ascii="Arial" w:cs="Arial" w:eastAsia="Arial" w:hAnsi="Arial"/>
          <w:sz w:val="22"/>
          <w:szCs w:val="22"/>
          <w:b w:val="1"/>
          <w:bCs w:val="1"/>
          <w:color w:val="auto"/>
        </w:rPr>
        <w:t xml:space="preserve">. </w:t>
      </w:r>
      <w:r>
        <w:rPr>
          <w:rFonts w:ascii="Arial" w:cs="Arial" w:eastAsia="Arial" w:hAnsi="Arial"/>
          <w:sz w:val="22"/>
          <w:szCs w:val="22"/>
          <w:color w:val="auto"/>
        </w:rPr>
        <w:t>The Issuer shall maintain Market Adjusted Net Worth of not less than</w:t>
      </w:r>
      <w:r>
        <w:rPr>
          <w:rFonts w:ascii="Arial" w:cs="Arial" w:eastAsia="Arial" w:hAnsi="Arial"/>
          <w:sz w:val="22"/>
          <w:szCs w:val="22"/>
          <w:b w:val="1"/>
          <w:bCs w:val="1"/>
          <w:color w:val="auto"/>
        </w:rPr>
        <w:t xml:space="preserve"> </w:t>
      </w:r>
      <w:r>
        <w:rPr>
          <w:rFonts w:ascii="Arial" w:cs="Arial" w:eastAsia="Arial" w:hAnsi="Arial"/>
          <w:sz w:val="22"/>
          <w:szCs w:val="22"/>
          <w:color w:val="auto"/>
        </w:rPr>
        <w:t>$300,000,000.</w:t>
      </w:r>
    </w:p>
    <w:p>
      <w:pPr>
        <w:spacing w:after="0" w:line="19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3.16 </w:t>
      </w:r>
      <w:r>
        <w:rPr>
          <w:rFonts w:ascii="Arial" w:cs="Arial" w:eastAsia="Arial" w:hAnsi="Arial"/>
          <w:sz w:val="22"/>
          <w:szCs w:val="22"/>
          <w:b w:val="1"/>
          <w:bCs w:val="1"/>
          <w:i w:val="1"/>
          <w:iCs w:val="1"/>
          <w:color w:val="auto"/>
        </w:rPr>
        <w:t>Current Assets</w:t>
      </w:r>
      <w:r>
        <w:rPr>
          <w:rFonts w:ascii="Arial" w:cs="Arial" w:eastAsia="Arial" w:hAnsi="Arial"/>
          <w:sz w:val="22"/>
          <w:szCs w:val="22"/>
          <w:b w:val="1"/>
          <w:bCs w:val="1"/>
          <w:color w:val="auto"/>
        </w:rPr>
        <w:t xml:space="preserve">. </w:t>
      </w:r>
      <w:r>
        <w:rPr>
          <w:rFonts w:ascii="Arial" w:cs="Arial" w:eastAsia="Arial" w:hAnsi="Arial"/>
          <w:sz w:val="22"/>
          <w:szCs w:val="22"/>
          <w:color w:val="auto"/>
        </w:rPr>
        <w:t>The Current Assets of the Issuer shall be greater than or equal to Current Liabilities</w:t>
      </w:r>
      <w:r>
        <w:rPr>
          <w:rFonts w:ascii="Arial" w:cs="Arial" w:eastAsia="Arial" w:hAnsi="Arial"/>
          <w:sz w:val="22"/>
          <w:szCs w:val="22"/>
          <w:b w:val="1"/>
          <w:bCs w:val="1"/>
          <w:color w:val="auto"/>
        </w:rPr>
        <w:t xml:space="preserve"> </w:t>
      </w:r>
      <w:r>
        <w:rPr>
          <w:rFonts w:ascii="Arial" w:cs="Arial" w:eastAsia="Arial" w:hAnsi="Arial"/>
          <w:sz w:val="22"/>
          <w:szCs w:val="22"/>
          <w:color w:val="auto"/>
        </w:rPr>
        <w:t>(excluding the Current Portion of Loans).</w:t>
      </w:r>
    </w:p>
    <w:p>
      <w:pPr>
        <w:spacing w:after="0" w:line="19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b w:val="1"/>
          <w:bCs w:val="1"/>
          <w:color w:val="auto"/>
        </w:rPr>
        <w:t xml:space="preserve">Section 3.17 </w:t>
      </w:r>
      <w:r>
        <w:rPr>
          <w:rFonts w:ascii="Arial" w:cs="Arial" w:eastAsia="Arial" w:hAnsi="Arial"/>
          <w:sz w:val="22"/>
          <w:szCs w:val="22"/>
          <w:b w:val="1"/>
          <w:bCs w:val="1"/>
          <w:i w:val="1"/>
          <w:iCs w:val="1"/>
          <w:color w:val="auto"/>
        </w:rPr>
        <w:t>Compliance Measurement</w:t>
      </w:r>
      <w:r>
        <w:rPr>
          <w:rFonts w:ascii="Arial" w:cs="Arial" w:eastAsia="Arial" w:hAnsi="Arial"/>
          <w:sz w:val="22"/>
          <w:szCs w:val="22"/>
          <w:b w:val="1"/>
          <w:bCs w:val="1"/>
          <w:color w:val="auto"/>
        </w:rPr>
        <w:t xml:space="preserve">. </w:t>
      </w:r>
      <w:r>
        <w:rPr>
          <w:rFonts w:ascii="Arial" w:cs="Arial" w:eastAsia="Arial" w:hAnsi="Arial"/>
          <w:sz w:val="22"/>
          <w:szCs w:val="22"/>
          <w:color w:val="auto"/>
        </w:rPr>
        <w:t>Compliance with Sections 3.12 through 3.16 shall be measured on the last day of</w:t>
      </w:r>
      <w:r>
        <w:rPr>
          <w:rFonts w:ascii="Arial" w:cs="Arial" w:eastAsia="Arial" w:hAnsi="Arial"/>
          <w:sz w:val="22"/>
          <w:szCs w:val="22"/>
          <w:b w:val="1"/>
          <w:bCs w:val="1"/>
          <w:color w:val="auto"/>
        </w:rPr>
        <w:t xml:space="preserve"> </w:t>
      </w:r>
      <w:r>
        <w:rPr>
          <w:rFonts w:ascii="Arial" w:cs="Arial" w:eastAsia="Arial" w:hAnsi="Arial"/>
          <w:sz w:val="22"/>
          <w:szCs w:val="22"/>
          <w:color w:val="auto"/>
        </w:rPr>
        <w:t>each fiscal quarter of the Issuer, commencing June 30, 2017. Within 60 days after the end of the first three fiscal quarters each fiscal year and within 120 days after the end of each fiscal year (in each case subject to any extensions or waivers), the Issuer shall deliver to the Trustee an Officers’ Certificate confirming compliance with each of the covenants in this Article 3. Each such Officers’ Certificate will be made available to the Holders of the Notes upon request to the Trustee. The Issuer shall mail, within 10 Business Days of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07" w:name="page108"/>
    <w:bookmarkEnd w:id="107"/>
    <w:p>
      <w:pPr>
        <w:jc w:val="center"/>
        <w:ind w:right="100"/>
        <w:spacing w:after="0"/>
        <w:rPr>
          <w:sz w:val="20"/>
          <w:szCs w:val="20"/>
          <w:color w:val="auto"/>
        </w:rPr>
      </w:pPr>
      <w:r>
        <w:rPr>
          <w:rFonts w:ascii="Arial" w:cs="Arial" w:eastAsia="Arial" w:hAnsi="Arial"/>
          <w:sz w:val="19"/>
          <w:szCs w:val="19"/>
          <w:color w:val="auto"/>
        </w:rPr>
        <w:t>discovery thereof, to all Holders of the Notes and Trustee, notice of any Default in compliance with the covenants in this Article 3.</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ONSOLIDATION</w:t>
      </w:r>
      <w:r>
        <w:rPr>
          <w:rFonts w:ascii="Arial" w:cs="Arial" w:eastAsia="Arial" w:hAnsi="Arial"/>
          <w:sz w:val="22"/>
          <w:szCs w:val="22"/>
          <w:b w:val="1"/>
          <w:bCs w:val="1"/>
          <w:color w:val="auto"/>
        </w:rPr>
        <w:t>, M</w:t>
      </w:r>
      <w:r>
        <w:rPr>
          <w:rFonts w:ascii="Arial" w:cs="Arial" w:eastAsia="Arial" w:hAnsi="Arial"/>
          <w:sz w:val="14"/>
          <w:szCs w:val="14"/>
          <w:b w:val="1"/>
          <w:bCs w:val="1"/>
          <w:color w:val="auto"/>
        </w:rPr>
        <w:t>ERGER</w:t>
      </w:r>
      <w:r>
        <w:rPr>
          <w:rFonts w:ascii="Arial" w:cs="Arial" w:eastAsia="Arial" w:hAnsi="Arial"/>
          <w:sz w:val="22"/>
          <w:szCs w:val="22"/>
          <w:b w:val="1"/>
          <w:bCs w:val="1"/>
          <w:color w:val="auto"/>
        </w:rPr>
        <w:t>, S</w:t>
      </w:r>
      <w:r>
        <w:rPr>
          <w:rFonts w:ascii="Arial" w:cs="Arial" w:eastAsia="Arial" w:hAnsi="Arial"/>
          <w:sz w:val="14"/>
          <w:szCs w:val="14"/>
          <w:b w:val="1"/>
          <w:bCs w:val="1"/>
          <w:color w:val="auto"/>
        </w:rPr>
        <w:t>ALE OR</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ONVEYANCE</w:t>
      </w:r>
    </w:p>
    <w:p>
      <w:pPr>
        <w:spacing w:after="0" w:line="209" w:lineRule="exact"/>
        <w:rPr>
          <w:sz w:val="20"/>
          <w:szCs w:val="20"/>
          <w:color w:val="auto"/>
        </w:rPr>
      </w:pPr>
    </w:p>
    <w:p>
      <w:pPr>
        <w:ind w:firstLine="648"/>
        <w:spacing w:after="0" w:line="280" w:lineRule="auto"/>
        <w:rPr>
          <w:sz w:val="20"/>
          <w:szCs w:val="20"/>
          <w:color w:val="auto"/>
        </w:rPr>
      </w:pPr>
      <w:r>
        <w:rPr>
          <w:rFonts w:ascii="Arial" w:cs="Arial" w:eastAsia="Arial" w:hAnsi="Arial"/>
          <w:sz w:val="21"/>
          <w:szCs w:val="21"/>
          <w:b w:val="1"/>
          <w:bCs w:val="1"/>
          <w:color w:val="auto"/>
        </w:rPr>
        <w:t xml:space="preserve">Section 4.01 </w:t>
      </w:r>
      <w:r>
        <w:rPr>
          <w:rFonts w:ascii="Arial" w:cs="Arial" w:eastAsia="Arial" w:hAnsi="Arial"/>
          <w:sz w:val="21"/>
          <w:szCs w:val="21"/>
          <w:b w:val="1"/>
          <w:bCs w:val="1"/>
          <w:i w:val="1"/>
          <w:iCs w:val="1"/>
          <w:color w:val="auto"/>
        </w:rPr>
        <w:t>Consolidation, Merger, Sale or Conveyance</w:t>
      </w:r>
      <w:r>
        <w:rPr>
          <w:rFonts w:ascii="Arial" w:cs="Arial" w:eastAsia="Arial" w:hAnsi="Arial"/>
          <w:sz w:val="21"/>
          <w:szCs w:val="21"/>
          <w:color w:val="auto"/>
        </w:rPr>
        <w:t>. For the benefit of Holders of the Notes, Section 8.01 and 8.02 of</w:t>
      </w:r>
      <w:r>
        <w:rPr>
          <w:rFonts w:ascii="Arial" w:cs="Arial" w:eastAsia="Arial" w:hAnsi="Arial"/>
          <w:sz w:val="21"/>
          <w:szCs w:val="21"/>
          <w:b w:val="1"/>
          <w:bCs w:val="1"/>
          <w:color w:val="auto"/>
        </w:rPr>
        <w:t xml:space="preserve"> </w:t>
      </w:r>
      <w:r>
        <w:rPr>
          <w:rFonts w:ascii="Arial" w:cs="Arial" w:eastAsia="Arial" w:hAnsi="Arial"/>
          <w:sz w:val="21"/>
          <w:szCs w:val="21"/>
          <w:color w:val="auto"/>
        </w:rPr>
        <w:t>the Indenture shall be superseded and replaced with respect to the Notes to read in its entirety as follows: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“Section 8.01. Issuer May Consolidate, Etc., Only on Certain Terms.</w:t>
      </w:r>
    </w:p>
    <w:p>
      <w:pPr>
        <w:spacing w:after="0" w:line="23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The Issuer may not consolidate with or merge into any other entity or convey, transfer or lease its properties and assets as an entirety or substantially as an entirety to any entity, unless:</w:t>
      </w:r>
    </w:p>
    <w:p>
      <w:pPr>
        <w:spacing w:after="0" w:line="200" w:lineRule="exact"/>
        <w:rPr>
          <w:sz w:val="20"/>
          <w:szCs w:val="20"/>
          <w:color w:val="auto"/>
        </w:rPr>
      </w:pPr>
    </w:p>
    <w:p>
      <w:pPr>
        <w:jc w:val="both"/>
        <w:ind w:left="660" w:firstLine="645"/>
        <w:spacing w:after="0" w:line="277" w:lineRule="auto"/>
        <w:tabs>
          <w:tab w:leader="none" w:pos="1628"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the successor person (if any) is a corporation, partnership, trust or other entity organized and validly existing under the laws of the Commonwealth of Bermuda, the United States of America, any State of the United States or the District of Columbia, the Commonwealth of the Bahamas, the Republic of Liberia, the Republic of Panama, the Republic of the Marshall Islands, the British Virgin Islands, the Cayman Islands, the Isle of Man, Cyprus, Norway, Greece, Hong Kong, the United Kingdom, Malta, any Member State of the European Union and any other jurisdiction generally acceptable, as determined in good faith by the board of directors of the Issuer, to institutional lenders in the shipping industry, and expressly assumes by supplemental indenture all of the obligations of the Issuer under the Notes and the Indenture;</w:t>
      </w:r>
    </w:p>
    <w:p>
      <w:pPr>
        <w:spacing w:after="0" w:line="179" w:lineRule="exact"/>
        <w:rPr>
          <w:rFonts w:ascii="Arial" w:cs="Arial" w:eastAsia="Arial" w:hAnsi="Arial"/>
          <w:sz w:val="19"/>
          <w:szCs w:val="19"/>
          <w:color w:val="auto"/>
        </w:rPr>
      </w:pPr>
    </w:p>
    <w:p>
      <w:pPr>
        <w:ind w:left="1700" w:hanging="395"/>
        <w:spacing w:after="0"/>
        <w:tabs>
          <w:tab w:leader="none" w:pos="1700" w:val="left"/>
        </w:tabs>
        <w:numPr>
          <w:ilvl w:val="0"/>
          <w:numId w:val="83"/>
        </w:numPr>
        <w:rPr>
          <w:rFonts w:ascii="Arial" w:cs="Arial" w:eastAsia="Arial" w:hAnsi="Arial"/>
          <w:sz w:val="19"/>
          <w:szCs w:val="19"/>
          <w:color w:val="auto"/>
        </w:rPr>
      </w:pPr>
      <w:r>
        <w:rPr>
          <w:rFonts w:ascii="Arial" w:cs="Arial" w:eastAsia="Arial" w:hAnsi="Arial"/>
          <w:sz w:val="19"/>
          <w:szCs w:val="19"/>
          <w:color w:val="auto"/>
        </w:rPr>
        <w:t>immediately after giving effect to the transaction, no Event of Default shall have occurred and be continuing;</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and</w:t>
      </w:r>
    </w:p>
    <w:p>
      <w:pPr>
        <w:spacing w:after="0" w:line="215" w:lineRule="exact"/>
        <w:rPr>
          <w:rFonts w:ascii="Arial" w:cs="Arial" w:eastAsia="Arial" w:hAnsi="Arial"/>
          <w:sz w:val="19"/>
          <w:szCs w:val="19"/>
          <w:color w:val="auto"/>
        </w:rPr>
      </w:pPr>
    </w:p>
    <w:p>
      <w:pPr>
        <w:jc w:val="both"/>
        <w:ind w:left="660" w:firstLine="645"/>
        <w:spacing w:after="0" w:line="252" w:lineRule="auto"/>
        <w:tabs>
          <w:tab w:leader="none" w:pos="1719" w:val="left"/>
        </w:tabs>
        <w:numPr>
          <w:ilvl w:val="0"/>
          <w:numId w:val="83"/>
        </w:numPr>
        <w:rPr>
          <w:rFonts w:ascii="Arial" w:cs="Arial" w:eastAsia="Arial" w:hAnsi="Arial"/>
          <w:sz w:val="21"/>
          <w:szCs w:val="21"/>
          <w:color w:val="auto"/>
        </w:rPr>
      </w:pPr>
      <w:r>
        <w:rPr>
          <w:rFonts w:ascii="Arial" w:cs="Arial" w:eastAsia="Arial" w:hAnsi="Arial"/>
          <w:sz w:val="21"/>
          <w:szCs w:val="21"/>
          <w:color w:val="auto"/>
        </w:rPr>
        <w:t>the Issuer has delivered to the Trustee an Officers’ Certificate and an Opinion of Counsel stating that such consolidation, merger, conveyance, transfer or lease and, if a supplemental indenture is required in connection with such transaction, such supplemental indenture complies with this Article relating to such transaction and that all conditions precedent herein provided for relating to such transaction have been complied with.</w:t>
      </w:r>
    </w:p>
    <w:p>
      <w:pPr>
        <w:spacing w:after="0" w:line="20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i w:val="1"/>
          <w:iCs w:val="1"/>
          <w:color w:val="auto"/>
        </w:rPr>
        <w:t xml:space="preserve">Section 8.02. Successor Substituted. </w:t>
      </w:r>
      <w:r>
        <w:rPr>
          <w:rFonts w:ascii="Arial" w:cs="Arial" w:eastAsia="Arial" w:hAnsi="Arial"/>
          <w:sz w:val="19"/>
          <w:szCs w:val="19"/>
          <w:color w:val="auto"/>
        </w:rPr>
        <w:t>Upon any consolidation by the Issuer with or merger by the Issuer with or into any</w:t>
      </w:r>
      <w:r>
        <w:rPr>
          <w:rFonts w:ascii="Arial" w:cs="Arial" w:eastAsia="Arial" w:hAnsi="Arial"/>
          <w:sz w:val="19"/>
          <w:szCs w:val="19"/>
          <w:i w:val="1"/>
          <w:iCs w:val="1"/>
          <w:color w:val="auto"/>
        </w:rPr>
        <w:t xml:space="preserve"> </w:t>
      </w:r>
      <w:r>
        <w:rPr>
          <w:rFonts w:ascii="Arial" w:cs="Arial" w:eastAsia="Arial" w:hAnsi="Arial"/>
          <w:sz w:val="19"/>
          <w:szCs w:val="19"/>
          <w:color w:val="auto"/>
        </w:rPr>
        <w:t>other corporation or any conveyance, transfer or lease of the properties and assets of the Issuer as an entirety or substantially as an entirety to any Person in accordance with Section 8.01, the successor Person formed by such consolidation or into which the Issuer is merged or to which such conveyance, transfer or lease is made shall succeed to, and be substituted for, and may exercise every right and power of, and be subject to every obligation of, the Issuer under this Indenture as obligor for the Notes with the same effect as if such successor Person had been named as the Issuer herein, and thereafter, except in the case of a lease, the Issuer shall be discharged of all obligations and covenants under this Indenture and the Notes.”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22"/>
          <w:szCs w:val="22"/>
          <w:b w:val="1"/>
          <w:bCs w:val="1"/>
          <w:color w:val="auto"/>
        </w:rPr>
        <w:t>ARTICLE 5</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EDEMPTION</w:t>
      </w:r>
    </w:p>
    <w:p>
      <w:pPr>
        <w:spacing w:after="0" w:line="209"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b w:val="1"/>
          <w:bCs w:val="1"/>
          <w:color w:val="auto"/>
        </w:rPr>
        <w:t xml:space="preserve">Section 5.01 </w:t>
      </w:r>
      <w:r>
        <w:rPr>
          <w:rFonts w:ascii="Arial" w:cs="Arial" w:eastAsia="Arial" w:hAnsi="Arial"/>
          <w:sz w:val="22"/>
          <w:szCs w:val="22"/>
          <w:b w:val="1"/>
          <w:bCs w:val="1"/>
          <w:i w:val="1"/>
          <w:iCs w:val="1"/>
          <w:color w:val="auto"/>
        </w:rPr>
        <w:t>Optional Redemption</w:t>
      </w:r>
      <w:r>
        <w:rPr>
          <w:rFonts w:ascii="Arial" w:cs="Arial" w:eastAsia="Arial" w:hAnsi="Arial"/>
          <w:sz w:val="22"/>
          <w:szCs w:val="22"/>
          <w:color w:val="auto"/>
        </w:rPr>
        <w:t>. The Issuer has the option to redeem all or a portion of the Notes at any time, or from</w:t>
      </w:r>
      <w:r>
        <w:rPr>
          <w:rFonts w:ascii="Arial" w:cs="Arial" w:eastAsia="Arial" w:hAnsi="Arial"/>
          <w:sz w:val="22"/>
          <w:szCs w:val="22"/>
          <w:b w:val="1"/>
          <w:bCs w:val="1"/>
          <w:color w:val="auto"/>
        </w:rPr>
        <w:t xml:space="preserve"> </w:t>
      </w:r>
      <w:r>
        <w:rPr>
          <w:rFonts w:ascii="Arial" w:cs="Arial" w:eastAsia="Arial" w:hAnsi="Arial"/>
          <w:sz w:val="22"/>
          <w:szCs w:val="22"/>
          <w:color w:val="auto"/>
        </w:rPr>
        <w:t>time to time, at a “</w:t>
      </w:r>
      <w:r>
        <w:rPr>
          <w:rFonts w:ascii="Arial" w:cs="Arial" w:eastAsia="Arial" w:hAnsi="Arial"/>
          <w:sz w:val="22"/>
          <w:szCs w:val="22"/>
          <w:b w:val="1"/>
          <w:bCs w:val="1"/>
          <w:color w:val="auto"/>
        </w:rPr>
        <w:t>Redemption Price</w:t>
      </w:r>
      <w:r>
        <w:rPr>
          <w:rFonts w:ascii="Arial" w:cs="Arial" w:eastAsia="Arial" w:hAnsi="Arial"/>
          <w:sz w:val="22"/>
          <w:szCs w:val="22"/>
          <w:color w:val="auto"/>
        </w:rPr>
        <w:t>” equal to the greater of:</w:t>
      </w:r>
    </w:p>
    <w:p>
      <w:pPr>
        <w:spacing w:after="0" w:line="196" w:lineRule="exact"/>
        <w:rPr>
          <w:sz w:val="20"/>
          <w:szCs w:val="20"/>
          <w:color w:val="auto"/>
        </w:rPr>
      </w:pPr>
    </w:p>
    <w:p>
      <w:pPr>
        <w:ind w:left="1020" w:hanging="310"/>
        <w:spacing w:after="0"/>
        <w:tabs>
          <w:tab w:leader="none" w:pos="1020" w:val="left"/>
        </w:tabs>
        <w:numPr>
          <w:ilvl w:val="0"/>
          <w:numId w:val="84"/>
        </w:numPr>
        <w:rPr>
          <w:rFonts w:ascii="Arial" w:cs="Arial" w:eastAsia="Arial" w:hAnsi="Arial"/>
          <w:sz w:val="22"/>
          <w:szCs w:val="22"/>
          <w:color w:val="auto"/>
        </w:rPr>
      </w:pPr>
      <w:r>
        <w:rPr>
          <w:rFonts w:ascii="Arial" w:cs="Arial" w:eastAsia="Arial" w:hAnsi="Arial"/>
          <w:sz w:val="22"/>
          <w:szCs w:val="22"/>
          <w:color w:val="auto"/>
        </w:rPr>
        <w:t>100% of the principal amount of the Notes to be redeemed, and</w:t>
      </w:r>
    </w:p>
    <w:p>
      <w:pPr>
        <w:spacing w:after="0" w:line="233" w:lineRule="exact"/>
        <w:rPr>
          <w:rFonts w:ascii="Arial" w:cs="Arial" w:eastAsia="Arial" w:hAnsi="Arial"/>
          <w:sz w:val="22"/>
          <w:szCs w:val="22"/>
          <w:color w:val="auto"/>
        </w:rPr>
      </w:pPr>
    </w:p>
    <w:p>
      <w:pPr>
        <w:jc w:val="both"/>
        <w:ind w:left="660" w:firstLine="50"/>
        <w:spacing w:after="0" w:line="287" w:lineRule="auto"/>
        <w:tabs>
          <w:tab w:leader="none" w:pos="1065" w:val="left"/>
        </w:tabs>
        <w:numPr>
          <w:ilvl w:val="0"/>
          <w:numId w:val="84"/>
        </w:numPr>
        <w:rPr>
          <w:rFonts w:ascii="Arial" w:cs="Arial" w:eastAsia="Arial" w:hAnsi="Arial"/>
          <w:sz w:val="19"/>
          <w:szCs w:val="19"/>
          <w:color w:val="auto"/>
        </w:rPr>
      </w:pPr>
      <w:r>
        <w:rPr>
          <w:rFonts w:ascii="Arial" w:cs="Arial" w:eastAsia="Arial" w:hAnsi="Arial"/>
          <w:sz w:val="19"/>
          <w:szCs w:val="19"/>
          <w:color w:val="auto"/>
        </w:rPr>
        <w:t>as determined by the Independent Investment Banker, the sum of the present values of the remaining scheduled payments of principal and interest of the Notes to be redeemed (not including any portion of such payments of interest accrued and unpaid as of the date of redemption), discounted to the Redemption Date on a quarterly basis (assuming a 360-day year consisting of twelve 30-day months) at the Treasury Rate plus 50 basis points,</w:t>
      </w:r>
    </w:p>
    <w:p>
      <w:pPr>
        <w:spacing w:after="0" w:line="170"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plus accrued and unpaid interest and Additional Amounts, if any, to but excluding, the Redemption Date (subject to the rights of Holders of the Notes on the relevant record date to receive interest due on the relevant interest payment date).</w:t>
      </w:r>
    </w:p>
    <w:p>
      <w:pPr>
        <w:spacing w:after="0" w:line="17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If the Issuer chooses to redeem any Notes, it shall be required to deliver a notice of redemption to Holders of Notes (with a copy to the Trustee) not less than 30 nor more than 60 days before the Redemption Date (which notice shall be irrevocable). If the Issuer is redeeming less than all of the Notes, the particular Notes to be redeemed will be selected by the Trustee by lot, pro rata, or in a manner deemed fair and appropriate by the Trustee, subject to the applicable procedures of the Depositary. Unless the Issuer defaults in payment of the Redemption Price, on and after the Redemption Date, interest will cease to accrue on the Notes or portions of the Notes called for redemption. On or before any Redemption Date, the Issuer shall irrevocably deposit with the Paying Agent (or the Trustee) money sufficient to pay the Redemption Price of and accrued interest on the Notes to be redeemed on such date.</w:t>
      </w:r>
    </w:p>
    <w:p>
      <w:pPr>
        <w:spacing w:after="0" w:line="21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Any notice to Holders of Notes of such a redemption needs to include the appropriate calculation (such calculation to be made by the Issuer) of the redemption price, but does not need to include the redemption price itself. The actual redemption price, calculated as described above, must be set forth in an Officers’ Certificate delivered to the Trustee no later than two business days prior to the Redemption Date. In no case will the Trustee have any duty to perform any calculations with respect to any Redemption Price.</w:t>
      </w:r>
    </w:p>
    <w:p>
      <w:pPr>
        <w:spacing w:after="0" w:line="209" w:lineRule="exact"/>
        <w:rPr>
          <w:sz w:val="20"/>
          <w:szCs w:val="20"/>
          <w:color w:val="auto"/>
        </w:rPr>
      </w:pPr>
    </w:p>
    <w:p>
      <w:pPr>
        <w:ind w:right="60" w:firstLine="648"/>
        <w:spacing w:after="0" w:line="247" w:lineRule="auto"/>
        <w:rPr>
          <w:sz w:val="20"/>
          <w:szCs w:val="20"/>
          <w:color w:val="auto"/>
        </w:rPr>
      </w:pPr>
      <w:r>
        <w:rPr>
          <w:rFonts w:ascii="Arial" w:cs="Arial" w:eastAsia="Arial" w:hAnsi="Arial"/>
          <w:sz w:val="21"/>
          <w:szCs w:val="21"/>
          <w:b w:val="1"/>
          <w:bCs w:val="1"/>
          <w:color w:val="auto"/>
        </w:rPr>
        <w:t xml:space="preserve">Section 5.02 </w:t>
      </w:r>
      <w:r>
        <w:rPr>
          <w:rFonts w:ascii="Arial" w:cs="Arial" w:eastAsia="Arial" w:hAnsi="Arial"/>
          <w:sz w:val="21"/>
          <w:szCs w:val="21"/>
          <w:b w:val="1"/>
          <w:bCs w:val="1"/>
          <w:i w:val="1"/>
          <w:iCs w:val="1"/>
          <w:color w:val="auto"/>
        </w:rPr>
        <w:t>Redemption for Tax Reasons</w:t>
      </w:r>
      <w:r>
        <w:rPr>
          <w:rFonts w:ascii="Arial" w:cs="Arial" w:eastAsia="Arial" w:hAnsi="Arial"/>
          <w:sz w:val="21"/>
          <w:szCs w:val="21"/>
          <w:color w:val="auto"/>
        </w:rPr>
        <w:t>. The Issuer may redeem the Notes, at its option, at any time in whole but not in</w:t>
      </w:r>
      <w:r>
        <w:rPr>
          <w:rFonts w:ascii="Arial" w:cs="Arial" w:eastAsia="Arial" w:hAnsi="Arial"/>
          <w:sz w:val="21"/>
          <w:szCs w:val="21"/>
          <w:b w:val="1"/>
          <w:bCs w:val="1"/>
          <w:color w:val="auto"/>
        </w:rPr>
        <w:t xml:space="preserve"> </w:t>
      </w:r>
      <w:r>
        <w:rPr>
          <w:rFonts w:ascii="Arial" w:cs="Arial" w:eastAsia="Arial" w:hAnsi="Arial"/>
          <w:sz w:val="21"/>
          <w:szCs w:val="21"/>
          <w:color w:val="auto"/>
        </w:rPr>
        <w:t>part, upon not less than 30 nor more than 60 days’ notice (which notice will be irrevocable) by the Issuer, at a Redemption Price equal to 100% of the outstanding principal amount of the Notes, plus accrued and unpaid interest (if any) to, but excluding, the applicable Redemption Date and all Additional Amounts (if any) then due and which will become due on the applicable Redemption Date (subject to the right of Holders of record on the relevant record date to receive interest due on the relevant Interest Payment Date and Additional Amounts (if any) in respect thereof), in the event that the Issuer determines in good faith that the Issuer has become or would become obligated to pay, on the next date on which any amount would be payable with respect to the Notes, Additional Amounts and such</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109" w:name="page110"/>
    <w:bookmarkEnd w:id="109"/>
    <w:p>
      <w:pPr>
        <w:ind w:right="300"/>
        <w:spacing w:after="0" w:line="251" w:lineRule="auto"/>
        <w:rPr>
          <w:sz w:val="20"/>
          <w:szCs w:val="20"/>
          <w:color w:val="auto"/>
        </w:rPr>
      </w:pPr>
      <w:r>
        <w:rPr>
          <w:rFonts w:ascii="Arial" w:cs="Arial" w:eastAsia="Arial" w:hAnsi="Arial"/>
          <w:sz w:val="22"/>
          <w:szCs w:val="22"/>
          <w:color w:val="auto"/>
        </w:rPr>
        <w:t>obligation cannot be avoided by taking reasonable measures available to the Issuer (including making payment through a Paying Agent located in another jurisdiction), as a result of:</w:t>
      </w:r>
    </w:p>
    <w:p>
      <w:pPr>
        <w:spacing w:after="0" w:line="200" w:lineRule="exact"/>
        <w:rPr>
          <w:sz w:val="20"/>
          <w:szCs w:val="20"/>
          <w:color w:val="auto"/>
        </w:rPr>
      </w:pPr>
    </w:p>
    <w:p>
      <w:pPr>
        <w:jc w:val="both"/>
        <w:ind w:left="1280" w:right="180" w:firstLine="445"/>
        <w:spacing w:after="0"/>
        <w:tabs>
          <w:tab w:leader="none" w:pos="2027" w:val="left"/>
        </w:tabs>
        <w:numPr>
          <w:ilvl w:val="0"/>
          <w:numId w:val="85"/>
        </w:numPr>
        <w:rPr>
          <w:rFonts w:ascii="Arial" w:cs="Arial" w:eastAsia="Arial" w:hAnsi="Arial"/>
          <w:sz w:val="22"/>
          <w:szCs w:val="22"/>
          <w:color w:val="auto"/>
        </w:rPr>
      </w:pPr>
      <w:r>
        <w:rPr>
          <w:rFonts w:ascii="Arial" w:cs="Arial" w:eastAsia="Arial" w:hAnsi="Arial"/>
          <w:sz w:val="22"/>
          <w:szCs w:val="22"/>
          <w:color w:val="auto"/>
        </w:rPr>
        <w:t>a change in or an amendment to the laws (including any regulations or rulings promulgated thereunder) of any Specified Tax Jurisdiction affecting taxation, which change or amendment is announced and becomes effective on or after the date of the Indenture; or</w:t>
      </w:r>
    </w:p>
    <w:p>
      <w:pPr>
        <w:spacing w:after="0" w:line="213" w:lineRule="exact"/>
        <w:rPr>
          <w:rFonts w:ascii="Arial" w:cs="Arial" w:eastAsia="Arial" w:hAnsi="Arial"/>
          <w:sz w:val="22"/>
          <w:szCs w:val="22"/>
          <w:color w:val="auto"/>
        </w:rPr>
      </w:pPr>
    </w:p>
    <w:p>
      <w:pPr>
        <w:jc w:val="both"/>
        <w:ind w:left="1280" w:right="180" w:firstLine="445"/>
        <w:spacing w:after="0" w:line="238" w:lineRule="auto"/>
        <w:tabs>
          <w:tab w:leader="none" w:pos="2027" w:val="left"/>
        </w:tabs>
        <w:numPr>
          <w:ilvl w:val="0"/>
          <w:numId w:val="85"/>
        </w:numPr>
        <w:rPr>
          <w:rFonts w:ascii="Arial" w:cs="Arial" w:eastAsia="Arial" w:hAnsi="Arial"/>
          <w:sz w:val="22"/>
          <w:szCs w:val="22"/>
          <w:color w:val="auto"/>
        </w:rPr>
      </w:pPr>
      <w:r>
        <w:rPr>
          <w:rFonts w:ascii="Arial" w:cs="Arial" w:eastAsia="Arial" w:hAnsi="Arial"/>
          <w:sz w:val="22"/>
          <w:szCs w:val="22"/>
          <w:color w:val="auto"/>
        </w:rPr>
        <w:t>any change in or amendment to any official position of a taxing authority in any Specified Tax Jurisdiction regarding the application, administration or interpretation of such laws, regulations or rulings (including a holding, judgment or order by a court of competent jurisdiction), which change or amendment is announced and becomes effective on or after the date of the Indenture.</w:t>
      </w:r>
    </w:p>
    <w:p>
      <w:pPr>
        <w:spacing w:after="0" w:line="212" w:lineRule="exact"/>
        <w:rPr>
          <w:sz w:val="20"/>
          <w:szCs w:val="20"/>
          <w:color w:val="auto"/>
        </w:rPr>
      </w:pPr>
    </w:p>
    <w:p>
      <w:pPr>
        <w:ind w:firstLine="648"/>
        <w:spacing w:after="0" w:line="276" w:lineRule="auto"/>
        <w:rPr>
          <w:sz w:val="20"/>
          <w:szCs w:val="20"/>
          <w:color w:val="auto"/>
        </w:rPr>
      </w:pPr>
      <w:r>
        <w:rPr>
          <w:rFonts w:ascii="Arial" w:cs="Arial" w:eastAsia="Arial" w:hAnsi="Arial"/>
          <w:sz w:val="19"/>
          <w:szCs w:val="19"/>
          <w:color w:val="auto"/>
        </w:rPr>
        <w:t>Notwithstanding the foregoing, no such notice of redemption may be given earlier than 60 days prior to the earliest date on which the Issuer would be obligated to pay Additional Amounts if a payment in respect of the Notes were then due. At least three</w:t>
      </w:r>
    </w:p>
    <w:p>
      <w:pPr>
        <w:spacing w:after="0" w:line="2" w:lineRule="exact"/>
        <w:rPr>
          <w:sz w:val="20"/>
          <w:szCs w:val="20"/>
          <w:color w:val="auto"/>
        </w:rPr>
      </w:pPr>
    </w:p>
    <w:p>
      <w:pPr>
        <w:jc w:val="both"/>
        <w:ind w:firstLine="8"/>
        <w:spacing w:after="0" w:line="277" w:lineRule="auto"/>
        <w:tabs>
          <w:tab w:leader="none" w:pos="326" w:val="left"/>
        </w:tabs>
        <w:numPr>
          <w:ilvl w:val="0"/>
          <w:numId w:val="86"/>
        </w:numPr>
        <w:rPr>
          <w:rFonts w:ascii="Arial" w:cs="Arial" w:eastAsia="Arial" w:hAnsi="Arial"/>
          <w:sz w:val="19"/>
          <w:szCs w:val="19"/>
          <w:color w:val="auto"/>
        </w:rPr>
      </w:pPr>
      <w:r>
        <w:rPr>
          <w:rFonts w:ascii="Arial" w:cs="Arial" w:eastAsia="Arial" w:hAnsi="Arial"/>
          <w:sz w:val="19"/>
          <w:szCs w:val="19"/>
          <w:color w:val="auto"/>
        </w:rPr>
        <w:t>Business Days before the Issuer delivers notice of redemption of the Notes as described above, the Issuer will deliver to the Trustee and Paying Agent (a) an Officers’ Certificate stating that the Issuer is entitled to effect such redemption and setting forth a statement of facts showing that the conditions precedent to the right of the Issuer to so redeem have occurred and (b) an opinion of a nationally recognized independent legal counsel that the Issuer has or will become obligated to pay Additional Amounts as a result of the circumstances referred to in clause (1) or (2) of the preceding paragraph.</w:t>
      </w:r>
    </w:p>
    <w:p>
      <w:pPr>
        <w:spacing w:after="0" w:line="18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Trustee and Paying Agent will accept and will be entitled to conclusively rely upon the Officers’ Certificate and opinion of counsel as sufficient evidence of the satisfaction of the conditions precedent described above, in which case they will be conclusive and binding on the Holders.</w:t>
      </w:r>
    </w:p>
    <w:p>
      <w:pPr>
        <w:spacing w:after="0" w:line="207"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Section 5.03 </w:t>
      </w:r>
      <w:r>
        <w:rPr>
          <w:rFonts w:ascii="Arial" w:cs="Arial" w:eastAsia="Arial" w:hAnsi="Arial"/>
          <w:sz w:val="22"/>
          <w:szCs w:val="22"/>
          <w:b w:val="1"/>
          <w:bCs w:val="1"/>
          <w:i w:val="1"/>
          <w:iCs w:val="1"/>
          <w:color w:val="auto"/>
        </w:rPr>
        <w:t>Open Market Repurchases</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any provision hereunder or in the Indenture to the contrary, the</w:t>
      </w:r>
      <w:r>
        <w:rPr>
          <w:rFonts w:ascii="Arial" w:cs="Arial" w:eastAsia="Arial" w:hAnsi="Arial"/>
          <w:sz w:val="22"/>
          <w:szCs w:val="22"/>
          <w:b w:val="1"/>
          <w:bCs w:val="1"/>
          <w:color w:val="auto"/>
        </w:rPr>
        <w:t xml:space="preserve"> </w:t>
      </w:r>
      <w:r>
        <w:rPr>
          <w:rFonts w:ascii="Arial" w:cs="Arial" w:eastAsia="Arial" w:hAnsi="Arial"/>
          <w:sz w:val="22"/>
          <w:szCs w:val="22"/>
          <w:color w:val="auto"/>
        </w:rPr>
        <w:t>Issuer and its Affiliates may purchase Notes from investors who are willing to sell from time to time, either in the open market at prevailing prices or by tender offer or in private transactions at negotiated prices. Notes that the Issuer or any of its Affiliates purchase may, at the Issuer’s discretion, be held, resold or canceled.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6</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HANGE</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F</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ONTROL</w:t>
      </w:r>
    </w:p>
    <w:p>
      <w:pPr>
        <w:spacing w:after="0" w:line="20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b w:val="1"/>
          <w:bCs w:val="1"/>
          <w:color w:val="auto"/>
        </w:rPr>
        <w:t xml:space="preserve">Section 6.01 </w:t>
      </w:r>
      <w:r>
        <w:rPr>
          <w:rFonts w:ascii="Arial" w:cs="Arial" w:eastAsia="Arial" w:hAnsi="Arial"/>
          <w:sz w:val="22"/>
          <w:szCs w:val="22"/>
          <w:b w:val="1"/>
          <w:bCs w:val="1"/>
          <w:i w:val="1"/>
          <w:iCs w:val="1"/>
          <w:color w:val="auto"/>
        </w:rPr>
        <w:t>Change Of Control.</w:t>
      </w:r>
      <w:r>
        <w:rPr>
          <w:rFonts w:ascii="Arial" w:cs="Arial" w:eastAsia="Arial" w:hAnsi="Arial"/>
          <w:sz w:val="22"/>
          <w:szCs w:val="22"/>
          <w:b w:val="1"/>
          <w:bCs w:val="1"/>
          <w:color w:val="auto"/>
        </w:rPr>
        <w:t xml:space="preserve"> </w:t>
      </w:r>
      <w:r>
        <w:rPr>
          <w:rFonts w:ascii="Arial" w:cs="Arial" w:eastAsia="Arial" w:hAnsi="Arial"/>
          <w:sz w:val="22"/>
          <w:szCs w:val="22"/>
          <w:color w:val="auto"/>
        </w:rPr>
        <w:t>(a) If a Change of Control occurs at any time, Holders will have the right, at their option,</w:t>
      </w:r>
      <w:r>
        <w:rPr>
          <w:rFonts w:ascii="Arial" w:cs="Arial" w:eastAsia="Arial" w:hAnsi="Arial"/>
          <w:sz w:val="22"/>
          <w:szCs w:val="22"/>
          <w:b w:val="1"/>
          <w:bCs w:val="1"/>
          <w:color w:val="auto"/>
        </w:rPr>
        <w:t xml:space="preserve"> </w:t>
      </w:r>
      <w:r>
        <w:rPr>
          <w:rFonts w:ascii="Arial" w:cs="Arial" w:eastAsia="Arial" w:hAnsi="Arial"/>
          <w:sz w:val="22"/>
          <w:szCs w:val="22"/>
          <w:color w:val="auto"/>
        </w:rPr>
        <w:t>to require the Issuer to purchase for cash any or all of the Notes, or any portion of the principal amount thereof, that is equal to $1,000 or an integral multiple of $1,000. The price the Issuer is required to pay (the “</w:t>
      </w:r>
      <w:r>
        <w:rPr>
          <w:rFonts w:ascii="Arial" w:cs="Arial" w:eastAsia="Arial" w:hAnsi="Arial"/>
          <w:sz w:val="22"/>
          <w:szCs w:val="22"/>
          <w:b w:val="1"/>
          <w:bCs w:val="1"/>
          <w:color w:val="auto"/>
        </w:rPr>
        <w:t>Change of Control Purchase Price</w:t>
      </w:r>
      <w:r>
        <w:rPr>
          <w:rFonts w:ascii="Arial" w:cs="Arial" w:eastAsia="Arial" w:hAnsi="Arial"/>
          <w:sz w:val="22"/>
          <w:szCs w:val="22"/>
          <w:color w:val="auto"/>
        </w:rPr>
        <w:t>”) is equal to 101% of the principal amount of the Notes to be purchased plus accrued and unpaid interest to but excluding the Change of Control Purchase Date (unless the Change of Control Purchase Date is after a record date and on or prior to the interest payment date to which</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10" w:name="page111"/>
    <w:bookmarkEnd w:id="110"/>
    <w:p>
      <w:pPr>
        <w:jc w:val="both"/>
        <w:spacing w:after="0" w:line="236" w:lineRule="auto"/>
        <w:rPr>
          <w:sz w:val="20"/>
          <w:szCs w:val="20"/>
          <w:color w:val="auto"/>
        </w:rPr>
      </w:pPr>
      <w:r>
        <w:rPr>
          <w:rFonts w:ascii="Arial" w:cs="Arial" w:eastAsia="Arial" w:hAnsi="Arial"/>
          <w:sz w:val="22"/>
          <w:szCs w:val="22"/>
          <w:color w:val="auto"/>
        </w:rPr>
        <w:t>such record date relates, in which case the Issuer will instead pay the full amount of accrued and unpaid interest to the Holder on such record date and the Change of Control Purchase Price will be equal to 101% of the principal amount of the Notes to be purchased). The “</w:t>
      </w:r>
      <w:r>
        <w:rPr>
          <w:rFonts w:ascii="Arial" w:cs="Arial" w:eastAsia="Arial" w:hAnsi="Arial"/>
          <w:sz w:val="22"/>
          <w:szCs w:val="22"/>
          <w:b w:val="1"/>
          <w:bCs w:val="1"/>
          <w:color w:val="auto"/>
        </w:rPr>
        <w:t>Change of Control Purchase Date</w:t>
      </w:r>
      <w:r>
        <w:rPr>
          <w:rFonts w:ascii="Arial" w:cs="Arial" w:eastAsia="Arial" w:hAnsi="Arial"/>
          <w:sz w:val="22"/>
          <w:szCs w:val="22"/>
          <w:color w:val="auto"/>
        </w:rPr>
        <w:t>” will be a date specified by the Issuer that is not less than 20 or more than 35 calendar days following the date of the Change of Control notice as described below. Any Notes purchased by the Issuer will be paid for in cash.</w:t>
      </w:r>
    </w:p>
    <w:p>
      <w:pPr>
        <w:spacing w:after="0" w:line="215" w:lineRule="exact"/>
        <w:rPr>
          <w:sz w:val="20"/>
          <w:szCs w:val="20"/>
          <w:color w:val="auto"/>
        </w:rPr>
      </w:pPr>
    </w:p>
    <w:p>
      <w:pPr>
        <w:ind w:right="80" w:firstLine="449"/>
        <w:spacing w:after="0" w:line="235" w:lineRule="auto"/>
        <w:tabs>
          <w:tab w:leader="none" w:pos="747" w:val="left"/>
        </w:tabs>
        <w:numPr>
          <w:ilvl w:val="0"/>
          <w:numId w:val="87"/>
        </w:numPr>
        <w:rPr>
          <w:rFonts w:ascii="Arial" w:cs="Arial" w:eastAsia="Arial" w:hAnsi="Arial"/>
          <w:sz w:val="22"/>
          <w:szCs w:val="22"/>
          <w:color w:val="auto"/>
        </w:rPr>
      </w:pPr>
      <w:r>
        <w:rPr>
          <w:rFonts w:ascii="Arial" w:cs="Arial" w:eastAsia="Arial" w:hAnsi="Arial"/>
          <w:sz w:val="22"/>
          <w:szCs w:val="22"/>
          <w:color w:val="auto"/>
        </w:rPr>
        <w:t>On or before the 30th day after the occurrence of a Change of Control, the Issuer will provide to all Holders and the Trustee and Paying Agent a notice of the occurrence of the Change of Control and of the resulting purchase right. Such notice shall state, among other things: (i) the events causing a Change of Control; (ii) the date of the Change of Control; (iii) the last date on which a Holder may exercise the repurchase right; (iv) the Change of Control Purchase Price; (v) the Change of Control Purchase Date; (vi) the name and address of the Paying Agent; and (vii) the procedures that Holders must follow to require the Issuer to purchase their Notes.</w:t>
      </w:r>
    </w:p>
    <w:p>
      <w:pPr>
        <w:spacing w:after="0" w:line="215" w:lineRule="exact"/>
        <w:rPr>
          <w:rFonts w:ascii="Arial" w:cs="Arial" w:eastAsia="Arial" w:hAnsi="Arial"/>
          <w:sz w:val="22"/>
          <w:szCs w:val="22"/>
          <w:color w:val="auto"/>
        </w:rPr>
      </w:pPr>
    </w:p>
    <w:p>
      <w:pPr>
        <w:ind w:right="220" w:firstLine="449"/>
        <w:spacing w:after="0"/>
        <w:tabs>
          <w:tab w:leader="none" w:pos="735" w:val="left"/>
        </w:tabs>
        <w:numPr>
          <w:ilvl w:val="0"/>
          <w:numId w:val="87"/>
        </w:numPr>
        <w:rPr>
          <w:rFonts w:ascii="Arial" w:cs="Arial" w:eastAsia="Arial" w:hAnsi="Arial"/>
          <w:sz w:val="22"/>
          <w:szCs w:val="22"/>
          <w:color w:val="auto"/>
        </w:rPr>
      </w:pPr>
      <w:r>
        <w:rPr>
          <w:rFonts w:ascii="Arial" w:cs="Arial" w:eastAsia="Arial" w:hAnsi="Arial"/>
          <w:sz w:val="22"/>
          <w:szCs w:val="22"/>
          <w:color w:val="auto"/>
        </w:rPr>
        <w:t>Simultaneously with providing such notice, the Issuer will publish a notice containing this information in a newspaper of general circulation in The City of New York or publish the information on the Issuer’s website or through such other public medium as the Issuer may select.</w:t>
      </w:r>
    </w:p>
    <w:p>
      <w:pPr>
        <w:spacing w:after="0" w:line="213" w:lineRule="exact"/>
        <w:rPr>
          <w:rFonts w:ascii="Arial" w:cs="Arial" w:eastAsia="Arial" w:hAnsi="Arial"/>
          <w:sz w:val="22"/>
          <w:szCs w:val="22"/>
          <w:color w:val="auto"/>
        </w:rPr>
      </w:pPr>
    </w:p>
    <w:p>
      <w:pPr>
        <w:ind w:firstLine="449"/>
        <w:spacing w:after="0" w:line="234" w:lineRule="auto"/>
        <w:tabs>
          <w:tab w:leader="none" w:pos="747" w:val="left"/>
        </w:tabs>
        <w:numPr>
          <w:ilvl w:val="0"/>
          <w:numId w:val="87"/>
        </w:numPr>
        <w:rPr>
          <w:rFonts w:ascii="Arial" w:cs="Arial" w:eastAsia="Arial" w:hAnsi="Arial"/>
          <w:sz w:val="22"/>
          <w:szCs w:val="22"/>
          <w:color w:val="auto"/>
        </w:rPr>
      </w:pPr>
      <w:r>
        <w:rPr>
          <w:rFonts w:ascii="Arial" w:cs="Arial" w:eastAsia="Arial" w:hAnsi="Arial"/>
          <w:sz w:val="22"/>
          <w:szCs w:val="22"/>
          <w:color w:val="auto"/>
        </w:rPr>
        <w:t>To exercise the Change of Control purchase right, Holders must deliver, on or before the third Business Day (or as otherwise provided in the notice described in Section 6.01(b)) immediately preceding the Change of Control Purchase Date, the Notes to be purchased, duly endorsed for transfer, together with a written purchase notice, to the Paying Agent. The purchase notice must state: (i) if certificated, the certificate numbers of the Notes to be delivered for purchase or if not certificated, the notice must comply with appropriate Depository procedures; (ii) the portion of the principal amount of Notes to be purchased, which must be $1,000 or a multiple thereof; and (iii) that the Notes are to be purchased by the Issuer pursuant to the applicable provisions of the Notes and the Indenture.</w:t>
      </w:r>
    </w:p>
    <w:p>
      <w:pPr>
        <w:spacing w:after="0" w:line="218" w:lineRule="exact"/>
        <w:rPr>
          <w:rFonts w:ascii="Arial" w:cs="Arial" w:eastAsia="Arial" w:hAnsi="Arial"/>
          <w:sz w:val="22"/>
          <w:szCs w:val="22"/>
          <w:color w:val="auto"/>
        </w:rPr>
      </w:pPr>
    </w:p>
    <w:p>
      <w:pPr>
        <w:ind w:firstLine="449"/>
        <w:spacing w:after="0" w:line="249" w:lineRule="auto"/>
        <w:tabs>
          <w:tab w:leader="none" w:pos="735" w:val="left"/>
        </w:tabs>
        <w:numPr>
          <w:ilvl w:val="0"/>
          <w:numId w:val="87"/>
        </w:numPr>
        <w:rPr>
          <w:rFonts w:ascii="Arial" w:cs="Arial" w:eastAsia="Arial" w:hAnsi="Arial"/>
          <w:sz w:val="21"/>
          <w:szCs w:val="21"/>
          <w:color w:val="auto"/>
        </w:rPr>
      </w:pPr>
      <w:r>
        <w:rPr>
          <w:rFonts w:ascii="Arial" w:cs="Arial" w:eastAsia="Arial" w:hAnsi="Arial"/>
          <w:sz w:val="21"/>
          <w:szCs w:val="21"/>
          <w:color w:val="auto"/>
        </w:rPr>
        <w:t>Holders may withdraw any purchase notice (in whole or in part) by a written notice of withdrawal delivered to the Paying Agent prior to the close of business on the Business Day immediately preceding the Change of Control Purchase Date. The notice of withdrawal shall state: (i) the principal amount of the withdrawn Notes; (ii) if certificated Notes have been issued, the certificate numbers of the withdrawn Notes, or if not certificated, the notice must comply with appropriate Depository procedures; and (iii) the principal amount, if any, which remains subject to the purchase notice.</w:t>
      </w:r>
    </w:p>
    <w:p>
      <w:pPr>
        <w:spacing w:after="0" w:line="205" w:lineRule="exact"/>
        <w:rPr>
          <w:rFonts w:ascii="Arial" w:cs="Arial" w:eastAsia="Arial" w:hAnsi="Arial"/>
          <w:sz w:val="21"/>
          <w:szCs w:val="21"/>
          <w:color w:val="auto"/>
        </w:rPr>
      </w:pPr>
    </w:p>
    <w:p>
      <w:pPr>
        <w:ind w:right="60" w:firstLine="449"/>
        <w:spacing w:after="0" w:line="279" w:lineRule="auto"/>
        <w:tabs>
          <w:tab w:leader="none" w:pos="711" w:val="left"/>
        </w:tabs>
        <w:numPr>
          <w:ilvl w:val="0"/>
          <w:numId w:val="87"/>
        </w:numPr>
        <w:rPr>
          <w:rFonts w:ascii="Arial" w:cs="Arial" w:eastAsia="Arial" w:hAnsi="Arial"/>
          <w:sz w:val="19"/>
          <w:szCs w:val="19"/>
          <w:color w:val="auto"/>
        </w:rPr>
      </w:pPr>
      <w:r>
        <w:rPr>
          <w:rFonts w:ascii="Arial" w:cs="Arial" w:eastAsia="Arial" w:hAnsi="Arial"/>
          <w:sz w:val="19"/>
          <w:szCs w:val="19"/>
          <w:color w:val="auto"/>
        </w:rPr>
        <w:t>On each Change of Control Purchase Date, the Issuer will, to the extent lawful, (i) accept for payment all Notes or portions of Notes properly tendered pursuant to the applicable Change of Control offer made by the Issuer, (ii) deposit with the Paying Agent at least one Business Day prior to the Change of Control Purchase Date an amount equal to the Change of Control Purchase Price in respect of all Notes or portions of Notes properly tendered pursuant to the applicable Change of Control offer made by the Issuer and (iii) deliver or cause to be delivered to the Trustee the Notes properly accepted together with an Officers’ Certificate stating the aggregate principal amount of Notes or portions of Notes being repurchased. If the Paying Agent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11" w:name="page112"/>
    <w:bookmarkEnd w:id="111"/>
    <w:p>
      <w:pPr>
        <w:ind w:right="200"/>
        <w:spacing w:after="0" w:line="252" w:lineRule="auto"/>
        <w:rPr>
          <w:sz w:val="20"/>
          <w:szCs w:val="20"/>
          <w:color w:val="auto"/>
        </w:rPr>
      </w:pPr>
      <w:r>
        <w:rPr>
          <w:rFonts w:ascii="Arial" w:cs="Arial" w:eastAsia="Arial" w:hAnsi="Arial"/>
          <w:sz w:val="21"/>
          <w:szCs w:val="21"/>
          <w:color w:val="auto"/>
        </w:rPr>
        <w:t>holds money or securities sufficient to pay the Change of Control Purchase Price of the Notes on the Change of Control Purchase Date, then: (i) the Notes will cease to be outstanding and interest will cease to accrue (whether or not book-entry transfer of the Notes is made or whether or not the Notes are delivered to the Paying Agent); and (ii) all other rights of the Holder will terminate (other than the right to receive the Change of Control Purchase Price).</w:t>
      </w:r>
    </w:p>
    <w:p>
      <w:pPr>
        <w:spacing w:after="0" w:line="201" w:lineRule="exact"/>
        <w:rPr>
          <w:sz w:val="20"/>
          <w:szCs w:val="20"/>
          <w:color w:val="auto"/>
        </w:rPr>
      </w:pPr>
    </w:p>
    <w:p>
      <w:pPr>
        <w:ind w:right="20" w:firstLine="449"/>
        <w:spacing w:after="0" w:line="249" w:lineRule="auto"/>
        <w:tabs>
          <w:tab w:leader="none" w:pos="747" w:val="left"/>
        </w:tabs>
        <w:numPr>
          <w:ilvl w:val="0"/>
          <w:numId w:val="88"/>
        </w:numPr>
        <w:rPr>
          <w:rFonts w:ascii="Arial" w:cs="Arial" w:eastAsia="Arial" w:hAnsi="Arial"/>
          <w:sz w:val="21"/>
          <w:szCs w:val="21"/>
          <w:color w:val="auto"/>
        </w:rPr>
      </w:pPr>
      <w:r>
        <w:rPr>
          <w:rFonts w:ascii="Arial" w:cs="Arial" w:eastAsia="Arial" w:hAnsi="Arial"/>
          <w:sz w:val="21"/>
          <w:szCs w:val="21"/>
          <w:color w:val="auto"/>
        </w:rPr>
        <w:t>In connection with any purchase offer pursuant to a Change of Control purchase notice, the Issuer will, if required, comply with the provisions of the tender offer rules under the Exchange Act that may then be applicable to them. To the extent that the provisions of any such securities laws or regulations conflict with the Change of Control provisions of the Notes, the Issuer will comply with the applicable securities laws and regulations and will not be deemed to have breached their respective obligations under the Change of Control provisions of the Notes by virtue of such conflicts.</w:t>
      </w:r>
    </w:p>
    <w:p>
      <w:pPr>
        <w:spacing w:after="0" w:line="205" w:lineRule="exact"/>
        <w:rPr>
          <w:rFonts w:ascii="Arial" w:cs="Arial" w:eastAsia="Arial" w:hAnsi="Arial"/>
          <w:sz w:val="21"/>
          <w:szCs w:val="21"/>
          <w:color w:val="auto"/>
        </w:rPr>
      </w:pPr>
    </w:p>
    <w:p>
      <w:pPr>
        <w:ind w:firstLine="449"/>
        <w:spacing w:after="0" w:line="328" w:lineRule="auto"/>
        <w:tabs>
          <w:tab w:leader="none" w:pos="747" w:val="left"/>
        </w:tabs>
        <w:numPr>
          <w:ilvl w:val="0"/>
          <w:numId w:val="88"/>
        </w:numPr>
        <w:rPr>
          <w:rFonts w:ascii="Arial" w:cs="Arial" w:eastAsia="Arial" w:hAnsi="Arial"/>
          <w:sz w:val="19"/>
          <w:szCs w:val="19"/>
          <w:color w:val="auto"/>
        </w:rPr>
      </w:pPr>
      <w:r>
        <w:rPr>
          <w:rFonts w:ascii="Arial" w:cs="Arial" w:eastAsia="Arial" w:hAnsi="Arial"/>
          <w:sz w:val="19"/>
          <w:szCs w:val="19"/>
          <w:color w:val="auto"/>
        </w:rPr>
        <w:t>No Notes may be purchased at the option of Holders thereof upon a Change of Control if the principal amount of the Notes has been accelerated, and such acceleration has not been rescinded, on or prior to the Change of Control Purchase Date.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7</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DDITIONAL</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MOUNTS</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7.01 </w:t>
      </w:r>
      <w:r>
        <w:rPr>
          <w:rFonts w:ascii="Arial" w:cs="Arial" w:eastAsia="Arial" w:hAnsi="Arial"/>
          <w:sz w:val="22"/>
          <w:szCs w:val="22"/>
          <w:b w:val="1"/>
          <w:bCs w:val="1"/>
          <w:i w:val="1"/>
          <w:iCs w:val="1"/>
          <w:color w:val="auto"/>
        </w:rPr>
        <w:t>Additional Amounts</w:t>
      </w:r>
    </w:p>
    <w:p>
      <w:pPr>
        <w:spacing w:after="0" w:line="239" w:lineRule="exact"/>
        <w:rPr>
          <w:sz w:val="20"/>
          <w:szCs w:val="20"/>
          <w:color w:val="auto"/>
        </w:rPr>
      </w:pPr>
    </w:p>
    <w:p>
      <w:pPr>
        <w:ind w:right="40" w:firstLine="656"/>
        <w:spacing w:after="0" w:line="272" w:lineRule="auto"/>
        <w:tabs>
          <w:tab w:leader="none" w:pos="942" w:val="left"/>
        </w:tabs>
        <w:numPr>
          <w:ilvl w:val="0"/>
          <w:numId w:val="89"/>
        </w:numPr>
        <w:rPr>
          <w:rFonts w:ascii="Arial" w:cs="Arial" w:eastAsia="Arial" w:hAnsi="Arial"/>
          <w:sz w:val="19"/>
          <w:szCs w:val="19"/>
          <w:color w:val="auto"/>
        </w:rPr>
      </w:pPr>
      <w:r>
        <w:rPr>
          <w:rFonts w:ascii="Arial" w:cs="Arial" w:eastAsia="Arial" w:hAnsi="Arial"/>
          <w:sz w:val="19"/>
          <w:szCs w:val="19"/>
          <w:color w:val="auto"/>
        </w:rPr>
        <w:t>All payments made by or on behalf of the Issuer under or with respect to the Notes will be made free and clear of and without withholding or deduction for, or on account of, any present or future tax, duty, levy, impost, assessment or other governmental charge (including penalties, interest and other liabilities related thereto) (or “</w:t>
      </w:r>
      <w:r>
        <w:rPr>
          <w:rFonts w:ascii="Arial" w:cs="Arial" w:eastAsia="Arial" w:hAnsi="Arial"/>
          <w:sz w:val="19"/>
          <w:szCs w:val="19"/>
          <w:b w:val="1"/>
          <w:bCs w:val="1"/>
          <w:color w:val="auto"/>
        </w:rPr>
        <w:t>Taxes”</w:t>
      </w:r>
      <w:r>
        <w:rPr>
          <w:rFonts w:ascii="Arial" w:cs="Arial" w:eastAsia="Arial" w:hAnsi="Arial"/>
          <w:sz w:val="19"/>
          <w:szCs w:val="19"/>
          <w:color w:val="auto"/>
        </w:rPr>
        <w:t>) unless the withholding or deduction of such Taxes is then required by law. If any deduction or withholding for, or on account of, any Taxes imposed or levied by or on behalf of the government of Bermuda or any political subdivision or any authority or agency therein or thereof having power to tax, or any other jurisdiction in which the Issuer (including any successor entity) is organized or is otherwise resident for tax purposes, or any jurisdiction from or through which payment is made (including, without limitation, the jurisdiction of each paying agent) (each a “</w:t>
      </w:r>
      <w:r>
        <w:rPr>
          <w:rFonts w:ascii="Arial" w:cs="Arial" w:eastAsia="Arial" w:hAnsi="Arial"/>
          <w:sz w:val="19"/>
          <w:szCs w:val="19"/>
          <w:b w:val="1"/>
          <w:bCs w:val="1"/>
          <w:color w:val="auto"/>
        </w:rPr>
        <w:t>Specified Tax Jurisdiction”</w:t>
      </w:r>
      <w:r>
        <w:rPr>
          <w:rFonts w:ascii="Arial" w:cs="Arial" w:eastAsia="Arial" w:hAnsi="Arial"/>
          <w:sz w:val="19"/>
          <w:szCs w:val="19"/>
          <w:color w:val="auto"/>
        </w:rPr>
        <w:t>), will at any time be required to be made from any payments made under or with respect to the Notes, the Issuer will pay such additional amounts (or the “</w:t>
      </w:r>
      <w:r>
        <w:rPr>
          <w:rFonts w:ascii="Arial" w:cs="Arial" w:eastAsia="Arial" w:hAnsi="Arial"/>
          <w:sz w:val="19"/>
          <w:szCs w:val="19"/>
          <w:b w:val="1"/>
          <w:bCs w:val="1"/>
          <w:color w:val="auto"/>
        </w:rPr>
        <w:t>Additional Amounts”</w:t>
      </w:r>
      <w:r>
        <w:rPr>
          <w:rFonts w:ascii="Arial" w:cs="Arial" w:eastAsia="Arial" w:hAnsi="Arial"/>
          <w:sz w:val="19"/>
          <w:szCs w:val="19"/>
          <w:color w:val="auto"/>
        </w:rPr>
        <w:t>) as may be necessary so that the net amount received in respect of such payments by a holder (including Additional Amounts) after such withholding or deduction will not be less than the amount such holder would have received if such Taxes had not been withheld or deducted; provided, however, that the foregoing obligation to pay Additional Amounts does not apply to:</w:t>
      </w:r>
    </w:p>
    <w:p>
      <w:pPr>
        <w:spacing w:after="0" w:line="189" w:lineRule="exact"/>
        <w:rPr>
          <w:sz w:val="20"/>
          <w:szCs w:val="20"/>
          <w:color w:val="auto"/>
        </w:rPr>
      </w:pPr>
    </w:p>
    <w:p>
      <w:pPr>
        <w:ind w:left="1300" w:hanging="644"/>
        <w:spacing w:after="0" w:line="282" w:lineRule="auto"/>
        <w:tabs>
          <w:tab w:leader="none" w:pos="1300" w:val="left"/>
        </w:tabs>
        <w:numPr>
          <w:ilvl w:val="0"/>
          <w:numId w:val="90"/>
        </w:numPr>
        <w:rPr>
          <w:rFonts w:ascii="Arial" w:cs="Arial" w:eastAsia="Arial" w:hAnsi="Arial"/>
          <w:sz w:val="19"/>
          <w:szCs w:val="19"/>
          <w:color w:val="auto"/>
        </w:rPr>
      </w:pPr>
      <w:r>
        <w:rPr>
          <w:rFonts w:ascii="Arial" w:cs="Arial" w:eastAsia="Arial" w:hAnsi="Arial"/>
          <w:sz w:val="19"/>
          <w:szCs w:val="19"/>
          <w:color w:val="auto"/>
        </w:rPr>
        <w:t>any Taxes that would not have been so imposed but for the holder or beneficial owner of the Notes having any present or former connection with the Specified Tax Jurisdiction, including any such connection arising as a result of such holder or beneficial owner (i) being organized under the laws of, or otherwise being or having been a citizen or resident of a Specified Tax Jurisdiction, (ii) or being or having been engaged in a trade or business in a Specified Tax Jurisdiction, (iii) having or having had its principal office located therein, (iv) maintaining a</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112" w:name="page113"/>
    <w:bookmarkEnd w:id="112"/>
    <w:p>
      <w:pPr>
        <w:ind w:left="644" w:right="120"/>
        <w:spacing w:after="0" w:line="258" w:lineRule="auto"/>
        <w:rPr>
          <w:sz w:val="20"/>
          <w:szCs w:val="20"/>
          <w:color w:val="auto"/>
        </w:rPr>
      </w:pPr>
      <w:r>
        <w:rPr>
          <w:rFonts w:ascii="Arial" w:cs="Arial" w:eastAsia="Arial" w:hAnsi="Arial"/>
          <w:sz w:val="21"/>
          <w:szCs w:val="21"/>
          <w:color w:val="auto"/>
        </w:rPr>
        <w:t>permanent establishment in a Specified Tax Jurisdiction, or (v) being or having been physically present in a Specified Tax Jurisdiction (other than, in each ease, any present or former connection arising as a result of the mere acquisition, ownership, holding, enforcement or receipt of payment in respect of the Notes);</w:t>
      </w:r>
    </w:p>
    <w:p>
      <w:pPr>
        <w:spacing w:after="0" w:line="194" w:lineRule="exact"/>
        <w:rPr>
          <w:sz w:val="20"/>
          <w:szCs w:val="20"/>
          <w:color w:val="auto"/>
        </w:rPr>
      </w:pPr>
    </w:p>
    <w:p>
      <w:pPr>
        <w:ind w:left="644" w:right="140" w:hanging="644"/>
        <w:spacing w:after="0" w:line="251" w:lineRule="auto"/>
        <w:tabs>
          <w:tab w:leader="none" w:pos="644" w:val="left"/>
        </w:tabs>
        <w:numPr>
          <w:ilvl w:val="0"/>
          <w:numId w:val="91"/>
        </w:numPr>
        <w:rPr>
          <w:rFonts w:ascii="Arial" w:cs="Arial" w:eastAsia="Arial" w:hAnsi="Arial"/>
          <w:sz w:val="22"/>
          <w:szCs w:val="22"/>
          <w:color w:val="auto"/>
        </w:rPr>
      </w:pPr>
      <w:r>
        <w:rPr>
          <w:rFonts w:ascii="Arial" w:cs="Arial" w:eastAsia="Arial" w:hAnsi="Arial"/>
          <w:sz w:val="22"/>
          <w:szCs w:val="22"/>
          <w:color w:val="auto"/>
        </w:rPr>
        <w:t>any estate, inheritance, gift, sales, excise, transfer, personal property tax or similar tax, assessment or governmental charge;</w:t>
      </w:r>
    </w:p>
    <w:p>
      <w:pPr>
        <w:spacing w:after="0" w:line="200" w:lineRule="exact"/>
        <w:rPr>
          <w:rFonts w:ascii="Arial" w:cs="Arial" w:eastAsia="Arial" w:hAnsi="Arial"/>
          <w:sz w:val="22"/>
          <w:szCs w:val="22"/>
          <w:color w:val="auto"/>
        </w:rPr>
      </w:pPr>
    </w:p>
    <w:p>
      <w:pPr>
        <w:ind w:left="644" w:hanging="644"/>
        <w:spacing w:after="0"/>
        <w:tabs>
          <w:tab w:leader="none" w:pos="644" w:val="left"/>
        </w:tabs>
        <w:numPr>
          <w:ilvl w:val="0"/>
          <w:numId w:val="91"/>
        </w:numPr>
        <w:rPr>
          <w:rFonts w:ascii="Arial" w:cs="Arial" w:eastAsia="Arial" w:hAnsi="Arial"/>
          <w:sz w:val="19"/>
          <w:szCs w:val="19"/>
          <w:color w:val="auto"/>
        </w:rPr>
      </w:pPr>
      <w:r>
        <w:rPr>
          <w:rFonts w:ascii="Arial" w:cs="Arial" w:eastAsia="Arial" w:hAnsi="Arial"/>
          <w:sz w:val="19"/>
          <w:szCs w:val="19"/>
          <w:color w:val="auto"/>
        </w:rPr>
        <w:t>any Taxes payable other than by deduction or withholding from payments under, or with respect to, the Notes;</w:t>
      </w:r>
    </w:p>
    <w:p>
      <w:pPr>
        <w:spacing w:after="0" w:line="267" w:lineRule="exact"/>
        <w:rPr>
          <w:rFonts w:ascii="Arial" w:cs="Arial" w:eastAsia="Arial" w:hAnsi="Arial"/>
          <w:sz w:val="19"/>
          <w:szCs w:val="19"/>
          <w:color w:val="auto"/>
        </w:rPr>
      </w:pPr>
    </w:p>
    <w:p>
      <w:pPr>
        <w:ind w:left="644" w:hanging="644"/>
        <w:spacing w:after="0" w:line="248" w:lineRule="auto"/>
        <w:tabs>
          <w:tab w:leader="none" w:pos="644" w:val="left"/>
        </w:tabs>
        <w:numPr>
          <w:ilvl w:val="0"/>
          <w:numId w:val="91"/>
        </w:numPr>
        <w:rPr>
          <w:rFonts w:ascii="Arial" w:cs="Arial" w:eastAsia="Arial" w:hAnsi="Arial"/>
          <w:sz w:val="21"/>
          <w:szCs w:val="21"/>
          <w:color w:val="auto"/>
        </w:rPr>
      </w:pPr>
      <w:r>
        <w:rPr>
          <w:rFonts w:ascii="Arial" w:cs="Arial" w:eastAsia="Arial" w:hAnsi="Arial"/>
          <w:sz w:val="21"/>
          <w:szCs w:val="21"/>
          <w:color w:val="auto"/>
        </w:rPr>
        <w:t>any Taxes imposed as a result of the failure of the holder or beneficial owner of the Notes to complete, execute and deliver to the Issuer any form or document to the extent applicable to such holder or beneficial owner that may be required by law or by reason of administration of such law and which is reasonably requested in writing to be delivered to the Issuer in order to enable the Issuer to make payments on the Notes without deduction or withholding for Taxes, or with deduction or withholding of a lesser amount, which form or document will be delivered within 60 days of a written request therefor by the Issuer;</w:t>
      </w:r>
    </w:p>
    <w:p>
      <w:pPr>
        <w:spacing w:after="0" w:line="204" w:lineRule="exact"/>
        <w:rPr>
          <w:rFonts w:ascii="Arial" w:cs="Arial" w:eastAsia="Arial" w:hAnsi="Arial"/>
          <w:sz w:val="21"/>
          <w:szCs w:val="21"/>
          <w:color w:val="auto"/>
        </w:rPr>
      </w:pPr>
    </w:p>
    <w:p>
      <w:pPr>
        <w:ind w:left="644" w:right="40" w:hanging="644"/>
        <w:spacing w:after="0" w:line="236" w:lineRule="auto"/>
        <w:tabs>
          <w:tab w:leader="none" w:pos="644" w:val="left"/>
        </w:tabs>
        <w:numPr>
          <w:ilvl w:val="0"/>
          <w:numId w:val="91"/>
        </w:numPr>
        <w:rPr>
          <w:rFonts w:ascii="Arial" w:cs="Arial" w:eastAsia="Arial" w:hAnsi="Arial"/>
          <w:sz w:val="22"/>
          <w:szCs w:val="22"/>
          <w:color w:val="auto"/>
        </w:rPr>
      </w:pPr>
      <w:r>
        <w:rPr>
          <w:rFonts w:ascii="Arial" w:cs="Arial" w:eastAsia="Arial" w:hAnsi="Arial"/>
          <w:sz w:val="22"/>
          <w:szCs w:val="22"/>
          <w:color w:val="auto"/>
        </w:rPr>
        <w:t>any Taxes that would not have been so imposed but for the beneficiary of the payment having presented a note for payment (in cases in which presentation is required) more than 30 days after the date on which such payment or such note became due and payable or the date on which payment thereof is duly provided for, whichever is later (except to the extent that the holder would have been entitled to Additional Amounts had the note been presented on the last day of such 30-day period);</w:t>
      </w:r>
    </w:p>
    <w:p>
      <w:pPr>
        <w:spacing w:after="0" w:line="214" w:lineRule="exact"/>
        <w:rPr>
          <w:rFonts w:ascii="Arial" w:cs="Arial" w:eastAsia="Arial" w:hAnsi="Arial"/>
          <w:sz w:val="22"/>
          <w:szCs w:val="22"/>
          <w:color w:val="auto"/>
        </w:rPr>
      </w:pPr>
    </w:p>
    <w:p>
      <w:pPr>
        <w:ind w:left="644" w:right="80" w:hanging="644"/>
        <w:spacing w:after="0" w:line="236" w:lineRule="auto"/>
        <w:tabs>
          <w:tab w:leader="none" w:pos="644" w:val="left"/>
        </w:tabs>
        <w:numPr>
          <w:ilvl w:val="0"/>
          <w:numId w:val="91"/>
        </w:numPr>
        <w:rPr>
          <w:rFonts w:ascii="Arial" w:cs="Arial" w:eastAsia="Arial" w:hAnsi="Arial"/>
          <w:sz w:val="22"/>
          <w:szCs w:val="22"/>
          <w:color w:val="auto"/>
        </w:rPr>
      </w:pPr>
      <w:r>
        <w:rPr>
          <w:rFonts w:ascii="Arial" w:cs="Arial" w:eastAsia="Arial" w:hAnsi="Arial"/>
          <w:sz w:val="22"/>
          <w:szCs w:val="22"/>
          <w:color w:val="auto"/>
        </w:rPr>
        <w:t>any Taxes imposed on or with respect to any payment by the Issuer to the holder if such holder is a fiduciary or partnership or person other than the sole beneficial owner of such payment, to the extent that a beneficiary or settlor with respect to such fiduciary, a member of such partnership or the beneficial owner of such payment would not have been entitled to Additional Amounts had such beneficiary, settlor, member or beneficial owner been the actual holder of such note;</w:t>
      </w:r>
    </w:p>
    <w:p>
      <w:pPr>
        <w:spacing w:after="0" w:line="214" w:lineRule="exact"/>
        <w:rPr>
          <w:rFonts w:ascii="Arial" w:cs="Arial" w:eastAsia="Arial" w:hAnsi="Arial"/>
          <w:sz w:val="22"/>
          <w:szCs w:val="22"/>
          <w:color w:val="auto"/>
        </w:rPr>
      </w:pPr>
    </w:p>
    <w:p>
      <w:pPr>
        <w:ind w:left="644" w:right="680" w:hanging="644"/>
        <w:spacing w:after="0" w:line="274" w:lineRule="auto"/>
        <w:tabs>
          <w:tab w:leader="none" w:pos="644" w:val="left"/>
        </w:tabs>
        <w:numPr>
          <w:ilvl w:val="0"/>
          <w:numId w:val="91"/>
        </w:numPr>
        <w:rPr>
          <w:rFonts w:ascii="Arial" w:cs="Arial" w:eastAsia="Arial" w:hAnsi="Arial"/>
          <w:sz w:val="21"/>
          <w:szCs w:val="21"/>
          <w:color w:val="auto"/>
        </w:rPr>
      </w:pPr>
      <w:r>
        <w:rPr>
          <w:rFonts w:ascii="Arial" w:cs="Arial" w:eastAsia="Arial" w:hAnsi="Arial"/>
          <w:sz w:val="21"/>
          <w:szCs w:val="21"/>
          <w:color w:val="auto"/>
        </w:rPr>
        <w:t>any Taxes that are required to be deducted or withheld on a payment pursuant to European Council Directive 2003/48/EC or any law implementing, or introduced in order to conform to, such directive;</w:t>
      </w:r>
    </w:p>
    <w:p>
      <w:pPr>
        <w:spacing w:after="0" w:line="177" w:lineRule="exact"/>
        <w:rPr>
          <w:rFonts w:ascii="Arial" w:cs="Arial" w:eastAsia="Arial" w:hAnsi="Arial"/>
          <w:sz w:val="21"/>
          <w:szCs w:val="21"/>
          <w:color w:val="auto"/>
        </w:rPr>
      </w:pPr>
    </w:p>
    <w:p>
      <w:pPr>
        <w:ind w:left="644" w:right="260" w:hanging="644"/>
        <w:spacing w:after="0" w:line="282" w:lineRule="auto"/>
        <w:tabs>
          <w:tab w:leader="none" w:pos="644" w:val="left"/>
        </w:tabs>
        <w:numPr>
          <w:ilvl w:val="0"/>
          <w:numId w:val="91"/>
        </w:numPr>
        <w:rPr>
          <w:rFonts w:ascii="Arial" w:cs="Arial" w:eastAsia="Arial" w:hAnsi="Arial"/>
          <w:sz w:val="19"/>
          <w:szCs w:val="19"/>
          <w:color w:val="auto"/>
        </w:rPr>
      </w:pPr>
      <w:r>
        <w:rPr>
          <w:rFonts w:ascii="Arial" w:cs="Arial" w:eastAsia="Arial" w:hAnsi="Arial"/>
          <w:sz w:val="19"/>
          <w:szCs w:val="19"/>
          <w:color w:val="auto"/>
        </w:rPr>
        <w:t>any Taxes that are imposed or withheld pursuant to Sections 1471 through 1474 of the United States Internal Revenue Code (or the “</w:t>
      </w:r>
      <w:r>
        <w:rPr>
          <w:rFonts w:ascii="Arial" w:cs="Arial" w:eastAsia="Arial" w:hAnsi="Arial"/>
          <w:sz w:val="19"/>
          <w:szCs w:val="19"/>
          <w:b w:val="1"/>
          <w:bCs w:val="1"/>
          <w:color w:val="auto"/>
        </w:rPr>
        <w:t>Code</w:t>
      </w:r>
      <w:r>
        <w:rPr>
          <w:rFonts w:ascii="Arial" w:cs="Arial" w:eastAsia="Arial" w:hAnsi="Arial"/>
          <w:sz w:val="19"/>
          <w:szCs w:val="19"/>
          <w:color w:val="auto"/>
        </w:rPr>
        <w:t>”), as of the Issue Date (or any amended or successor version of such sections), any regulations promulgated thereunder, any official interpretations thereof, any similar law or regulation adopted pursuant to an intergovernmental agreement between a non-U.S. jurisdiction and the United States with respect to the foregoing or any agreements entered into pursuant to Section 1471(b)(1) of the Code; or</w:t>
      </w:r>
    </w:p>
    <w:p>
      <w:pPr>
        <w:spacing w:after="0" w:line="174" w:lineRule="exact"/>
        <w:rPr>
          <w:rFonts w:ascii="Arial" w:cs="Arial" w:eastAsia="Arial" w:hAnsi="Arial"/>
          <w:sz w:val="19"/>
          <w:szCs w:val="19"/>
          <w:color w:val="auto"/>
        </w:rPr>
      </w:pPr>
    </w:p>
    <w:p>
      <w:pPr>
        <w:ind w:left="644" w:hanging="644"/>
        <w:spacing w:after="0"/>
        <w:tabs>
          <w:tab w:leader="none" w:pos="644" w:val="left"/>
        </w:tabs>
        <w:numPr>
          <w:ilvl w:val="0"/>
          <w:numId w:val="91"/>
        </w:numPr>
        <w:rPr>
          <w:rFonts w:ascii="Arial" w:cs="Arial" w:eastAsia="Arial" w:hAnsi="Arial"/>
          <w:sz w:val="22"/>
          <w:szCs w:val="22"/>
          <w:color w:val="auto"/>
        </w:rPr>
      </w:pPr>
      <w:r>
        <w:rPr>
          <w:rFonts w:ascii="Arial" w:cs="Arial" w:eastAsia="Arial" w:hAnsi="Arial"/>
          <w:sz w:val="22"/>
          <w:szCs w:val="22"/>
          <w:color w:val="auto"/>
        </w:rPr>
        <w:t>any combination of items (1) through (8) above.</w:t>
      </w:r>
    </w:p>
    <w:p>
      <w:pPr>
        <w:spacing w:after="0" w:line="179"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144780</wp:posOffset>
            </wp:positionV>
            <wp:extent cx="7246620" cy="342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44"/>
          </w:cols>
          <w:pgMar w:left="896" w:top="402" w:right="259" w:bottom="1440" w:gutter="0" w:footer="0" w:header="0"/>
        </w:sectPr>
      </w:pPr>
    </w:p>
    <w:bookmarkStart w:id="113" w:name="page114"/>
    <w:bookmarkEnd w:id="113"/>
    <w:p>
      <w:pPr>
        <w:jc w:val="both"/>
        <w:ind w:right="300" w:firstLine="656"/>
        <w:spacing w:after="0" w:line="279" w:lineRule="auto"/>
        <w:tabs>
          <w:tab w:leader="none" w:pos="954" w:val="left"/>
        </w:tabs>
        <w:numPr>
          <w:ilvl w:val="0"/>
          <w:numId w:val="92"/>
        </w:numPr>
        <w:rPr>
          <w:rFonts w:ascii="Arial" w:cs="Arial" w:eastAsia="Arial" w:hAnsi="Arial"/>
          <w:sz w:val="19"/>
          <w:szCs w:val="19"/>
          <w:color w:val="auto"/>
        </w:rPr>
      </w:pPr>
      <w:r>
        <w:rPr>
          <w:rFonts w:ascii="Arial" w:cs="Arial" w:eastAsia="Arial" w:hAnsi="Arial"/>
          <w:sz w:val="19"/>
          <w:szCs w:val="19"/>
          <w:color w:val="auto"/>
        </w:rPr>
        <w:t>If the Issuer becomes aware that it will be obligated to pay Additional Amounts with respect to any payment under or with respect to the Notes, the Issuer will deliver to the Trustee and paying agent at least 30 days prior to the date of that payment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(unless the obligation to pay Additional Amounts arises after the 30</w:t>
      </w:r>
      <w:r>
        <w:rPr>
          <w:rFonts w:ascii="Arial" w:cs="Arial" w:eastAsia="Arial" w:hAnsi="Arial"/>
          <w:sz w:val="33"/>
          <w:szCs w:val="33"/>
          <w:color w:val="auto"/>
          <w:vertAlign w:val="superscript"/>
        </w:rPr>
        <w:t>th</w:t>
      </w:r>
      <w:r>
        <w:rPr>
          <w:rFonts w:ascii="Arial" w:cs="Arial" w:eastAsia="Arial" w:hAnsi="Arial"/>
          <w:sz w:val="20"/>
          <w:szCs w:val="20"/>
          <w:color w:val="auto"/>
        </w:rPr>
        <w:t xml:space="preserve"> day prior to that payment date, in which case the Issuer will notify the Trustee and paying agent promptly thereafter but in no event later than two business days prior to the date of payment) an Officers’ Certificate stating the fact that Additional Amounts will be payable and the amount so payable. The Officers’ Certificate must also set forth any other information necessary to enable the paying agent to pay Additional Amounts to holders on the relevant payment date. The Trustee and paying agent will be entitled to rely solely on such Officers’ Certificate as conclusive proof that such payments are necessary. The Issuer will provide the Trustee and paying agent with documentation satisfactory to the Trustee and paying agent evidencing the payment of Additional Amounts.</w:t>
      </w:r>
    </w:p>
    <w:p>
      <w:pPr>
        <w:spacing w:after="0" w:line="216" w:lineRule="exact"/>
        <w:rPr>
          <w:sz w:val="20"/>
          <w:szCs w:val="20"/>
          <w:color w:val="auto"/>
        </w:rPr>
      </w:pPr>
    </w:p>
    <w:p>
      <w:pPr>
        <w:ind w:firstLine="656"/>
        <w:spacing w:after="0" w:line="235" w:lineRule="auto"/>
        <w:tabs>
          <w:tab w:leader="none" w:pos="942"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The Issuer will make all withholdings and deductions required by law and will remit the full amount deducted or withheld to the relevant governmental authority on a timely basis in accordance with applicable law. As soon as practicable, the Issuer will provide the Trustee and paying agent with an official receipt or, if official receipts are not obtainable, other documentation satisfactory to the Trustee and paying agent evidencing the payment of the Taxes so withheld or deducted. Upon request, copies of those receipts or other documentation, as the case may be, will be made available by the Trustee and paying agent to the holders of the Notes.</w:t>
      </w:r>
    </w:p>
    <w:p>
      <w:pPr>
        <w:spacing w:after="0" w:line="215" w:lineRule="exact"/>
        <w:rPr>
          <w:rFonts w:ascii="Arial" w:cs="Arial" w:eastAsia="Arial" w:hAnsi="Arial"/>
          <w:sz w:val="22"/>
          <w:szCs w:val="22"/>
          <w:color w:val="auto"/>
        </w:rPr>
      </w:pPr>
    </w:p>
    <w:p>
      <w:pPr>
        <w:ind w:right="100" w:firstLine="656"/>
        <w:spacing w:after="0" w:line="238" w:lineRule="auto"/>
        <w:tabs>
          <w:tab w:leader="none" w:pos="954" w:val="left"/>
        </w:tabs>
        <w:numPr>
          <w:ilvl w:val="0"/>
          <w:numId w:val="93"/>
        </w:numPr>
        <w:rPr>
          <w:rFonts w:ascii="Arial" w:cs="Arial" w:eastAsia="Arial" w:hAnsi="Arial"/>
          <w:sz w:val="22"/>
          <w:szCs w:val="22"/>
          <w:color w:val="auto"/>
        </w:rPr>
      </w:pPr>
      <w:r>
        <w:rPr>
          <w:rFonts w:ascii="Arial" w:cs="Arial" w:eastAsia="Arial" w:hAnsi="Arial"/>
          <w:sz w:val="22"/>
          <w:szCs w:val="22"/>
          <w:color w:val="auto"/>
        </w:rPr>
        <w:t>Whenever in the Indenture there is referenced, in any context, the payment of amounts based upon the principal amount of the Notes or of principal, interest or any other amount payable under, or with respect to, the Notes, such reference will be deemed to include payment of Additional Amounts as described under this heading to the extent that, in such context, Additional Amounts are, were or would be payable in respect thereof.</w:t>
      </w:r>
    </w:p>
    <w:p>
      <w:pPr>
        <w:spacing w:after="0" w:line="212" w:lineRule="exact"/>
        <w:rPr>
          <w:rFonts w:ascii="Arial" w:cs="Arial" w:eastAsia="Arial" w:hAnsi="Arial"/>
          <w:sz w:val="22"/>
          <w:szCs w:val="22"/>
          <w:color w:val="auto"/>
        </w:rPr>
      </w:pPr>
    </w:p>
    <w:p>
      <w:pPr>
        <w:ind w:firstLine="656"/>
        <w:spacing w:after="0" w:line="282" w:lineRule="auto"/>
        <w:tabs>
          <w:tab w:leader="none" w:pos="992" w:val="left"/>
        </w:tabs>
        <w:numPr>
          <w:ilvl w:val="0"/>
          <w:numId w:val="93"/>
        </w:numPr>
        <w:rPr>
          <w:rFonts w:ascii="Arial" w:cs="Arial" w:eastAsia="Arial" w:hAnsi="Arial"/>
          <w:sz w:val="19"/>
          <w:szCs w:val="19"/>
          <w:color w:val="auto"/>
        </w:rPr>
      </w:pPr>
      <w:r>
        <w:rPr>
          <w:rFonts w:ascii="Arial" w:cs="Arial" w:eastAsia="Arial" w:hAnsi="Arial"/>
          <w:sz w:val="19"/>
          <w:szCs w:val="19"/>
          <w:color w:val="auto"/>
        </w:rPr>
        <w:t>The Issuer will pay any present or future stamp, court, issue, registration, value added, court or documentary taxes or any other excise or property taxes, charges or similar levies that arise in any Specified Tax Jurisdiction from the execution, delivery, enforcement or registration of the Notes, the Indenture or any other document or instrument in relation thereof, or the receipt of any payments with respect to the Notes, other than, for the avoidance of doubt, any Transfer Taxes (each such tax, a “</w:t>
      </w:r>
      <w:r>
        <w:rPr>
          <w:rFonts w:ascii="Arial" w:cs="Arial" w:eastAsia="Arial" w:hAnsi="Arial"/>
          <w:sz w:val="19"/>
          <w:szCs w:val="19"/>
          <w:b w:val="1"/>
          <w:bCs w:val="1"/>
          <w:color w:val="auto"/>
        </w:rPr>
        <w:t>Note Issuance</w:t>
      </w:r>
      <w:r>
        <w:rPr>
          <w:rFonts w:ascii="Arial" w:cs="Arial" w:eastAsia="Arial" w:hAnsi="Arial"/>
          <w:sz w:val="19"/>
          <w:szCs w:val="19"/>
          <w:color w:val="auto"/>
        </w:rPr>
        <w:t xml:space="preserve"> </w:t>
      </w:r>
      <w:r>
        <w:rPr>
          <w:rFonts w:ascii="Arial" w:cs="Arial" w:eastAsia="Arial" w:hAnsi="Arial"/>
          <w:sz w:val="19"/>
          <w:szCs w:val="19"/>
          <w:b w:val="1"/>
          <w:bCs w:val="1"/>
          <w:color w:val="auto"/>
        </w:rPr>
        <w:t>Tax</w:t>
      </w:r>
      <w:r>
        <w:rPr>
          <w:rFonts w:ascii="Arial" w:cs="Arial" w:eastAsia="Arial" w:hAnsi="Arial"/>
          <w:sz w:val="19"/>
          <w:szCs w:val="19"/>
          <w:color w:val="auto"/>
        </w:rPr>
        <w:t>”), and the Issuer will indemnify the Holders for any such Note Issuance Taxes paid by such Holders.</w:t>
      </w:r>
    </w:p>
    <w:p>
      <w:pPr>
        <w:spacing w:after="0" w:line="169" w:lineRule="exact"/>
        <w:rPr>
          <w:sz w:val="20"/>
          <w:szCs w:val="20"/>
          <w:color w:val="auto"/>
        </w:rPr>
      </w:pPr>
    </w:p>
    <w:p>
      <w:pPr>
        <w:ind w:right="40" w:firstLine="648"/>
        <w:spacing w:after="0" w:line="261" w:lineRule="auto"/>
        <w:rPr>
          <w:sz w:val="20"/>
          <w:szCs w:val="20"/>
          <w:color w:val="auto"/>
        </w:rPr>
      </w:pPr>
      <w:r>
        <w:rPr>
          <w:rFonts w:ascii="Arial" w:cs="Arial" w:eastAsia="Arial" w:hAnsi="Arial"/>
          <w:sz w:val="21"/>
          <w:szCs w:val="21"/>
          <w:b w:val="1"/>
          <w:bCs w:val="1"/>
          <w:color w:val="auto"/>
        </w:rPr>
        <w:t xml:space="preserve">7.02 </w:t>
      </w:r>
      <w:r>
        <w:rPr>
          <w:rFonts w:ascii="Arial" w:cs="Arial" w:eastAsia="Arial" w:hAnsi="Arial"/>
          <w:sz w:val="21"/>
          <w:szCs w:val="21"/>
          <w:b w:val="1"/>
          <w:bCs w:val="1"/>
          <w:i w:val="1"/>
          <w:iCs w:val="1"/>
          <w:color w:val="auto"/>
        </w:rPr>
        <w:t>Obligations to Survive.</w:t>
      </w:r>
      <w:r>
        <w:rPr>
          <w:rFonts w:ascii="Arial" w:cs="Arial" w:eastAsia="Arial" w:hAnsi="Arial"/>
          <w:sz w:val="21"/>
          <w:szCs w:val="21"/>
          <w:b w:val="1"/>
          <w:bCs w:val="1"/>
          <w:color w:val="auto"/>
        </w:rPr>
        <w:t xml:space="preserve"> </w:t>
      </w:r>
      <w:r>
        <w:rPr>
          <w:rFonts w:ascii="Arial" w:cs="Arial" w:eastAsia="Arial" w:hAnsi="Arial"/>
          <w:sz w:val="21"/>
          <w:szCs w:val="21"/>
          <w:color w:val="auto"/>
        </w:rPr>
        <w:t>The obligations described in Section 7.01 of this First Supplemental Indenture will survive any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termination, defeasance or discharge of the Indenture and will apply </w:t>
      </w:r>
      <w:r>
        <w:rPr>
          <w:rFonts w:ascii="Arial" w:cs="Arial" w:eastAsia="Arial" w:hAnsi="Arial"/>
          <w:sz w:val="21"/>
          <w:szCs w:val="21"/>
          <w:i w:val="1"/>
          <w:iCs w:val="1"/>
          <w:color w:val="auto"/>
        </w:rPr>
        <w:t>mutatis mutandis</w:t>
      </w:r>
      <w:r>
        <w:rPr>
          <w:rFonts w:ascii="Arial" w:cs="Arial" w:eastAsia="Arial" w:hAnsi="Arial"/>
          <w:sz w:val="21"/>
          <w:szCs w:val="21"/>
          <w:color w:val="auto"/>
        </w:rPr>
        <w:t xml:space="preserve"> to any jurisdiction in which any successor person to the Issuer is organized or any political subdivision or authority or agency thereof or therein.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8</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EVENTS OF DEFAULT</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Section 8.01 </w:t>
      </w:r>
      <w:r>
        <w:rPr>
          <w:rFonts w:ascii="Arial" w:cs="Arial" w:eastAsia="Arial" w:hAnsi="Arial"/>
          <w:sz w:val="19"/>
          <w:szCs w:val="19"/>
          <w:b w:val="1"/>
          <w:bCs w:val="1"/>
          <w:i w:val="1"/>
          <w:iCs w:val="1"/>
          <w:color w:val="auto"/>
        </w:rPr>
        <w:t>Events of Default, Acceleration of Maturity.</w:t>
      </w:r>
      <w:r>
        <w:rPr>
          <w:rFonts w:ascii="Arial" w:cs="Arial" w:eastAsia="Arial" w:hAnsi="Arial"/>
          <w:sz w:val="19"/>
          <w:szCs w:val="19"/>
          <w:b w:val="1"/>
          <w:bCs w:val="1"/>
          <w:color w:val="auto"/>
        </w:rPr>
        <w:t xml:space="preserve"> </w:t>
      </w:r>
      <w:r>
        <w:rPr>
          <w:rFonts w:ascii="Arial" w:cs="Arial" w:eastAsia="Arial" w:hAnsi="Arial"/>
          <w:sz w:val="19"/>
          <w:szCs w:val="19"/>
          <w:color w:val="auto"/>
        </w:rPr>
        <w:t>For the benefit of the Holders of the Notes, Section 4.01 of the</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Indenture shall be superseded and replaced with respect to the Notes to read in its entirety as follows: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14" w:name="page115"/>
    <w:bookmarkEnd w:id="114"/>
    <w:p>
      <w:pPr>
        <w:jc w:val="both"/>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Event of Default</w:t>
      </w:r>
      <w:r>
        <w:rPr>
          <w:rFonts w:ascii="Arial" w:cs="Arial" w:eastAsia="Arial" w:hAnsi="Arial"/>
          <w:sz w:val="22"/>
          <w:szCs w:val="22"/>
          <w:color w:val="auto"/>
        </w:rPr>
        <w:t>” with respect to the Notes wherever used herein, means each one of the following events which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214" w:lineRule="exact"/>
        <w:rPr>
          <w:sz w:val="20"/>
          <w:szCs w:val="20"/>
          <w:color w:val="auto"/>
        </w:rPr>
      </w:pPr>
    </w:p>
    <w:p>
      <w:pPr>
        <w:ind w:left="960" w:hanging="304"/>
        <w:spacing w:after="0"/>
        <w:tabs>
          <w:tab w:leader="none" w:pos="960" w:val="left"/>
        </w:tabs>
        <w:numPr>
          <w:ilvl w:val="0"/>
          <w:numId w:val="94"/>
        </w:numPr>
        <w:rPr>
          <w:rFonts w:ascii="Arial" w:cs="Arial" w:eastAsia="Arial" w:hAnsi="Arial"/>
          <w:sz w:val="22"/>
          <w:szCs w:val="22"/>
          <w:color w:val="auto"/>
        </w:rPr>
      </w:pPr>
      <w:r>
        <w:rPr>
          <w:rFonts w:ascii="Arial" w:cs="Arial" w:eastAsia="Arial" w:hAnsi="Arial"/>
          <w:sz w:val="22"/>
          <w:szCs w:val="22"/>
          <w:color w:val="auto"/>
        </w:rPr>
        <w:t>default for 30 days in payment of any interest on the Notes when it becomes due and payable;</w:t>
      </w:r>
    </w:p>
    <w:p>
      <w:pPr>
        <w:spacing w:after="0" w:line="233" w:lineRule="exact"/>
        <w:rPr>
          <w:rFonts w:ascii="Arial" w:cs="Arial" w:eastAsia="Arial" w:hAnsi="Arial"/>
          <w:sz w:val="22"/>
          <w:szCs w:val="22"/>
          <w:color w:val="auto"/>
        </w:rPr>
      </w:pPr>
    </w:p>
    <w:p>
      <w:pPr>
        <w:ind w:firstLine="656"/>
        <w:spacing w:after="0" w:line="251" w:lineRule="auto"/>
        <w:tabs>
          <w:tab w:leader="none" w:pos="980" w:val="left"/>
        </w:tabs>
        <w:numPr>
          <w:ilvl w:val="0"/>
          <w:numId w:val="94"/>
        </w:numPr>
        <w:rPr>
          <w:rFonts w:ascii="Arial" w:cs="Arial" w:eastAsia="Arial" w:hAnsi="Arial"/>
          <w:sz w:val="22"/>
          <w:szCs w:val="22"/>
          <w:color w:val="auto"/>
        </w:rPr>
      </w:pPr>
      <w:r>
        <w:rPr>
          <w:rFonts w:ascii="Arial" w:cs="Arial" w:eastAsia="Arial" w:hAnsi="Arial"/>
          <w:sz w:val="22"/>
          <w:szCs w:val="22"/>
          <w:color w:val="auto"/>
        </w:rPr>
        <w:t>default for 3 days in payment of principal of or any premium on the Notes at Maturity Date or upon redemption or repayment when the same becomes due and payable;</w:t>
      </w:r>
    </w:p>
    <w:p>
      <w:pPr>
        <w:spacing w:after="0" w:line="200" w:lineRule="exact"/>
        <w:rPr>
          <w:rFonts w:ascii="Arial" w:cs="Arial" w:eastAsia="Arial" w:hAnsi="Arial"/>
          <w:sz w:val="22"/>
          <w:szCs w:val="22"/>
          <w:color w:val="auto"/>
        </w:rPr>
      </w:pPr>
    </w:p>
    <w:p>
      <w:pPr>
        <w:ind w:firstLine="656"/>
        <w:spacing w:after="0" w:line="251" w:lineRule="auto"/>
        <w:tabs>
          <w:tab w:leader="none" w:pos="956" w:val="left"/>
        </w:tabs>
        <w:numPr>
          <w:ilvl w:val="0"/>
          <w:numId w:val="94"/>
        </w:numPr>
        <w:rPr>
          <w:rFonts w:ascii="Arial" w:cs="Arial" w:eastAsia="Arial" w:hAnsi="Arial"/>
          <w:sz w:val="22"/>
          <w:szCs w:val="22"/>
          <w:color w:val="auto"/>
        </w:rPr>
      </w:pPr>
      <w:r>
        <w:rPr>
          <w:rFonts w:ascii="Arial" w:cs="Arial" w:eastAsia="Arial" w:hAnsi="Arial"/>
          <w:sz w:val="22"/>
          <w:szCs w:val="22"/>
          <w:color w:val="auto"/>
        </w:rPr>
        <w:t>failure by the Issuer to perform or comply with the provisions of Article 8 of the Indenture relating to consolidations, mergers and similar events;</w:t>
      </w:r>
    </w:p>
    <w:p>
      <w:pPr>
        <w:spacing w:after="0" w:line="200" w:lineRule="exact"/>
        <w:rPr>
          <w:rFonts w:ascii="Arial" w:cs="Arial" w:eastAsia="Arial" w:hAnsi="Arial"/>
          <w:sz w:val="22"/>
          <w:szCs w:val="22"/>
          <w:color w:val="auto"/>
        </w:rPr>
      </w:pPr>
    </w:p>
    <w:p>
      <w:pPr>
        <w:ind w:firstLine="656"/>
        <w:spacing w:after="0" w:line="328" w:lineRule="auto"/>
        <w:tabs>
          <w:tab w:leader="none" w:pos="954" w:val="left"/>
        </w:tabs>
        <w:numPr>
          <w:ilvl w:val="0"/>
          <w:numId w:val="94"/>
        </w:numPr>
        <w:rPr>
          <w:rFonts w:ascii="Arial" w:cs="Arial" w:eastAsia="Arial" w:hAnsi="Arial"/>
          <w:sz w:val="19"/>
          <w:szCs w:val="19"/>
          <w:color w:val="auto"/>
        </w:rPr>
      </w:pPr>
      <w:r>
        <w:rPr>
          <w:rFonts w:ascii="Arial" w:cs="Arial" w:eastAsia="Arial" w:hAnsi="Arial"/>
          <w:sz w:val="19"/>
          <w:szCs w:val="19"/>
          <w:color w:val="auto"/>
        </w:rPr>
        <w:t>failure by the Issuer to provide notice of a Change of Control or to repurchase Notes tendered for repurchase following the occurrence of a Change of Control in conformity with the covenants set forth in Article 6 of the First Supplemental Indenture;</w:t>
      </w:r>
    </w:p>
    <w:p>
      <w:pPr>
        <w:spacing w:after="0" w:line="132" w:lineRule="exact"/>
        <w:rPr>
          <w:rFonts w:ascii="Arial" w:cs="Arial" w:eastAsia="Arial" w:hAnsi="Arial"/>
          <w:sz w:val="19"/>
          <w:szCs w:val="19"/>
          <w:color w:val="auto"/>
        </w:rPr>
      </w:pPr>
    </w:p>
    <w:p>
      <w:pPr>
        <w:ind w:right="20" w:firstLine="656"/>
        <w:spacing w:after="0" w:line="328" w:lineRule="auto"/>
        <w:tabs>
          <w:tab w:leader="none" w:pos="945" w:val="left"/>
        </w:tabs>
        <w:numPr>
          <w:ilvl w:val="0"/>
          <w:numId w:val="94"/>
        </w:numPr>
        <w:rPr>
          <w:rFonts w:ascii="Arial" w:cs="Arial" w:eastAsia="Arial" w:hAnsi="Arial"/>
          <w:sz w:val="19"/>
          <w:szCs w:val="19"/>
          <w:color w:val="auto"/>
        </w:rPr>
      </w:pPr>
      <w:r>
        <w:rPr>
          <w:rFonts w:ascii="Arial" w:cs="Arial" w:eastAsia="Arial" w:hAnsi="Arial"/>
          <w:sz w:val="19"/>
          <w:szCs w:val="19"/>
          <w:color w:val="auto"/>
        </w:rPr>
        <w:t>failure to perform any of the other covenants in the Indenture or the First Supplemental Indenture, continued for 60 days after written notice has been given by the Trustee, or the holders of at least 25% in principal amount of the outstanding Notes;</w:t>
      </w:r>
    </w:p>
    <w:p>
      <w:pPr>
        <w:spacing w:after="0" w:line="132" w:lineRule="exact"/>
        <w:rPr>
          <w:rFonts w:ascii="Arial" w:cs="Arial" w:eastAsia="Arial" w:hAnsi="Arial"/>
          <w:sz w:val="19"/>
          <w:szCs w:val="19"/>
          <w:color w:val="auto"/>
        </w:rPr>
      </w:pPr>
    </w:p>
    <w:p>
      <w:pPr>
        <w:jc w:val="both"/>
        <w:ind w:firstLine="656"/>
        <w:spacing w:after="0" w:line="252" w:lineRule="auto"/>
        <w:tabs>
          <w:tab w:leader="none" w:pos="922" w:val="left"/>
        </w:tabs>
        <w:numPr>
          <w:ilvl w:val="0"/>
          <w:numId w:val="94"/>
        </w:numPr>
        <w:rPr>
          <w:rFonts w:ascii="Arial" w:cs="Arial" w:eastAsia="Arial" w:hAnsi="Arial"/>
          <w:sz w:val="21"/>
          <w:szCs w:val="21"/>
          <w:color w:val="auto"/>
        </w:rPr>
      </w:pPr>
      <w:r>
        <w:rPr>
          <w:rFonts w:ascii="Arial" w:cs="Arial" w:eastAsia="Arial" w:hAnsi="Arial"/>
          <w:sz w:val="21"/>
          <w:szCs w:val="21"/>
          <w:color w:val="auto"/>
        </w:rPr>
        <w:t>any debt for borrowed money of the Group or any Group Member having an aggregate principal amount of $50,000,000 or more in the aggregate for all such debt of all such persons (i) is subject to an event of default that results in such debt being immediately due and payable prior to its scheduled maturity or (ii) is subject to a failure to make a principal payment when due and such defaulted payment is not made, waived or extended within the applicable grace period; or</w:t>
      </w:r>
    </w:p>
    <w:p>
      <w:pPr>
        <w:spacing w:after="0" w:line="201" w:lineRule="exact"/>
        <w:rPr>
          <w:rFonts w:ascii="Arial" w:cs="Arial" w:eastAsia="Arial" w:hAnsi="Arial"/>
          <w:sz w:val="21"/>
          <w:szCs w:val="21"/>
          <w:color w:val="auto"/>
        </w:rPr>
      </w:pPr>
    </w:p>
    <w:p>
      <w:pPr>
        <w:jc w:val="both"/>
        <w:ind w:right="20" w:firstLine="656"/>
        <w:spacing w:after="0"/>
        <w:tabs>
          <w:tab w:leader="none" w:pos="963" w:val="left"/>
        </w:tabs>
        <w:numPr>
          <w:ilvl w:val="0"/>
          <w:numId w:val="94"/>
        </w:numPr>
        <w:rPr>
          <w:rFonts w:ascii="Arial" w:cs="Arial" w:eastAsia="Arial" w:hAnsi="Arial"/>
          <w:sz w:val="22"/>
          <w:szCs w:val="22"/>
          <w:color w:val="auto"/>
        </w:rPr>
      </w:pPr>
      <w:r>
        <w:rPr>
          <w:rFonts w:ascii="Arial" w:cs="Arial" w:eastAsia="Arial" w:hAnsi="Arial"/>
          <w:sz w:val="22"/>
          <w:szCs w:val="22"/>
          <w:color w:val="auto"/>
        </w:rPr>
        <w:t>any final non-appealable judgment or decree for the payment of money in excess of $50,000,000 is entered against any Group Company and remains outstanding for a period of 90 consecutive days following entry of such final non-appealable judgment or decree and is not discharged, waived or stayed.</w:t>
      </w:r>
    </w:p>
    <w:p>
      <w:pPr>
        <w:spacing w:after="0" w:line="213" w:lineRule="exact"/>
        <w:rPr>
          <w:rFonts w:ascii="Arial" w:cs="Arial" w:eastAsia="Arial" w:hAnsi="Arial"/>
          <w:sz w:val="22"/>
          <w:szCs w:val="22"/>
          <w:color w:val="auto"/>
        </w:rPr>
      </w:pPr>
    </w:p>
    <w:p>
      <w:pPr>
        <w:ind w:left="960" w:hanging="304"/>
        <w:spacing w:after="0"/>
        <w:tabs>
          <w:tab w:leader="none" w:pos="960"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entry by a court having jurisdiction in the premises of:</w:t>
      </w:r>
    </w:p>
    <w:p>
      <w:pPr>
        <w:spacing w:after="0" w:line="233" w:lineRule="exact"/>
        <w:rPr>
          <w:rFonts w:ascii="Arial" w:cs="Arial" w:eastAsia="Arial" w:hAnsi="Arial"/>
          <w:sz w:val="22"/>
          <w:szCs w:val="22"/>
          <w:color w:val="auto"/>
        </w:rPr>
      </w:pPr>
    </w:p>
    <w:p>
      <w:pPr>
        <w:jc w:val="both"/>
        <w:ind w:left="660" w:firstLine="645"/>
        <w:spacing w:after="0"/>
        <w:tabs>
          <w:tab w:leader="none" w:pos="1636" w:val="left"/>
        </w:tabs>
        <w:numPr>
          <w:ilvl w:val="1"/>
          <w:numId w:val="94"/>
        </w:numPr>
        <w:rPr>
          <w:rFonts w:ascii="Arial" w:cs="Arial" w:eastAsia="Arial" w:hAnsi="Arial"/>
          <w:sz w:val="22"/>
          <w:szCs w:val="22"/>
          <w:color w:val="auto"/>
        </w:rPr>
      </w:pPr>
      <w:r>
        <w:rPr>
          <w:rFonts w:ascii="Arial" w:cs="Arial" w:eastAsia="Arial" w:hAnsi="Arial"/>
          <w:sz w:val="22"/>
          <w:szCs w:val="22"/>
          <w:color w:val="auto"/>
        </w:rPr>
        <w:t>a decree or order for relief in respect of the Issuer or any Material Group Company in an involuntary case or proceeding under any applicable U.S. federal, state or non-U.S. bankruptcy, insolvency, reorganization or other similar law; or</w:t>
      </w:r>
    </w:p>
    <w:p>
      <w:pPr>
        <w:spacing w:after="0" w:line="213" w:lineRule="exact"/>
        <w:rPr>
          <w:rFonts w:ascii="Arial" w:cs="Arial" w:eastAsia="Arial" w:hAnsi="Arial"/>
          <w:sz w:val="22"/>
          <w:szCs w:val="22"/>
          <w:color w:val="auto"/>
        </w:rPr>
      </w:pPr>
    </w:p>
    <w:p>
      <w:pPr>
        <w:jc w:val="both"/>
        <w:ind w:left="660" w:firstLine="645"/>
        <w:spacing w:after="0" w:line="282" w:lineRule="auto"/>
        <w:tabs>
          <w:tab w:leader="none" w:pos="1631" w:val="left"/>
        </w:tabs>
        <w:numPr>
          <w:ilvl w:val="1"/>
          <w:numId w:val="94"/>
        </w:numPr>
        <w:rPr>
          <w:rFonts w:ascii="Arial" w:cs="Arial" w:eastAsia="Arial" w:hAnsi="Arial"/>
          <w:sz w:val="19"/>
          <w:szCs w:val="19"/>
          <w:color w:val="auto"/>
        </w:rPr>
      </w:pPr>
      <w:r>
        <w:rPr>
          <w:rFonts w:ascii="Arial" w:cs="Arial" w:eastAsia="Arial" w:hAnsi="Arial"/>
          <w:sz w:val="19"/>
          <w:szCs w:val="19"/>
          <w:color w:val="auto"/>
        </w:rPr>
        <w:t>a decree or order adjudging the Issuer or any Material Group Company bankrupt or insolvent, or approving as properly filed a petition seeking reorganization, arrangement, adjustment or composition of or in respect of the Issuer under any applicable U.S. federal, state or non-U.S. law, or appointing a custodian, receiver, liquidator, assignee, trustee, sequestrator or other similar official of the Issuer or any Material Group Company or of any substantial part of its property, or ordering the winding up or liquidation of its affairs, and the continuance of any such decree or order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115" w:name="page116"/>
    <w:bookmarkEnd w:id="115"/>
    <w:p>
      <w:pPr>
        <w:ind w:left="660"/>
        <w:spacing w:after="0"/>
        <w:rPr>
          <w:sz w:val="20"/>
          <w:szCs w:val="20"/>
          <w:color w:val="auto"/>
        </w:rPr>
      </w:pPr>
      <w:r>
        <w:rPr>
          <w:rFonts w:ascii="Arial" w:cs="Arial" w:eastAsia="Arial" w:hAnsi="Arial"/>
          <w:sz w:val="22"/>
          <w:szCs w:val="22"/>
          <w:color w:val="auto"/>
        </w:rPr>
        <w:t>for relief or any such other decree or order unstayed and in effect for a period of 60 consecutive days; or</w:t>
      </w:r>
    </w:p>
    <w:p>
      <w:pPr>
        <w:spacing w:after="0" w:line="233" w:lineRule="exact"/>
        <w:rPr>
          <w:sz w:val="20"/>
          <w:szCs w:val="20"/>
          <w:color w:val="auto"/>
        </w:rPr>
      </w:pPr>
    </w:p>
    <w:p>
      <w:pPr>
        <w:jc w:val="both"/>
        <w:ind w:firstLine="656"/>
        <w:spacing w:after="0" w:line="272" w:lineRule="auto"/>
        <w:tabs>
          <w:tab w:leader="none" w:pos="916" w:val="left"/>
        </w:tabs>
        <w:numPr>
          <w:ilvl w:val="0"/>
          <w:numId w:val="95"/>
        </w:numPr>
        <w:rPr>
          <w:rFonts w:ascii="Arial" w:cs="Arial" w:eastAsia="Arial" w:hAnsi="Arial"/>
          <w:sz w:val="19"/>
          <w:szCs w:val="19"/>
          <w:color w:val="auto"/>
        </w:rPr>
      </w:pPr>
      <w:r>
        <w:rPr>
          <w:rFonts w:ascii="Arial" w:cs="Arial" w:eastAsia="Arial" w:hAnsi="Arial"/>
          <w:sz w:val="19"/>
          <w:szCs w:val="19"/>
          <w:color w:val="auto"/>
        </w:rPr>
        <w:t>the commencement by the Issuer or a Material Group Company of a voluntary case or proceeding under any applicable U.S. federal, state or non-U.S. bankruptcy, insolvency, reorganization or other similar law or of any other case or proceeding to be adjudicated a bankrupt or insolvent, or the consent by the Issuer or a Material Group Company to the entry of a decree or order for relief in respect of the Issuer in an involuntary case or proceeding under any applicable U.S. federal, state or non-U.S. bankruptcy, insolvency, reorganization or other similar law or to the commencement of any bankruptcy or insolvency case or proceeding against the Issuer or a Material Group Company, or the filing by the Issuer or a Material Group Company of a petition or answer or consent seeking reorganization or relief under any applicable U.S. federal, state or non-U.S. law, or the consent by the Issuer or a Material Group Company to the filing of such petition or to the appointment of or the taking possession by a custodian, receiver, liquidator, assignee, trustee, sequestrator or other similar official of the Issuer or a Material Group Company or of any substantial part of its property, or the making by the Issuer or a Material Group Company of an assignment for the benefit of creditors, or the admission by the Issuer in writing of its inability to pay its debts generally as they become due, or the taking of corporate action by the Issuer expressly in furtherance of any such action.</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If an Event of Default with respect to the Notes (other than an Event of Default specified in clause (h) or (i) of this Section) occurs and is continuing, then the Trustee or the Holders of not less than 25% in principal amount of the Outstanding Notes may declare the principal of all the Notes to be due and payable immediately, by a notice in writing to the Issuer (and to the Trustee if given by the Holders), and upon any such declaration such principal or such lesser amount shall become immediately due and payable.</w:t>
      </w:r>
    </w:p>
    <w:p>
      <w:pPr>
        <w:spacing w:after="0" w:line="21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If an Event of Default specified in clause (h) or (i) of this Section occurs, all unpaid principal of and accrued interest on the Outstanding Notes shall ipso facto become and be immediately due and payable without any declaration or other act on the part of the Trustee or any Holder of the Notes.</w:t>
      </w:r>
    </w:p>
    <w:p>
      <w:pPr>
        <w:spacing w:after="0" w:line="2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At any time after a declaration of acceleration with respect to the Notes has been made and before a judgment or decree for payment of the money due has been obtained by the Trustee as hereinafter in this Article provided, the Holders of not less than a majority in principal amount of the Outstanding Notes, by written notice to the Issuer and the Trustee, may rescind and annul such declaration and its consequences if:</w:t>
      </w:r>
    </w:p>
    <w:p>
      <w:pPr>
        <w:spacing w:after="0" w:line="212" w:lineRule="exact"/>
        <w:rPr>
          <w:sz w:val="20"/>
          <w:szCs w:val="20"/>
          <w:color w:val="auto"/>
        </w:rPr>
      </w:pPr>
    </w:p>
    <w:p>
      <w:pPr>
        <w:ind w:left="960" w:hanging="304"/>
        <w:spacing w:after="0"/>
        <w:tabs>
          <w:tab w:leader="none" w:pos="960"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Issuer has paid or deposited with the Trustee a sum of money sufficient to pay:</w:t>
      </w:r>
    </w:p>
    <w:p>
      <w:pPr>
        <w:spacing w:after="0" w:line="233" w:lineRule="exact"/>
        <w:rPr>
          <w:rFonts w:ascii="Arial" w:cs="Arial" w:eastAsia="Arial" w:hAnsi="Arial"/>
          <w:sz w:val="22"/>
          <w:szCs w:val="22"/>
          <w:color w:val="auto"/>
        </w:rPr>
      </w:pPr>
    </w:p>
    <w:p>
      <w:pPr>
        <w:ind w:left="1560" w:hanging="255"/>
        <w:spacing w:after="0"/>
        <w:tabs>
          <w:tab w:leader="none" w:pos="1560" w:val="left"/>
        </w:tabs>
        <w:numPr>
          <w:ilvl w:val="1"/>
          <w:numId w:val="96"/>
        </w:numPr>
        <w:rPr>
          <w:rFonts w:ascii="Arial" w:cs="Arial" w:eastAsia="Arial" w:hAnsi="Arial"/>
          <w:sz w:val="22"/>
          <w:szCs w:val="22"/>
          <w:color w:val="auto"/>
        </w:rPr>
      </w:pPr>
      <w:r>
        <w:rPr>
          <w:rFonts w:ascii="Arial" w:cs="Arial" w:eastAsia="Arial" w:hAnsi="Arial"/>
          <w:sz w:val="22"/>
          <w:szCs w:val="22"/>
          <w:color w:val="auto"/>
        </w:rPr>
        <w:t>all overdue installments of any interest on and Additional Amounts with respect to all Notes,</w:t>
      </w:r>
    </w:p>
    <w:p>
      <w:pPr>
        <w:spacing w:after="0" w:line="233" w:lineRule="exact"/>
        <w:rPr>
          <w:rFonts w:ascii="Arial" w:cs="Arial" w:eastAsia="Arial" w:hAnsi="Arial"/>
          <w:sz w:val="22"/>
          <w:szCs w:val="22"/>
          <w:color w:val="auto"/>
        </w:rPr>
      </w:pPr>
    </w:p>
    <w:p>
      <w:pPr>
        <w:jc w:val="both"/>
        <w:ind w:left="660" w:firstLine="645"/>
        <w:spacing w:after="0"/>
        <w:tabs>
          <w:tab w:leader="none" w:pos="1641" w:val="left"/>
        </w:tabs>
        <w:numPr>
          <w:ilvl w:val="1"/>
          <w:numId w:val="96"/>
        </w:numPr>
        <w:rPr>
          <w:rFonts w:ascii="Arial" w:cs="Arial" w:eastAsia="Arial" w:hAnsi="Arial"/>
          <w:sz w:val="22"/>
          <w:szCs w:val="22"/>
          <w:color w:val="auto"/>
        </w:rPr>
      </w:pPr>
      <w:r>
        <w:rPr>
          <w:rFonts w:ascii="Arial" w:cs="Arial" w:eastAsia="Arial" w:hAnsi="Arial"/>
          <w:sz w:val="22"/>
          <w:szCs w:val="22"/>
          <w:color w:val="auto"/>
        </w:rPr>
        <w:t>the principal of and any premium on any Notes which have become due otherwise than by such declaration of acceleration and interest thereon and any Additional Amounts with respect thereto at the rate or rates borne by or provided for in the Notes,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16" w:name="page117"/>
    <w:bookmarkEnd w:id="116"/>
    <w:p>
      <w:pPr>
        <w:ind w:left="660" w:firstLine="645"/>
        <w:spacing w:after="0" w:line="274" w:lineRule="auto"/>
        <w:tabs>
          <w:tab w:leader="none" w:pos="1697" w:val="left"/>
        </w:tabs>
        <w:numPr>
          <w:ilvl w:val="0"/>
          <w:numId w:val="97"/>
        </w:numPr>
        <w:rPr>
          <w:rFonts w:ascii="Arial" w:cs="Arial" w:eastAsia="Arial" w:hAnsi="Arial"/>
          <w:sz w:val="21"/>
          <w:szCs w:val="21"/>
          <w:color w:val="auto"/>
        </w:rPr>
      </w:pPr>
      <w:r>
        <w:rPr>
          <w:rFonts w:ascii="Arial" w:cs="Arial" w:eastAsia="Arial" w:hAnsi="Arial"/>
          <w:sz w:val="21"/>
          <w:szCs w:val="21"/>
          <w:color w:val="auto"/>
        </w:rPr>
        <w:t>to the extent that payment of such interest or Additional Amounts is lawful, interest upon overdue installments of any interest and Additional Amounts at the rate or rates borne by or provided for in the Notes, and</w:t>
      </w:r>
    </w:p>
    <w:p>
      <w:pPr>
        <w:spacing w:after="0" w:line="177" w:lineRule="exact"/>
        <w:rPr>
          <w:rFonts w:ascii="Arial" w:cs="Arial" w:eastAsia="Arial" w:hAnsi="Arial"/>
          <w:sz w:val="21"/>
          <w:szCs w:val="21"/>
          <w:color w:val="auto"/>
        </w:rPr>
      </w:pPr>
    </w:p>
    <w:p>
      <w:pPr>
        <w:ind w:left="660" w:firstLine="645"/>
        <w:spacing w:after="0" w:line="328" w:lineRule="auto"/>
        <w:tabs>
          <w:tab w:leader="none" w:pos="1684" w:val="left"/>
        </w:tabs>
        <w:numPr>
          <w:ilvl w:val="0"/>
          <w:numId w:val="97"/>
        </w:numPr>
        <w:rPr>
          <w:rFonts w:ascii="Arial" w:cs="Arial" w:eastAsia="Arial" w:hAnsi="Arial"/>
          <w:sz w:val="19"/>
          <w:szCs w:val="19"/>
          <w:color w:val="auto"/>
        </w:rPr>
      </w:pPr>
      <w:r>
        <w:rPr>
          <w:rFonts w:ascii="Arial" w:cs="Arial" w:eastAsia="Arial" w:hAnsi="Arial"/>
          <w:sz w:val="19"/>
          <w:szCs w:val="19"/>
          <w:color w:val="auto"/>
        </w:rPr>
        <w:t>all sums paid or advanced by the Trustee hereunder and the reasonable compensation, expenses, disbursements and advances of the Trustee, its agents and counsel and all other amounts due the Trustee under Section 6.07; and</w:t>
      </w:r>
    </w:p>
    <w:p>
      <w:pPr>
        <w:spacing w:after="0" w:line="132" w:lineRule="exact"/>
        <w:rPr>
          <w:sz w:val="20"/>
          <w:szCs w:val="20"/>
          <w:color w:val="auto"/>
        </w:rPr>
      </w:pPr>
    </w:p>
    <w:p>
      <w:pPr>
        <w:jc w:val="both"/>
        <w:ind w:firstLine="656"/>
        <w:spacing w:after="0"/>
        <w:tabs>
          <w:tab w:leader="none" w:pos="956" w:val="left"/>
        </w:tabs>
        <w:numPr>
          <w:ilvl w:val="0"/>
          <w:numId w:val="98"/>
        </w:numPr>
        <w:rPr>
          <w:rFonts w:ascii="Arial" w:cs="Arial" w:eastAsia="Arial" w:hAnsi="Arial"/>
          <w:sz w:val="22"/>
          <w:szCs w:val="22"/>
          <w:color w:val="auto"/>
        </w:rPr>
      </w:pPr>
      <w:r>
        <w:rPr>
          <w:rFonts w:ascii="Arial" w:cs="Arial" w:eastAsia="Arial" w:hAnsi="Arial"/>
          <w:sz w:val="22"/>
          <w:szCs w:val="22"/>
          <w:color w:val="auto"/>
        </w:rPr>
        <w:t>all Events of Default with respect to the Notes, other than the non-payment of the principal of, any premium and interest on, and any Additional Amounts with respect to the Notes which shall have become due solely by such declaration of acceleration, shall have been cured or waived as provided in Section 4.10.</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 such rescission shall affect any subsequent default or impair any right consequent thereon.</w:t>
      </w:r>
    </w:p>
    <w:p>
      <w:pPr>
        <w:spacing w:after="0" w:line="23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Notwithstanding the foregoing, at the election of the Issuer, the sole remedy with respect to an Event of Default for the failure by the Issuer to comply with its obligations under Section 314(a)(1) of the Trust Indenture Act relating to the Issuer’s failure to file any documents or reports that the Issuer is required to file with the SEC pursuant to Section 13 or 15(d) of the Exchange Act or of its covenants set forth in Section 3.07, as modified by Section 10.02 of the First Supplemental Indenture, (any such Event of Default, a “</w:t>
      </w:r>
      <w:r>
        <w:rPr>
          <w:rFonts w:ascii="Arial" w:cs="Arial" w:eastAsia="Arial" w:hAnsi="Arial"/>
          <w:sz w:val="19"/>
          <w:szCs w:val="19"/>
          <w:b w:val="1"/>
          <w:bCs w:val="1"/>
          <w:color w:val="auto"/>
        </w:rPr>
        <w:t>Reporting Default</w:t>
      </w:r>
      <w:r>
        <w:rPr>
          <w:rFonts w:ascii="Arial" w:cs="Arial" w:eastAsia="Arial" w:hAnsi="Arial"/>
          <w:sz w:val="19"/>
          <w:szCs w:val="19"/>
          <w:color w:val="auto"/>
        </w:rPr>
        <w:t>”), shall, after the occurrence of such Reporting Default consist exclusively of the right to receive additional interest (the “</w:t>
      </w:r>
      <w:r>
        <w:rPr>
          <w:rFonts w:ascii="Arial" w:cs="Arial" w:eastAsia="Arial" w:hAnsi="Arial"/>
          <w:sz w:val="19"/>
          <w:szCs w:val="19"/>
          <w:b w:val="1"/>
          <w:bCs w:val="1"/>
          <w:color w:val="auto"/>
        </w:rPr>
        <w:t>Additional Interest</w:t>
      </w:r>
      <w:r>
        <w:rPr>
          <w:rFonts w:ascii="Arial" w:cs="Arial" w:eastAsia="Arial" w:hAnsi="Arial"/>
          <w:sz w:val="19"/>
          <w:szCs w:val="19"/>
          <w:color w:val="auto"/>
        </w:rPr>
        <w:t>”) on the Notes at an annual rate equal to (i) 0.25% of the principal amount of the Notes for each day during the 90 calendar day period beginning on, and including, the date on which such Reporting Default first occurs and on which such Reporting Default is continuing and (ii) 0.50% of the principal amount of the Notes for each day during the 90 calendar day period beginning on, and including, the 91st day following the date on which such Reporting Default first occurs and on which such Reporting Default is continuing. If the Issuer so elects, the Additional Interest shall accrue on all Outstanding Notes from and including the date on which such Reporting Default first occurs until such violation is cured or waived and shall be payable as provided in Section 2.07 of the Indenture. On the 181st day after such Reporting Default (if such violation is not cured or waived prior to such 181st calendar day), then the Trustee or the Holders of not less than 25% in principal amount of the Outstanding Notes may declare the principal of all the Notes to be due and payable immediately, by a notice in writing to the Issuer (and to the Trustee if given by the Holders), and upon any such declaration such principal or such lesser amount shall become immediately due and payable.</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If the Issuer elects to pay the Additional Interest as the sole remedy for the Reporting Default, the Issuer shall notify in writing, by a certificate, the Holders, the Paying Agent and the Trustee of such election at any time on or before the close of business on the fifth Business Day prior to the date on which such Event of Default would otherwise occur. Unless and until a Responsible Officer of the Trustee receives at the Corporate Trust Office such a certificate, the Trustee may assume without inquiry that Additional Interest is not payable. The Issuer shall pay the Additional Interest quarterly in arrears, with the first quarterly payment due on the first Interest Payment Date following the date of such Reporting Default, in the same manner as described on the face of the Note.”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22"/>
          <w:szCs w:val="22"/>
          <w:b w:val="1"/>
          <w:bCs w:val="1"/>
          <w:color w:val="auto"/>
        </w:rPr>
        <w:t>ARTICLE 9</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ATISFACTION AND</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ISCHARGE OF THE</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NDENTURE</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Section 9.01 </w:t>
      </w:r>
      <w:r>
        <w:rPr>
          <w:rFonts w:ascii="Arial" w:cs="Arial" w:eastAsia="Arial" w:hAnsi="Arial"/>
          <w:sz w:val="19"/>
          <w:szCs w:val="19"/>
          <w:b w:val="1"/>
          <w:bCs w:val="1"/>
          <w:i w:val="1"/>
          <w:iCs w:val="1"/>
          <w:color w:val="auto"/>
        </w:rPr>
        <w:t>Defeasance and Covenant Defeasance</w:t>
      </w:r>
      <w:r>
        <w:rPr>
          <w:rFonts w:ascii="Arial" w:cs="Arial" w:eastAsia="Arial" w:hAnsi="Arial"/>
          <w:sz w:val="19"/>
          <w:szCs w:val="19"/>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For the benefit of Holders of the Notes, Section 9.01(b) and (c) of the</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Indenture shall be superseded and replaced with respect to the Notes to read in their entirety as follows:</w:t>
      </w:r>
    </w:p>
    <w:p>
      <w:pPr>
        <w:spacing w:after="0" w:line="215" w:lineRule="exact"/>
        <w:rPr>
          <w:sz w:val="20"/>
          <w:szCs w:val="20"/>
          <w:color w:val="auto"/>
        </w:rPr>
      </w:pPr>
    </w:p>
    <w:p>
      <w:pPr>
        <w:ind w:firstLine="881"/>
        <w:spacing w:after="0" w:line="270" w:lineRule="auto"/>
        <w:rPr>
          <w:sz w:val="20"/>
          <w:szCs w:val="20"/>
          <w:color w:val="auto"/>
        </w:rPr>
      </w:pPr>
      <w:r>
        <w:rPr>
          <w:rFonts w:ascii="Arial" w:cs="Arial" w:eastAsia="Arial" w:hAnsi="Arial"/>
          <w:sz w:val="19"/>
          <w:szCs w:val="19"/>
          <w:color w:val="auto"/>
        </w:rPr>
        <w:t>“(b) Upon the Issuer’s exercise of the option, exercisable by Board Resolution or Officers’ Certificate, at any time, to have this Section 9.01(b) apply with respect to the Notes, the Issuer shall be deemed to have been discharged from its obligations with respect to such Outstanding Notes on the date the conditions set forth in clause (d) of this Section 9.01 are satisfied (hereinafter, “</w:t>
      </w:r>
      <w:r>
        <w:rPr>
          <w:rFonts w:ascii="Arial" w:cs="Arial" w:eastAsia="Arial" w:hAnsi="Arial"/>
          <w:sz w:val="19"/>
          <w:szCs w:val="19"/>
          <w:b w:val="1"/>
          <w:bCs w:val="1"/>
          <w:color w:val="auto"/>
        </w:rPr>
        <w:t>defeasance</w:t>
      </w:r>
      <w:r>
        <w:rPr>
          <w:rFonts w:ascii="Arial" w:cs="Arial" w:eastAsia="Arial" w:hAnsi="Arial"/>
          <w:sz w:val="19"/>
          <w:szCs w:val="19"/>
          <w:color w:val="auto"/>
        </w:rPr>
        <w:t>”). For this purpose, such defeasance means that the Issuer shall be deemed to have paid and discharged the entire Indebtedness represented by such Outstanding Notes, which shall thereafter be deemed to be “Outstanding” only for the purposes of clause (d) of this Section 9.01 and the other Sections of this Indenture referred to in clauses (i) and (ii) below, and to have satisfied all of its other obligations under the Notes, and this Indenture insofar as the Notes are concerned (and the Trustee, at the expense of the Issuer, shall execute proper instruments acknowledging the same), except for the following which shall survive until otherwise terminated or discharged hereunder: (i) the rights of Holders of such Outstanding Notes to receive, solely from the trust fund described in clause (d) of this Section 9.01 and as more fully set forth in such clause, payments in respect of the principal of (and premium, if any) and interest, if any, on, and Additional Amounts, if any, with respect to, the Notes when such payments are due, and any rights of such Holder to convert the Notes into other securities of the Issuer or exchange the Notes for securities of another issuer, (ii) the obligations of the Issuer and the Trustee with respect to the Notes under Sections 2.08, 2.09, 3.02 and 3.04, and with respect to the payment of Additional Amounts, if any, on the Notes as may be contemplated by the terms of the Notes (but only to the extent that the Additional Amounts payable with respect to the Notes exceed the amount deposited in respect of such Additional Amounts pursuant to Section 9.01(d)(i) below), and with respect to any rights to convert the Notes into other securities of the Issuer or exchange the Notes for securities of another issuer, (iii) the rights, powers, trusts, duties and immunities of the Trustee hereunder and (iv) this Section 9.01. The Issuer may exercise its option under this Section 9.01(b) notwithstanding the prior exercise of its option under clause (c) of this Section 9.01 with respect to the Notes.</w:t>
      </w:r>
    </w:p>
    <w:p>
      <w:pPr>
        <w:spacing w:after="0" w:line="192" w:lineRule="exact"/>
        <w:rPr>
          <w:sz w:val="20"/>
          <w:szCs w:val="20"/>
          <w:color w:val="auto"/>
        </w:rPr>
      </w:pPr>
    </w:p>
    <w:p>
      <w:pPr>
        <w:ind w:right="20" w:firstLine="889"/>
        <w:spacing w:after="0" w:line="273" w:lineRule="auto"/>
        <w:tabs>
          <w:tab w:leader="none" w:pos="1175" w:val="left"/>
        </w:tabs>
        <w:numPr>
          <w:ilvl w:val="0"/>
          <w:numId w:val="99"/>
        </w:numPr>
        <w:rPr>
          <w:rFonts w:ascii="Arial" w:cs="Arial" w:eastAsia="Arial" w:hAnsi="Arial"/>
          <w:sz w:val="19"/>
          <w:szCs w:val="19"/>
          <w:color w:val="auto"/>
        </w:rPr>
      </w:pPr>
      <w:r>
        <w:rPr>
          <w:rFonts w:ascii="Arial" w:cs="Arial" w:eastAsia="Arial" w:hAnsi="Arial"/>
          <w:sz w:val="19"/>
          <w:szCs w:val="19"/>
          <w:color w:val="auto"/>
        </w:rPr>
        <w:t>Upon the Issuer’s exercise of the option, exercisable by Board Resolution or Officers’ Certificate, at any time, to have this Section 9.01(c) apply with respect to the Notes, (1) the Issuer shall cease to have any obligation to comply with the covenants and agreements set forth in Articles 3 and 6 of the First Supplemental Indenture and Section 3.07 of the Indenture (as supplemented by the First Supplemental Indenture) and (2) the Events of Default set forth in Section 4.01(d), 4.01(f) and 4.01(g), as supplemented by the First Supplemental Indenture, shall no longer constitute Events of Default for purposes of the Notes, on and after the date the conditions set forth in clause (d) of this Section 9.01 are satisfied (hereinafter, “</w:t>
      </w:r>
      <w:r>
        <w:rPr>
          <w:rFonts w:ascii="Arial" w:cs="Arial" w:eastAsia="Arial" w:hAnsi="Arial"/>
          <w:sz w:val="19"/>
          <w:szCs w:val="19"/>
          <w:b w:val="1"/>
          <w:bCs w:val="1"/>
          <w:color w:val="auto"/>
        </w:rPr>
        <w:t>covenant defeasance</w:t>
      </w:r>
      <w:r>
        <w:rPr>
          <w:rFonts w:ascii="Arial" w:cs="Arial" w:eastAsia="Arial" w:hAnsi="Arial"/>
          <w:sz w:val="19"/>
          <w:szCs w:val="19"/>
          <w:color w:val="auto"/>
        </w:rPr>
        <w:t>”), and the Notes shall thereafter be deemed to be not “Outstanding” for the purposes of any direction, waiver, consent or declaration or Act of Holders (and the consequences of any thereof) in connection with any such obligation or covenant, but shall continue to be deemed “Outstanding” for all other purposes hereunder. For this purpose, such covenant defeasance means that, with respect to the Outstanding Notes, the Issuer may omit to comply with, and shall</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118" w:name="page119"/>
    <w:bookmarkEnd w:id="118"/>
    <w:p>
      <w:pPr>
        <w:ind w:right="140"/>
        <w:spacing w:after="0" w:line="282" w:lineRule="auto"/>
        <w:rPr>
          <w:sz w:val="20"/>
          <w:szCs w:val="20"/>
          <w:color w:val="auto"/>
        </w:rPr>
      </w:pPr>
      <w:r>
        <w:rPr>
          <w:rFonts w:ascii="Arial" w:cs="Arial" w:eastAsia="Arial" w:hAnsi="Arial"/>
          <w:sz w:val="19"/>
          <w:szCs w:val="19"/>
          <w:color w:val="auto"/>
        </w:rPr>
        <w:t>have no liability in respect of, any term, condition or limitation set forth in any such Section or such other covenant, whether directly or indirectly, by reason of any reference elsewhere herein to any such Section or such other covenant or by reason of reference in any such Section or such other covenant to any other provision herein or in any other document and such omission to comply shall not constitute a default and the specified Events of Default shall no longer constitute Events of Default, as the case may be, but, except as specified above, the remainder of this Indenture and such Securities shall be unaffected thereby.</w:t>
      </w:r>
    </w:p>
    <w:p>
      <w:pPr>
        <w:spacing w:after="0" w:line="175" w:lineRule="exact"/>
        <w:rPr>
          <w:sz w:val="20"/>
          <w:szCs w:val="20"/>
          <w:color w:val="auto"/>
        </w:rPr>
      </w:pPr>
    </w:p>
    <w:p>
      <w:pPr>
        <w:ind w:left="1200" w:hanging="311"/>
        <w:spacing w:after="0"/>
        <w:tabs>
          <w:tab w:leader="none" w:pos="120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The following shall be the conditions to application of clause (b) or (c) of this Section 9.01 to any Outstanding Notes:</w:t>
      </w:r>
    </w:p>
    <w:p>
      <w:pPr>
        <w:spacing w:after="0" w:line="267" w:lineRule="exact"/>
        <w:rPr>
          <w:rFonts w:ascii="Arial" w:cs="Arial" w:eastAsia="Arial" w:hAnsi="Arial"/>
          <w:sz w:val="19"/>
          <w:szCs w:val="19"/>
          <w:color w:val="auto"/>
        </w:rPr>
      </w:pPr>
    </w:p>
    <w:p>
      <w:pPr>
        <w:ind w:right="20" w:firstLine="1440"/>
        <w:spacing w:after="0" w:line="272" w:lineRule="auto"/>
        <w:tabs>
          <w:tab w:leader="none" w:pos="1690" w:val="left"/>
        </w:tabs>
        <w:numPr>
          <w:ilvl w:val="1"/>
          <w:numId w:val="100"/>
        </w:numPr>
        <w:rPr>
          <w:rFonts w:ascii="Arial" w:cs="Arial" w:eastAsia="Arial" w:hAnsi="Arial"/>
          <w:sz w:val="19"/>
          <w:szCs w:val="19"/>
          <w:color w:val="auto"/>
        </w:rPr>
      </w:pPr>
      <w:r>
        <w:rPr>
          <w:rFonts w:ascii="Arial" w:cs="Arial" w:eastAsia="Arial" w:hAnsi="Arial"/>
          <w:sz w:val="19"/>
          <w:szCs w:val="19"/>
          <w:color w:val="auto"/>
        </w:rPr>
        <w:t>The Issuer shall irrevocably have deposited or caused to be deposited with the Trustee (or another trustee satisfying the requirements of Section 3.03 who shall agree to comply with the provisions of this Section 9.01 applicable to it) as trust funds in trust for the purpose of making the following payments, specifically pledged as security for, and dedicated solely to, the benefit of the Holders of the Notes, (1) an amount in Dollars, or (2) Government Obligations, which through the scheduled payment of principal and interest in respect thereof in accordance with their terms will provide, not later than one day before the due date of any payment of principal of (and premium, if any) and interest, if any, on, and Additional Amounts, if any, with respect to, the Notes, money in an amount, or (3) a combination thereof, in any case, in an amount, sufficient, without consideration of any reinvestment of such principal and interest, in the opinion of a nationally recognized firm of independent public accountants expressed in a written certification thereof delivered to the Trustee, to pay and discharge, and which shall be applied by the Trustee (or other qualifying trustee) to pay and discharge, (y) the principal of (and premium, if any) and interest, if any, on and Additional Amounts, if any, with respect to, the Outstanding Notes at the Stated Maturity of such principal or installment of principal or premium or interest and (z) any mandatory sinking fund payments or analogous payments applicable to the Outstanding Notes on the days on which such payments are due and payable in accordance with the terms of this Indenture and of such Notes.</w:t>
      </w:r>
    </w:p>
    <w:p>
      <w:pPr>
        <w:spacing w:after="0" w:line="184" w:lineRule="exact"/>
        <w:rPr>
          <w:rFonts w:ascii="Arial" w:cs="Arial" w:eastAsia="Arial" w:hAnsi="Arial"/>
          <w:sz w:val="19"/>
          <w:szCs w:val="19"/>
          <w:color w:val="auto"/>
        </w:rPr>
      </w:pPr>
    </w:p>
    <w:p>
      <w:pPr>
        <w:ind w:right="500" w:firstLine="1440"/>
        <w:spacing w:after="0" w:line="328" w:lineRule="auto"/>
        <w:tabs>
          <w:tab w:leader="none" w:pos="1751" w:val="left"/>
        </w:tabs>
        <w:numPr>
          <w:ilvl w:val="1"/>
          <w:numId w:val="100"/>
        </w:numPr>
        <w:rPr>
          <w:rFonts w:ascii="Arial" w:cs="Arial" w:eastAsia="Arial" w:hAnsi="Arial"/>
          <w:sz w:val="19"/>
          <w:szCs w:val="19"/>
          <w:color w:val="auto"/>
        </w:rPr>
      </w:pPr>
      <w:r>
        <w:rPr>
          <w:rFonts w:ascii="Arial" w:cs="Arial" w:eastAsia="Arial" w:hAnsi="Arial"/>
          <w:sz w:val="19"/>
          <w:szCs w:val="19"/>
          <w:color w:val="auto"/>
        </w:rPr>
        <w:t>Such defeasance or covenant defeasance shall not result in a breach or violation of, or constitute a default under, this Indenture or any other material agreement or instrument to which the Issuer is a party or by which it is bound.</w:t>
      </w:r>
    </w:p>
    <w:p>
      <w:pPr>
        <w:spacing w:after="0" w:line="132" w:lineRule="exact"/>
        <w:rPr>
          <w:rFonts w:ascii="Arial" w:cs="Arial" w:eastAsia="Arial" w:hAnsi="Arial"/>
          <w:sz w:val="19"/>
          <w:szCs w:val="19"/>
          <w:color w:val="auto"/>
        </w:rPr>
      </w:pPr>
    </w:p>
    <w:p>
      <w:pPr>
        <w:ind w:right="60" w:firstLine="1440"/>
        <w:spacing w:after="0" w:line="238" w:lineRule="auto"/>
        <w:tabs>
          <w:tab w:leader="none" w:pos="1811" w:val="left"/>
        </w:tabs>
        <w:numPr>
          <w:ilvl w:val="1"/>
          <w:numId w:val="100"/>
        </w:numPr>
        <w:rPr>
          <w:rFonts w:ascii="Arial" w:cs="Arial" w:eastAsia="Arial" w:hAnsi="Arial"/>
          <w:sz w:val="22"/>
          <w:szCs w:val="22"/>
          <w:color w:val="auto"/>
        </w:rPr>
      </w:pPr>
      <w:r>
        <w:rPr>
          <w:rFonts w:ascii="Arial" w:cs="Arial" w:eastAsia="Arial" w:hAnsi="Arial"/>
          <w:sz w:val="22"/>
          <w:szCs w:val="22"/>
          <w:color w:val="auto"/>
        </w:rPr>
        <w:t>No Event of Default or event which with notice or lapse of time or both would become an Event of Default with respect to the Notes shall have occurred and be continuing on the date of such deposit and, with respect to defeasance only, at any time during the period ending on the 123rd day after the date of such deposit (it being understood that this condition shall not be deemed satisfied until the expiration of such period).</w:t>
      </w:r>
    </w:p>
    <w:p>
      <w:pPr>
        <w:spacing w:after="0" w:line="212" w:lineRule="exact"/>
        <w:rPr>
          <w:rFonts w:ascii="Arial" w:cs="Arial" w:eastAsia="Arial" w:hAnsi="Arial"/>
          <w:sz w:val="22"/>
          <w:szCs w:val="22"/>
          <w:color w:val="auto"/>
        </w:rPr>
      </w:pPr>
    </w:p>
    <w:p>
      <w:pPr>
        <w:ind w:firstLine="1440"/>
        <w:spacing w:after="0" w:line="236" w:lineRule="auto"/>
        <w:tabs>
          <w:tab w:leader="none" w:pos="1798" w:val="left"/>
        </w:tabs>
        <w:numPr>
          <w:ilvl w:val="1"/>
          <w:numId w:val="100"/>
        </w:numPr>
        <w:rPr>
          <w:rFonts w:ascii="Arial" w:cs="Arial" w:eastAsia="Arial" w:hAnsi="Arial"/>
          <w:sz w:val="22"/>
          <w:szCs w:val="22"/>
          <w:color w:val="auto"/>
        </w:rPr>
      </w:pPr>
      <w:r>
        <w:rPr>
          <w:rFonts w:ascii="Arial" w:cs="Arial" w:eastAsia="Arial" w:hAnsi="Arial"/>
          <w:sz w:val="22"/>
          <w:szCs w:val="22"/>
          <w:color w:val="auto"/>
        </w:rPr>
        <w:t>In the case of an election under clause (b) of this Section 9.01, the Issuer shall have delivered to the Trustee an Opinion of Counsel stating that (i) the Issuer have received from the Internal Revenue Service a letter ruling, or there has been published by the Internal Revenue Service a Revenue Ruling, or (ii) since the date of execution of this Indenture, there has been a change in the applicable U.S. Federal income tax law, in either case to the effect that, and based thereon such opinion shall confirm that, the Holders of Outstanding Notes will not</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402" w:right="299" w:bottom="1440" w:gutter="0" w:footer="0" w:header="0"/>
        </w:sectPr>
      </w:pPr>
    </w:p>
    <w:bookmarkStart w:id="119" w:name="page120"/>
    <w:bookmarkEnd w:id="119"/>
    <w:p>
      <w:pPr>
        <w:ind w:right="40"/>
        <w:spacing w:after="0"/>
        <w:rPr>
          <w:sz w:val="20"/>
          <w:szCs w:val="20"/>
          <w:color w:val="auto"/>
        </w:rPr>
      </w:pPr>
      <w:r>
        <w:rPr>
          <w:rFonts w:ascii="Arial" w:cs="Arial" w:eastAsia="Arial" w:hAnsi="Arial"/>
          <w:sz w:val="22"/>
          <w:szCs w:val="22"/>
          <w:color w:val="auto"/>
        </w:rPr>
        <w:t>recognize income, gain or loss for U.S. Federal income tax purposes as a result of such defeasance and will be subject to U.S. Federal income tax on the same amounts, in the same manner and at the same times as would have been the case if such defeasance had not occurred.</w:t>
      </w:r>
    </w:p>
    <w:p>
      <w:pPr>
        <w:spacing w:after="0" w:line="213" w:lineRule="exact"/>
        <w:rPr>
          <w:sz w:val="20"/>
          <w:szCs w:val="20"/>
          <w:color w:val="auto"/>
        </w:rPr>
      </w:pPr>
    </w:p>
    <w:p>
      <w:pPr>
        <w:ind w:right="140" w:firstLine="1440"/>
        <w:spacing w:after="0" w:line="287" w:lineRule="auto"/>
        <w:tabs>
          <w:tab w:leader="none" w:pos="1738" w:val="left"/>
        </w:tabs>
        <w:numPr>
          <w:ilvl w:val="1"/>
          <w:numId w:val="101"/>
        </w:numPr>
        <w:rPr>
          <w:rFonts w:ascii="Arial" w:cs="Arial" w:eastAsia="Arial" w:hAnsi="Arial"/>
          <w:sz w:val="19"/>
          <w:szCs w:val="19"/>
          <w:color w:val="auto"/>
        </w:rPr>
      </w:pPr>
      <w:r>
        <w:rPr>
          <w:rFonts w:ascii="Arial" w:cs="Arial" w:eastAsia="Arial" w:hAnsi="Arial"/>
          <w:sz w:val="19"/>
          <w:szCs w:val="19"/>
          <w:color w:val="auto"/>
        </w:rPr>
        <w:t>In the case of an election under clause (c) of this Section 9.01, the Issuer shall have delivered to the Trustee an Opinion of Counsel to the effect that the Holders of Outstanding Notes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170" w:lineRule="exact"/>
        <w:rPr>
          <w:rFonts w:ascii="Arial" w:cs="Arial" w:eastAsia="Arial" w:hAnsi="Arial"/>
          <w:sz w:val="19"/>
          <w:szCs w:val="19"/>
          <w:color w:val="auto"/>
        </w:rPr>
      </w:pPr>
    </w:p>
    <w:p>
      <w:pPr>
        <w:ind w:right="20" w:firstLine="1440"/>
        <w:spacing w:after="0" w:line="248" w:lineRule="auto"/>
        <w:tabs>
          <w:tab w:leader="none" w:pos="1798" w:val="left"/>
        </w:tabs>
        <w:numPr>
          <w:ilvl w:val="1"/>
          <w:numId w:val="101"/>
        </w:numPr>
        <w:rPr>
          <w:rFonts w:ascii="Arial" w:cs="Arial" w:eastAsia="Arial" w:hAnsi="Arial"/>
          <w:sz w:val="21"/>
          <w:szCs w:val="21"/>
          <w:color w:val="auto"/>
        </w:rPr>
      </w:pPr>
      <w:r>
        <w:rPr>
          <w:rFonts w:ascii="Arial" w:cs="Arial" w:eastAsia="Arial" w:hAnsi="Arial"/>
          <w:sz w:val="21"/>
          <w:szCs w:val="21"/>
          <w:color w:val="auto"/>
        </w:rPr>
        <w:t>The Issuer shall have delivered to the Trustee an Opinion of Counsel to the effect that, after the 123rd day after the date of deposit, all money and Government Obligations (or other property as may be provided pursuant to Section 2.03) (including the proceeds thereof) deposited or caused to be deposited with the Trustee (or other qualifying trustee) pursuant to this clause (d) to be held in trust will not be subject to any case or proceeding (whether voluntary or involuntary) in respect of either Issuer under any Federal or State bankruptcy, insolvency, reorganization or other similar law, or any decree or order for relief in respect of such Issuer issued in connection therewith.</w:t>
      </w:r>
    </w:p>
    <w:p>
      <w:pPr>
        <w:spacing w:after="0" w:line="204" w:lineRule="exact"/>
        <w:rPr>
          <w:rFonts w:ascii="Arial" w:cs="Arial" w:eastAsia="Arial" w:hAnsi="Arial"/>
          <w:sz w:val="21"/>
          <w:szCs w:val="21"/>
          <w:color w:val="auto"/>
        </w:rPr>
      </w:pPr>
    </w:p>
    <w:p>
      <w:pPr>
        <w:ind w:firstLine="1440"/>
        <w:spacing w:after="0" w:line="276" w:lineRule="auto"/>
        <w:tabs>
          <w:tab w:leader="none" w:pos="1859" w:val="left"/>
        </w:tabs>
        <w:numPr>
          <w:ilvl w:val="1"/>
          <w:numId w:val="101"/>
        </w:numPr>
        <w:rPr>
          <w:rFonts w:ascii="Arial" w:cs="Arial" w:eastAsia="Arial" w:hAnsi="Arial"/>
          <w:sz w:val="19"/>
          <w:szCs w:val="19"/>
          <w:color w:val="auto"/>
        </w:rPr>
      </w:pPr>
      <w:r>
        <w:rPr>
          <w:rFonts w:ascii="Arial" w:cs="Arial" w:eastAsia="Arial" w:hAnsi="Arial"/>
          <w:sz w:val="19"/>
          <w:szCs w:val="19"/>
          <w:color w:val="auto"/>
        </w:rPr>
        <w:t>The Issuer shall have delivered to the Trustee an Officers’ Certificate and the Issuer shall have delivered to the Trustee an Opinion of Counsel, each stating that all conditions precedent to the defeasance or covenant defeasance under clause</w:t>
      </w:r>
    </w:p>
    <w:p>
      <w:pPr>
        <w:spacing w:after="0" w:line="1" w:lineRule="exact"/>
        <w:rPr>
          <w:rFonts w:ascii="Arial" w:cs="Arial" w:eastAsia="Arial" w:hAnsi="Arial"/>
          <w:sz w:val="19"/>
          <w:szCs w:val="19"/>
          <w:color w:val="auto"/>
        </w:rPr>
      </w:pPr>
    </w:p>
    <w:p>
      <w:pPr>
        <w:ind w:left="320" w:hanging="312"/>
        <w:spacing w:after="0"/>
        <w:tabs>
          <w:tab w:leader="none" w:pos="32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or (c) of this Section 9.01 (as the case may be) have been complied with.</w:t>
      </w:r>
    </w:p>
    <w:p>
      <w:pPr>
        <w:spacing w:after="0" w:line="215" w:lineRule="exact"/>
        <w:rPr>
          <w:rFonts w:ascii="Arial" w:cs="Arial" w:eastAsia="Arial" w:hAnsi="Arial"/>
          <w:sz w:val="22"/>
          <w:szCs w:val="22"/>
          <w:color w:val="auto"/>
        </w:rPr>
      </w:pPr>
    </w:p>
    <w:p>
      <w:pPr>
        <w:jc w:val="both"/>
        <w:ind w:right="160" w:firstLine="1440"/>
        <w:spacing w:after="0"/>
        <w:tabs>
          <w:tab w:leader="none" w:pos="1919" w:val="left"/>
        </w:tabs>
        <w:numPr>
          <w:ilvl w:val="1"/>
          <w:numId w:val="102"/>
        </w:numPr>
        <w:rPr>
          <w:rFonts w:ascii="Arial" w:cs="Arial" w:eastAsia="Arial" w:hAnsi="Arial"/>
          <w:sz w:val="22"/>
          <w:szCs w:val="22"/>
          <w:color w:val="auto"/>
        </w:rPr>
      </w:pPr>
      <w:r>
        <w:rPr>
          <w:rFonts w:ascii="Arial" w:cs="Arial" w:eastAsia="Arial" w:hAnsi="Arial"/>
          <w:sz w:val="22"/>
          <w:szCs w:val="22"/>
          <w:color w:val="auto"/>
        </w:rPr>
        <w:t>Notwithstanding any other provisions of this Section 9.01(d), such defeasance or covenant defeasance shall be effected in compliance with any additional or substitute terms, conditions or limitations which may be imposed on the Issuer in connection therewith pursuant to Section 2.03.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w:t>
      </w:r>
      <w:r>
        <w:rPr>
          <w:rFonts w:ascii="Arial" w:cs="Arial" w:eastAsia="Arial" w:hAnsi="Arial"/>
          <w:sz w:val="14"/>
          <w:szCs w:val="14"/>
          <w:b w:val="1"/>
          <w:bCs w:val="1"/>
          <w:color w:val="auto"/>
        </w:rPr>
        <w:t>ISCELLANEOUS</w:t>
      </w:r>
    </w:p>
    <w:p>
      <w:pPr>
        <w:spacing w:after="0" w:line="20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Section 10.01 </w:t>
      </w:r>
      <w:r>
        <w:rPr>
          <w:rFonts w:ascii="Arial" w:cs="Arial" w:eastAsia="Arial" w:hAnsi="Arial"/>
          <w:sz w:val="22"/>
          <w:szCs w:val="22"/>
          <w:b w:val="1"/>
          <w:bCs w:val="1"/>
          <w:i w:val="1"/>
          <w:iCs w:val="1"/>
          <w:color w:val="auto"/>
        </w:rPr>
        <w:t>Amendments To The Indenture, This Supplemental Indenture And The Notes</w:t>
      </w:r>
      <w:r>
        <w:rPr>
          <w:rFonts w:ascii="Arial" w:cs="Arial" w:eastAsia="Arial" w:hAnsi="Arial"/>
          <w:sz w:val="22"/>
          <w:szCs w:val="22"/>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For the benefit of Holders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Notes, Section 7.01 and 7.02 of the Indenture shall be superseded and replaced with respect to the Notes to read in their entirety as follows: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“Section 7.01. Supplemental Indentures Without Consent of Holders.</w:t>
      </w:r>
    </w:p>
    <w:p>
      <w:pPr>
        <w:spacing w:after="0" w:line="233" w:lineRule="exact"/>
        <w:rPr>
          <w:sz w:val="20"/>
          <w:szCs w:val="20"/>
          <w:color w:val="auto"/>
        </w:rPr>
      </w:pPr>
    </w:p>
    <w:p>
      <w:pPr>
        <w:ind w:right="80" w:firstLine="441"/>
        <w:spacing w:after="0"/>
        <w:rPr>
          <w:sz w:val="20"/>
          <w:szCs w:val="20"/>
          <w:color w:val="auto"/>
        </w:rPr>
      </w:pPr>
      <w:r>
        <w:rPr>
          <w:rFonts w:ascii="Arial" w:cs="Arial" w:eastAsia="Arial" w:hAnsi="Arial"/>
          <w:sz w:val="22"/>
          <w:szCs w:val="22"/>
          <w:color w:val="auto"/>
        </w:rPr>
        <w:t>Without the consent of any Holders of Notes, the Issuer (when authorized by or pursuant to a Board Resolution) and the Trustee (upon Issuer Order), at any time and from time to time, may enter into one or more indentures supplemental hereto, for any of the following purposes:</w:t>
      </w:r>
    </w:p>
    <w:p>
      <w:pPr>
        <w:spacing w:after="0" w:line="213" w:lineRule="exact"/>
        <w:rPr>
          <w:sz w:val="20"/>
          <w:szCs w:val="20"/>
          <w:color w:val="auto"/>
        </w:rPr>
      </w:pPr>
    </w:p>
    <w:p>
      <w:pPr>
        <w:ind w:right="140" w:firstLine="889"/>
        <w:spacing w:after="0" w:line="258" w:lineRule="auto"/>
        <w:tabs>
          <w:tab w:leader="none" w:pos="1175" w:val="left"/>
        </w:tabs>
        <w:numPr>
          <w:ilvl w:val="0"/>
          <w:numId w:val="103"/>
        </w:numPr>
        <w:rPr>
          <w:rFonts w:ascii="Arial" w:cs="Arial" w:eastAsia="Arial" w:hAnsi="Arial"/>
          <w:sz w:val="21"/>
          <w:szCs w:val="21"/>
          <w:color w:val="auto"/>
        </w:rPr>
      </w:pPr>
      <w:r>
        <w:rPr>
          <w:rFonts w:ascii="Arial" w:cs="Arial" w:eastAsia="Arial" w:hAnsi="Arial"/>
          <w:sz w:val="21"/>
          <w:szCs w:val="21"/>
          <w:color w:val="auto"/>
        </w:rPr>
        <w:t>to cure any ambiguity or to correct or supplement any provision herein which may be defective or inconsistent with any other provision herein, or to make any other provisions with respect to matters or questions arising under this Indenture which shall not adversely affect the interests of the Holders of Securities in any material respect;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20" w:name="page121"/>
    <w:bookmarkEnd w:id="120"/>
    <w:p>
      <w:pPr>
        <w:ind w:right="80" w:firstLine="889"/>
        <w:spacing w:after="0" w:line="251" w:lineRule="auto"/>
        <w:tabs>
          <w:tab w:leader="none" w:pos="1187" w:val="left"/>
        </w:tabs>
        <w:numPr>
          <w:ilvl w:val="0"/>
          <w:numId w:val="104"/>
        </w:numPr>
        <w:rPr>
          <w:rFonts w:ascii="Arial" w:cs="Arial" w:eastAsia="Arial" w:hAnsi="Arial"/>
          <w:sz w:val="22"/>
          <w:szCs w:val="22"/>
          <w:color w:val="auto"/>
        </w:rPr>
      </w:pPr>
      <w:r>
        <w:rPr>
          <w:rFonts w:ascii="Arial" w:cs="Arial" w:eastAsia="Arial" w:hAnsi="Arial"/>
          <w:sz w:val="22"/>
          <w:szCs w:val="22"/>
          <w:color w:val="auto"/>
        </w:rPr>
        <w:t>to evidence the succession of another Person to the Issuer and the assumption by any such successor of the covenants of the Issuer contained herein and in the Notes;</w:t>
      </w:r>
    </w:p>
    <w:p>
      <w:pPr>
        <w:spacing w:after="0" w:line="200" w:lineRule="exact"/>
        <w:rPr>
          <w:rFonts w:ascii="Arial" w:cs="Arial" w:eastAsia="Arial" w:hAnsi="Arial"/>
          <w:sz w:val="22"/>
          <w:szCs w:val="22"/>
          <w:color w:val="auto"/>
        </w:rPr>
      </w:pPr>
    </w:p>
    <w:p>
      <w:pPr>
        <w:ind w:left="1180" w:hanging="291"/>
        <w:spacing w:after="0"/>
        <w:tabs>
          <w:tab w:leader="none" w:pos="118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to secure the Notes;</w:t>
      </w:r>
    </w:p>
    <w:p>
      <w:pPr>
        <w:spacing w:after="0" w:line="233" w:lineRule="exact"/>
        <w:rPr>
          <w:rFonts w:ascii="Arial" w:cs="Arial" w:eastAsia="Arial" w:hAnsi="Arial"/>
          <w:sz w:val="22"/>
          <w:szCs w:val="22"/>
          <w:color w:val="auto"/>
        </w:rPr>
      </w:pPr>
    </w:p>
    <w:p>
      <w:pPr>
        <w:ind w:right="900" w:firstLine="889"/>
        <w:spacing w:after="0" w:line="328" w:lineRule="auto"/>
        <w:tabs>
          <w:tab w:leader="none" w:pos="1187" w:val="left"/>
        </w:tabs>
        <w:numPr>
          <w:ilvl w:val="0"/>
          <w:numId w:val="104"/>
        </w:numPr>
        <w:rPr>
          <w:rFonts w:ascii="Arial" w:cs="Arial" w:eastAsia="Arial" w:hAnsi="Arial"/>
          <w:sz w:val="19"/>
          <w:szCs w:val="19"/>
          <w:color w:val="auto"/>
        </w:rPr>
      </w:pPr>
      <w:r>
        <w:rPr>
          <w:rFonts w:ascii="Arial" w:cs="Arial" w:eastAsia="Arial" w:hAnsi="Arial"/>
          <w:sz w:val="19"/>
          <w:szCs w:val="19"/>
          <w:color w:val="auto"/>
        </w:rPr>
        <w:t>to add to the covenants of the Issuer for the benefit of the Holders of the Notes (as shall be specified in such supplemental indenture or indentures) or to surrender any right or power herein conferred upon the Issuer;</w:t>
      </w:r>
    </w:p>
    <w:p>
      <w:pPr>
        <w:spacing w:after="0" w:line="132" w:lineRule="exact"/>
        <w:rPr>
          <w:rFonts w:ascii="Arial" w:cs="Arial" w:eastAsia="Arial" w:hAnsi="Arial"/>
          <w:sz w:val="19"/>
          <w:szCs w:val="19"/>
          <w:color w:val="auto"/>
        </w:rPr>
      </w:pPr>
    </w:p>
    <w:p>
      <w:pPr>
        <w:ind w:left="1180" w:hanging="291"/>
        <w:spacing w:after="0"/>
        <w:tabs>
          <w:tab w:leader="none" w:pos="118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to comply with the requirements of the Trust Indenture Act and the rules promulgated under the Trust Indenture Act;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w:t>
      </w:r>
    </w:p>
    <w:p>
      <w:pPr>
        <w:spacing w:after="0" w:line="215" w:lineRule="exact"/>
        <w:rPr>
          <w:rFonts w:ascii="Arial" w:cs="Arial" w:eastAsia="Arial" w:hAnsi="Arial"/>
          <w:sz w:val="19"/>
          <w:szCs w:val="19"/>
          <w:color w:val="auto"/>
        </w:rPr>
      </w:pPr>
    </w:p>
    <w:p>
      <w:pPr>
        <w:ind w:right="360" w:firstLine="889"/>
        <w:spacing w:after="0"/>
        <w:tabs>
          <w:tab w:leader="none" w:pos="1151" w:val="left"/>
        </w:tabs>
        <w:numPr>
          <w:ilvl w:val="0"/>
          <w:numId w:val="104"/>
        </w:numPr>
        <w:rPr>
          <w:rFonts w:ascii="Arial" w:cs="Arial" w:eastAsia="Arial" w:hAnsi="Arial"/>
          <w:sz w:val="22"/>
          <w:szCs w:val="22"/>
          <w:color w:val="auto"/>
        </w:rPr>
      </w:pPr>
      <w:r>
        <w:rPr>
          <w:rFonts w:ascii="Arial" w:cs="Arial" w:eastAsia="Arial" w:hAnsi="Arial"/>
          <w:sz w:val="22"/>
          <w:szCs w:val="22"/>
          <w:color w:val="auto"/>
        </w:rPr>
        <w:t>to amend, supplement or change any provision contained in the Indenture or any supplemental indenture, provided that no such amendment or supplement shall adversely affect the interests of the Holders of any Notes then Outstanding in any material respect.</w:t>
      </w:r>
    </w:p>
    <w:p>
      <w:pPr>
        <w:spacing w:after="0" w:line="213" w:lineRule="exact"/>
        <w:rPr>
          <w:sz w:val="20"/>
          <w:szCs w:val="20"/>
          <w:color w:val="auto"/>
        </w:rPr>
      </w:pPr>
    </w:p>
    <w:p>
      <w:pPr>
        <w:ind w:right="240" w:firstLine="1297"/>
        <w:spacing w:after="0" w:line="287" w:lineRule="auto"/>
        <w:rPr>
          <w:sz w:val="20"/>
          <w:szCs w:val="20"/>
          <w:color w:val="auto"/>
        </w:rPr>
      </w:pPr>
      <w:r>
        <w:rPr>
          <w:rFonts w:ascii="Arial" w:cs="Arial" w:eastAsia="Arial" w:hAnsi="Arial"/>
          <w:sz w:val="19"/>
          <w:szCs w:val="19"/>
          <w:color w:val="auto"/>
        </w:rPr>
        <w:t>The Trustee is hereby authorized to join with the Issuer in the execution of any such supplemental indenture, to make any further appropriate agreements and stipulations which may be therein contained and to accept the conveyance, transfer, assignment, mortgage or pledge of any property thereunder, but the Trustee shall not be obligated to enter into any such supplemental indenture which affects the Trustee’s own rights, duties or immunities under this Indenture or otherwise.</w:t>
      </w:r>
    </w:p>
    <w:p>
      <w:pPr>
        <w:spacing w:after="0" w:line="170" w:lineRule="exact"/>
        <w:rPr>
          <w:sz w:val="20"/>
          <w:szCs w:val="20"/>
          <w:color w:val="auto"/>
        </w:rPr>
      </w:pPr>
    </w:p>
    <w:p>
      <w:pPr>
        <w:ind w:right="500" w:firstLine="881"/>
        <w:spacing w:after="0" w:line="274" w:lineRule="auto"/>
        <w:rPr>
          <w:sz w:val="20"/>
          <w:szCs w:val="20"/>
          <w:color w:val="auto"/>
        </w:rPr>
      </w:pPr>
      <w:r>
        <w:rPr>
          <w:rFonts w:ascii="Arial" w:cs="Arial" w:eastAsia="Arial" w:hAnsi="Arial"/>
          <w:sz w:val="21"/>
          <w:szCs w:val="21"/>
          <w:color w:val="auto"/>
        </w:rPr>
        <w:t>Any supplemental indenture authorized by the provisions of this section may be executed without the consent of the Holders of the Notes at the time outstanding, notwithstanding any of the provisions of Section 7.02</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Section 7.02. Supplemental Indentures With Consent of Holders.</w:t>
      </w:r>
    </w:p>
    <w:p>
      <w:pPr>
        <w:spacing w:after="0" w:line="23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 xml:space="preserve">With the consent of the Holders of not less than a majority in principal amount of the Outstanding Notes affected by such supplemental indenture, by Act of said Holders delivered to the Issuer and the Trustee, the Issuer, when authorized by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Notes under this Indenture; </w:t>
      </w:r>
      <w:r>
        <w:rPr>
          <w:rFonts w:ascii="Arial" w:cs="Arial" w:eastAsia="Arial" w:hAnsi="Arial"/>
          <w:sz w:val="21"/>
          <w:szCs w:val="21"/>
          <w:i w:val="1"/>
          <w:iCs w:val="1"/>
          <w:color w:val="auto"/>
        </w:rPr>
        <w:t>provided, however</w:t>
      </w:r>
      <w:r>
        <w:rPr>
          <w:rFonts w:ascii="Arial" w:cs="Arial" w:eastAsia="Arial" w:hAnsi="Arial"/>
          <w:sz w:val="21"/>
          <w:szCs w:val="21"/>
          <w:color w:val="auto"/>
        </w:rPr>
        <w:t>, that no such supplemental indenture shall, without the consent of the Holder of each Outstanding Notes affected thereby,</w:t>
      </w:r>
    </w:p>
    <w:p>
      <w:pPr>
        <w:spacing w:after="0" w:line="204" w:lineRule="exact"/>
        <w:rPr>
          <w:sz w:val="20"/>
          <w:szCs w:val="20"/>
          <w:color w:val="auto"/>
        </w:rPr>
      </w:pPr>
    </w:p>
    <w:p>
      <w:pPr>
        <w:jc w:val="both"/>
        <w:ind w:firstLine="656"/>
        <w:spacing w:after="0" w:line="279" w:lineRule="auto"/>
        <w:tabs>
          <w:tab w:leader="none" w:pos="956" w:val="left"/>
        </w:tabs>
        <w:numPr>
          <w:ilvl w:val="0"/>
          <w:numId w:val="105"/>
        </w:numPr>
        <w:rPr>
          <w:rFonts w:ascii="Arial" w:cs="Arial" w:eastAsia="Arial" w:hAnsi="Arial"/>
          <w:sz w:val="19"/>
          <w:szCs w:val="19"/>
          <w:color w:val="auto"/>
        </w:rPr>
      </w:pPr>
      <w:r>
        <w:rPr>
          <w:rFonts w:ascii="Arial" w:cs="Arial" w:eastAsia="Arial" w:hAnsi="Arial"/>
          <w:sz w:val="19"/>
          <w:szCs w:val="19"/>
          <w:color w:val="auto"/>
        </w:rPr>
        <w:t>change the Stated Maturity of the principal of, or any premium on, or any installment of principal of or interest on the Notes, or reduce the principal amount or any premium or the rate or manner of calculating interest or any premium payable upon redemption or repayment of the Notes, or change the dates or periods for any redemption or repayment or change any Place of Payment where, or the coin or currency in which, any principal, premium or interest is payable, or the ranking of any Outstanding Notes, or impair the right to institute suit for the enforcement of any such payment on or after the Stated Maturity thereof or, in the case of redemption or repayment, on or after the Redemption Date or repayment date;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21" w:name="page122"/>
    <w:bookmarkEnd w:id="121"/>
    <w:p>
      <w:pPr>
        <w:jc w:val="both"/>
        <w:ind w:firstLine="656"/>
        <w:spacing w:after="0" w:line="258" w:lineRule="auto"/>
        <w:tabs>
          <w:tab w:leader="none" w:pos="970" w:val="left"/>
        </w:tabs>
        <w:numPr>
          <w:ilvl w:val="0"/>
          <w:numId w:val="106"/>
        </w:numPr>
        <w:rPr>
          <w:rFonts w:ascii="Arial" w:cs="Arial" w:eastAsia="Arial" w:hAnsi="Arial"/>
          <w:sz w:val="21"/>
          <w:szCs w:val="21"/>
          <w:color w:val="auto"/>
        </w:rPr>
      </w:pPr>
      <w:r>
        <w:rPr>
          <w:rFonts w:ascii="Arial" w:cs="Arial" w:eastAsia="Arial" w:hAnsi="Arial"/>
          <w:sz w:val="21"/>
          <w:szCs w:val="21"/>
          <w:color w:val="auto"/>
        </w:rPr>
        <w:t>reduce the percentage in principal amount of the Outstanding Notes,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spacing w:after="0" w:line="193" w:lineRule="exact"/>
        <w:rPr>
          <w:rFonts w:ascii="Arial" w:cs="Arial" w:eastAsia="Arial" w:hAnsi="Arial"/>
          <w:sz w:val="21"/>
          <w:szCs w:val="21"/>
          <w:color w:val="auto"/>
        </w:rPr>
      </w:pPr>
    </w:p>
    <w:p>
      <w:pPr>
        <w:jc w:val="both"/>
        <w:ind w:firstLine="656"/>
        <w:spacing w:after="0" w:line="297" w:lineRule="auto"/>
        <w:tabs>
          <w:tab w:leader="none" w:pos="949" w:val="left"/>
        </w:tabs>
        <w:numPr>
          <w:ilvl w:val="0"/>
          <w:numId w:val="106"/>
        </w:numPr>
        <w:rPr>
          <w:rFonts w:ascii="Arial" w:cs="Arial" w:eastAsia="Arial" w:hAnsi="Arial"/>
          <w:sz w:val="19"/>
          <w:szCs w:val="19"/>
          <w:color w:val="auto"/>
        </w:rPr>
      </w:pPr>
      <w:r>
        <w:rPr>
          <w:rFonts w:ascii="Arial" w:cs="Arial" w:eastAsia="Arial" w:hAnsi="Arial"/>
          <w:sz w:val="19"/>
          <w:szCs w:val="19"/>
          <w:color w:val="auto"/>
        </w:rPr>
        <w:t>modify any of the provisions of this Section, Section 6 or Section 7 of the First Supplemental Indenture or Section 4.10 of the Indenture, except to increase any such percentage or to provide that certain other provisions of this Indenture cannot be modified or waived without the consent of the Holder of each of the Outstanding Notes affected thereby.</w:t>
      </w:r>
    </w:p>
    <w:p>
      <w:pPr>
        <w:spacing w:after="0" w:line="16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A supplemental indenture which changes or eliminates any covenant or other provision of this Indenture which has expressly been included solely for the benefit of one or more particular series of Securities, or which modifies the rights of holders of Securities of such series, with respect to such covenant or provision, shall be deemed not to affect the rights under this Indenture of the holders of Securities of any other series.</w:t>
      </w:r>
    </w:p>
    <w:p>
      <w:pPr>
        <w:spacing w:after="0" w:line="21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Upon the request of the Issuer, accompanied by a copy of a resolution of the Board (which resolutions may provide general authorization for such action and may provide that the specific terms of such action may be determined by officers of the Issuer authorized thereby) certified by the secretary or an assistant secretary of the Issuer authorizing the execution of any such supplemental indenture, and upon the filing with the Trustee of evidence of the consent of Securityholders as aforesaid and other documents, if any, required by Section 6.01, the Trustee shall join with the Issuer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180"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1"/>
          <w:szCs w:val="21"/>
          <w:color w:val="auto"/>
        </w:rPr>
        <w:t>It shall not be necessary for the consent of the Holders of Notes under this section to approve the particular form of any proposed supplemental indenture, but it shall be sufficient if such consent shall approve the substance thereof.</w:t>
      </w:r>
    </w:p>
    <w:p>
      <w:pPr>
        <w:spacing w:after="0" w:line="17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Promptly after the execution by the Issuer and the Trustee of any supplemental indenture pursuant to the provisions of this Section, the Trustee shall give notice thereof by (a) first class mail to the Holders of Notes affected thereby at their addresses as they shall appear on the registry books of the Issuer or (b) by any other means set forth in such supplemental indenture, setting forth in general terms the substance of such supplemental indenture. Any failure of the Trustee to mail such notice, or any defect therein, shall not, however, in any way impair or affect the validity of any such supplemental indenture.”</w:t>
      </w:r>
    </w:p>
    <w:p>
      <w:pPr>
        <w:spacing w:after="0" w:line="169" w:lineRule="exact"/>
        <w:rPr>
          <w:sz w:val="20"/>
          <w:szCs w:val="20"/>
          <w:color w:val="auto"/>
        </w:rPr>
      </w:pPr>
    </w:p>
    <w:p>
      <w:pPr>
        <w:jc w:val="both"/>
        <w:ind w:firstLine="716"/>
        <w:spacing w:after="0" w:line="256" w:lineRule="auto"/>
        <w:rPr>
          <w:sz w:val="20"/>
          <w:szCs w:val="20"/>
          <w:color w:val="auto"/>
        </w:rPr>
      </w:pPr>
      <w:r>
        <w:rPr>
          <w:rFonts w:ascii="Arial" w:cs="Arial" w:eastAsia="Arial" w:hAnsi="Arial"/>
          <w:sz w:val="22"/>
          <w:szCs w:val="22"/>
          <w:b w:val="1"/>
          <w:bCs w:val="1"/>
          <w:color w:val="auto"/>
        </w:rPr>
        <w:t xml:space="preserve">Section 10.02 </w:t>
      </w:r>
      <w:r>
        <w:rPr>
          <w:rFonts w:ascii="Arial" w:cs="Arial" w:eastAsia="Arial" w:hAnsi="Arial"/>
          <w:sz w:val="22"/>
          <w:szCs w:val="22"/>
          <w:b w:val="1"/>
          <w:bCs w:val="1"/>
          <w:i w:val="1"/>
          <w:iCs w:val="1"/>
          <w:color w:val="auto"/>
        </w:rPr>
        <w:t>Reports by Issuer</w:t>
      </w:r>
      <w:r>
        <w:rPr>
          <w:rFonts w:ascii="Arial" w:cs="Arial" w:eastAsia="Arial" w:hAnsi="Arial"/>
          <w:sz w:val="22"/>
          <w:szCs w:val="22"/>
          <w:color w:val="auto"/>
        </w:rPr>
        <w:t>. For the benefit of Holders of Notes, Section 3.07 of the Indenture shall be superseded</w:t>
      </w:r>
      <w:r>
        <w:rPr>
          <w:rFonts w:ascii="Arial" w:cs="Arial" w:eastAsia="Arial" w:hAnsi="Arial"/>
          <w:sz w:val="22"/>
          <w:szCs w:val="22"/>
          <w:b w:val="1"/>
          <w:bCs w:val="1"/>
          <w:color w:val="auto"/>
        </w:rPr>
        <w:t xml:space="preserve"> </w:t>
      </w:r>
      <w:r>
        <w:rPr>
          <w:rFonts w:ascii="Arial" w:cs="Arial" w:eastAsia="Arial" w:hAnsi="Arial"/>
          <w:sz w:val="22"/>
          <w:szCs w:val="22"/>
          <w:color w:val="auto"/>
        </w:rPr>
        <w:t>and replaced with respect to the Notes in its entirety to read as follows:</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 xml:space="preserve">“Section 3.07 </w:t>
      </w:r>
      <w:r>
        <w:rPr>
          <w:rFonts w:ascii="Arial" w:cs="Arial" w:eastAsia="Arial" w:hAnsi="Arial"/>
          <w:sz w:val="22"/>
          <w:szCs w:val="22"/>
          <w:u w:val="single" w:color="auto"/>
          <w:color w:val="auto"/>
        </w:rPr>
        <w:t>Reports by Issuer</w:t>
      </w:r>
      <w:r>
        <w:rPr>
          <w:rFonts w:ascii="Arial" w:cs="Arial" w:eastAsia="Arial" w:hAnsi="Arial"/>
          <w:sz w:val="22"/>
          <w:szCs w:val="22"/>
          <w:color w:val="auto"/>
        </w:rPr>
        <w:t>.</w:t>
      </w:r>
    </w:p>
    <w:p>
      <w:pPr>
        <w:spacing w:after="0" w:line="233" w:lineRule="exact"/>
        <w:rPr>
          <w:sz w:val="20"/>
          <w:szCs w:val="20"/>
          <w:color w:val="auto"/>
        </w:rPr>
      </w:pPr>
    </w:p>
    <w:p>
      <w:pPr>
        <w:ind w:left="1180" w:hanging="291"/>
        <w:spacing w:after="0"/>
        <w:tabs>
          <w:tab w:leader="none" w:pos="1180" w:val="left"/>
        </w:tabs>
        <w:numPr>
          <w:ilvl w:val="1"/>
          <w:numId w:val="107"/>
        </w:numPr>
        <w:rPr>
          <w:rFonts w:ascii="Arial" w:cs="Arial" w:eastAsia="Arial" w:hAnsi="Arial"/>
          <w:sz w:val="19"/>
          <w:szCs w:val="19"/>
          <w:color w:val="auto"/>
        </w:rPr>
      </w:pPr>
      <w:r>
        <w:rPr>
          <w:rFonts w:ascii="Arial" w:cs="Arial" w:eastAsia="Arial" w:hAnsi="Arial"/>
          <w:sz w:val="19"/>
          <w:szCs w:val="19"/>
          <w:color w:val="auto"/>
        </w:rPr>
        <w:t>So long as any Notes issued under the First Supplemental Indenture to this Indenture are outstanding, the Issuer shall</w:t>
      </w:r>
    </w:p>
    <w:p>
      <w:pPr>
        <w:spacing w:after="0" w:line="42" w:lineRule="exact"/>
        <w:rPr>
          <w:rFonts w:ascii="Arial" w:cs="Arial" w:eastAsia="Arial" w:hAnsi="Arial"/>
          <w:sz w:val="19"/>
          <w:szCs w:val="19"/>
          <w:color w:val="auto"/>
        </w:rPr>
      </w:pPr>
    </w:p>
    <w:p>
      <w:pPr>
        <w:ind w:left="260" w:hanging="252"/>
        <w:spacing w:after="0"/>
        <w:tabs>
          <w:tab w:leader="none" w:pos="260" w:val="left"/>
        </w:tabs>
        <w:numPr>
          <w:ilvl w:val="0"/>
          <w:numId w:val="108"/>
        </w:numPr>
        <w:rPr>
          <w:rFonts w:ascii="Arial" w:cs="Arial" w:eastAsia="Arial" w:hAnsi="Arial"/>
          <w:sz w:val="21"/>
          <w:szCs w:val="21"/>
          <w:color w:val="auto"/>
        </w:rPr>
      </w:pPr>
      <w:r>
        <w:rPr>
          <w:rFonts w:ascii="Arial" w:cs="Arial" w:eastAsia="Arial" w:hAnsi="Arial"/>
          <w:sz w:val="21"/>
          <w:szCs w:val="21"/>
          <w:color w:val="auto"/>
        </w:rPr>
        <w:t>file with the Commission within the time periods prescribed by its rules and regulations and applicable to the Issuer and</w:t>
      </w:r>
    </w:p>
    <w:p>
      <w:pPr>
        <w:spacing w:after="0" w:line="1" w:lineRule="exact"/>
        <w:rPr>
          <w:rFonts w:ascii="Arial" w:cs="Arial" w:eastAsia="Arial" w:hAnsi="Arial"/>
          <w:sz w:val="21"/>
          <w:szCs w:val="21"/>
          <w:color w:val="auto"/>
        </w:rPr>
      </w:pPr>
    </w:p>
    <w:p>
      <w:pPr>
        <w:ind w:left="320" w:hanging="312"/>
        <w:spacing w:after="0"/>
        <w:tabs>
          <w:tab w:leader="none" w:pos="32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furnish to the Trustee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22" w:name="page123"/>
    <w:bookmarkEnd w:id="122"/>
    <w:p>
      <w:pPr>
        <w:ind w:right="260"/>
        <w:spacing w:after="0"/>
        <w:rPr>
          <w:sz w:val="20"/>
          <w:szCs w:val="20"/>
          <w:color w:val="auto"/>
        </w:rPr>
      </w:pPr>
      <w:r>
        <w:rPr>
          <w:rFonts w:ascii="Arial" w:cs="Arial" w:eastAsia="Arial" w:hAnsi="Arial"/>
          <w:sz w:val="22"/>
          <w:szCs w:val="22"/>
          <w:color w:val="auto"/>
        </w:rPr>
        <w:t>and the holders of the Notes within 15 days after the date on which the Issuer would be required to file the same with the Commission pursuant to its rules and regulations (giving effect to any grace period provided by Rule 12b-25 under the Exchange Act of 1934, as amended):</w:t>
      </w:r>
    </w:p>
    <w:p>
      <w:pPr>
        <w:spacing w:after="0" w:line="213" w:lineRule="exact"/>
        <w:rPr>
          <w:sz w:val="20"/>
          <w:szCs w:val="20"/>
          <w:color w:val="auto"/>
        </w:rPr>
      </w:pPr>
    </w:p>
    <w:p>
      <w:pPr>
        <w:ind w:right="220" w:firstLine="1440"/>
        <w:spacing w:after="0" w:line="251" w:lineRule="auto"/>
        <w:tabs>
          <w:tab w:leader="none" w:pos="1690" w:val="left"/>
        </w:tabs>
        <w:numPr>
          <w:ilvl w:val="1"/>
          <w:numId w:val="109"/>
        </w:numPr>
        <w:rPr>
          <w:rFonts w:ascii="Arial" w:cs="Arial" w:eastAsia="Arial" w:hAnsi="Arial"/>
          <w:sz w:val="22"/>
          <w:szCs w:val="22"/>
          <w:color w:val="auto"/>
        </w:rPr>
      </w:pPr>
      <w:r>
        <w:rPr>
          <w:rFonts w:ascii="Arial" w:cs="Arial" w:eastAsia="Arial" w:hAnsi="Arial"/>
          <w:sz w:val="22"/>
          <w:szCs w:val="22"/>
          <w:color w:val="auto"/>
        </w:rPr>
        <w:t>All financial information to the extent required of the Issuer to be contained in Form 20-F and, with respect to the annual consolidated financial statements only, a report thereon by the Issuer’s independent auditors.</w:t>
      </w:r>
    </w:p>
    <w:p>
      <w:pPr>
        <w:spacing w:after="0" w:line="200" w:lineRule="exact"/>
        <w:rPr>
          <w:rFonts w:ascii="Arial" w:cs="Arial" w:eastAsia="Arial" w:hAnsi="Arial"/>
          <w:sz w:val="22"/>
          <w:szCs w:val="22"/>
          <w:color w:val="auto"/>
        </w:rPr>
      </w:pPr>
    </w:p>
    <w:p>
      <w:pPr>
        <w:ind w:right="120" w:firstLine="889"/>
        <w:spacing w:after="0" w:line="282" w:lineRule="auto"/>
        <w:tabs>
          <w:tab w:leader="none" w:pos="1187" w:val="left"/>
        </w:tabs>
        <w:numPr>
          <w:ilvl w:val="0"/>
          <w:numId w:val="110"/>
        </w:numPr>
        <w:rPr>
          <w:rFonts w:ascii="Arial" w:cs="Arial" w:eastAsia="Arial" w:hAnsi="Arial"/>
          <w:sz w:val="19"/>
          <w:szCs w:val="19"/>
          <w:color w:val="auto"/>
        </w:rPr>
      </w:pPr>
      <w:r>
        <w:rPr>
          <w:rFonts w:ascii="Arial" w:cs="Arial" w:eastAsia="Arial" w:hAnsi="Arial"/>
          <w:sz w:val="19"/>
          <w:szCs w:val="19"/>
          <w:color w:val="auto"/>
        </w:rPr>
        <w:t>The Issuer shall not be required to file any report or other information with the Commission if the Commission does not permit such filing, although such reports will be required to be furnished to the Trustee. Documents filed by the Issuer with the Commission via the EDGAR system will be deemed to have been furnished to the Trustee and the holders of such Securities as of the time such documents are filed via EDGAR; provided, however, that the Trustee shall have no obligation whatsoever to determine whether or not such information, documents or reports have been filed via EDGAR.”</w:t>
      </w:r>
    </w:p>
    <w:p>
      <w:pPr>
        <w:spacing w:after="0" w:line="16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Section 10.03 </w:t>
      </w:r>
      <w:r>
        <w:rPr>
          <w:rFonts w:ascii="Arial" w:cs="Arial" w:eastAsia="Arial" w:hAnsi="Arial"/>
          <w:sz w:val="22"/>
          <w:szCs w:val="22"/>
          <w:b w:val="1"/>
          <w:bCs w:val="1"/>
          <w:i w:val="1"/>
          <w:iCs w:val="1"/>
          <w:color w:val="auto"/>
        </w:rPr>
        <w:t>Certain Trustee Matters.</w:t>
      </w:r>
      <w:r>
        <w:rPr>
          <w:rFonts w:ascii="Arial" w:cs="Arial" w:eastAsia="Arial" w:hAnsi="Arial"/>
          <w:sz w:val="22"/>
          <w:szCs w:val="22"/>
          <w:b w:val="1"/>
          <w:bCs w:val="1"/>
          <w:color w:val="auto"/>
        </w:rPr>
        <w:t xml:space="preserve"> </w:t>
      </w:r>
      <w:r>
        <w:rPr>
          <w:rFonts w:ascii="Arial" w:cs="Arial" w:eastAsia="Arial" w:hAnsi="Arial"/>
          <w:sz w:val="22"/>
          <w:szCs w:val="22"/>
          <w:color w:val="auto"/>
        </w:rPr>
        <w:t>The recitals contained herein shall be taken as the statements of the Issuer,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Trustee does not assume any responsibility for their correctness. The Trustee does not make any representations as to the validity or sufficiency of this Supplemental Indenture or the Notes or the proper authorization or the due execution hereof or thereof by the Issuer.</w:t>
      </w:r>
    </w:p>
    <w:p>
      <w:pPr>
        <w:spacing w:after="0" w:line="20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Section 10.04 </w:t>
      </w:r>
      <w:r>
        <w:rPr>
          <w:rFonts w:ascii="Arial" w:cs="Arial" w:eastAsia="Arial" w:hAnsi="Arial"/>
          <w:sz w:val="19"/>
          <w:szCs w:val="19"/>
          <w:b w:val="1"/>
          <w:bCs w:val="1"/>
          <w:i w:val="1"/>
          <w:iCs w:val="1"/>
          <w:color w:val="auto"/>
        </w:rPr>
        <w:t>Continued Effect.</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expressly supplemented and amended by this Supplemental Indenture, the</w:t>
      </w:r>
      <w:r>
        <w:rPr>
          <w:rFonts w:ascii="Arial" w:cs="Arial" w:eastAsia="Arial" w:hAnsi="Arial"/>
          <w:sz w:val="19"/>
          <w:szCs w:val="19"/>
          <w:b w:val="1"/>
          <w:bCs w:val="1"/>
          <w:color w:val="auto"/>
        </w:rPr>
        <w:t xml:space="preserve"> </w:t>
      </w:r>
      <w:r>
        <w:rPr>
          <w:rFonts w:ascii="Arial" w:cs="Arial" w:eastAsia="Arial" w:hAnsi="Arial"/>
          <w:sz w:val="19"/>
          <w:szCs w:val="19"/>
          <w:color w:val="auto"/>
        </w:rPr>
        <w:t>Indenture shall continue in full force and effect in accordance with the provisions thereof, and the Indenture (as further supplemented and amended by this Supplemental Indenture) is in all respects hereby ratified and confirmed. This Supplemental Indenture and all its provisions shall be deemed a part of the Indenture in the manner and to the extent herein and therein provided.</w:t>
      </w:r>
    </w:p>
    <w:p>
      <w:pPr>
        <w:spacing w:after="0" w:line="163"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9"/>
          <w:szCs w:val="19"/>
          <w:b w:val="1"/>
          <w:bCs w:val="1"/>
          <w:color w:val="auto"/>
        </w:rPr>
        <w:t xml:space="preserve">Section 10.05 </w:t>
      </w:r>
      <w:r>
        <w:rPr>
          <w:rFonts w:ascii="Arial" w:cs="Arial" w:eastAsia="Arial" w:hAnsi="Arial"/>
          <w:sz w:val="19"/>
          <w:szCs w:val="19"/>
          <w:b w:val="1"/>
          <w:bCs w:val="1"/>
          <w:i w:val="1"/>
          <w:iCs w:val="1"/>
          <w:color w:val="auto"/>
        </w:rPr>
        <w:t>Provisions Binding On Issuer’s Successors.</w:t>
      </w:r>
      <w:r>
        <w:rPr>
          <w:rFonts w:ascii="Arial" w:cs="Arial" w:eastAsia="Arial" w:hAnsi="Arial"/>
          <w:sz w:val="19"/>
          <w:szCs w:val="19"/>
          <w:b w:val="1"/>
          <w:bCs w:val="1"/>
          <w:color w:val="auto"/>
        </w:rPr>
        <w:t xml:space="preserve"> </w:t>
      </w:r>
      <w:r>
        <w:rPr>
          <w:rFonts w:ascii="Arial" w:cs="Arial" w:eastAsia="Arial" w:hAnsi="Arial"/>
          <w:sz w:val="19"/>
          <w:szCs w:val="19"/>
          <w:color w:val="auto"/>
        </w:rPr>
        <w:t>All the covenants, stipulations, promises and agreements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Supplemental Indenture contained by the Issuer shall bind its successors and assigns whether so expressed or not.</w:t>
      </w:r>
    </w:p>
    <w:p>
      <w:pPr>
        <w:spacing w:after="0" w:line="119"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Section 10.06 </w:t>
      </w:r>
      <w:r>
        <w:rPr>
          <w:rFonts w:ascii="Arial" w:cs="Arial" w:eastAsia="Arial" w:hAnsi="Arial"/>
          <w:sz w:val="22"/>
          <w:szCs w:val="22"/>
          <w:b w:val="1"/>
          <w:bCs w:val="1"/>
          <w:i w:val="1"/>
          <w:iCs w:val="1"/>
          <w:color w:val="auto"/>
        </w:rPr>
        <w:t>Governing Law.</w:t>
      </w:r>
      <w:r>
        <w:rPr>
          <w:rFonts w:ascii="Arial" w:cs="Arial" w:eastAsia="Arial" w:hAnsi="Arial"/>
          <w:sz w:val="22"/>
          <w:szCs w:val="22"/>
          <w:b w:val="1"/>
          <w:bCs w:val="1"/>
          <w:color w:val="auto"/>
        </w:rPr>
        <w:t xml:space="preserve"> </w:t>
      </w:r>
      <w:r>
        <w:rPr>
          <w:rFonts w:ascii="Arial" w:cs="Arial" w:eastAsia="Arial" w:hAnsi="Arial"/>
          <w:sz w:val="22"/>
          <w:szCs w:val="22"/>
          <w:color w:val="auto"/>
        </w:rPr>
        <w:t>This Supplemental Indenture and the Notes shall be governed by and construed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the laws of the State of New York.</w:t>
      </w:r>
    </w:p>
    <w:p>
      <w:pPr>
        <w:spacing w:after="0" w:line="19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Section 10.07 </w:t>
      </w:r>
      <w:r>
        <w:rPr>
          <w:rFonts w:ascii="Arial" w:cs="Arial" w:eastAsia="Arial" w:hAnsi="Arial"/>
          <w:sz w:val="22"/>
          <w:szCs w:val="22"/>
          <w:b w:val="1"/>
          <w:bCs w:val="1"/>
          <w:i w:val="1"/>
          <w:iCs w:val="1"/>
          <w:color w:val="auto"/>
        </w:rPr>
        <w:t>Counterparts.</w:t>
      </w:r>
      <w:r>
        <w:rPr>
          <w:rFonts w:ascii="Arial" w:cs="Arial" w:eastAsia="Arial" w:hAnsi="Arial"/>
          <w:sz w:val="22"/>
          <w:szCs w:val="22"/>
          <w:b w:val="1"/>
          <w:bCs w:val="1"/>
          <w:color w:val="auto"/>
        </w:rPr>
        <w:t xml:space="preserve"> </w:t>
      </w:r>
      <w:r>
        <w:rPr>
          <w:rFonts w:ascii="Arial" w:cs="Arial" w:eastAsia="Arial" w:hAnsi="Arial"/>
          <w:sz w:val="22"/>
          <w:szCs w:val="22"/>
          <w:color w:val="auto"/>
        </w:rPr>
        <w:t>This Supplemental Indenture may be executed in any number of counterparts, each of which</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deemed to be an original regardless of whether delivered in physical or electronic form, but all such counterparts shall together constitute but one and the same instrument.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23" w:name="page124"/>
    <w:bookmarkEnd w:id="123"/>
    <w:p>
      <w:pPr>
        <w:ind w:firstLine="648"/>
        <w:spacing w:after="0" w:line="251" w:lineRule="auto"/>
        <w:rPr>
          <w:sz w:val="20"/>
          <w:szCs w:val="20"/>
          <w:color w:val="auto"/>
        </w:rPr>
      </w:pPr>
      <w:r>
        <w:rPr>
          <w:rFonts w:ascii="Arial" w:cs="Arial" w:eastAsia="Arial" w:hAnsi="Arial"/>
          <w:sz w:val="22"/>
          <w:szCs w:val="22"/>
          <w:color w:val="auto"/>
        </w:rPr>
        <w:t>IN WITNESS WHEREOF, the parties hereto have caused this Supplemental Indenture to be duly executed by their respective officers thereunto duly authorized as of the day and year first above written.</w:t>
      </w:r>
    </w:p>
    <w:p>
      <w:pPr>
        <w:spacing w:after="0" w:line="200"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GASLOG LTD.</w:t>
      </w:r>
    </w:p>
    <w:p>
      <w:pPr>
        <w:spacing w:after="0" w:line="233"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22"/>
          <w:szCs w:val="22"/>
          <w:color w:val="auto"/>
        </w:rPr>
        <w:t>By:</w:t>
        <w:tab/>
        <w:t>/s/ Alastair Maxwell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7620</wp:posOffset>
            </wp:positionV>
            <wp:extent cx="252984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ind w:left="6300"/>
        <w:spacing w:after="0"/>
        <w:rPr>
          <w:sz w:val="20"/>
          <w:szCs w:val="20"/>
          <w:color w:val="auto"/>
        </w:rPr>
      </w:pPr>
      <w:r>
        <w:rPr>
          <w:rFonts w:ascii="Arial" w:cs="Arial" w:eastAsia="Arial" w:hAnsi="Arial"/>
          <w:sz w:val="22"/>
          <w:szCs w:val="22"/>
          <w:color w:val="auto"/>
        </w:rPr>
        <w:t>Name: Alastair Maxwell</w:t>
      </w:r>
    </w:p>
    <w:p>
      <w:pPr>
        <w:ind w:left="6300"/>
        <w:spacing w:after="0"/>
        <w:rPr>
          <w:sz w:val="20"/>
          <w:szCs w:val="20"/>
          <w:color w:val="auto"/>
        </w:rPr>
      </w:pPr>
      <w:r>
        <w:rPr>
          <w:rFonts w:ascii="Arial" w:cs="Arial" w:eastAsia="Arial" w:hAnsi="Arial"/>
          <w:sz w:val="22"/>
          <w:szCs w:val="22"/>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342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600"/>
          </w:cols>
          <w:pgMar w:left="240" w:top="402" w:right="1059" w:bottom="1440" w:gutter="0" w:footer="0" w:header="0"/>
        </w:sectPr>
      </w:pPr>
    </w:p>
    <w:bookmarkStart w:id="124" w:name="page125"/>
    <w:bookmarkEnd w:id="124"/>
    <w:p>
      <w:pPr>
        <w:ind w:left="4520"/>
        <w:spacing w:after="0"/>
        <w:rPr>
          <w:sz w:val="20"/>
          <w:szCs w:val="20"/>
          <w:color w:val="auto"/>
        </w:rPr>
      </w:pPr>
      <w:r>
        <w:rPr>
          <w:rFonts w:ascii="Arial" w:cs="Arial" w:eastAsia="Arial" w:hAnsi="Arial"/>
          <w:sz w:val="19"/>
          <w:szCs w:val="19"/>
          <w:color w:val="auto"/>
        </w:rPr>
        <w:t>American Stock Transfer &amp; Trust Company, LLC, as Trustee</w:t>
      </w:r>
    </w:p>
    <w:p>
      <w:pPr>
        <w:spacing w:after="0" w:line="268" w:lineRule="exact"/>
        <w:rPr>
          <w:sz w:val="20"/>
          <w:szCs w:val="20"/>
          <w:color w:val="auto"/>
        </w:rPr>
      </w:pPr>
    </w:p>
    <w:p>
      <w:pPr>
        <w:ind w:left="4520"/>
        <w:spacing w:after="0"/>
        <w:tabs>
          <w:tab w:leader="none" w:pos="5080" w:val="left"/>
        </w:tabs>
        <w:rPr>
          <w:sz w:val="20"/>
          <w:szCs w:val="20"/>
          <w:color w:val="auto"/>
        </w:rPr>
      </w:pPr>
      <w:r>
        <w:rPr>
          <w:rFonts w:ascii="Arial" w:cs="Arial" w:eastAsia="Arial" w:hAnsi="Arial"/>
          <w:sz w:val="22"/>
          <w:szCs w:val="22"/>
          <w:color w:val="auto"/>
        </w:rPr>
        <w:t>By:</w:t>
        <w:tab/>
        <w:t>/s/ Paul H.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3239135</wp:posOffset>
            </wp:positionH>
            <wp:positionV relativeFrom="paragraph">
              <wp:posOffset>7620</wp:posOffset>
            </wp:positionV>
            <wp:extent cx="252984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ind w:left="5100"/>
        <w:spacing w:after="0"/>
        <w:rPr>
          <w:sz w:val="20"/>
          <w:szCs w:val="20"/>
          <w:color w:val="auto"/>
        </w:rPr>
      </w:pPr>
      <w:r>
        <w:rPr>
          <w:rFonts w:ascii="Arial" w:cs="Arial" w:eastAsia="Arial" w:hAnsi="Arial"/>
          <w:sz w:val="22"/>
          <w:szCs w:val="22"/>
          <w:color w:val="auto"/>
        </w:rPr>
        <w:t>Name: Paul H. Kim</w:t>
      </w:r>
    </w:p>
    <w:p>
      <w:pPr>
        <w:ind w:left="5100"/>
        <w:spacing w:after="0"/>
        <w:rPr>
          <w:sz w:val="20"/>
          <w:szCs w:val="20"/>
          <w:color w:val="auto"/>
        </w:rPr>
      </w:pPr>
      <w:r>
        <w:rPr>
          <w:rFonts w:ascii="Arial" w:cs="Arial" w:eastAsia="Arial" w:hAnsi="Arial"/>
          <w:sz w:val="22"/>
          <w:szCs w:val="22"/>
          <w:color w:val="auto"/>
        </w:rPr>
        <w:t>Title: Asst.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150495</wp:posOffset>
            </wp:positionV>
            <wp:extent cx="7246620" cy="342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800"/>
          </w:cols>
          <w:pgMar w:left="1440" w:top="402" w:right="659" w:bottom="1440" w:gutter="0" w:footer="0" w:header="0"/>
        </w:sectPr>
      </w:pPr>
    </w:p>
    <w:bookmarkStart w:id="125" w:name="page126"/>
    <w:bookmarkEnd w:id="125"/>
    <w:p>
      <w:pPr>
        <w:jc w:val="center"/>
        <w:ind w:right="-20"/>
        <w:spacing w:after="0"/>
        <w:rPr>
          <w:sz w:val="20"/>
          <w:szCs w:val="20"/>
          <w:color w:val="auto"/>
        </w:rPr>
      </w:pPr>
      <w:r>
        <w:rPr>
          <w:rFonts w:ascii="Arial" w:cs="Arial" w:eastAsia="Arial" w:hAnsi="Arial"/>
          <w:sz w:val="22"/>
          <w:szCs w:val="22"/>
          <w:b w:val="1"/>
          <w:bCs w:val="1"/>
          <w:u w:val="single" w:color="auto"/>
          <w:color w:val="auto"/>
        </w:rPr>
        <w:t>EXHIBIT A</w:t>
      </w: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FORM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172720</wp:posOffset>
            </wp:positionV>
            <wp:extent cx="7246620" cy="342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019"/>
          </w:cols>
          <w:pgMar w:left="1440" w:top="396" w:right="1440" w:bottom="1440" w:gutter="0" w:footer="0" w:header="0"/>
        </w:sectPr>
      </w:pPr>
    </w:p>
    <w:bookmarkStart w:id="126" w:name="page127"/>
    <w:bookmarkEnd w:id="126"/>
    <w:p>
      <w:pPr>
        <w:jc w:val="center"/>
        <w:spacing w:after="0"/>
        <w:rPr>
          <w:sz w:val="20"/>
          <w:szCs w:val="20"/>
          <w:color w:val="auto"/>
        </w:rPr>
      </w:pPr>
      <w:r>
        <w:rPr>
          <w:rFonts w:ascii="Arial" w:cs="Arial" w:eastAsia="Arial" w:hAnsi="Arial"/>
          <w:sz w:val="22"/>
          <w:szCs w:val="22"/>
          <w:color w:val="auto"/>
        </w:rPr>
        <w:t>[FACE OF NOTE]</w:t>
      </w:r>
    </w:p>
    <w:p>
      <w:pPr>
        <w:spacing w:after="0" w:line="23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THE INDENTURE, (2) THIS GLOBAL NOTE MAY BE EXCHANGED IN WHOLE BUT NOT IN PART PURSUANT TO THE INDENTURE, (3) THIS GLOBAL NOTE MAY BE DELIVERED TO THE TRUSTEE FOR CANCELLATION PURSUANT TO THE INDENTURE AND (4) THIS GLOBAL NOTE MAY BE TRANSFERRED TO A SUCCESSOR DEPOSITARY WITH THE PRIOR WRITTEN CONSENT OF THE ISSUER.</w:t>
      </w:r>
    </w:p>
    <w:p>
      <w:pPr>
        <w:spacing w:after="0" w:line="215"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UNLESS THIS CERTIFICATE IS PRESENTED BY AN AUTHORIZED REPRESENTATIVE OF THE DEPOSITORY TRUST COMPANY, A NEW YORK CORPORATION (“DTC”), TO THE ISSUER OR ITS AGENT FOR REGISTRATION OF TRANSFER, EXCHANGE OR PAYMENT, AND ANY CERTIFICATE ISSUED IS REGISTERED IN THE NAME OF CEDE &amp; CO. OR IN SUCH OTHER NAME AS IS REQUESTED BY AN AUTHORIZED REPRESENTATIVE OF DTC (AND ANY PAYMENT IS TO BE MADE TO CEDE &amp; CO. OR TO SUCH OTHER ENTITY AS IS REQUESTED BY AN AUTHORIZED REPRESENTATIVE OF DTC), ANY TRANSFER, PLEDGE OR OTHER USE HEREOF FOR VALUE OR OTHERWISE BY OR TO ANY PERSON IS WRONGFUL INASMUCH AS THE REGISTERED OWNER HEREOF, CEDE &amp; CO., HAS AN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INTEREST HEREIN.]</w:t>
      </w:r>
      <w:r>
        <w:rPr>
          <w:rFonts w:ascii="Arial" w:cs="Arial" w:eastAsia="Arial" w:hAnsi="Arial"/>
          <w:sz w:val="36"/>
          <w:szCs w:val="3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180975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38" w:lineRule="exact"/>
        <w:rPr>
          <w:sz w:val="20"/>
          <w:szCs w:val="20"/>
          <w:color w:val="auto"/>
        </w:rPr>
      </w:pPr>
    </w:p>
    <w:p>
      <w:pPr>
        <w:ind w:left="180" w:hanging="172"/>
        <w:spacing w:after="0"/>
        <w:tabs>
          <w:tab w:leader="none" w:pos="180" w:val="left"/>
        </w:tabs>
        <w:numPr>
          <w:ilvl w:val="0"/>
          <w:numId w:val="111"/>
        </w:numPr>
        <w:rPr>
          <w:rFonts w:ascii="Arial" w:cs="Arial" w:eastAsia="Arial" w:hAnsi="Arial"/>
          <w:sz w:val="30"/>
          <w:szCs w:val="30"/>
          <w:color w:val="auto"/>
          <w:vertAlign w:val="superscript"/>
        </w:rPr>
      </w:pPr>
      <w:r>
        <w:rPr>
          <w:rFonts w:ascii="Arial" w:cs="Arial" w:eastAsia="Arial" w:hAnsi="Arial"/>
          <w:sz w:val="18"/>
          <w:szCs w:val="18"/>
          <w:color w:val="auto"/>
        </w:rPr>
        <w:t>Include in Global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342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22"/>
          <w:szCs w:val="22"/>
          <w:color w:val="auto"/>
        </w:rPr>
        <w:t>GASLOG LTD.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8.875% S</w:t>
      </w:r>
      <w:r>
        <w:rPr>
          <w:rFonts w:ascii="Arial" w:cs="Arial" w:eastAsia="Arial" w:hAnsi="Arial"/>
          <w:sz w:val="14"/>
          <w:szCs w:val="14"/>
          <w:color w:val="auto"/>
        </w:rPr>
        <w:t>ENIOR</w:t>
      </w:r>
      <w:r>
        <w:rPr>
          <w:rFonts w:ascii="Arial" w:cs="Arial" w:eastAsia="Arial" w:hAnsi="Arial"/>
          <w:sz w:val="22"/>
          <w:szCs w:val="22"/>
          <w:color w:val="auto"/>
        </w:rPr>
        <w:t xml:space="preserve"> N</w:t>
      </w:r>
      <w:r>
        <w:rPr>
          <w:rFonts w:ascii="Arial" w:cs="Arial" w:eastAsia="Arial" w:hAnsi="Arial"/>
          <w:sz w:val="14"/>
          <w:szCs w:val="14"/>
          <w:color w:val="auto"/>
        </w:rPr>
        <w:t>OTE DUE</w:t>
      </w:r>
      <w:r>
        <w:rPr>
          <w:rFonts w:ascii="Arial" w:cs="Arial" w:eastAsia="Arial" w:hAnsi="Arial"/>
          <w:sz w:val="22"/>
          <w:szCs w:val="22"/>
          <w:color w:val="auto"/>
        </w:rPr>
        <w:t xml:space="preserve"> 2022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CUSIP G37585 AC3</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ISIN USG37585AC37</w:t>
      </w:r>
    </w:p>
    <w:p>
      <w:pPr>
        <w:spacing w:after="0" w:line="215" w:lineRule="exact"/>
        <w:rPr>
          <w:sz w:val="20"/>
          <w:szCs w:val="20"/>
          <w:color w:val="auto"/>
        </w:rPr>
      </w:pPr>
    </w:p>
    <w:p>
      <w:pPr>
        <w:ind w:left="9140"/>
        <w:spacing w:after="0"/>
        <w:rPr>
          <w:sz w:val="20"/>
          <w:szCs w:val="20"/>
          <w:color w:val="auto"/>
        </w:rPr>
      </w:pPr>
      <w:r>
        <w:rPr>
          <w:rFonts w:ascii="Arial" w:cs="Arial" w:eastAsia="Arial" w:hAnsi="Arial"/>
          <w:sz w:val="22"/>
          <w:szCs w:val="22"/>
          <w:color w:val="auto"/>
        </w:rPr>
        <w:t>Dated: [—]</w:t>
      </w:r>
    </w:p>
    <w:p>
      <w:pPr>
        <w:spacing w:after="0" w:line="233" w:lineRule="exact"/>
        <w:rPr>
          <w:sz w:val="20"/>
          <w:szCs w:val="20"/>
          <w:color w:val="auto"/>
        </w:rPr>
      </w:pPr>
    </w:p>
    <w:p>
      <w:pPr>
        <w:spacing w:after="0"/>
        <w:tabs>
          <w:tab w:leader="none" w:pos="9960" w:val="left"/>
        </w:tabs>
        <w:rPr>
          <w:sz w:val="20"/>
          <w:szCs w:val="20"/>
          <w:color w:val="auto"/>
        </w:rPr>
      </w:pPr>
      <w:r>
        <w:rPr>
          <w:rFonts w:ascii="Arial" w:cs="Arial" w:eastAsia="Arial" w:hAnsi="Arial"/>
          <w:sz w:val="43"/>
          <w:szCs w:val="43"/>
          <w:color w:val="auto"/>
          <w:vertAlign w:val="superscript"/>
        </w:rPr>
        <w:t>No. [—]</w:t>
      </w:r>
      <w:r>
        <w:rPr>
          <w:sz w:val="20"/>
          <w:szCs w:val="20"/>
          <w:color w:val="auto"/>
        </w:rPr>
        <w:tab/>
      </w:r>
      <w:r>
        <w:rPr>
          <w:rFonts w:ascii="Arial" w:cs="Arial" w:eastAsia="Arial" w:hAnsi="Arial"/>
          <w:sz w:val="21"/>
          <w:szCs w:val="21"/>
          <w:color w:val="auto"/>
        </w:rPr>
        <w:t>[Initially]</w:t>
      </w:r>
      <w:r>
        <w:rPr>
          <w:rFonts w:ascii="Arial" w:cs="Arial" w:eastAsia="Arial" w:hAnsi="Arial"/>
          <w:sz w:val="35"/>
          <w:szCs w:val="35"/>
          <w:color w:val="auto"/>
          <w:vertAlign w:val="superscript"/>
        </w:rPr>
        <w:t>2</w:t>
      </w:r>
      <w:r>
        <w:rPr>
          <w:rFonts w:ascii="Arial" w:cs="Arial" w:eastAsia="Arial" w:hAnsi="Arial"/>
          <w:sz w:val="21"/>
          <w:szCs w:val="21"/>
          <w:color w:val="auto"/>
        </w:rPr>
        <w:t xml:space="preserve"> $[—]</w:t>
      </w:r>
    </w:p>
    <w:p>
      <w:pPr>
        <w:spacing w:after="0" w:line="6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GASLOG LTD., a Bermuda exempted company (herein called the “</w:t>
      </w:r>
      <w:r>
        <w:rPr>
          <w:rFonts w:ascii="Arial" w:cs="Arial" w:eastAsia="Arial" w:hAnsi="Arial"/>
          <w:sz w:val="19"/>
          <w:szCs w:val="19"/>
          <w:b w:val="1"/>
          <w:bCs w:val="1"/>
          <w:color w:val="auto"/>
        </w:rPr>
        <w:t>Issuer</w:t>
      </w:r>
      <w:r>
        <w:rPr>
          <w:rFonts w:ascii="Arial" w:cs="Arial" w:eastAsia="Arial" w:hAnsi="Arial"/>
          <w:sz w:val="19"/>
          <w:szCs w:val="19"/>
          <w:color w:val="auto"/>
        </w:rPr>
        <w:t>”, which term includes any successor Person under the Indenture hereinafter referred to), for value received, hereby promises to pay to [ ], or registered assigns, the principal sum of $[•] Dollars on March 22, 2022 and to pay interest thereon from March 22, 2017 or from the most recent Interest Payment Date to which interest has been paid or duly provided for, quarterly in arrears on March 30, June 30, September 30 and December 30, of each year, commencing June 30, 2017, at the rate of 8.875% per annum, until the principal hereof is paid or made available for payment; provided, however, that if the date of maturity of interest on or principal of the Notes or the date fixed for redemption or repayment of any Note shall not be a Business Day, then payment of interest or principal need not be made on such date, but may be made on the next succeeding Business Day with the same force and effect as if made on the date of maturity or the date fixed for redemption, and no interest shall accrue for the period after such date. The interest so payable, and punctually paid or duly provided for, on any Interest Payment Date will, as provided in such Indenture, be paid to the Person in whose name this Note (or one or more predecessor Notes) is registered at the close of business in the Place of Payment on the Regular Record Date for such interest, which shall be March 15, June 15, September 15 and December 15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Note (or one or more predecessor Notes) is registered at the close of business on a subsequent record date for the payment of such Defaulted Interest to be fixed by the Issuer, notice whereof shall be given to Holders of the Notes not less than 15 days prior to such subsequent record date, or be paid at any time in any other lawful manner not inconsistent with the requirements of any securities exchange on which the Notes may be listed, and upon such notice as may be required by such exchange, all as more fully provided in said Indenture.</w:t>
      </w:r>
    </w:p>
    <w:p>
      <w:pPr>
        <w:spacing w:after="0" w:line="19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Payment of the principal of (and premium, if any) and any such interest on this Note will be made at the office or agency of the Trustee, as Paying Agent, maintained for that purpose, in such coin or currency of the United States of America as at the time of payment is legal tender for payment of public and private debts and, in the case of Global Notes, in accordance with the Applicable Procedures of the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180975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47" w:lineRule="exact"/>
        <w:rPr>
          <w:sz w:val="20"/>
          <w:szCs w:val="20"/>
          <w:color w:val="auto"/>
        </w:rPr>
      </w:pPr>
    </w:p>
    <w:p>
      <w:pPr>
        <w:ind w:left="180" w:hanging="172"/>
        <w:spacing w:after="0"/>
        <w:tabs>
          <w:tab w:leader="none" w:pos="180" w:val="left"/>
        </w:tabs>
        <w:numPr>
          <w:ilvl w:val="0"/>
          <w:numId w:val="112"/>
        </w:numPr>
        <w:rPr>
          <w:rFonts w:ascii="Arial" w:cs="Arial" w:eastAsia="Arial" w:hAnsi="Arial"/>
          <w:sz w:val="30"/>
          <w:szCs w:val="30"/>
          <w:color w:val="auto"/>
          <w:vertAlign w:val="superscript"/>
        </w:rPr>
      </w:pPr>
      <w:r>
        <w:rPr>
          <w:rFonts w:ascii="Arial" w:cs="Arial" w:eastAsia="Arial" w:hAnsi="Arial"/>
          <w:sz w:val="18"/>
          <w:szCs w:val="18"/>
          <w:color w:val="auto"/>
        </w:rPr>
        <w:t>Include in Global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342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28" w:name="page129"/>
    <w:bookmarkEnd w:id="128"/>
    <w:p>
      <w:pPr>
        <w:ind w:right="20" w:firstLine="648"/>
        <w:spacing w:after="0" w:line="251" w:lineRule="auto"/>
        <w:rPr>
          <w:sz w:val="20"/>
          <w:szCs w:val="20"/>
          <w:color w:val="auto"/>
        </w:rPr>
      </w:pPr>
      <w:r>
        <w:rPr>
          <w:rFonts w:ascii="Arial" w:cs="Arial" w:eastAsia="Arial" w:hAnsi="Arial"/>
          <w:sz w:val="22"/>
          <w:szCs w:val="22"/>
          <w:color w:val="auto"/>
        </w:rPr>
        <w:t>Reference is hereby made to the further provisions of this Note set forth on the reverse hereof, which further provisions shall for all purposes have the same effect as if set forth at this place.</w:t>
      </w:r>
    </w:p>
    <w:p>
      <w:pPr>
        <w:spacing w:after="0" w:line="200" w:lineRule="exact"/>
        <w:rPr>
          <w:sz w:val="20"/>
          <w:szCs w:val="20"/>
          <w:color w:val="auto"/>
        </w:rPr>
      </w:pPr>
    </w:p>
    <w:p>
      <w:pPr>
        <w:ind w:firstLine="648"/>
        <w:spacing w:after="0" w:line="328" w:lineRule="auto"/>
        <w:rPr>
          <w:sz w:val="20"/>
          <w:szCs w:val="20"/>
          <w:color w:val="auto"/>
        </w:rPr>
      </w:pPr>
      <w:r>
        <w:rPr>
          <w:rFonts w:ascii="Arial" w:cs="Arial" w:eastAsia="Arial" w:hAnsi="Arial"/>
          <w:sz w:val="19"/>
          <w:szCs w:val="19"/>
          <w:color w:val="auto"/>
        </w:rPr>
        <w:t>Unless the certificate of authentication hereon has been executed by the Trustee referred to on the reverse hereof by manual signature, this Note shall not be entitled to any benefit under the Indenture or be valid or obligatory for any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342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29" w:name="page130"/>
    <w:bookmarkEnd w:id="129"/>
    <w:p>
      <w:pPr>
        <w:spacing w:after="0"/>
        <w:rPr>
          <w:sz w:val="20"/>
          <w:szCs w:val="20"/>
          <w:color w:val="auto"/>
        </w:rPr>
      </w:pPr>
      <w:r>
        <w:rPr>
          <w:rFonts w:ascii="Arial" w:cs="Arial" w:eastAsia="Arial" w:hAnsi="Arial"/>
          <w:sz w:val="19"/>
          <w:szCs w:val="19"/>
          <w:color w:val="auto"/>
        </w:rPr>
        <w:t>IN WITNESS WHEREOF, the Issuer has caused this instrument to be duly executed, manually or in facsimile.</w:t>
      </w:r>
    </w:p>
    <w:p>
      <w:pPr>
        <w:spacing w:after="0" w:line="268"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GASLOG LTD.</w:t>
      </w:r>
    </w:p>
    <w:p>
      <w:pPr>
        <w:spacing w:after="0" w:line="233"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3582035</wp:posOffset>
            </wp:positionH>
            <wp:positionV relativeFrom="paragraph">
              <wp:posOffset>7620</wp:posOffset>
            </wp:positionV>
            <wp:extent cx="252984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22"/>
          <w:szCs w:val="22"/>
          <w:color w:val="auto"/>
        </w:rPr>
        <w:t>Name:</w:t>
      </w:r>
    </w:p>
    <w:p>
      <w:pPr>
        <w:ind w:left="56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150495</wp:posOffset>
            </wp:positionV>
            <wp:extent cx="7246620" cy="342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580"/>
          </w:cols>
          <w:pgMar w:left="900" w:top="402" w:right="1419" w:bottom="1440" w:gutter="0" w:footer="0" w:header="0"/>
        </w:sectPr>
      </w:pPr>
    </w:p>
    <w:bookmarkStart w:id="130" w:name="page131"/>
    <w:bookmarkEnd w:id="130"/>
    <w:p>
      <w:pPr>
        <w:ind w:left="3320"/>
        <w:spacing w:after="0"/>
        <w:rPr>
          <w:sz w:val="20"/>
          <w:szCs w:val="20"/>
          <w:color w:val="auto"/>
        </w:rPr>
      </w:pPr>
      <w:r>
        <w:rPr>
          <w:rFonts w:ascii="Arial" w:cs="Arial" w:eastAsia="Arial" w:hAnsi="Arial"/>
          <w:sz w:val="22"/>
          <w:szCs w:val="22"/>
          <w:color w:val="auto"/>
        </w:rPr>
        <w:t>TRUSTEE’S CERTIFICATE OF AUTHENTICATION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This is one of the Securities of the series designated therein referred to in the within-mentioned Indenture.</w:t>
      </w: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9"/>
          <w:szCs w:val="19"/>
          <w:color w:val="auto"/>
        </w:rPr>
        <w:t>American Stock Transfer &amp; Trust Company, LLC, not in its</w:t>
      </w:r>
    </w:p>
    <w:p>
      <w:pPr>
        <w:spacing w:after="0" w:line="43"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individual capacity but solely as Trustee</w:t>
      </w:r>
    </w:p>
    <w:p>
      <w:pPr>
        <w:spacing w:after="0" w:line="215"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7620</wp:posOffset>
            </wp:positionV>
            <wp:extent cx="252984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 w:lineRule="exact"/>
        <w:rPr>
          <w:sz w:val="20"/>
          <w:szCs w:val="20"/>
          <w:color w:val="auto"/>
        </w:rPr>
      </w:pPr>
    </w:p>
    <w:p>
      <w:pPr>
        <w:ind w:left="6300"/>
        <w:spacing w:after="0"/>
        <w:rPr>
          <w:sz w:val="20"/>
          <w:szCs w:val="20"/>
          <w:color w:val="auto"/>
        </w:rPr>
      </w:pPr>
      <w:r>
        <w:rPr>
          <w:rFonts w:ascii="Arial" w:cs="Arial" w:eastAsia="Arial" w:hAnsi="Arial"/>
          <w:sz w:val="22"/>
          <w:szCs w:val="22"/>
          <w:color w:val="auto"/>
        </w:rPr>
        <w:t>Authorized Signatory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342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880"/>
          </w:cols>
          <w:pgMar w:left="240" w:top="402" w:right="779" w:bottom="1440" w:gutter="0" w:footer="0" w:header="0"/>
        </w:sectPr>
      </w:pPr>
    </w:p>
    <w:bookmarkStart w:id="131" w:name="page132"/>
    <w:bookmarkEnd w:id="131"/>
    <w:p>
      <w:pPr>
        <w:jc w:val="center"/>
        <w:spacing w:after="0"/>
        <w:rPr>
          <w:sz w:val="20"/>
          <w:szCs w:val="20"/>
          <w:color w:val="auto"/>
        </w:rPr>
      </w:pPr>
      <w:r>
        <w:rPr>
          <w:rFonts w:ascii="Arial" w:cs="Arial" w:eastAsia="Arial" w:hAnsi="Arial"/>
          <w:sz w:val="22"/>
          <w:szCs w:val="22"/>
          <w:color w:val="auto"/>
        </w:rPr>
        <w:t>[REVERSE SIDE OF NOTE]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GASLOG LTD.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8.875% SENIOR NOTE DUE 2022</w:t>
      </w:r>
    </w:p>
    <w:p>
      <w:pPr>
        <w:spacing w:after="0" w:line="23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This is one of a series of Securities issued under the indenture, dated as of March 22, 2017 (as amended from time to time, the “</w:t>
      </w:r>
      <w:r>
        <w:rPr>
          <w:rFonts w:ascii="Arial" w:cs="Arial" w:eastAsia="Arial" w:hAnsi="Arial"/>
          <w:sz w:val="19"/>
          <w:szCs w:val="19"/>
          <w:b w:val="1"/>
          <w:bCs w:val="1"/>
          <w:color w:val="auto"/>
        </w:rPr>
        <w:t>Base Indenture</w:t>
      </w:r>
      <w:r>
        <w:rPr>
          <w:rFonts w:ascii="Arial" w:cs="Arial" w:eastAsia="Arial" w:hAnsi="Arial"/>
          <w:sz w:val="19"/>
          <w:szCs w:val="19"/>
          <w:color w:val="auto"/>
        </w:rPr>
        <w:t>”), between the Issuer and American Stock Transfer &amp; Trust Company, LLC, as Trustee (herein called the “</w:t>
      </w:r>
      <w:r>
        <w:rPr>
          <w:rFonts w:ascii="Arial" w:cs="Arial" w:eastAsia="Arial" w:hAnsi="Arial"/>
          <w:sz w:val="19"/>
          <w:szCs w:val="19"/>
          <w:b w:val="1"/>
          <w:bCs w:val="1"/>
          <w:color w:val="auto"/>
        </w:rPr>
        <w:t>Trustee</w:t>
      </w:r>
      <w:r>
        <w:rPr>
          <w:rFonts w:ascii="Arial" w:cs="Arial" w:eastAsia="Arial" w:hAnsi="Arial"/>
          <w:sz w:val="19"/>
          <w:szCs w:val="19"/>
          <w:color w:val="auto"/>
        </w:rPr>
        <w:t>”, which term includes any successor trustee under the Indenture), as supplemented by the First Supplemental Indenture, dated as of March 22, 2017 (the “</w:t>
      </w:r>
      <w:r>
        <w:rPr>
          <w:rFonts w:ascii="Arial" w:cs="Arial" w:eastAsia="Arial" w:hAnsi="Arial"/>
          <w:sz w:val="19"/>
          <w:szCs w:val="19"/>
          <w:b w:val="1"/>
          <w:bCs w:val="1"/>
          <w:color w:val="auto"/>
        </w:rPr>
        <w:t>Supplemental Indenture</w:t>
      </w:r>
      <w:r>
        <w:rPr>
          <w:rFonts w:ascii="Arial" w:cs="Arial" w:eastAsia="Arial" w:hAnsi="Arial"/>
          <w:sz w:val="19"/>
          <w:szCs w:val="19"/>
          <w:color w:val="auto"/>
        </w:rPr>
        <w:t>”) between the Issuer and the Trustee. The Base Indenture as so supplemented by the Supplemental Indenture is referred to herein as the “</w:t>
      </w:r>
      <w:r>
        <w:rPr>
          <w:rFonts w:ascii="Arial" w:cs="Arial" w:eastAsia="Arial" w:hAnsi="Arial"/>
          <w:sz w:val="19"/>
          <w:szCs w:val="19"/>
          <w:b w:val="1"/>
          <w:bCs w:val="1"/>
          <w:color w:val="auto"/>
        </w:rPr>
        <w:t>Indenture.</w:t>
      </w:r>
      <w:r>
        <w:rPr>
          <w:rFonts w:ascii="Arial" w:cs="Arial" w:eastAsia="Arial" w:hAnsi="Arial"/>
          <w:sz w:val="19"/>
          <w:szCs w:val="19"/>
          <w:color w:val="auto"/>
        </w:rPr>
        <w:t>” The title of the Securities of this series is 8.875% Senior Notes due 2022 (the “</w:t>
      </w:r>
      <w:r>
        <w:rPr>
          <w:rFonts w:ascii="Arial" w:cs="Arial" w:eastAsia="Arial" w:hAnsi="Arial"/>
          <w:sz w:val="19"/>
          <w:szCs w:val="19"/>
          <w:b w:val="1"/>
          <w:bCs w:val="1"/>
          <w:color w:val="auto"/>
        </w:rPr>
        <w:t>Notes</w:t>
      </w:r>
      <w:r>
        <w:rPr>
          <w:rFonts w:ascii="Arial" w:cs="Arial" w:eastAsia="Arial" w:hAnsi="Arial"/>
          <w:sz w:val="19"/>
          <w:szCs w:val="19"/>
          <w:color w:val="auto"/>
        </w:rPr>
        <w:t>”). The terms of the Notes include those stated in the Indenture and those made part of the Indenture by reference to the Trust Indenture Act. The Notes are subject to all such terms, and Holders are referred to the Indenture and the Trust Indenture Act for a statement of all such terms. To the extent permitted by applicable law, in the event of any inconsistency between the terms of this Note and the terms of the Indenture, the terms of the Indenture will control.</w:t>
      </w:r>
    </w:p>
    <w:p>
      <w:pPr>
        <w:spacing w:after="0" w:line="18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This Note is subject to optional redemption and tax redemption, and may be the subject of an offer to purchase upon the occurrence of a Change of Control as further described in the Indenture. There is no sinking fund or mandatory redemption applicable to this Note.</w:t>
      </w:r>
    </w:p>
    <w:p>
      <w:pPr>
        <w:spacing w:after="0" w:line="21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In the event of redemption of this Note in part only, a new Note for the unredeemed portion hereof will be issued in the name of the Holder hereof upon the cancellation hereof.</w:t>
      </w:r>
    </w:p>
    <w:p>
      <w:pPr>
        <w:spacing w:after="0" w:line="20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Indenture contains provisions for defeasance at any time of the entire Indebtedness of this Note or certain restrictive covenants and Events of Default with respect to this Note, in each case upon compliance with certain conditions set forth in the Indenture.</w:t>
      </w:r>
    </w:p>
    <w:p>
      <w:pPr>
        <w:spacing w:after="0" w:line="21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If an Event of Default with respect to this Note, the principal of this Note may be declared due and payable in the manner and with the effect provided in the Indenture.</w:t>
      </w:r>
    </w:p>
    <w:p>
      <w:pPr>
        <w:spacing w:after="0" w:line="20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The Indenture contains provisions permitting, with certain exceptions as therein provided, the amendment thereof and the modification of the rights and obligations of the Issuer and the rights of the Holders of the Notes of each series issued under the Indenture at any time by the Issuer and the Trustee with the written consent of the Holders of not less than a majority in aggregate principal amount of the Notes at the time Outstanding of each series affected thereby. The Indenture also contains provisions permitting the Holders of specified percentages in aggregate principal amount of the Notes of any series at the time Outstanding, on behalf of the Holders of all Notes of such series, to waive compliance by the Issuer with certain provisions of the Indenture and certain past defaults under the Indenture and their consequences. Any such consent or waiver by the Holder of this Note shall be conclusive and binding upon such Holder and upon all future Holders of this Note and of any Notes issued upon the registration of transfer hereof or in exchange herefor or in lieu hereof, whether or not notation of such consent or waiver is made upon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342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32" w:name="page133"/>
    <w:bookmarkEnd w:id="132"/>
    <w:p>
      <w:pPr>
        <w:jc w:val="both"/>
        <w:ind w:firstLine="648"/>
        <w:spacing w:after="0" w:line="251" w:lineRule="auto"/>
        <w:rPr>
          <w:sz w:val="20"/>
          <w:szCs w:val="20"/>
          <w:color w:val="auto"/>
        </w:rPr>
      </w:pPr>
      <w:r>
        <w:rPr>
          <w:rFonts w:ascii="Arial" w:cs="Arial" w:eastAsia="Arial" w:hAnsi="Arial"/>
          <w:sz w:val="22"/>
          <w:szCs w:val="22"/>
          <w:color w:val="auto"/>
        </w:rPr>
        <w:t>If an Event of Default with respect to the Notes shall occur and be continuing, the principal of the Notes may be declared due and payable in the manner and with the effect provided in the Indenture.</w:t>
      </w:r>
    </w:p>
    <w:p>
      <w:pPr>
        <w:spacing w:after="0" w:line="20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Upon the occurrence of a Change of Control, each Holder of Notes will have the right to require the Issuer to purchase all or a portion of such Holder’s Notes at a purchase price equal to 101% of the principal amount thereof plus accrued and unpaid interest, if any, to but excluding the date of purchase.</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No reference herein to the Indenture and no provision of this Note or of the Indenture shall alter or impair the obligation of the Issuer, which is absolute and unconditional, to pay the principal of and any premium and interest on this Note at the times, place and rate, and in the coin or currency, herein prescribed.</w:t>
      </w:r>
    </w:p>
    <w:p>
      <w:pPr>
        <w:spacing w:after="0" w:line="21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As provided in the Indenture and subject to certain limitations set forth therein and in this Note, the transfer of this Note may be registered on the Security Register upon surrender of this Note for registration of transfer at the office or agency of the Issuer maintained for that purpose in any place where the principal of and interest on this Note are payable, duly endorsed by, or accompanied by a written instrument of transfer in form satisfactory to the Issuer and the Security Registrar duly executed by, the Holder hereof or by his attorney duly authorized in writing, and thereupon one or more new Notes of this series and of like tenor, of authorized denominations and for the same aggregate principal amount, will be issued to the designated transferee or transferees</w:t>
      </w:r>
    </w:p>
    <w:p>
      <w:pPr>
        <w:spacing w:after="0" w:line="17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Notes are issuable only in registered form in the denominations of $1,000 or any integral multiple thereof. As provided in the Indenture and subject to certain limitations set forth in the Indenture, and in this Note, the Notes are exchangeable for a like aggregate principal amount of Notes of this series in different authorized denominations, as requested by the Holders surrendering the same.</w:t>
      </w:r>
    </w:p>
    <w:p>
      <w:pPr>
        <w:spacing w:after="0" w:line="212" w:lineRule="exact"/>
        <w:rPr>
          <w:sz w:val="20"/>
          <w:szCs w:val="20"/>
          <w:color w:val="auto"/>
        </w:rPr>
      </w:pPr>
    </w:p>
    <w:p>
      <w:pPr>
        <w:jc w:val="both"/>
        <w:ind w:right="160" w:firstLine="648"/>
        <w:spacing w:after="0"/>
        <w:rPr>
          <w:sz w:val="20"/>
          <w:szCs w:val="20"/>
          <w:color w:val="auto"/>
        </w:rPr>
      </w:pPr>
      <w:r>
        <w:rPr>
          <w:rFonts w:ascii="Arial" w:cs="Arial" w:eastAsia="Arial" w:hAnsi="Arial"/>
          <w:sz w:val="22"/>
          <w:szCs w:val="22"/>
          <w:color w:val="auto"/>
        </w:rPr>
        <w:t>No service charge shall be made for any such registration of transfer or exchange, but the Issuer may require payment of a sum sufficient to cover any tax or other governmental charge payable in connection therewith, other than in certain cases provided in the Indenture.</w:t>
      </w:r>
    </w:p>
    <w:p>
      <w:pPr>
        <w:spacing w:after="0" w:line="21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Prior to due presentment of this Note for registration of transfer, the Issuer, the Trustee and any agent of the Issuer or the Trustee may treat the Person in whose name this Note is registered as the owner hereof for all purposes, whether or not this Note be overdue, and none of the Issuer, the Trustee or any such agent shall be affected by notice to the contrary.</w:t>
      </w:r>
    </w:p>
    <w:p>
      <w:pPr>
        <w:spacing w:after="0" w:line="18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THIS NOTE SHALL BE GOVERNED BY AND CONSTRUED IN ACCORDANCE WITH THE LAWS OF THE STATE OF NEW YORK, WITHOUT REGARD TO CONFLICTS OF LAWS PRINCIPLES THEREOF.</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All terms used in this Note which are defined in the Indenture shall have the meanings assigned to them in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342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33" w:name="page134"/>
    <w:bookmarkEnd w:id="133"/>
    <w:p>
      <w:pPr>
        <w:ind w:left="2400"/>
        <w:spacing w:after="0"/>
        <w:rPr>
          <w:sz w:val="20"/>
          <w:szCs w:val="20"/>
          <w:color w:val="auto"/>
        </w:rPr>
      </w:pPr>
      <w:r>
        <w:rPr>
          <w:rFonts w:ascii="Arial" w:cs="Arial" w:eastAsia="Arial" w:hAnsi="Arial"/>
          <w:sz w:val="22"/>
          <w:szCs w:val="22"/>
          <w:b w:val="1"/>
          <w:bCs w:val="1"/>
          <w:color w:val="auto"/>
        </w:rPr>
        <w:t>[SCHEDULE OF INCREASES OR DECREASE IN GLOBAL NOTE]</w:t>
      </w:r>
      <w:r>
        <w:rPr>
          <w:rFonts w:ascii="Arial" w:cs="Arial" w:eastAsia="Arial" w:hAnsi="Arial"/>
          <w:sz w:val="36"/>
          <w:szCs w:val="36"/>
          <w:b w:val="1"/>
          <w:bCs w:val="1"/>
          <w:color w:val="auto"/>
          <w:vertAlign w:val="superscript"/>
        </w:rPr>
        <w:t>3</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increases or decreased in this Global Note have been made:</w:t>
      </w: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2320" w:type="dxa"/>
            <w:vAlign w:val="bottom"/>
            <w:tcBorders>
              <w:top w:val="single" w:sz="8" w:color="auto"/>
              <w:left w:val="single" w:sz="8" w:color="auto"/>
              <w:right w:val="single" w:sz="8" w:color="auto"/>
            </w:tcBorders>
          </w:tcPr>
          <w:p>
            <w:pPr>
              <w:spacing w:after="0"/>
              <w:rPr>
                <w:sz w:val="19"/>
                <w:szCs w:val="19"/>
                <w:color w:val="auto"/>
              </w:rPr>
            </w:pPr>
          </w:p>
        </w:tc>
        <w:tc>
          <w:tcPr>
            <w:tcW w:w="2280" w:type="dxa"/>
            <w:vAlign w:val="bottom"/>
            <w:tcBorders>
              <w:top w:val="single" w:sz="8" w:color="auto"/>
              <w:right w:val="single" w:sz="8" w:color="auto"/>
            </w:tcBorders>
            <w:gridSpan w:val="2"/>
          </w:tcPr>
          <w:p>
            <w:pPr>
              <w:jc w:val="center"/>
              <w:ind w:right="40"/>
              <w:spacing w:after="0"/>
              <w:rPr>
                <w:sz w:val="20"/>
                <w:szCs w:val="20"/>
                <w:color w:val="auto"/>
              </w:rPr>
            </w:pPr>
            <w:r>
              <w:rPr>
                <w:rFonts w:ascii="Arial" w:cs="Arial" w:eastAsia="Arial" w:hAnsi="Arial"/>
                <w:sz w:val="18"/>
                <w:szCs w:val="18"/>
                <w:b w:val="1"/>
                <w:bCs w:val="1"/>
                <w:color w:val="auto"/>
                <w:w w:val="87"/>
              </w:rPr>
              <w:t>Amount of decrease</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Amount of increase in</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Principal amount of this</w:t>
            </w:r>
          </w:p>
        </w:tc>
        <w:tc>
          <w:tcPr>
            <w:tcW w:w="2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 of</w:t>
            </w: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b w:val="1"/>
                <w:bCs w:val="1"/>
                <w:color w:val="auto"/>
                <w:w w:val="91"/>
              </w:rPr>
              <w:t>in principal amount</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principal amount of</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Global Note following such</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authorized officer</w:t>
            </w:r>
          </w:p>
        </w:tc>
      </w:tr>
      <w:tr>
        <w:trPr>
          <w:trHeight w:val="268"/>
        </w:trPr>
        <w:tc>
          <w:tcPr>
            <w:tcW w:w="2320" w:type="dxa"/>
            <w:vAlign w:val="bottom"/>
            <w:tcBorders>
              <w:left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8"/>
                <w:szCs w:val="18"/>
                <w:b w:val="1"/>
                <w:bCs w:val="1"/>
                <w:color w:val="auto"/>
              </w:rPr>
              <w:t>Date of Exchange</w:t>
            </w:r>
          </w:p>
        </w:tc>
        <w:tc>
          <w:tcPr>
            <w:tcW w:w="2280" w:type="dxa"/>
            <w:vAlign w:val="bottom"/>
            <w:tcBorders>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18"/>
                <w:szCs w:val="18"/>
                <w:b w:val="1"/>
                <w:bCs w:val="1"/>
                <w:color w:val="auto"/>
                <w:w w:val="89"/>
              </w:rPr>
              <w:t>of this Global Note</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this Global Note</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decrease or increase</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of Trustee</w:t>
            </w:r>
          </w:p>
        </w:tc>
      </w:tr>
      <w:tr>
        <w:trPr>
          <w:trHeight w:val="270"/>
        </w:trPr>
        <w:tc>
          <w:tcPr>
            <w:tcW w:w="2320" w:type="dxa"/>
            <w:vAlign w:val="bottom"/>
            <w:tcBorders>
              <w:left w:val="single" w:sz="8" w:color="auto"/>
              <w:bottom w:val="single" w:sz="8" w:color="auto"/>
              <w:right w:val="single" w:sz="8" w:color="auto"/>
            </w:tcBorders>
            <w:shd w:val="clear" w:color="auto" w:fill="C0C0C0"/>
          </w:tcPr>
          <w:p>
            <w:pPr>
              <w:spacing w:after="0"/>
              <w:rPr>
                <w:sz w:val="23"/>
                <w:szCs w:val="23"/>
                <w:color w:val="auto"/>
              </w:rPr>
            </w:pPr>
          </w:p>
        </w:tc>
        <w:tc>
          <w:tcPr>
            <w:tcW w:w="540" w:type="dxa"/>
            <w:vAlign w:val="bottom"/>
            <w:tcBorders>
              <w:bottom w:val="single" w:sz="8" w:color="auto"/>
            </w:tcBorders>
            <w:shd w:val="clear" w:color="auto" w:fill="C0C0C0"/>
          </w:tcPr>
          <w:p>
            <w:pPr>
              <w:spacing w:after="0"/>
              <w:rPr>
                <w:sz w:val="23"/>
                <w:szCs w:val="23"/>
                <w:color w:val="auto"/>
              </w:rPr>
            </w:pPr>
          </w:p>
        </w:tc>
        <w:tc>
          <w:tcPr>
            <w:tcW w:w="1740" w:type="dxa"/>
            <w:vAlign w:val="bottom"/>
            <w:tcBorders>
              <w:bottom w:val="single" w:sz="8" w:color="auto"/>
              <w:right w:val="single" w:sz="8" w:color="auto"/>
            </w:tcBorders>
            <w:shd w:val="clear" w:color="auto" w:fill="C0C0C0"/>
          </w:tcPr>
          <w:p>
            <w:pPr>
              <w:spacing w:after="0"/>
              <w:rPr>
                <w:sz w:val="23"/>
                <w:szCs w:val="23"/>
                <w:color w:val="auto"/>
              </w:rPr>
            </w:pPr>
          </w:p>
        </w:tc>
        <w:tc>
          <w:tcPr>
            <w:tcW w:w="2280" w:type="dxa"/>
            <w:vAlign w:val="bottom"/>
            <w:tcBorders>
              <w:bottom w:val="single" w:sz="8" w:color="auto"/>
              <w:right w:val="single" w:sz="8" w:color="auto"/>
            </w:tcBorders>
            <w:shd w:val="clear" w:color="auto" w:fill="C0C0C0"/>
          </w:tcPr>
          <w:p>
            <w:pPr>
              <w:spacing w:after="0"/>
              <w:rPr>
                <w:sz w:val="23"/>
                <w:szCs w:val="23"/>
                <w:color w:val="auto"/>
              </w:rPr>
            </w:pPr>
          </w:p>
        </w:tc>
        <w:tc>
          <w:tcPr>
            <w:tcW w:w="2280" w:type="dxa"/>
            <w:vAlign w:val="bottom"/>
            <w:tcBorders>
              <w:bottom w:val="single" w:sz="8" w:color="auto"/>
              <w:right w:val="single" w:sz="8" w:color="auto"/>
            </w:tcBorders>
            <w:shd w:val="clear" w:color="auto" w:fill="C0C0C0"/>
          </w:tcPr>
          <w:p>
            <w:pPr>
              <w:spacing w:after="0"/>
              <w:rPr>
                <w:sz w:val="23"/>
                <w:szCs w:val="23"/>
                <w:color w:val="auto"/>
              </w:rPr>
            </w:pPr>
          </w:p>
        </w:tc>
        <w:tc>
          <w:tcPr>
            <w:tcW w:w="2260" w:type="dxa"/>
            <w:vAlign w:val="bottom"/>
            <w:tcBorders>
              <w:bottom w:val="single" w:sz="8" w:color="auto"/>
              <w:right w:val="single" w:sz="8" w:color="auto"/>
            </w:tcBorders>
            <w:shd w:val="clear" w:color="auto" w:fill="C0C0C0"/>
          </w:tcPr>
          <w:p>
            <w:pPr>
              <w:spacing w:after="0"/>
              <w:rPr>
                <w:sz w:val="23"/>
                <w:szCs w:val="23"/>
                <w:color w:val="auto"/>
              </w:rPr>
            </w:pPr>
          </w:p>
        </w:tc>
      </w:tr>
      <w:tr>
        <w:trPr>
          <w:trHeight w:val="264"/>
        </w:trPr>
        <w:tc>
          <w:tcPr>
            <w:tcW w:w="2320" w:type="dxa"/>
            <w:vAlign w:val="bottom"/>
            <w:tcBorders>
              <w:left w:val="single" w:sz="8" w:color="auto"/>
              <w:bottom w:val="single" w:sz="8" w:color="auto"/>
              <w:right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740" w:type="dxa"/>
            <w:vAlign w:val="bottom"/>
            <w:tcBorders>
              <w:bottom w:val="single" w:sz="8" w:color="auto"/>
              <w:right w:val="single" w:sz="8" w:color="auto"/>
            </w:tcBorders>
          </w:tcPr>
          <w:p>
            <w:pPr>
              <w:spacing w:after="0"/>
              <w:rPr>
                <w:sz w:val="22"/>
                <w:szCs w:val="22"/>
                <w:color w:val="auto"/>
              </w:rPr>
            </w:pPr>
          </w:p>
        </w:tc>
        <w:tc>
          <w:tcPr>
            <w:tcW w:w="2280" w:type="dxa"/>
            <w:vAlign w:val="bottom"/>
            <w:tcBorders>
              <w:bottom w:val="single" w:sz="8" w:color="auto"/>
              <w:right w:val="single" w:sz="8" w:color="auto"/>
            </w:tcBorders>
          </w:tcPr>
          <w:p>
            <w:pPr>
              <w:spacing w:after="0"/>
              <w:rPr>
                <w:sz w:val="22"/>
                <w:szCs w:val="22"/>
                <w:color w:val="auto"/>
              </w:rPr>
            </w:pPr>
          </w:p>
        </w:tc>
        <w:tc>
          <w:tcPr>
            <w:tcW w:w="2280" w:type="dxa"/>
            <w:vAlign w:val="bottom"/>
            <w:tcBorders>
              <w:bottom w:val="single" w:sz="8" w:color="auto"/>
              <w:right w:val="single" w:sz="8" w:color="auto"/>
            </w:tcBorders>
          </w:tcPr>
          <w:p>
            <w:pPr>
              <w:spacing w:after="0"/>
              <w:rPr>
                <w:sz w:val="22"/>
                <w:szCs w:val="22"/>
                <w:color w:val="auto"/>
              </w:rPr>
            </w:pPr>
          </w:p>
        </w:tc>
        <w:tc>
          <w:tcPr>
            <w:tcW w:w="2260" w:type="dxa"/>
            <w:vAlign w:val="bottom"/>
            <w:tcBorders>
              <w:bottom w:val="single" w:sz="8" w:color="auto"/>
              <w:right w:val="single" w:sz="8" w:color="auto"/>
            </w:tcBorders>
          </w:tcPr>
          <w:p>
            <w:pPr>
              <w:spacing w:after="0"/>
              <w:rPr>
                <w:sz w:val="22"/>
                <w:szCs w:val="22"/>
                <w:color w:val="auto"/>
              </w:rPr>
            </w:pPr>
          </w:p>
        </w:tc>
      </w:tr>
      <w:tr>
        <w:trPr>
          <w:trHeight w:val="264"/>
        </w:trPr>
        <w:tc>
          <w:tcPr>
            <w:tcW w:w="2320" w:type="dxa"/>
            <w:vAlign w:val="bottom"/>
            <w:tcBorders>
              <w:left w:val="single" w:sz="8" w:color="auto"/>
              <w:bottom w:val="single" w:sz="8" w:color="auto"/>
              <w:right w:val="single" w:sz="8" w:color="auto"/>
            </w:tcBorders>
            <w:shd w:val="clear" w:color="auto" w:fill="C0C0C0"/>
          </w:tcPr>
          <w:p>
            <w:pPr>
              <w:spacing w:after="0"/>
              <w:rPr>
                <w:sz w:val="22"/>
                <w:szCs w:val="22"/>
                <w:color w:val="auto"/>
              </w:rPr>
            </w:pPr>
          </w:p>
        </w:tc>
        <w:tc>
          <w:tcPr>
            <w:tcW w:w="540" w:type="dxa"/>
            <w:vAlign w:val="bottom"/>
            <w:tcBorders>
              <w:bottom w:val="single" w:sz="8" w:color="auto"/>
            </w:tcBorders>
            <w:shd w:val="clear" w:color="auto" w:fill="C0C0C0"/>
          </w:tcPr>
          <w:p>
            <w:pPr>
              <w:spacing w:after="0"/>
              <w:rPr>
                <w:sz w:val="22"/>
                <w:szCs w:val="22"/>
                <w:color w:val="auto"/>
              </w:rPr>
            </w:pPr>
          </w:p>
        </w:tc>
        <w:tc>
          <w:tcPr>
            <w:tcW w:w="1740" w:type="dxa"/>
            <w:vAlign w:val="bottom"/>
            <w:tcBorders>
              <w:bottom w:val="single" w:sz="8" w:color="auto"/>
              <w:right w:val="single" w:sz="8" w:color="auto"/>
            </w:tcBorders>
            <w:shd w:val="clear" w:color="auto" w:fill="C0C0C0"/>
          </w:tcPr>
          <w:p>
            <w:pPr>
              <w:spacing w:after="0"/>
              <w:rPr>
                <w:sz w:val="22"/>
                <w:szCs w:val="22"/>
                <w:color w:val="auto"/>
              </w:rPr>
            </w:pPr>
          </w:p>
        </w:tc>
        <w:tc>
          <w:tcPr>
            <w:tcW w:w="2280" w:type="dxa"/>
            <w:vAlign w:val="bottom"/>
            <w:tcBorders>
              <w:bottom w:val="single" w:sz="8" w:color="auto"/>
              <w:right w:val="single" w:sz="8" w:color="auto"/>
            </w:tcBorders>
            <w:shd w:val="clear" w:color="auto" w:fill="C0C0C0"/>
          </w:tcPr>
          <w:p>
            <w:pPr>
              <w:spacing w:after="0"/>
              <w:rPr>
                <w:sz w:val="22"/>
                <w:szCs w:val="22"/>
                <w:color w:val="auto"/>
              </w:rPr>
            </w:pPr>
          </w:p>
        </w:tc>
        <w:tc>
          <w:tcPr>
            <w:tcW w:w="2280" w:type="dxa"/>
            <w:vAlign w:val="bottom"/>
            <w:tcBorders>
              <w:bottom w:val="single" w:sz="8" w:color="auto"/>
              <w:right w:val="single" w:sz="8" w:color="auto"/>
            </w:tcBorders>
            <w:shd w:val="clear" w:color="auto" w:fill="C0C0C0"/>
          </w:tcPr>
          <w:p>
            <w:pPr>
              <w:spacing w:after="0"/>
              <w:rPr>
                <w:sz w:val="22"/>
                <w:szCs w:val="22"/>
                <w:color w:val="auto"/>
              </w:rPr>
            </w:pPr>
          </w:p>
        </w:tc>
        <w:tc>
          <w:tcPr>
            <w:tcW w:w="2260" w:type="dxa"/>
            <w:vAlign w:val="bottom"/>
            <w:tcBorders>
              <w:bottom w:val="single" w:sz="8" w:color="auto"/>
              <w:right w:val="single" w:sz="8" w:color="auto"/>
            </w:tcBorders>
            <w:shd w:val="clear" w:color="auto" w:fill="C0C0C0"/>
          </w:tcPr>
          <w:p>
            <w:pPr>
              <w:spacing w:after="0"/>
              <w:rPr>
                <w:sz w:val="22"/>
                <w:szCs w:val="22"/>
                <w:color w:val="auto"/>
              </w:rPr>
            </w:pPr>
          </w:p>
        </w:tc>
      </w:tr>
      <w:tr>
        <w:trPr>
          <w:trHeight w:val="237"/>
        </w:trPr>
        <w:tc>
          <w:tcPr>
            <w:tcW w:w="23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7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260" w:type="dxa"/>
            <w:vAlign w:val="bottom"/>
          </w:tcPr>
          <w:p>
            <w:pPr>
              <w:spacing w:after="0"/>
              <w:rPr>
                <w:sz w:val="20"/>
                <w:szCs w:val="20"/>
                <w:color w:val="auto"/>
              </w:rPr>
            </w:pPr>
          </w:p>
        </w:tc>
      </w:tr>
    </w:tbl>
    <w:p>
      <w:pPr>
        <w:spacing w:after="0" w:line="20" w:lineRule="exact"/>
        <w:rPr>
          <w:sz w:val="20"/>
          <w:szCs w:val="20"/>
          <w:color w:val="auto"/>
        </w:rPr>
      </w:pPr>
    </w:p>
    <w:p>
      <w:pPr>
        <w:ind w:left="180" w:hanging="172"/>
        <w:spacing w:after="0"/>
        <w:tabs>
          <w:tab w:leader="none" w:pos="180" w:val="left"/>
        </w:tabs>
        <w:numPr>
          <w:ilvl w:val="0"/>
          <w:numId w:val="113"/>
        </w:numPr>
        <w:rPr>
          <w:rFonts w:ascii="Arial" w:cs="Arial" w:eastAsia="Arial" w:hAnsi="Arial"/>
          <w:sz w:val="30"/>
          <w:szCs w:val="30"/>
          <w:color w:val="auto"/>
          <w:vertAlign w:val="superscript"/>
        </w:rPr>
      </w:pPr>
      <w:r>
        <w:rPr>
          <w:rFonts w:ascii="Arial" w:cs="Arial" w:eastAsia="Arial" w:hAnsi="Arial"/>
          <w:sz w:val="18"/>
          <w:szCs w:val="18"/>
          <w:color w:val="auto"/>
        </w:rPr>
        <w:t>For Global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342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34" w:name="page135"/>
    <w:bookmarkEnd w:id="134"/>
    <w:p>
      <w:pPr>
        <w:ind w:left="4740"/>
        <w:spacing w:after="0"/>
        <w:rPr>
          <w:sz w:val="20"/>
          <w:szCs w:val="20"/>
          <w:color w:val="auto"/>
        </w:rPr>
      </w:pPr>
      <w:r>
        <w:rPr>
          <w:rFonts w:ascii="Arial" w:cs="Arial" w:eastAsia="Arial" w:hAnsi="Arial"/>
          <w:sz w:val="22"/>
          <w:szCs w:val="22"/>
          <w:color w:val="auto"/>
        </w:rPr>
        <w:t>TRANSFER NOTICE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FOR VALUE RECEIVED the undersigned registered Holder hereby sell(s), assign(s) and transfer(s) unto</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Insert Taxpayer Identification No.</w:t>
      </w:r>
    </w:p>
    <w:p>
      <w:pPr>
        <w:spacing w:after="0" w:line="254"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Please print or typewrite name and address including zip code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within Note and all rights thereunder, hereby irrevocably constituting and appointing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attorney to transfer said Note on the books of the Issuer with full power of substitution in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spacing w:after="0"/>
        <w:tabs>
          <w:tab w:leader="none" w:pos="49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14605</wp:posOffset>
            </wp:positionV>
            <wp:extent cx="62687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6872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-130175</wp:posOffset>
            </wp:positionV>
            <wp:extent cx="269303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Signature(s) must be guaranteed by an eligible Guarantor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Institution (banks, stock brokers, savings and loan associations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credit unions) with membership in an approved signature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guarantee medallion program pursuant to Securities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Exchange Commission Rule 17 Ad-15 if Notes are to be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delivered other than to and in the name of the registered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402" w:right="1440"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color w:val="auto"/>
        </w:rPr>
        <w:t>Fill in for registration of Notes if to be delivered other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than to and in the name of the registered holder:</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68414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68414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(City, State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68414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Please print name and address</w:t>
      </w:r>
    </w:p>
    <w:p>
      <w:pPr>
        <w:spacing w:after="0" w:line="211" w:lineRule="exact"/>
        <w:rPr>
          <w:sz w:val="20"/>
          <w:szCs w:val="20"/>
          <w:color w:val="auto"/>
        </w:rPr>
      </w:pPr>
    </w:p>
    <w:p>
      <w:pPr>
        <w:jc w:val="both"/>
        <w:ind w:left="4580"/>
        <w:spacing w:after="0" w:line="264" w:lineRule="auto"/>
        <w:rPr>
          <w:sz w:val="20"/>
          <w:szCs w:val="20"/>
          <w:color w:val="auto"/>
        </w:rPr>
      </w:pPr>
      <w:r>
        <w:rPr>
          <w:rFonts w:ascii="Arial" w:cs="Arial" w:eastAsia="Arial" w:hAnsi="Arial"/>
          <w:sz w:val="18"/>
          <w:szCs w:val="18"/>
          <w:color w:val="auto"/>
        </w:rPr>
        <w:t>NOTICE: The above signature(s) of the Holder(s) hereof must correspond with the name as written upon the face of the Note in every particular without alteration or enlargement or any change whatever.</w:t>
      </w:r>
    </w:p>
    <w:p>
      <w:pPr>
        <w:spacing w:after="0" w:line="200" w:lineRule="exact"/>
        <w:rPr>
          <w:sz w:val="20"/>
          <w:szCs w:val="20"/>
          <w:color w:val="auto"/>
        </w:rPr>
      </w:pPr>
    </w:p>
    <w:p>
      <w:pPr>
        <w:spacing w:after="0" w:line="22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Social Security or Other Taxpayer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-130175</wp:posOffset>
            </wp:positionV>
            <wp:extent cx="433959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339590" cy="8890"/>
                    </a:xfrm>
                    <a:prstGeom prst="rect">
                      <a:avLst/>
                    </a:prstGeom>
                    <a:noFill/>
                  </pic:spPr>
                </pic:pic>
              </a:graphicData>
            </a:graphic>
          </wp:anchor>
        </w:drawing>
      </w:r>
    </w:p>
    <w:p>
      <w:pPr>
        <w:spacing w:after="0" w:line="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80"/>
          </w:cols>
          <w:pgMar w:left="240" w:top="409" w:right="379" w:bottom="1440" w:gutter="0" w:footer="0" w:header="0"/>
        </w:sectPr>
      </w:pPr>
    </w:p>
    <w:bookmarkStart w:id="136" w:name="page137"/>
    <w:bookmarkEnd w:id="136"/>
    <w:p>
      <w:pPr>
        <w:jc w:val="right"/>
        <w:spacing w:after="0"/>
        <w:rPr>
          <w:sz w:val="20"/>
          <w:szCs w:val="20"/>
          <w:color w:val="auto"/>
        </w:rPr>
      </w:pPr>
      <w:r>
        <w:rPr>
          <w:rFonts w:ascii="Arial" w:cs="Arial" w:eastAsia="Arial" w:hAnsi="Arial"/>
          <w:sz w:val="22"/>
          <w:szCs w:val="22"/>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6491605" cy="21609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491605" cy="2160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March 22, 2017</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GasLog Ltd.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$250,000,000 8.875% Senior Notes due 2022</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ind w:right="20" w:firstLine="1297"/>
        <w:spacing w:after="0" w:line="235" w:lineRule="auto"/>
        <w:rPr>
          <w:sz w:val="20"/>
          <w:szCs w:val="20"/>
          <w:color w:val="auto"/>
        </w:rPr>
      </w:pPr>
      <w:r>
        <w:rPr>
          <w:rFonts w:ascii="Arial" w:cs="Arial" w:eastAsia="Arial" w:hAnsi="Arial"/>
          <w:sz w:val="22"/>
          <w:szCs w:val="22"/>
          <w:color w:val="auto"/>
        </w:rPr>
        <w:t>We have acted as counsel for GasLog Ltd., a Bermuda exempted company (the “Company”), in connection with the public offering and sale by the Company of $250,000,000 aggregate principal amount of 8.875% Senior Notes due 2022 (the “Notes”), to be issued under the Indenture dated as of March 22, 2017 (the “Base Indenture”), between the Company and American Stock Transfer &amp; Trust Company, LLC, as trustee (the “Trustee”), as supplemented by the First Supplemental Indenture dated as of March 22, 2017 (the “Supplemental Indenture” and, together with the Base Indenture, the “Indenture”), between the Company and the Trustee.</w:t>
      </w:r>
    </w:p>
    <w:p>
      <w:pPr>
        <w:spacing w:after="0" w:line="188" w:lineRule="exact"/>
        <w:rPr>
          <w:sz w:val="20"/>
          <w:szCs w:val="20"/>
          <w:color w:val="auto"/>
        </w:rPr>
      </w:pPr>
    </w:p>
    <w:p>
      <w:pPr>
        <w:ind w:right="80" w:firstLine="1297"/>
        <w:spacing w:after="0" w:line="273" w:lineRule="auto"/>
        <w:rPr>
          <w:sz w:val="20"/>
          <w:szCs w:val="20"/>
          <w:color w:val="auto"/>
        </w:rPr>
      </w:pPr>
      <w:r>
        <w:rPr>
          <w:rFonts w:ascii="Arial" w:cs="Arial" w:eastAsia="Arial" w:hAnsi="Arial"/>
          <w:sz w:val="19"/>
          <w:szCs w:val="19"/>
          <w:color w:val="auto"/>
        </w:rPr>
        <w:t>In connection with this opinion, we have examined originals, or copies certified or otherwise identified to our satisfaction, of such documents, company records and other instruments as we have deemed necessary or appropriate for the purposes of this opinion, including: (a) resolutions adopted by the Board of Directors of the Company (the “Board”) on March 17, 2017 (b) resolutions adopted by the bond committee of the Board on March 17, 2017; (c) the Indenture; (d) the Registration Statement on Form F-3 (Registration No. 333-210169) filed with the Securities and Exchange Commission (the “Commission”) on March 14, 2016, for registration under the Securities Act of 1933 (the “Securities Act”) of $600,000,000 aggregate amount of debt securities of the Company, to be issued from time to time by the Company (the “Registration Statement”) and the Prospectus contained therein (the “Prospectus”); (e) the supplement to the Prospectus dated March 17, 2017; and (f) the Underwriting Agreement dated March 17, 2017, among the Company and Stifel, Nicolaus &amp; Company, Incorporated and DNB Markets Inc, as representatives of the several underwriters named therein (the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246620" cy="342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37" w:name="page138"/>
    <w:bookmarkEnd w:id="137"/>
    <w:p>
      <w:pPr>
        <w:ind w:right="60" w:firstLine="1297"/>
        <w:spacing w:after="0" w:line="279" w:lineRule="auto"/>
        <w:rPr>
          <w:sz w:val="20"/>
          <w:szCs w:val="20"/>
          <w:color w:val="auto"/>
        </w:rPr>
      </w:pPr>
      <w:r>
        <w:rPr>
          <w:rFonts w:ascii="Arial" w:cs="Arial" w:eastAsia="Arial" w:hAnsi="Arial"/>
          <w:sz w:val="19"/>
          <w:szCs w:val="19"/>
          <w:color w:val="auto"/>
        </w:rPr>
        <w:t>As to various questions of fact material to this opinion, we have relied upon representations of officers or directors of the Company and documents furnished to us by the Company without independent verification of their accuracy. We have also assumed (a) with your consent and without independent investigation or verification, the genuineness of all signatures, the legal capacity and competency of all natural persons, the authenticity of all documents submitted to us as originals and the conformity to authentic original documents of all documents submitted to us as duplicates or copies and (b) that the Indenture has been duly authorized, executed and delivered by, and represents a legal, valid and binding obligation of, the Trustee.</w:t>
      </w:r>
    </w:p>
    <w:p>
      <w:pPr>
        <w:spacing w:after="0" w:line="151" w:lineRule="exact"/>
        <w:rPr>
          <w:sz w:val="20"/>
          <w:szCs w:val="20"/>
          <w:color w:val="auto"/>
        </w:rPr>
      </w:pPr>
    </w:p>
    <w:p>
      <w:pPr>
        <w:ind w:right="100" w:firstLine="1297"/>
        <w:spacing w:after="0" w:line="234" w:lineRule="auto"/>
        <w:rPr>
          <w:sz w:val="20"/>
          <w:szCs w:val="20"/>
          <w:color w:val="auto"/>
        </w:rPr>
      </w:pPr>
      <w:r>
        <w:rPr>
          <w:rFonts w:ascii="Arial" w:cs="Arial" w:eastAsia="Arial" w:hAnsi="Arial"/>
          <w:sz w:val="22"/>
          <w:szCs w:val="22"/>
          <w:color w:val="auto"/>
        </w:rPr>
        <w:t>Based on the foregoing and subject to the qualifications set forth herein, we are of opinion that, when the Notes are authenticated in accordance with the provisions of the Indenture and delivered and paid for, the Notes will constitute legal, valid and binding obligations of the Company, enforceable against the Company in accordance with their terms and entitled to the benefits of the Indenture (subject to applicable bankruptcy, insolvency, reorganization, moratorium, fraudulent transfer and other similar laws affecting creditors’ rights generally from time to time in effect and to general principles of equity, including, without limitation, concepts of materiality, reasonableness, good faith and fair dealing, regardless of whether considered in a proceeding in equity or at law).</w:t>
      </w:r>
    </w:p>
    <w:p>
      <w:pPr>
        <w:spacing w:after="0" w:line="191" w:lineRule="exact"/>
        <w:rPr>
          <w:sz w:val="20"/>
          <w:szCs w:val="20"/>
          <w:color w:val="auto"/>
        </w:rPr>
      </w:pPr>
    </w:p>
    <w:p>
      <w:pPr>
        <w:ind w:right="400" w:firstLine="1297"/>
        <w:spacing w:after="0" w:line="328" w:lineRule="auto"/>
        <w:rPr>
          <w:sz w:val="20"/>
          <w:szCs w:val="20"/>
          <w:color w:val="auto"/>
        </w:rPr>
      </w:pPr>
      <w:r>
        <w:rPr>
          <w:rFonts w:ascii="Arial" w:cs="Arial" w:eastAsia="Arial" w:hAnsi="Arial"/>
          <w:sz w:val="19"/>
          <w:szCs w:val="19"/>
          <w:color w:val="auto"/>
        </w:rPr>
        <w:t>We are admitted to practice only in the State of New York and express no opinion as to matters governed by any laws other than the laws of the State of New York and the Federal laws of the United States of America.</w:t>
      </w:r>
    </w:p>
    <w:p>
      <w:pPr>
        <w:spacing w:after="0" w:line="105" w:lineRule="exact"/>
        <w:rPr>
          <w:sz w:val="20"/>
          <w:szCs w:val="20"/>
          <w:color w:val="auto"/>
        </w:rPr>
      </w:pPr>
    </w:p>
    <w:p>
      <w:pPr>
        <w:ind w:firstLine="1297"/>
        <w:spacing w:after="0" w:line="282" w:lineRule="auto"/>
        <w:rPr>
          <w:sz w:val="20"/>
          <w:szCs w:val="20"/>
          <w:color w:val="auto"/>
        </w:rPr>
      </w:pPr>
      <w:r>
        <w:rPr>
          <w:rFonts w:ascii="Arial" w:cs="Arial" w:eastAsia="Arial" w:hAnsi="Arial"/>
          <w:sz w:val="19"/>
          <w:szCs w:val="19"/>
          <w:color w:val="auto"/>
        </w:rPr>
        <w:t>We hereby consent to the filing of this opinion with the Commission as Exhibit 5.1 to the Company’s Current Report on Form 6-K filed on March 22, 2017, and to the incorporation by reference of this opinion into an exhibit to the Registration Statement. We also consent to the reference to our firm under the caption “Validity of the Notes” in the prospectus supplement forming a part of the Registration Statement. In giving this consent, we do not thereby admit that we are included in the category of persons whose consent is required under Section 7 of the Securities Act or the rules and regulations of the Commission.</w:t>
      </w:r>
    </w:p>
    <w:p>
      <w:pPr>
        <w:spacing w:after="0" w:line="14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Very truly yours,</w:t>
      </w:r>
    </w:p>
    <w:p>
      <w:pPr>
        <w:spacing w:after="0" w:line="20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 Cravath, Swaine &amp; Moore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GasLog Ltd.</w:t>
      </w:r>
    </w:p>
    <w:p>
      <w:pPr>
        <w:spacing w:after="0" w:line="238" w:lineRule="auto"/>
        <w:rPr>
          <w:sz w:val="20"/>
          <w:szCs w:val="20"/>
          <w:color w:val="auto"/>
        </w:rPr>
      </w:pPr>
      <w:r>
        <w:rPr>
          <w:rFonts w:ascii="Arial" w:cs="Arial" w:eastAsia="Arial" w:hAnsi="Arial"/>
          <w:sz w:val="22"/>
          <w:szCs w:val="22"/>
          <w:color w:val="auto"/>
        </w:rPr>
        <w:t>Gildo Pastor Center</w:t>
      </w:r>
    </w:p>
    <w:p>
      <w:pPr>
        <w:ind w:left="340"/>
        <w:spacing w:after="0" w:line="230" w:lineRule="auto"/>
        <w:rPr>
          <w:sz w:val="20"/>
          <w:szCs w:val="20"/>
          <w:color w:val="auto"/>
        </w:rPr>
      </w:pPr>
      <w:r>
        <w:rPr>
          <w:rFonts w:ascii="Arial" w:cs="Arial" w:eastAsia="Arial" w:hAnsi="Arial"/>
          <w:sz w:val="22"/>
          <w:szCs w:val="22"/>
          <w:color w:val="auto"/>
        </w:rPr>
        <w:t>7 Rue du Gabian</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MC 98000, Monaco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246620" cy="342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577" w:right="259" w:bottom="1440" w:gutter="0" w:footer="0" w:header="0"/>
        </w:sectPr>
      </w:pPr>
    </w:p>
    <w:bookmarkStart w:id="138" w:name="page139"/>
    <w:bookmarkEnd w:id="138"/>
    <w:p>
      <w:pPr>
        <w:jc w:val="right"/>
        <w:spacing w:after="0"/>
        <w:rPr>
          <w:sz w:val="20"/>
          <w:szCs w:val="20"/>
          <w:color w:val="auto"/>
        </w:rPr>
      </w:pPr>
      <w:r>
        <w:rPr>
          <w:rFonts w:ascii="Arial" w:cs="Arial" w:eastAsia="Arial" w:hAnsi="Arial"/>
          <w:sz w:val="22"/>
          <w:szCs w:val="22"/>
          <w:color w:val="auto"/>
        </w:rPr>
        <w:t>Exhibit 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color w:val="auto"/>
        </w:rPr>
        <w:t>22 March 2017</w:t>
      </w:r>
    </w:p>
    <w:p>
      <w:pPr>
        <w:jc w:val="right"/>
        <w:spacing w:after="0" w:line="233" w:lineRule="auto"/>
        <w:rPr>
          <w:sz w:val="20"/>
          <w:szCs w:val="20"/>
          <w:color w:val="auto"/>
        </w:rPr>
      </w:pPr>
      <w:r>
        <w:rPr>
          <w:rFonts w:ascii="Arial" w:cs="Arial" w:eastAsia="Arial" w:hAnsi="Arial"/>
          <w:sz w:val="13"/>
          <w:szCs w:val="13"/>
          <w:color w:val="auto"/>
        </w:rPr>
        <w:t>Matter No.:356897</w:t>
      </w:r>
    </w:p>
    <w:p>
      <w:pPr>
        <w:jc w:val="right"/>
        <w:spacing w:after="0" w:line="217" w:lineRule="auto"/>
        <w:rPr>
          <w:sz w:val="20"/>
          <w:szCs w:val="20"/>
          <w:color w:val="auto"/>
        </w:rPr>
      </w:pPr>
      <w:r>
        <w:rPr>
          <w:rFonts w:ascii="Arial" w:cs="Arial" w:eastAsia="Arial" w:hAnsi="Arial"/>
          <w:sz w:val="13"/>
          <w:szCs w:val="13"/>
          <w:color w:val="auto"/>
        </w:rPr>
        <w:t>Doc Ref: Legal -12264756v2</w:t>
      </w:r>
    </w:p>
    <w:p>
      <w:pPr>
        <w:jc w:val="right"/>
        <w:spacing w:after="0" w:line="217" w:lineRule="auto"/>
        <w:rPr>
          <w:sz w:val="20"/>
          <w:szCs w:val="20"/>
          <w:color w:val="auto"/>
        </w:rPr>
      </w:pPr>
      <w:r>
        <w:rPr>
          <w:rFonts w:ascii="Arial" w:cs="Arial" w:eastAsia="Arial" w:hAnsi="Arial"/>
          <w:sz w:val="13"/>
          <w:szCs w:val="13"/>
          <w:color w:val="auto"/>
        </w:rPr>
        <w:t>(441) 299-4954</w:t>
      </w:r>
    </w:p>
    <w:p>
      <w:pPr>
        <w:jc w:val="right"/>
        <w:spacing w:after="0" w:line="225" w:lineRule="auto"/>
        <w:rPr>
          <w:sz w:val="20"/>
          <w:szCs w:val="20"/>
          <w:color w:val="auto"/>
        </w:rPr>
      </w:pPr>
      <w:r>
        <w:rPr>
          <w:rFonts w:ascii="Arial" w:cs="Arial" w:eastAsia="Arial" w:hAnsi="Arial"/>
          <w:sz w:val="13"/>
          <w:szCs w:val="13"/>
          <w:u w:val="single" w:color="auto"/>
          <w:color w:val="auto"/>
        </w:rPr>
        <w:t>marcello.ausenda@conyersdill.com</w:t>
      </w:r>
    </w:p>
    <w:p>
      <w:pPr>
        <w:spacing w:after="0"/>
        <w:rPr>
          <w:sz w:val="20"/>
          <w:szCs w:val="20"/>
          <w:color w:val="auto"/>
        </w:rPr>
      </w:pPr>
      <w:r>
        <w:rPr>
          <w:rFonts w:ascii="Arial" w:cs="Arial" w:eastAsia="Arial" w:hAnsi="Arial"/>
          <w:sz w:val="20"/>
          <w:szCs w:val="20"/>
          <w:color w:val="auto"/>
        </w:rPr>
        <w:t>GasLog Ltd.</w:t>
      </w:r>
    </w:p>
    <w:p>
      <w:pPr>
        <w:spacing w:after="0"/>
        <w:rPr>
          <w:sz w:val="20"/>
          <w:szCs w:val="20"/>
          <w:color w:val="auto"/>
        </w:rPr>
      </w:pPr>
      <w:r>
        <w:rPr>
          <w:rFonts w:ascii="Arial" w:cs="Arial" w:eastAsia="Arial" w:hAnsi="Arial"/>
          <w:sz w:val="20"/>
          <w:szCs w:val="20"/>
          <w:color w:val="auto"/>
        </w:rPr>
        <w:t>Clarendon House</w:t>
      </w:r>
    </w:p>
    <w:p>
      <w:pPr>
        <w:spacing w:after="0"/>
        <w:rPr>
          <w:sz w:val="20"/>
          <w:szCs w:val="20"/>
          <w:color w:val="auto"/>
        </w:rPr>
      </w:pPr>
      <w:r>
        <w:rPr>
          <w:rFonts w:ascii="Arial" w:cs="Arial" w:eastAsia="Arial" w:hAnsi="Arial"/>
          <w:sz w:val="20"/>
          <w:szCs w:val="20"/>
          <w:color w:val="auto"/>
        </w:rPr>
        <w:t>2 Church Street</w:t>
      </w:r>
    </w:p>
    <w:p>
      <w:pPr>
        <w:spacing w:after="0"/>
        <w:rPr>
          <w:sz w:val="20"/>
          <w:szCs w:val="20"/>
          <w:color w:val="auto"/>
        </w:rPr>
      </w:pPr>
      <w:r>
        <w:rPr>
          <w:rFonts w:ascii="Arial" w:cs="Arial" w:eastAsia="Arial" w:hAnsi="Arial"/>
          <w:sz w:val="20"/>
          <w:szCs w:val="20"/>
          <w:color w:val="auto"/>
        </w:rPr>
        <w:t>Hamilton HM 11</w:t>
      </w:r>
    </w:p>
    <w:p>
      <w:pPr>
        <w:spacing w:after="0"/>
        <w:rPr>
          <w:sz w:val="20"/>
          <w:szCs w:val="20"/>
          <w:color w:val="auto"/>
        </w:rPr>
      </w:pPr>
      <w:r>
        <w:rPr>
          <w:rFonts w:ascii="Arial" w:cs="Arial" w:eastAsia="Arial" w:hAnsi="Arial"/>
          <w:sz w:val="20"/>
          <w:szCs w:val="20"/>
          <w:color w:val="auto"/>
        </w:rPr>
        <w:t>Bermuda</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Dear Sirs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 GasLog Ltd</w:t>
      </w:r>
      <w:r>
        <w:rPr>
          <w:rFonts w:ascii="Arial" w:cs="Arial" w:eastAsia="Arial" w:hAnsi="Arial"/>
          <w:sz w:val="20"/>
          <w:szCs w:val="20"/>
          <w:color w:val="auto"/>
        </w:rPr>
        <w:t>.</w:t>
      </w:r>
      <w:r>
        <w:rPr>
          <w:rFonts w:ascii="Arial" w:cs="Arial" w:eastAsia="Arial" w:hAnsi="Arial"/>
          <w:sz w:val="20"/>
          <w:szCs w:val="20"/>
          <w:b w:val="1"/>
          <w:bCs w:val="1"/>
          <w:color w:val="auto"/>
        </w:rPr>
        <w:t xml:space="preserve"> (the "Company")</w:t>
      </w:r>
    </w:p>
    <w:p>
      <w:pPr>
        <w:spacing w:after="0" w:line="23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have acted as special Bermuda legal counsel to the Company in connection with the proposed issuance and sale by the Company of US$250,000,000 aggregate principal amount of its 8.875% Senior Notes due 2022 (the “Notes”), pursuant to the Underwriting Agreement, dated 22 March 2017, among, inter alia, the Company, Stifel, Nicolaus &amp; Company, Incoporated and DNB Markets Inc., acting on behalf of themselves and the several underwriters named therein (the "Underwriting Agreement"). The Notes will be issued and sold pursuant the prospectus supplement dated 17 March 2017 (the "Prospectus Supplement"), supplementing the prospectus declared effective on 14 March 2016 (the "Base Prospectus") that forms part of the Registration Statement on Form F-3 (File No. 333-210169) of the Company. As used in this letter, the term "Prospectus" means the Prospectus Supplement and the Base Prospectus, including the documents incorporated or deemed to be incorporated by reference therein pursuant to Item 12 of Form F-3 under the U.S. Securities Act of 1933, as amended (the "Securities Act"). The Notes will be issued pursuant to an Indenture, dated as of 22 March 2017 among the Company and the Trustee (as such term is defined therein) (the "Original Indenture"), as supplemented by the First Supplemental Indenture, dated as of 22 March 2017 (the "First Supplemental Indenture" and together with the Original Indenture, the “Indenture”) by and among the Company and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6376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39" w:name="page140"/>
    <w:bookmarkEnd w:id="139"/>
    <w:p>
      <w:pPr>
        <w:jc w:val="both"/>
        <w:spacing w:after="0" w:line="274" w:lineRule="auto"/>
        <w:rPr>
          <w:sz w:val="20"/>
          <w:szCs w:val="20"/>
          <w:color w:val="auto"/>
        </w:rPr>
      </w:pPr>
      <w:r>
        <w:rPr>
          <w:rFonts w:ascii="Arial" w:cs="Arial" w:eastAsia="Arial" w:hAnsi="Arial"/>
          <w:sz w:val="18"/>
          <w:szCs w:val="18"/>
          <w:color w:val="auto"/>
        </w:rPr>
        <w:t>For the purposes of giving this opinion, we have examined copies of the Prospectus, the Registration Statement, the Underwriting Agreement, the Indenture, an extracts of minutes of a meeting of the Company's Board of Directors held on 17 March 2017, certified by the Assistant Secretary of the Company on 17 March 2017 and certified copy of resolutions of the Company’s Bond Committee held on 17 March 2017, certified by the Assistant Secretary of the Company on 17 March 2017 (the resolutions contained in such extracts and minutes being collectively referred to herein as the "Resolutions"). We have also reviewed the memorandum of association and the bye-laws of the Company (together, the "Constitutional Documents"), each certified by the Assistant Secretary on 22 March 2017, and such other documents and made such enquiries as to questions of law as we have deemed necessary in order to render the opinion set forth below.</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We have assumed (a) the genuineness and authenticity of all signatures and the conformity to the originals of all copies (whether or not certified) examined by us and the authenticity and completeness of the originals from which such copies were taken, (b) that where a document has been examined by us in draft form, it will be or has been executed and/or filed in the form of that draft, and where a number of drafts of a document have been examined by us all changes thereto have been marked or otherwise drawn to our attention, (c) the accuracy and completeness of all factual representations made in the Indenture, and other documents reviewed by us, (d) that the Company will enter into the Indenture in furtherance of its objects as set out in its memorandum of association, (e) that the Constitutional Documents will not be amended in any manner that would affect the opinions expressed herein, (f) that the Resolutions were passed at one or more duly convened, constituted and quorate meetings, or by unanimous written resolutions, remain in full force and effect and have not been rescinded or amended, (g) that there is no provision of the law of any jurisdiction, other than Bermuda, which would have any implication in relation to the opinions expressed herein, (h) that the Indenture is valid and binding in accordance with its terms pursuant to its governing law, (i) the capacity, power and authority of all parties other than the Company to enter into and perform their obligations under any and all documents entered into by such parties in connection with the Indenture, and the due execution and delivery thereof by each party thereto, and (j) that none of the parties to the Indenture carries on business from premises in Bermuda, at which it employs staff and pays salaries and other expenses.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obligations of the Company in connection with the Indenture (a) will be subject to the laws from time to time in effect relating to bankruptcy, insolvency, liquidation, possessory liens, rights of set off, reorganisation, amalgamation, merger, moratorium or any other laws or legal procedures, whether of a similar nature or otherwise, generally affecting the rights of creditors as well as applicable international sanctions, (b) will be subject to statutory limitation of the time within which proceedings may be brought, (c) will be subject to general principles of equity and, as such, specific performance and injunctive relief, being equitable remedies, may not be available, (d) may not be given effect to by a Bermuda court if and to the extent they constitute the payment of an amount which is in the nature of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6376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0" w:name="page141"/>
    <w:bookmarkEnd w:id="140"/>
    <w:p>
      <w:pPr>
        <w:jc w:val="both"/>
        <w:spacing w:after="0" w:line="250" w:lineRule="auto"/>
        <w:rPr>
          <w:sz w:val="20"/>
          <w:szCs w:val="20"/>
          <w:color w:val="auto"/>
        </w:rPr>
      </w:pPr>
      <w:r>
        <w:rPr>
          <w:rFonts w:ascii="Arial" w:cs="Arial" w:eastAsia="Arial" w:hAnsi="Arial"/>
          <w:sz w:val="20"/>
          <w:szCs w:val="20"/>
          <w:color w:val="auto"/>
        </w:rPr>
        <w:t>penalty, and (e) may not be given effect by a Bermuda court to the extent that they are to be performed in a jurisdiction outside Bermuda and such performance would be illegal under the laws of that jurisdiction. Notwithstanding any contractual submission to the jurisdiction of specific courts, a Bermuda court has inherent discretion to stay or allow proceedings in the Bermuda courts.</w:t>
      </w:r>
    </w:p>
    <w:p>
      <w:pPr>
        <w:spacing w:after="0" w:line="20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have made no investigation of and express no opinion in relation to the laws of any jurisdiction other than Bermuda. This opinion is to be governed by and construed in accordance with the laws of Bermuda and is limited to and is given on the basis of the current law and practice in Bermuda. This opinion is issued solely for the purposes of filing of the Registration Statement and the offering of the Notes and is not to be relied upon in respect of any other matter.</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On the basis of and subject to the foregoing we are of the opinion that:</w:t>
      </w:r>
    </w:p>
    <w:p>
      <w:pPr>
        <w:spacing w:after="0" w:line="229" w:lineRule="exact"/>
        <w:rPr>
          <w:sz w:val="20"/>
          <w:szCs w:val="20"/>
          <w:color w:val="auto"/>
        </w:rPr>
      </w:pPr>
    </w:p>
    <w:p>
      <w:pPr>
        <w:jc w:val="both"/>
        <w:ind w:left="660" w:hanging="652"/>
        <w:spacing w:after="0" w:line="269" w:lineRule="auto"/>
        <w:tabs>
          <w:tab w:leader="none" w:pos="66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The Company is duly incorporated and existing under the laws of Bermuda and is in good standing (meaning solely that it has not failed to make any filing with any Bermuda governmental authority or to pay any Bermuda government fee or tax which would make it liable to be struck off the Register of Companies and thereby cease to exist under the laws of Bermuda).</w:t>
      </w:r>
    </w:p>
    <w:p>
      <w:pPr>
        <w:spacing w:after="0" w:line="183" w:lineRule="exact"/>
        <w:rPr>
          <w:rFonts w:ascii="Arial" w:cs="Arial" w:eastAsia="Arial" w:hAnsi="Arial"/>
          <w:sz w:val="19"/>
          <w:szCs w:val="19"/>
          <w:color w:val="auto"/>
        </w:rPr>
      </w:pPr>
    </w:p>
    <w:p>
      <w:pPr>
        <w:jc w:val="both"/>
        <w:ind w:left="660" w:hanging="652"/>
        <w:spacing w:after="0" w:line="246" w:lineRule="auto"/>
        <w:tabs>
          <w:tab w:leader="none" w:pos="660" w:val="left"/>
        </w:tabs>
        <w:numPr>
          <w:ilvl w:val="0"/>
          <w:numId w:val="114"/>
        </w:numPr>
        <w:rPr>
          <w:rFonts w:ascii="Arial" w:cs="Arial" w:eastAsia="Arial" w:hAnsi="Arial"/>
          <w:sz w:val="20"/>
          <w:szCs w:val="20"/>
          <w:color w:val="auto"/>
        </w:rPr>
      </w:pPr>
      <w:r>
        <w:rPr>
          <w:rFonts w:ascii="Arial" w:cs="Arial" w:eastAsia="Arial" w:hAnsi="Arial"/>
          <w:sz w:val="20"/>
          <w:szCs w:val="20"/>
          <w:color w:val="auto"/>
        </w:rPr>
        <w:t>When the Notes shall have been duly executed by the Company and authenticated by the Trustee as provided in the Indenture and shall have been duly delivered to the purchasers thereof against payment of the agreed consideration therefor as provided in the Underwriting Agreement, the Notes will be validly issued and will constitute a valid and legally binding obligation of the Company in accordance with the terms thereof.</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hereby consent to the filing of this opinion as an exhibit to the Registration Statement and to all references to our firm included in or made a part of the Prospectus. In giving such consent, we do not hereby admit that we are experts within the meaning of Section 11 of the Securities Act or that we are in the category of persons whose consent is required under Section 7 of the Securities Act or the Rules and Regulations of the Securities and Exchange Commission promulgated thereunder.</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Yours faithfully</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/s/ Conyers Dill &amp; Pearman Limited</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002F5F"/>
        </w:rPr>
        <w:t>Conyers Dill &amp; Pearman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6376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99.1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Ltd. Announces the Closing of its Public Offering of 8.875% Senior Notes Due 2022</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MONACO – March 22, 2017 - </w:t>
      </w:r>
      <w:r>
        <w:rPr>
          <w:rFonts w:ascii="Arial" w:cs="Arial" w:eastAsia="Arial" w:hAnsi="Arial"/>
          <w:sz w:val="18"/>
          <w:szCs w:val="18"/>
          <w:color w:val="auto"/>
        </w:rPr>
        <w:t>GasLog Ltd. (“GasLog” or the “Company”) (NYSE:GLOG), an international owner, operator and manager of</w:t>
      </w:r>
      <w:r>
        <w:rPr>
          <w:rFonts w:ascii="Arial" w:cs="Arial" w:eastAsia="Arial" w:hAnsi="Arial"/>
          <w:sz w:val="18"/>
          <w:szCs w:val="18"/>
          <w:b w:val="1"/>
          <w:bCs w:val="1"/>
          <w:color w:val="auto"/>
        </w:rPr>
        <w:t xml:space="preserve"> </w:t>
      </w:r>
      <w:r>
        <w:rPr>
          <w:rFonts w:ascii="Arial" w:cs="Arial" w:eastAsia="Arial" w:hAnsi="Arial"/>
          <w:sz w:val="18"/>
          <w:szCs w:val="18"/>
          <w:color w:val="auto"/>
        </w:rPr>
        <w:t>liquefied natural gas (“LNG”) carriers, announced today the closing of its public offering of $250.0 million aggregate principal amount of 8.875% Senior Notes due 2022 (the “Notes”) at a public offering price of 100% of the principal amount.</w:t>
      </w:r>
    </w:p>
    <w:p>
      <w:pPr>
        <w:spacing w:after="0" w:line="17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net proceeds from the offering after deducting the underwriting discount and estimated offering expenses are expected to be approximately $245,280,750. The Company plans to use the net proceeds from the offering for repayment of debt and general corporate purposes, including working capital.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Stifel, Nicolaus &amp; Company, Incorporated and DNB Markets, Inc. acted as joint book-running managers and structuring agents of the offering.</w:t>
      </w:r>
    </w:p>
    <w:p>
      <w:pPr>
        <w:spacing w:after="0"/>
        <w:rPr>
          <w:sz w:val="20"/>
          <w:szCs w:val="20"/>
          <w:color w:val="auto"/>
        </w:rPr>
      </w:pPr>
      <w:r>
        <w:rPr>
          <w:rFonts w:ascii="Arial" w:cs="Arial" w:eastAsia="Arial" w:hAnsi="Arial"/>
          <w:sz w:val="18"/>
          <w:szCs w:val="18"/>
          <w:color w:val="auto"/>
        </w:rPr>
        <w:t>Arctic Securities LLC, DVB Capital Markets LLC and Pareto Securities Inc. acted as co-managers of the offering.</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offering was made only by means of a prospectus supplement and accompanying base prospectus. The prospectus supplement and accompanying base prospectus relating to the offering may be obtained from Stifel, Nicolaus &amp; Company, Incorporated, Attention: Syndicate Department, One South Street, 15th Floor, Baltimore, MD 21202, telephone: (855) 300-7136, email: syndprospectus@stifel.com or DNB Markets, Inc., 200 Park Ave, Floor 31, New York, NY 10166, telephone: (212) 681-3800.</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press release does not constitute an offer to sell or the solicitation of an offer to buy securities, and shall not constitute an offer, solicitation or sale in any jurisdiction in which such offer, solicitation or sale would be unlawful prior to registration or qualification under the securities laws of that jurisdiction.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Ltd.</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GasLog is an international owner, operator and manager of LNG carriers providing support to international energy companies as part of their LNG logistics chain. GasLog’s consolidated fleet consists of 27 LNG carriers (22 ships on the water and 5 on order). GasLog also has an additional LNG carrier which was sold to a subsidiary of Mitsui Co Ltd. and leased back under a long-term bareboat charter. GasLog’s consolidated fleet now includes nine LNG carriers in operation owned by GasLog’s subsidiary, GasLog Partners. GasLog’s principal executive offices are at Gildo Pastor Center, 7 Rue du Gabian, MC 98000, Monaco.</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Jamie Buckland - Head of Investor Relations</w:t>
      </w:r>
    </w:p>
    <w:p>
      <w:pPr>
        <w:spacing w:after="0" w:line="234" w:lineRule="auto"/>
        <w:rPr>
          <w:sz w:val="20"/>
          <w:szCs w:val="20"/>
          <w:color w:val="auto"/>
        </w:rPr>
      </w:pPr>
      <w:r>
        <w:rPr>
          <w:rFonts w:ascii="Arial" w:cs="Arial" w:eastAsia="Arial" w:hAnsi="Arial"/>
          <w:sz w:val="18"/>
          <w:szCs w:val="18"/>
          <w:color w:val="auto"/>
        </w:rPr>
        <w:t>Phone: +44-203-388-3116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ir@gaslogltd.com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7246620" cy="342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198" w:lineRule="exact"/>
        <w:rPr>
          <w:sz w:val="20"/>
          <w:szCs w:val="20"/>
          <w:color w:val="auto"/>
        </w:rPr>
      </w:pPr>
    </w:p>
    <w:p>
      <w:pPr>
        <w:ind w:left="660" w:right="80" w:hanging="328"/>
        <w:spacing w:after="0" w:line="248" w:lineRule="auto"/>
        <w:tabs>
          <w:tab w:leader="none" w:pos="6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general LNG shipping market conditions and trends, including spot and long-term charter rates, ship values, factors affecting supply and demand of LNG and LNG shipping and technological advancements and opportunities for the profitable operation of LNG carriers;</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continued low prices for crude oil and petroleum products and volatility in gas prices;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our ability to enter into time charters with new and existing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increased exposure to spot market and fluctuations in spot charter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dividends and distributions;</w:t>
      </w:r>
    </w:p>
    <w:p>
      <w:pPr>
        <w:spacing w:after="0" w:line="9" w:lineRule="exact"/>
        <w:rPr>
          <w:rFonts w:ascii="Arial" w:cs="Arial" w:eastAsia="Arial" w:hAnsi="Arial"/>
          <w:sz w:val="18"/>
          <w:szCs w:val="18"/>
          <w:color w:val="auto"/>
        </w:rPr>
      </w:pPr>
    </w:p>
    <w:p>
      <w:pPr>
        <w:ind w:left="660" w:right="60" w:hanging="328"/>
        <w:spacing w:after="0" w:line="234"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spacing w:after="0" w:line="1" w:lineRule="exact"/>
        <w:rPr>
          <w:rFonts w:ascii="Arial" w:cs="Arial" w:eastAsia="Arial" w:hAnsi="Arial"/>
          <w:sz w:val="18"/>
          <w:szCs w:val="18"/>
          <w:color w:val="auto"/>
        </w:rPr>
      </w:pPr>
    </w:p>
    <w:p>
      <w:pPr>
        <w:ind w:left="660" w:right="700" w:hanging="328"/>
        <w:spacing w:after="0" w:line="234"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future, pending or recent acquisitions of or orders for ships or other assets, business strategy, areas of possible expansion and expected capital spending or operating expenses;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time that it may take to construct and deliver newbuildings and the useful lives of our ships;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number of off-hire days, dry-docking requirements and insurance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our ability to maintain long-term relationships with major energy companies;</w:t>
      </w:r>
    </w:p>
    <w:p>
      <w:pPr>
        <w:spacing w:after="0" w:line="9" w:lineRule="exact"/>
        <w:rPr>
          <w:rFonts w:ascii="Arial" w:cs="Arial" w:eastAsia="Arial" w:hAnsi="Arial"/>
          <w:sz w:val="18"/>
          <w:szCs w:val="18"/>
          <w:color w:val="auto"/>
        </w:rPr>
      </w:pPr>
    </w:p>
    <w:p>
      <w:pPr>
        <w:ind w:left="660" w:right="1100" w:hanging="328"/>
        <w:spacing w:after="0" w:line="234"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our ability to maximize the use of our ships, including the re-employment or disposal of ships no longer under time charter commitments, including the risk that our vessels may no longer have the latest technology at such time;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environmental and regulatory conditions, including changes in laws and regulations or actions taken by regulatory authorities;</w:t>
      </w:r>
    </w:p>
    <w:p>
      <w:pPr>
        <w:spacing w:after="0" w:line="9" w:lineRule="exact"/>
        <w:rPr>
          <w:rFonts w:ascii="Arial" w:cs="Arial" w:eastAsia="Arial" w:hAnsi="Arial"/>
          <w:sz w:val="18"/>
          <w:szCs w:val="18"/>
          <w:color w:val="auto"/>
        </w:rPr>
      </w:pPr>
    </w:p>
    <w:p>
      <w:pPr>
        <w:ind w:left="660" w:right="420" w:hanging="328"/>
        <w:spacing w:after="0" w:line="234"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governmental regulations and maritime self-regulatory organization standards, requirements imposed by classification societies and standards imposed by our charterers applicable to our business;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our ability to retain key employees and the availability of skilled labor, ship crews and management;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our business strategy and other plans and objectives for future operations;</w:t>
      </w:r>
    </w:p>
    <w:p>
      <w:pPr>
        <w:spacing w:after="0" w:line="9" w:lineRule="exact"/>
        <w:rPr>
          <w:rFonts w:ascii="Arial" w:cs="Arial" w:eastAsia="Arial" w:hAnsi="Arial"/>
          <w:sz w:val="18"/>
          <w:szCs w:val="18"/>
          <w:color w:val="auto"/>
        </w:rPr>
      </w:pPr>
    </w:p>
    <w:p>
      <w:pPr>
        <w:ind w:left="660" w:right="240" w:hanging="328"/>
        <w:spacing w:after="0" w:line="234"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spacing w:after="0" w:line="1" w:lineRule="exact"/>
        <w:rPr>
          <w:rFonts w:ascii="Arial" w:cs="Arial" w:eastAsia="Arial" w:hAnsi="Arial"/>
          <w:sz w:val="18"/>
          <w:szCs w:val="18"/>
          <w:color w:val="auto"/>
        </w:rPr>
      </w:pPr>
    </w:p>
    <w:p>
      <w:pPr>
        <w:ind w:left="660" w:right="640" w:hanging="328"/>
        <w:spacing w:after="0" w:line="246"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other risks and uncertainties described in the Company’s Annual Report on Form 20-F filed with the SEC on March 1, 2017 and available at http://www.sec.gov.</w:t>
      </w:r>
    </w:p>
    <w:p>
      <w:pPr>
        <w:spacing w:after="0" w:line="18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declaration and payment of dividends are at all times subject to the discretion of our board of directors and will depend on, amongst other things, risks and uncertainties described above, restrictions in our credit facilities, the provisions of Bermuda law and such other factors as our board of directors may deem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342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4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5BA861"/>
    <w:multiLevelType w:val="hybridMultilevel"/>
    <w:lvl w:ilvl="0">
      <w:lvlJc w:val="left"/>
      <w:lvlText w:val="(%1)"/>
      <w:numFmt w:val="lowerLetter"/>
      <w:start w:val="1"/>
    </w:lvl>
  </w:abstractNum>
  <w:abstractNum w:abstractNumId="1">
    <w:nsid w:val="47398C89"/>
    <w:multiLevelType w:val="hybridMultilevel"/>
    <w:lvl w:ilvl="0">
      <w:lvlJc w:val="left"/>
      <w:lvlText w:val="(%1)"/>
      <w:numFmt w:val="lowerLetter"/>
      <w:start w:val="3"/>
    </w:lvl>
  </w:abstractNum>
  <w:abstractNum w:abstractNumId="2">
    <w:nsid w:val="354FE9F9"/>
    <w:multiLevelType w:val="hybridMultilevel"/>
    <w:lvl w:ilvl="0">
      <w:lvlJc w:val="left"/>
      <w:lvlText w:val="(%1)"/>
      <w:numFmt w:val="lowerLetter"/>
      <w:start w:val="7"/>
    </w:lvl>
  </w:abstractNum>
  <w:abstractNum w:abstractNumId="3">
    <w:nsid w:val="15B5AF5C"/>
    <w:multiLevelType w:val="hybridMultilevel"/>
    <w:lvl w:ilvl="0">
      <w:lvlJc w:val="left"/>
      <w:lvlText w:val="%1"/>
      <w:numFmt w:val="lowerLetter"/>
      <w:start w:val="1"/>
    </w:lvl>
    <w:lvl w:ilvl="1">
      <w:lvlJc w:val="left"/>
      <w:lvlText w:val="(%2)"/>
      <w:numFmt w:val="lowerLetter"/>
      <w:start w:val="10"/>
    </w:lvl>
  </w:abstractNum>
  <w:abstractNum w:abstractNumId="4">
    <w:nsid w:val="741226BB"/>
    <w:multiLevelType w:val="hybridMultilevel"/>
    <w:lvl w:ilvl="0">
      <w:lvlJc w:val="left"/>
      <w:lvlText w:val="(%1)"/>
      <w:numFmt w:val="lowerLetter"/>
      <w:start w:val="35"/>
    </w:lvl>
    <w:lvl w:ilvl="1">
      <w:lvlJc w:val="left"/>
      <w:lvlText w:val="%2"/>
      <w:numFmt w:val="lowerLetter"/>
      <w:start w:val="1"/>
    </w:lvl>
  </w:abstractNum>
  <w:abstractNum w:abstractNumId="5">
    <w:nsid w:val="D34B6A8"/>
    <w:multiLevelType w:val="hybridMultilevel"/>
    <w:lvl w:ilvl="0">
      <w:lvlJc w:val="left"/>
      <w:lvlText w:val="(%1)"/>
      <w:numFmt w:val="lowerLetter"/>
      <w:start w:val="12"/>
    </w:lvl>
  </w:abstractNum>
  <w:abstractNum w:abstractNumId="6">
    <w:nsid w:val="10233C99"/>
    <w:multiLevelType w:val="hybridMultilevel"/>
    <w:lvl w:ilvl="0">
      <w:lvlJc w:val="left"/>
      <w:lvlText w:val="(%1)"/>
      <w:numFmt w:val="lowerLetter"/>
      <w:start w:val="18"/>
    </w:lvl>
  </w:abstractNum>
  <w:abstractNum w:abstractNumId="7">
    <w:nsid w:val="3F6AB60F"/>
    <w:multiLevelType w:val="hybridMultilevel"/>
    <w:lvl w:ilvl="0">
      <w:lvlJc w:val="left"/>
      <w:lvlText w:val="(%1)"/>
      <w:numFmt w:val="lowerLetter"/>
      <w:start w:val="24"/>
    </w:lvl>
  </w:abstractNum>
  <w:abstractNum w:abstractNumId="8">
    <w:nsid w:val="61574095"/>
    <w:multiLevelType w:val="hybridMultilevel"/>
    <w:lvl w:ilvl="0">
      <w:lvlJc w:val="left"/>
      <w:lvlText w:val="%1"/>
      <w:numFmt w:val="upperLetter"/>
      <w:start w:val="1"/>
    </w:lvl>
    <w:lvl w:ilvl="1">
      <w:lvlJc w:val="left"/>
      <w:lvlText w:val="(%2)"/>
      <w:numFmt w:val="lowerLetter"/>
      <w:start w:val="27"/>
    </w:lvl>
  </w:abstractNum>
  <w:abstractNum w:abstractNumId="9">
    <w:nsid w:val="7E0C57B1"/>
    <w:multiLevelType w:val="hybridMultilevel"/>
    <w:lvl w:ilvl="0">
      <w:lvlJc w:val="left"/>
      <w:lvlText w:val="(%1)"/>
      <w:numFmt w:val="upperLetter"/>
      <w:start w:val="3"/>
    </w:lvl>
    <w:lvl w:ilvl="1">
      <w:lvlJc w:val="left"/>
      <w:lvlText w:val="(%2)"/>
      <w:numFmt w:val="lowerLetter"/>
      <w:start w:val="31"/>
    </w:lvl>
  </w:abstractNum>
  <w:abstractNum w:abstractNumId="10">
    <w:nsid w:val="77AE35EB"/>
    <w:multiLevelType w:val="hybridMultilevel"/>
    <w:lvl w:ilvl="0">
      <w:lvlJc w:val="left"/>
      <w:lvlText w:val="(%1)"/>
      <w:numFmt w:val="lowerLetter"/>
      <w:start w:val="32"/>
    </w:lvl>
  </w:abstractNum>
  <w:abstractNum w:abstractNumId="11">
    <w:nsid w:val="579BE4F1"/>
    <w:multiLevelType w:val="hybridMultilevel"/>
    <w:lvl w:ilvl="0">
      <w:lvlJc w:val="left"/>
      <w:lvlText w:val="(%1)"/>
      <w:numFmt w:val="lowerLetter"/>
      <w:start w:val="38"/>
    </w:lvl>
  </w:abstractNum>
  <w:abstractNum w:abstractNumId="12">
    <w:nsid w:val="310C50B3"/>
    <w:multiLevelType w:val="hybridMultilevel"/>
    <w:lvl w:ilvl="0">
      <w:lvlJc w:val="left"/>
      <w:lvlText w:val="%1"/>
      <w:numFmt w:val="lowerLetter"/>
      <w:start w:val="1"/>
    </w:lvl>
    <w:lvl w:ilvl="1">
      <w:lvlJc w:val="left"/>
      <w:lvlText w:val="(%2)"/>
      <w:numFmt w:val="lowerLetter"/>
      <w:start w:val="46"/>
    </w:lvl>
  </w:abstractNum>
  <w:abstractNum w:abstractNumId="13">
    <w:nsid w:val="5FF87E05"/>
    <w:multiLevelType w:val="hybridMultilevel"/>
    <w:lvl w:ilvl="0">
      <w:lvlJc w:val="left"/>
      <w:lvlText w:val="(%1)"/>
      <w:numFmt w:val="lowerLetter"/>
      <w:start w:val="35"/>
    </w:lvl>
    <w:lvl w:ilvl="1">
      <w:lvlJc w:val="left"/>
      <w:lvlText w:val="(%2)"/>
      <w:numFmt w:val="lowerLetter"/>
      <w:start w:val="49"/>
    </w:lvl>
  </w:abstractNum>
  <w:abstractNum w:abstractNumId="14">
    <w:nsid w:val="2F305DEF"/>
    <w:multiLevelType w:val="hybridMultilevel"/>
    <w:lvl w:ilvl="0">
      <w:lvlJc w:val="left"/>
      <w:lvlText w:val="(%1)"/>
      <w:numFmt w:val="lowerLetter"/>
      <w:start w:val="51"/>
    </w:lvl>
  </w:abstractNum>
  <w:abstractNum w:abstractNumId="15">
    <w:nsid w:val="25A70BF7"/>
    <w:multiLevelType w:val="hybridMultilevel"/>
    <w:lvl w:ilvl="0">
      <w:lvlJc w:val="left"/>
      <w:lvlText w:val="(%1)"/>
      <w:numFmt w:val="lowerLetter"/>
      <w:start w:val="52"/>
    </w:lvl>
  </w:abstractNum>
  <w:abstractNum w:abstractNumId="16">
    <w:nsid w:val="1DBABF00"/>
    <w:multiLevelType w:val="hybridMultilevel"/>
    <w:lvl w:ilvl="0">
      <w:lvlJc w:val="left"/>
      <w:lvlText w:val="(%1)"/>
      <w:numFmt w:val="lowerLetter"/>
      <w:start w:val="53"/>
    </w:lvl>
  </w:abstractNum>
  <w:abstractNum w:abstractNumId="17">
    <w:nsid w:val="4AD084E9"/>
    <w:multiLevelType w:val="hybridMultilevel"/>
    <w:lvl w:ilvl="0">
      <w:lvlJc w:val="left"/>
      <w:lvlText w:val="%1."/>
      <w:numFmt w:val="decimal"/>
      <w:start w:val="2"/>
    </w:lvl>
  </w:abstractNum>
  <w:abstractNum w:abstractNumId="18">
    <w:nsid w:val="1F48EAA1"/>
    <w:multiLevelType w:val="hybridMultilevel"/>
    <w:lvl w:ilvl="0">
      <w:lvlJc w:val="left"/>
      <w:lvlText w:val="%1."/>
      <w:numFmt w:val="decimal"/>
      <w:start w:val="4"/>
    </w:lvl>
  </w:abstractNum>
  <w:abstractNum w:abstractNumId="19">
    <w:nsid w:val="1381823A"/>
    <w:multiLevelType w:val="hybridMultilevel"/>
    <w:lvl w:ilvl="0">
      <w:lvlJc w:val="left"/>
      <w:lvlText w:val="(%1)"/>
      <w:numFmt w:val="lowerLetter"/>
      <w:start w:val="2"/>
    </w:lvl>
  </w:abstractNum>
  <w:abstractNum w:abstractNumId="20">
    <w:nsid w:val="5DB70AE5"/>
    <w:multiLevelType w:val="hybridMultilevel"/>
    <w:lvl w:ilvl="0">
      <w:lvlJc w:val="left"/>
      <w:lvlText w:val="(%1)"/>
      <w:numFmt w:val="lowerLetter"/>
      <w:start w:val="1"/>
    </w:lvl>
  </w:abstractNum>
  <w:abstractNum w:abstractNumId="21">
    <w:nsid w:val="100F8FCA"/>
    <w:multiLevelType w:val="hybridMultilevel"/>
    <w:lvl w:ilvl="0">
      <w:lvlJc w:val="left"/>
      <w:lvlText w:val="(%1)"/>
      <w:numFmt w:val="lowerLetter"/>
      <w:start w:val="2"/>
    </w:lvl>
  </w:abstractNum>
  <w:abstractNum w:abstractNumId="22">
    <w:nsid w:val="6590700B"/>
    <w:multiLevelType w:val="hybridMultilevel"/>
    <w:lvl w:ilvl="0">
      <w:lvlJc w:val="left"/>
      <w:lvlText w:val="(%1)"/>
      <w:numFmt w:val="lowerLetter"/>
      <w:start w:val="5"/>
    </w:lvl>
  </w:abstractNum>
  <w:abstractNum w:abstractNumId="23">
    <w:nsid w:val="15014ACB"/>
    <w:multiLevelType w:val="hybridMultilevel"/>
    <w:lvl w:ilvl="0">
      <w:lvlJc w:val="left"/>
      <w:lvlText w:val="%1."/>
      <w:numFmt w:val="decimal"/>
      <w:start w:val="6"/>
    </w:lvl>
  </w:abstractNum>
  <w:abstractNum w:abstractNumId="24">
    <w:nsid w:val="5F5E7FD0"/>
    <w:multiLevelType w:val="hybridMultilevel"/>
    <w:lvl w:ilvl="0">
      <w:lvlJc w:val="left"/>
      <w:lvlText w:val="(%1)"/>
      <w:numFmt w:val="lowerLetter"/>
      <w:start w:val="2"/>
    </w:lvl>
  </w:abstractNum>
  <w:abstractNum w:abstractNumId="25">
    <w:nsid w:val="98A3148"/>
    <w:multiLevelType w:val="hybridMultilevel"/>
    <w:lvl w:ilvl="0">
      <w:lvlJc w:val="left"/>
      <w:lvlText w:val="%1."/>
      <w:numFmt w:val="decimal"/>
      <w:start w:val="7"/>
    </w:lvl>
  </w:abstractNum>
  <w:abstractNum w:abstractNumId="26">
    <w:nsid w:val="799D0247"/>
    <w:multiLevelType w:val="hybridMultilevel"/>
    <w:lvl w:ilvl="0">
      <w:lvlJc w:val="left"/>
      <w:lvlText w:val="%1."/>
      <w:numFmt w:val="decimal"/>
      <w:start w:val="8"/>
    </w:lvl>
    <w:lvl w:ilvl="1">
      <w:lvlJc w:val="left"/>
      <w:lvlText w:val="(%2)"/>
      <w:numFmt w:val="lowerLetter"/>
      <w:start w:val="1"/>
    </w:lvl>
  </w:abstractNum>
  <w:abstractNum w:abstractNumId="27">
    <w:nsid w:val="6B94764"/>
    <w:multiLevelType w:val="hybridMultilevel"/>
    <w:lvl w:ilvl="0">
      <w:lvlJc w:val="left"/>
      <w:lvlText w:val="%1"/>
      <w:numFmt w:val="lowerLetter"/>
      <w:start w:val="1"/>
    </w:lvl>
    <w:lvl w:ilvl="1">
      <w:lvlJc w:val="left"/>
      <w:lvlText w:val="(%2)"/>
      <w:numFmt w:val="lowerLetter"/>
      <w:start w:val="7"/>
    </w:lvl>
  </w:abstractNum>
  <w:abstractNum w:abstractNumId="28">
    <w:nsid w:val="42C296BD"/>
    <w:multiLevelType w:val="hybridMultilevel"/>
    <w:lvl w:ilvl="0">
      <w:lvlJc w:val="left"/>
      <w:lvlText w:val="(%1)"/>
      <w:numFmt w:val="lowerLetter"/>
      <w:start w:val="35"/>
    </w:lvl>
    <w:lvl w:ilvl="1">
      <w:lvlJc w:val="left"/>
      <w:lvlText w:val="(%2)"/>
      <w:numFmt w:val="lowerLetter"/>
      <w:start w:val="10"/>
    </w:lvl>
  </w:abstractNum>
  <w:abstractNum w:abstractNumId="29">
    <w:nsid w:val="168E121F"/>
    <w:multiLevelType w:val="hybridMultilevel"/>
    <w:lvl w:ilvl="0">
      <w:lvlJc w:val="left"/>
      <w:lvlText w:val="%1"/>
      <w:numFmt w:val="decimal"/>
      <w:start w:val="1"/>
    </w:lvl>
    <w:lvl w:ilvl="1">
      <w:lvlJc w:val="left"/>
      <w:lvlText w:val="(%2)"/>
      <w:numFmt w:val="lowerLetter"/>
      <w:start w:val="11"/>
    </w:lvl>
  </w:abstractNum>
  <w:abstractNum w:abstractNumId="30">
    <w:nsid w:val="1EBA5D23"/>
    <w:multiLevelType w:val="hybridMultilevel"/>
    <w:lvl w:ilvl="0">
      <w:lvlJc w:val="left"/>
      <w:lvlText w:val="%1."/>
      <w:numFmt w:val="decimal"/>
      <w:start w:val="9"/>
    </w:lvl>
    <w:lvl w:ilvl="1">
      <w:lvlJc w:val="left"/>
      <w:lvlText w:val="%2"/>
      <w:numFmt w:val="lowerLetter"/>
      <w:start w:val="1"/>
    </w:lvl>
  </w:abstractNum>
  <w:abstractNum w:abstractNumId="31">
    <w:nsid w:val="661E3F1E"/>
    <w:multiLevelType w:val="hybridMultilevel"/>
    <w:lvl w:ilvl="0">
      <w:lvlJc w:val="left"/>
      <w:lvlText w:val="(%1)"/>
      <w:numFmt w:val="lowerLetter"/>
      <w:start w:val="2"/>
    </w:lvl>
  </w:abstractNum>
  <w:abstractNum w:abstractNumId="32">
    <w:nsid w:val="5DC79EA8"/>
    <w:multiLevelType w:val="hybridMultilevel"/>
    <w:lvl w:ilvl="0">
      <w:lvlJc w:val="left"/>
      <w:lvlText w:val="(%1)"/>
      <w:numFmt w:val="lowerLetter"/>
      <w:start w:val="3"/>
    </w:lvl>
  </w:abstractNum>
  <w:abstractNum w:abstractNumId="33">
    <w:nsid w:val="540A471C"/>
    <w:multiLevelType w:val="hybridMultilevel"/>
    <w:lvl w:ilvl="0">
      <w:lvlJc w:val="left"/>
      <w:lvlText w:val="%1"/>
      <w:numFmt w:val="lowerLetter"/>
      <w:start w:val="1"/>
    </w:lvl>
    <w:lvl w:ilvl="1">
      <w:lvlJc w:val="left"/>
      <w:lvlText w:val="(%2)"/>
      <w:numFmt w:val="lowerLetter"/>
      <w:start w:val="4"/>
    </w:lvl>
  </w:abstractNum>
  <w:abstractNum w:abstractNumId="34">
    <w:nsid w:val="7BD3EE7B"/>
    <w:multiLevelType w:val="hybridMultilevel"/>
    <w:lvl w:ilvl="0">
      <w:lvlJc w:val="left"/>
      <w:lvlText w:val="(%1)"/>
      <w:numFmt w:val="lowerLetter"/>
      <w:start w:val="2"/>
    </w:lvl>
    <w:lvl w:ilvl="1">
      <w:lvlJc w:val="left"/>
      <w:lvlText w:val="(%2)"/>
      <w:numFmt w:val="lowerLetter"/>
      <w:start w:val="5"/>
    </w:lvl>
  </w:abstractNum>
  <w:abstractNum w:abstractNumId="35">
    <w:nsid w:val="51D9C564"/>
    <w:multiLevelType w:val="hybridMultilevel"/>
    <w:lvl w:ilvl="0">
      <w:lvlJc w:val="left"/>
      <w:lvlText w:val="%1."/>
      <w:numFmt w:val="decimal"/>
      <w:start w:val="10"/>
    </w:lvl>
  </w:abstractNum>
  <w:abstractNum w:abstractNumId="36">
    <w:nsid w:val="613EFDC5"/>
    <w:multiLevelType w:val="hybridMultilevel"/>
    <w:lvl w:ilvl="0">
      <w:lvlJc w:val="left"/>
      <w:lvlText w:val="(%1)"/>
      <w:numFmt w:val="lowerLetter"/>
      <w:start w:val="2"/>
    </w:lvl>
  </w:abstractNum>
  <w:abstractNum w:abstractNumId="37">
    <w:nsid w:val="BF72B14"/>
    <w:multiLevelType w:val="hybridMultilevel"/>
    <w:lvl w:ilvl="0">
      <w:lvlJc w:val="left"/>
      <w:lvlText w:val="%1."/>
      <w:numFmt w:val="decimal"/>
      <w:start w:val="11"/>
    </w:lvl>
  </w:abstractNum>
  <w:abstractNum w:abstractNumId="38">
    <w:nsid w:val="11447B73"/>
    <w:multiLevelType w:val="hybridMultilevel"/>
    <w:lvl w:ilvl="0">
      <w:lvlJc w:val="left"/>
      <w:lvlText w:val="%1."/>
      <w:numFmt w:val="decimal"/>
      <w:start w:val="14"/>
    </w:lvl>
  </w:abstractNum>
  <w:abstractNum w:abstractNumId="39">
    <w:nsid w:val="42963E5A"/>
    <w:multiLevelType w:val="hybridMultilevel"/>
    <w:lvl w:ilvl="0">
      <w:lvlJc w:val="left"/>
      <w:lvlText w:val="%1."/>
      <w:numFmt w:val="decimal"/>
      <w:start w:val="19"/>
    </w:lvl>
  </w:abstractNum>
  <w:abstractNum w:abstractNumId="40">
    <w:nsid w:val="A0382C5"/>
    <w:multiLevelType w:val="hybridMultilevel"/>
    <w:lvl w:ilvl="0">
      <w:lvlJc w:val="left"/>
      <w:lvlText w:val="%1."/>
      <w:numFmt w:val="decimal"/>
      <w:start w:val="22"/>
    </w:lvl>
  </w:abstractNum>
  <w:abstractNum w:abstractNumId="41">
    <w:nsid w:val="8F2B15E"/>
    <w:multiLevelType w:val="hybridMultilevel"/>
    <w:lvl w:ilvl="0">
      <w:lvlJc w:val="left"/>
      <w:lvlText w:val="1"/>
      <w:numFmt w:val="bullet"/>
      <w:start w:val="1"/>
    </w:lvl>
  </w:abstractNum>
  <w:abstractNum w:abstractNumId="42">
    <w:nsid w:val="1A32234B"/>
    <w:multiLevelType w:val="hybridMultilevel"/>
    <w:lvl w:ilvl="0">
      <w:lvlJc w:val="left"/>
      <w:lvlText w:val="%1."/>
      <w:numFmt w:val="decimal"/>
      <w:start w:val="1"/>
    </w:lvl>
  </w:abstractNum>
  <w:abstractNum w:abstractNumId="43">
    <w:nsid w:val="3B0FD379"/>
    <w:multiLevelType w:val="hybridMultilevel"/>
    <w:lvl w:ilvl="0">
      <w:lvlJc w:val="left"/>
      <w:lvlText w:val="%1."/>
      <w:numFmt w:val="decimal"/>
      <w:start w:val="5"/>
    </w:lvl>
  </w:abstractNum>
  <w:abstractNum w:abstractNumId="44">
    <w:nsid w:val="68EB2F63"/>
    <w:multiLevelType w:val="hybridMultilevel"/>
    <w:lvl w:ilvl="0">
      <w:lvlJc w:val="left"/>
      <w:lvlText w:val="%1."/>
      <w:numFmt w:val="decimal"/>
      <w:start w:val="11"/>
    </w:lvl>
  </w:abstractNum>
  <w:abstractNum w:abstractNumId="45">
    <w:nsid w:val="4962813B"/>
    <w:multiLevelType w:val="hybridMultilevel"/>
    <w:lvl w:ilvl="0">
      <w:lvlJc w:val="left"/>
      <w:lvlText w:val="%1."/>
      <w:numFmt w:val="decimal"/>
      <w:start w:val="1"/>
    </w:lvl>
    <w:lvl w:ilvl="1">
      <w:lvlJc w:val="left"/>
      <w:lvlText w:val="(%2)"/>
      <w:numFmt w:val="lowerLetter"/>
      <w:start w:val="1"/>
    </w:lvl>
  </w:abstractNum>
  <w:abstractNum w:abstractNumId="46">
    <w:nsid w:val="60B6DF70"/>
    <w:multiLevelType w:val="hybridMultilevel"/>
    <w:lvl w:ilvl="0">
      <w:lvlJc w:val="left"/>
      <w:lvlText w:val="%1."/>
      <w:numFmt w:val="decimal"/>
      <w:start w:val="5"/>
    </w:lvl>
  </w:abstractNum>
  <w:abstractNum w:abstractNumId="47">
    <w:nsid w:val="6A5EE64"/>
    <w:multiLevelType w:val="hybridMultilevel"/>
    <w:lvl w:ilvl="0">
      <w:lvlJc w:val="left"/>
      <w:lvlText w:val="%1."/>
      <w:numFmt w:val="decimal"/>
      <w:start w:val="9"/>
    </w:lvl>
  </w:abstractNum>
  <w:abstractNum w:abstractNumId="48">
    <w:nsid w:val="14330624"/>
    <w:multiLevelType w:val="hybridMultilevel"/>
    <w:lvl w:ilvl="0">
      <w:lvlJc w:val="left"/>
      <w:lvlText w:val="%1."/>
      <w:numFmt w:val="decimal"/>
      <w:start w:val="12"/>
    </w:lvl>
  </w:abstractNum>
  <w:abstractNum w:abstractNumId="49">
    <w:nsid w:val="7FFFCA11"/>
    <w:multiLevelType w:val="hybridMultilevel"/>
    <w:lvl w:ilvl="0">
      <w:lvlJc w:val="left"/>
      <w:lvlText w:val="%1."/>
      <w:numFmt w:val="decimal"/>
      <w:start w:val="17"/>
    </w:lvl>
    <w:lvl w:ilvl="1">
      <w:lvlJc w:val="left"/>
      <w:lvlText w:val="(%2)"/>
      <w:numFmt w:val="lowerLetter"/>
      <w:start w:val="1"/>
    </w:lvl>
  </w:abstractNum>
  <w:abstractNum w:abstractNumId="50">
    <w:nsid w:val="1A27709E"/>
    <w:multiLevelType w:val="hybridMultilevel"/>
    <w:lvl w:ilvl="0">
      <w:lvlJc w:val="left"/>
      <w:lvlText w:val="2"/>
      <w:numFmt w:val="bullet"/>
      <w:start w:val="1"/>
    </w:lvl>
  </w:abstractNum>
  <w:abstractNum w:abstractNumId="51">
    <w:nsid w:val="71EA1109"/>
    <w:multiLevelType w:val="hybridMultilevel"/>
    <w:lvl w:ilvl="0">
      <w:lvlJc w:val="left"/>
      <w:lvlText w:val="*"/>
      <w:numFmt w:val="bullet"/>
      <w:start w:val="1"/>
    </w:lvl>
  </w:abstractNum>
  <w:abstractNum w:abstractNumId="52">
    <w:nsid w:val="100F59DC"/>
    <w:multiLevelType w:val="hybridMultilevel"/>
    <w:lvl w:ilvl="0">
      <w:lvlJc w:val="left"/>
      <w:lvlText w:val="(%1)"/>
      <w:numFmt w:val="lowerRoman"/>
      <w:start w:val="2"/>
    </w:lvl>
  </w:abstractNum>
  <w:abstractNum w:abstractNumId="53">
    <w:nsid w:val="7FB7E0AA"/>
    <w:multiLevelType w:val="hybridMultilevel"/>
    <w:lvl w:ilvl="0">
      <w:lvlJc w:val="left"/>
      <w:lvlText w:val="(%1)"/>
      <w:numFmt w:val="lowerLetter"/>
      <w:start w:val="1"/>
    </w:lvl>
  </w:abstractNum>
  <w:abstractNum w:abstractNumId="54">
    <w:nsid w:val="6EB5BD4"/>
    <w:multiLevelType w:val="hybridMultilevel"/>
    <w:lvl w:ilvl="0">
      <w:lvlJc w:val="left"/>
      <w:lvlText w:val="(%1)"/>
      <w:numFmt w:val="lowerLetter"/>
      <w:start w:val="1"/>
    </w:lvl>
  </w:abstractNum>
  <w:abstractNum w:abstractNumId="55">
    <w:nsid w:val="6F6DD9AC"/>
    <w:multiLevelType w:val="hybridMultilevel"/>
    <w:lvl w:ilvl="0">
      <w:lvlJc w:val="left"/>
      <w:lvlText w:val="(%1)"/>
      <w:numFmt w:val="lowerLetter"/>
      <w:start w:val="14"/>
    </w:lvl>
  </w:abstractNum>
  <w:abstractNum w:abstractNumId="56">
    <w:nsid w:val="94211F2"/>
    <w:multiLevelType w:val="hybridMultilevel"/>
    <w:lvl w:ilvl="0">
      <w:lvlJc w:val="left"/>
      <w:lvlText w:val="(%1)"/>
      <w:numFmt w:val="lowerLetter"/>
      <w:start w:val="1"/>
    </w:lvl>
    <w:lvl w:ilvl="1">
      <w:lvlJc w:val="left"/>
      <w:lvlText w:val="(%2)"/>
      <w:numFmt w:val="lowerRoman"/>
      <w:start w:val="1"/>
    </w:lvl>
  </w:abstractNum>
  <w:abstractNum w:abstractNumId="57">
    <w:nsid w:val="885E1B"/>
    <w:multiLevelType w:val="hybridMultilevel"/>
    <w:lvl w:ilvl="0">
      <w:lvlJc w:val="left"/>
      <w:lvlText w:val="(%1)"/>
      <w:numFmt w:val="lowerRoman"/>
      <w:start w:val="3"/>
    </w:lvl>
  </w:abstractNum>
  <w:abstractNum w:abstractNumId="58">
    <w:nsid w:val="76272110"/>
    <w:multiLevelType w:val="hybridMultilevel"/>
    <w:lvl w:ilvl="0">
      <w:lvlJc w:val="left"/>
      <w:lvlText w:val="(%1)"/>
      <w:numFmt w:val="lowerLetter"/>
      <w:start w:val="1"/>
    </w:lvl>
  </w:abstractNum>
  <w:abstractNum w:abstractNumId="59">
    <w:nsid w:val="4C04A8AF"/>
    <w:multiLevelType w:val="hybridMultilevel"/>
    <w:lvl w:ilvl="0">
      <w:lvlJc w:val="left"/>
      <w:lvlText w:val="(%1)"/>
      <w:numFmt w:val="lowerLetter"/>
      <w:start w:val="1"/>
    </w:lvl>
    <w:lvl w:ilvl="1">
      <w:lvlJc w:val="left"/>
      <w:lvlText w:val="(%2)"/>
      <w:numFmt w:val="lowerRoman"/>
      <w:start w:val="1"/>
    </w:lvl>
  </w:abstractNum>
  <w:abstractNum w:abstractNumId="60">
    <w:nsid w:val="1716703B"/>
    <w:multiLevelType w:val="hybridMultilevel"/>
    <w:lvl w:ilvl="0">
      <w:lvlJc w:val="left"/>
      <w:lvlText w:val="(%1)"/>
      <w:numFmt w:val="lowerLetter"/>
      <w:start w:val="1"/>
    </w:lvl>
  </w:abstractNum>
  <w:abstractNum w:abstractNumId="61">
    <w:nsid w:val="14E17E33"/>
    <w:multiLevelType w:val="hybridMultilevel"/>
    <w:lvl w:ilvl="0">
      <w:lvlJc w:val="left"/>
      <w:lvlText w:val="(%1)"/>
      <w:numFmt w:val="lowerLetter"/>
      <w:start w:val="3"/>
    </w:lvl>
  </w:abstractNum>
  <w:abstractNum w:abstractNumId="62">
    <w:nsid w:val="3222E7CD"/>
    <w:multiLevelType w:val="hybridMultilevel"/>
    <w:lvl w:ilvl="0">
      <w:lvlJc w:val="left"/>
      <w:lvlText w:val="(%1)"/>
      <w:numFmt w:val="lowerLetter"/>
      <w:start w:val="1"/>
    </w:lvl>
    <w:lvl w:ilvl="1">
      <w:lvlJc w:val="left"/>
      <w:lvlText w:val="(%2)"/>
      <w:numFmt w:val="lowerLetter"/>
      <w:start w:val="9"/>
    </w:lvl>
  </w:abstractNum>
  <w:abstractNum w:abstractNumId="63">
    <w:nsid w:val="74DE0EE3"/>
    <w:multiLevelType w:val="hybridMultilevel"/>
    <w:lvl w:ilvl="0">
      <w:lvlJc w:val="left"/>
      <w:lvlText w:val="%1"/>
      <w:numFmt w:val="lowerLetter"/>
      <w:start w:val="1"/>
    </w:lvl>
    <w:lvl w:ilvl="1">
      <w:lvlJc w:val="left"/>
      <w:lvlText w:val="(%2)"/>
      <w:numFmt w:val="lowerLetter"/>
      <w:start w:val="35"/>
    </w:lvl>
  </w:abstractNum>
  <w:abstractNum w:abstractNumId="64">
    <w:nsid w:val="68EBC550"/>
    <w:multiLevelType w:val="hybridMultilevel"/>
    <w:lvl w:ilvl="0">
      <w:lvlJc w:val="left"/>
      <w:lvlText w:val="(%1)"/>
      <w:numFmt w:val="lowerLetter"/>
      <w:start w:val="2"/>
    </w:lvl>
    <w:lvl w:ilvl="1">
      <w:lvlJc w:val="left"/>
      <w:lvlText w:val="%2"/>
      <w:numFmt w:val="lowerLetter"/>
      <w:start w:val="1"/>
    </w:lvl>
  </w:abstractNum>
  <w:abstractNum w:abstractNumId="65">
    <w:nsid w:val="2DF6D648"/>
    <w:multiLevelType w:val="hybridMultilevel"/>
    <w:lvl w:ilvl="0">
      <w:lvlJc w:val="left"/>
      <w:lvlText w:val="(%1)"/>
      <w:numFmt w:val="lowerLetter"/>
      <w:start w:val="1"/>
    </w:lvl>
  </w:abstractNum>
  <w:abstractNum w:abstractNumId="66">
    <w:nsid w:val="46B7D447"/>
    <w:multiLevelType w:val="hybridMultilevel"/>
    <w:lvl w:ilvl="0">
      <w:lvlJc w:val="left"/>
      <w:lvlText w:val="(%1)"/>
      <w:numFmt w:val="lowerLetter"/>
      <w:start w:val="5"/>
    </w:lvl>
  </w:abstractNum>
  <w:abstractNum w:abstractNumId="67">
    <w:nsid w:val="4A2AC315"/>
    <w:multiLevelType w:val="hybridMultilevel"/>
    <w:lvl w:ilvl="0">
      <w:lvlJc w:val="left"/>
      <w:lvlText w:val="(%1)"/>
      <w:numFmt w:val="lowerLetter"/>
      <w:start w:val="2"/>
    </w:lvl>
    <w:lvl w:ilvl="1">
      <w:lvlJc w:val="left"/>
      <w:lvlText w:val="(%2)"/>
      <w:numFmt w:val="lowerRoman"/>
      <w:start w:val="1"/>
    </w:lvl>
  </w:abstractNum>
  <w:abstractNum w:abstractNumId="68">
    <w:nsid w:val="39EE015C"/>
    <w:multiLevelType w:val="hybridMultilevel"/>
    <w:lvl w:ilvl="0">
      <w:lvlJc w:val="left"/>
      <w:lvlText w:val="(%1)"/>
      <w:numFmt w:val="lowerLetter"/>
      <w:start w:val="3"/>
    </w:lvl>
  </w:abstractNum>
  <w:abstractNum w:abstractNumId="69">
    <w:nsid w:val="57FC4FBB"/>
    <w:multiLevelType w:val="hybridMultilevel"/>
    <w:lvl w:ilvl="0">
      <w:lvlJc w:val="left"/>
      <w:lvlText w:val="(%1)"/>
      <w:numFmt w:val="lowerLetter"/>
      <w:start w:val="4"/>
    </w:lvl>
  </w:abstractNum>
  <w:abstractNum w:abstractNumId="70">
    <w:nsid w:val="CC1016F"/>
    <w:multiLevelType w:val="hybridMultilevel"/>
    <w:lvl w:ilvl="0">
      <w:lvlJc w:val="left"/>
      <w:lvlText w:val="(%1)"/>
      <w:numFmt w:val="lowerLetter"/>
      <w:start w:val="1"/>
    </w:lvl>
  </w:abstractNum>
  <w:abstractNum w:abstractNumId="71">
    <w:nsid w:val="43F18422"/>
    <w:multiLevelType w:val="hybridMultilevel"/>
    <w:lvl w:ilvl="0">
      <w:lvlJc w:val="left"/>
      <w:lvlText w:val="(%1)"/>
      <w:numFmt w:val="lowerLetter"/>
      <w:start w:val="5"/>
    </w:lvl>
  </w:abstractNum>
  <w:abstractNum w:abstractNumId="72">
    <w:nsid w:val="60EF0119"/>
    <w:multiLevelType w:val="hybridMultilevel"/>
    <w:lvl w:ilvl="0">
      <w:lvlJc w:val="left"/>
      <w:lvlText w:val="(%1)"/>
      <w:numFmt w:val="lowerLetter"/>
      <w:start w:val="2"/>
    </w:lvl>
  </w:abstractNum>
  <w:abstractNum w:abstractNumId="73">
    <w:nsid w:val="26F324BA"/>
    <w:multiLevelType w:val="hybridMultilevel"/>
    <w:lvl w:ilvl="0">
      <w:lvlJc w:val="left"/>
      <w:lvlText w:val="%1"/>
      <w:numFmt w:val="lowerLetter"/>
      <w:start w:val="1"/>
    </w:lvl>
    <w:lvl w:ilvl="1">
      <w:lvlJc w:val="left"/>
      <w:lvlText w:val="(%2)"/>
      <w:numFmt w:val="lowerRoman"/>
      <w:start w:val="1"/>
    </w:lvl>
  </w:abstractNum>
  <w:abstractNum w:abstractNumId="74">
    <w:nsid w:val="7F01579B"/>
    <w:multiLevelType w:val="hybridMultilevel"/>
    <w:lvl w:ilvl="0">
      <w:lvlJc w:val="left"/>
      <w:lvlText w:val="(%1)"/>
      <w:numFmt w:val="lowerLetter"/>
      <w:start w:val="3"/>
    </w:lvl>
    <w:lvl w:ilvl="1">
      <w:lvlJc w:val="left"/>
      <w:lvlText w:val="(%2)"/>
      <w:numFmt w:val="lowerRoman"/>
      <w:start w:val="1"/>
    </w:lvl>
  </w:abstractNum>
  <w:abstractNum w:abstractNumId="75">
    <w:nsid w:val="49DA307D"/>
    <w:multiLevelType w:val="hybridMultilevel"/>
    <w:lvl w:ilvl="0">
      <w:lvlJc w:val="left"/>
      <w:lvlText w:val="(%1)"/>
      <w:numFmt w:val="lowerRoman"/>
      <w:start w:val="2"/>
    </w:lvl>
  </w:abstractNum>
  <w:abstractNum w:abstractNumId="76">
    <w:nsid w:val="7055A5F5"/>
    <w:multiLevelType w:val="hybridMultilevel"/>
    <w:lvl w:ilvl="0">
      <w:lvlJc w:val="left"/>
      <w:lvlText w:val="(%1)"/>
      <w:numFmt w:val="lowerLetter"/>
      <w:start w:val="2"/>
    </w:lvl>
  </w:abstractNum>
  <w:abstractNum w:abstractNumId="77">
    <w:nsid w:val="5FB8370B"/>
    <w:multiLevelType w:val="hybridMultilevel"/>
    <w:lvl w:ilvl="0">
      <w:lvlJc w:val="left"/>
      <w:lvlText w:val="(%1)"/>
      <w:numFmt w:val="lowerLetter"/>
      <w:start w:val="3"/>
    </w:lvl>
  </w:abstractNum>
  <w:abstractNum w:abstractNumId="78">
    <w:nsid w:val="50801EE1"/>
    <w:multiLevelType w:val="hybridMultilevel"/>
    <w:lvl w:ilvl="0">
      <w:lvlJc w:val="left"/>
      <w:lvlText w:val="(%1)"/>
      <w:numFmt w:val="lowerRoman"/>
      <w:start w:val="3"/>
    </w:lvl>
  </w:abstractNum>
  <w:abstractNum w:abstractNumId="79">
    <w:nsid w:val="488AC1A"/>
    <w:multiLevelType w:val="hybridMultilevel"/>
    <w:lvl w:ilvl="0">
      <w:lvlJc w:val="left"/>
      <w:lvlText w:val="(%1)"/>
      <w:numFmt w:val="lowerLetter"/>
      <w:start w:val="1"/>
    </w:lvl>
  </w:abstractNum>
  <w:abstractNum w:abstractNumId="80">
    <w:nsid w:val="5FB8011C"/>
    <w:multiLevelType w:val="hybridMultilevel"/>
    <w:lvl w:ilvl="0">
      <w:lvlJc w:val="left"/>
      <w:lvlText w:val="(%1)"/>
      <w:numFmt w:val="lowerLetter"/>
      <w:start w:val="3"/>
    </w:lvl>
  </w:abstractNum>
  <w:abstractNum w:abstractNumId="81">
    <w:nsid w:val="6AA78F7F"/>
    <w:multiLevelType w:val="hybridMultilevel"/>
    <w:lvl w:ilvl="0">
      <w:lvlJc w:val="left"/>
      <w:lvlText w:val="(%1)"/>
      <w:numFmt w:val="lowerLetter"/>
      <w:start w:val="1"/>
    </w:lvl>
  </w:abstractNum>
  <w:abstractNum w:abstractNumId="82">
    <w:nsid w:val="7672BD23"/>
    <w:multiLevelType w:val="hybridMultilevel"/>
    <w:lvl w:ilvl="0">
      <w:lvlJc w:val="left"/>
      <w:lvlText w:val="(%1)"/>
      <w:numFmt w:val="lowerLetter"/>
      <w:start w:val="1"/>
    </w:lvl>
  </w:abstractNum>
  <w:abstractNum w:abstractNumId="83">
    <w:nsid w:val="6FC75AF8"/>
    <w:multiLevelType w:val="hybridMultilevel"/>
    <w:lvl w:ilvl="0">
      <w:lvlJc w:val="left"/>
      <w:lvlText w:val="(%1)"/>
      <w:numFmt w:val="decimal"/>
      <w:start w:val="1"/>
    </w:lvl>
  </w:abstractNum>
  <w:abstractNum w:abstractNumId="84">
    <w:nsid w:val="6A5F7029"/>
    <w:multiLevelType w:val="hybridMultilevel"/>
    <w:lvl w:ilvl="0">
      <w:lvlJc w:val="left"/>
      <w:lvlText w:val="(%1)"/>
      <w:numFmt w:val="decimal"/>
      <w:start w:val="1"/>
    </w:lvl>
  </w:abstractNum>
  <w:abstractNum w:abstractNumId="85">
    <w:nsid w:val="7D5E18F8"/>
    <w:multiLevelType w:val="hybridMultilevel"/>
    <w:lvl w:ilvl="0">
      <w:lvlJc w:val="left"/>
      <w:lvlText w:val="(%1)"/>
      <w:numFmt w:val="decimal"/>
      <w:start w:val="3"/>
    </w:lvl>
  </w:abstractNum>
  <w:abstractNum w:abstractNumId="86">
    <w:nsid w:val="5F3534A4"/>
    <w:multiLevelType w:val="hybridMultilevel"/>
    <w:lvl w:ilvl="0">
      <w:lvlJc w:val="left"/>
      <w:lvlText w:val="(%1)"/>
      <w:numFmt w:val="lowerLetter"/>
      <w:start w:val="2"/>
    </w:lvl>
  </w:abstractNum>
  <w:abstractNum w:abstractNumId="87">
    <w:nsid w:val="73A1821B"/>
    <w:multiLevelType w:val="hybridMultilevel"/>
    <w:lvl w:ilvl="0">
      <w:lvlJc w:val="left"/>
      <w:lvlText w:val="(%1)"/>
      <w:numFmt w:val="lowerLetter"/>
      <w:start w:val="7"/>
    </w:lvl>
  </w:abstractNum>
  <w:abstractNum w:abstractNumId="88">
    <w:nsid w:val="7DE67713"/>
    <w:multiLevelType w:val="hybridMultilevel"/>
    <w:lvl w:ilvl="0">
      <w:lvlJc w:val="left"/>
      <w:lvlText w:val="(%1)"/>
      <w:numFmt w:val="lowerLetter"/>
      <w:start w:val="1"/>
    </w:lvl>
  </w:abstractNum>
  <w:abstractNum w:abstractNumId="89">
    <w:nsid w:val="555C55B5"/>
    <w:multiLevelType w:val="hybridMultilevel"/>
    <w:lvl w:ilvl="0">
      <w:lvlJc w:val="left"/>
      <w:lvlText w:val="(%1)"/>
      <w:numFmt w:val="decimal"/>
      <w:start w:val="1"/>
    </w:lvl>
  </w:abstractNum>
  <w:abstractNum w:abstractNumId="90">
    <w:nsid w:val="3FA62ACA"/>
    <w:multiLevelType w:val="hybridMultilevel"/>
    <w:lvl w:ilvl="0">
      <w:lvlJc w:val="left"/>
      <w:lvlText w:val="(%1)"/>
      <w:numFmt w:val="decimal"/>
      <w:start w:val="2"/>
    </w:lvl>
  </w:abstractNum>
  <w:abstractNum w:abstractNumId="91">
    <w:nsid w:val="14FCE74E"/>
    <w:multiLevelType w:val="hybridMultilevel"/>
    <w:lvl w:ilvl="0">
      <w:lvlJc w:val="left"/>
      <w:lvlText w:val="(%1)"/>
      <w:numFmt w:val="lowerLetter"/>
      <w:start w:val="2"/>
    </w:lvl>
  </w:abstractNum>
  <w:abstractNum w:abstractNumId="92">
    <w:nsid w:val="6A3DD3E8"/>
    <w:multiLevelType w:val="hybridMultilevel"/>
    <w:lvl w:ilvl="0">
      <w:lvlJc w:val="left"/>
      <w:lvlText w:val="(%1)"/>
      <w:numFmt w:val="lowerLetter"/>
      <w:start w:val="3"/>
    </w:lvl>
  </w:abstractNum>
  <w:abstractNum w:abstractNumId="93">
    <w:nsid w:val="71C91298"/>
    <w:multiLevelType w:val="hybridMultilevel"/>
    <w:lvl w:ilvl="0">
      <w:lvlJc w:val="left"/>
      <w:lvlText w:val="(%1)"/>
      <w:numFmt w:val="lowerLetter"/>
      <w:start w:val="1"/>
    </w:lvl>
    <w:lvl w:ilvl="1">
      <w:lvlJc w:val="left"/>
      <w:lvlText w:val="(%2)"/>
      <w:numFmt w:val="decimal"/>
      <w:start w:val="1"/>
    </w:lvl>
  </w:abstractNum>
  <w:abstractNum w:abstractNumId="94">
    <w:nsid w:val="9DAF632"/>
    <w:multiLevelType w:val="hybridMultilevel"/>
    <w:lvl w:ilvl="0">
      <w:lvlJc w:val="left"/>
      <w:lvlText w:val="(%1)"/>
      <w:numFmt w:val="lowerRoman"/>
      <w:start w:val="1"/>
    </w:lvl>
  </w:abstractNum>
  <w:abstractNum w:abstractNumId="95">
    <w:nsid w:val="53299938"/>
    <w:multiLevelType w:val="hybridMultilevel"/>
    <w:lvl w:ilvl="0">
      <w:lvlJc w:val="left"/>
      <w:lvlText w:val="(%1)"/>
      <w:numFmt w:val="lowerLetter"/>
      <w:start w:val="1"/>
    </w:lvl>
    <w:lvl w:ilvl="1">
      <w:lvlJc w:val="left"/>
      <w:lvlText w:val="(%2)"/>
      <w:numFmt w:val="lowerRoman"/>
      <w:start w:val="1"/>
    </w:lvl>
  </w:abstractNum>
  <w:abstractNum w:abstractNumId="96">
    <w:nsid w:val="1FBFE8E0"/>
    <w:multiLevelType w:val="hybridMultilevel"/>
    <w:lvl w:ilvl="0">
      <w:lvlJc w:val="left"/>
      <w:lvlText w:val="(%1)"/>
      <w:numFmt w:val="lowerRoman"/>
      <w:start w:val="3"/>
    </w:lvl>
  </w:abstractNum>
  <w:abstractNum w:abstractNumId="97">
    <w:nsid w:val="5092CA79"/>
    <w:multiLevelType w:val="hybridMultilevel"/>
    <w:lvl w:ilvl="0">
      <w:lvlJc w:val="left"/>
      <w:lvlText w:val="(%1)"/>
      <w:numFmt w:val="lowerLetter"/>
      <w:start w:val="2"/>
    </w:lvl>
  </w:abstractNum>
  <w:abstractNum w:abstractNumId="98">
    <w:nsid w:val="1D545C4D"/>
    <w:multiLevelType w:val="hybridMultilevel"/>
    <w:lvl w:ilvl="0">
      <w:lvlJc w:val="left"/>
      <w:lvlText w:val="(%1)"/>
      <w:numFmt w:val="lowerLetter"/>
      <w:start w:val="3"/>
    </w:lvl>
  </w:abstractNum>
  <w:abstractNum w:abstractNumId="99">
    <w:nsid w:val="59ADEA3D"/>
    <w:multiLevelType w:val="hybridMultilevel"/>
    <w:lvl w:ilvl="0">
      <w:lvlJc w:val="left"/>
      <w:lvlText w:val="(%1)"/>
      <w:numFmt w:val="lowerLetter"/>
      <w:start w:val="4"/>
    </w:lvl>
    <w:lvl w:ilvl="1">
      <w:lvlJc w:val="left"/>
      <w:lvlText w:val="(%2)"/>
      <w:numFmt w:val="lowerRoman"/>
      <w:start w:val="1"/>
    </w:lvl>
  </w:abstractNum>
  <w:abstractNum w:abstractNumId="100">
    <w:nsid w:val="288F1A34"/>
    <w:multiLevelType w:val="hybridMultilevel"/>
    <w:lvl w:ilvl="0">
      <w:lvlJc w:val="left"/>
      <w:lvlText w:val="%1"/>
      <w:numFmt w:val="lowerLetter"/>
      <w:start w:val="1"/>
    </w:lvl>
    <w:lvl w:ilvl="1">
      <w:lvlJc w:val="left"/>
      <w:lvlText w:val="(%2)"/>
      <w:numFmt w:val="lowerRoman"/>
      <w:start w:val="5"/>
    </w:lvl>
  </w:abstractNum>
  <w:abstractNum w:abstractNumId="101">
    <w:nsid w:val="2A155DBC"/>
    <w:multiLevelType w:val="hybridMultilevel"/>
    <w:lvl w:ilvl="0">
      <w:lvlJc w:val="left"/>
      <w:lvlText w:val="(%1)"/>
      <w:numFmt w:val="lowerLetter"/>
      <w:start w:val="2"/>
    </w:lvl>
    <w:lvl w:ilvl="1">
      <w:lvlJc w:val="left"/>
      <w:lvlText w:val="(%2)"/>
      <w:numFmt w:val="lowerRoman"/>
      <w:start w:val="8"/>
    </w:lvl>
  </w:abstractNum>
  <w:abstractNum w:abstractNumId="102">
    <w:nsid w:val="1D9F6E5F"/>
    <w:multiLevelType w:val="hybridMultilevel"/>
    <w:lvl w:ilvl="0">
      <w:lvlJc w:val="left"/>
      <w:lvlText w:val="(%1)"/>
      <w:numFmt w:val="lowerLetter"/>
      <w:start w:val="1"/>
    </w:lvl>
  </w:abstractNum>
  <w:abstractNum w:abstractNumId="103">
    <w:nsid w:val="97E1B4E"/>
    <w:multiLevelType w:val="hybridMultilevel"/>
    <w:lvl w:ilvl="0">
      <w:lvlJc w:val="left"/>
      <w:lvlText w:val="(%1)"/>
      <w:numFmt w:val="lowerLetter"/>
      <w:start w:val="2"/>
    </w:lvl>
  </w:abstractNum>
  <w:abstractNum w:abstractNumId="104">
    <w:nsid w:val="51088277"/>
    <w:multiLevelType w:val="hybridMultilevel"/>
    <w:lvl w:ilvl="0">
      <w:lvlJc w:val="left"/>
      <w:lvlText w:val="(%1)"/>
      <w:numFmt w:val="lowerLetter"/>
      <w:start w:val="1"/>
    </w:lvl>
  </w:abstractNum>
  <w:abstractNum w:abstractNumId="105">
    <w:nsid w:val="1CA0C5FA"/>
    <w:multiLevelType w:val="hybridMultilevel"/>
    <w:lvl w:ilvl="0">
      <w:lvlJc w:val="left"/>
      <w:lvlText w:val="(%1)"/>
      <w:numFmt w:val="lowerLetter"/>
      <w:start w:val="2"/>
    </w:lvl>
  </w:abstractNum>
  <w:abstractNum w:abstractNumId="106">
    <w:nsid w:val="53584BCB"/>
    <w:multiLevelType w:val="hybridMultilevel"/>
    <w:lvl w:ilvl="0">
      <w:lvlJc w:val="left"/>
      <w:lvlText w:val="%1"/>
      <w:numFmt w:val="lowerRoman"/>
      <w:start w:val="1"/>
    </w:lvl>
    <w:lvl w:ilvl="1">
      <w:lvlJc w:val="left"/>
      <w:lvlText w:val="(%2)"/>
      <w:numFmt w:val="lowerLetter"/>
      <w:start w:val="1"/>
    </w:lvl>
  </w:abstractNum>
  <w:abstractNum w:abstractNumId="107">
    <w:nsid w:val="415E286C"/>
    <w:multiLevelType w:val="hybridMultilevel"/>
    <w:lvl w:ilvl="0">
      <w:lvlJc w:val="left"/>
      <w:lvlText w:val="(%1)"/>
      <w:numFmt w:val="lowerRoman"/>
      <w:start w:val="1"/>
    </w:lvl>
    <w:lvl w:ilvl="1">
      <w:lvlJc w:val="left"/>
      <w:lvlText w:val="%2"/>
      <w:numFmt w:val="lowerLetter"/>
      <w:start w:val="1"/>
    </w:lvl>
  </w:abstractNum>
  <w:abstractNum w:abstractNumId="108">
    <w:nsid w:val="7C58FD05"/>
    <w:multiLevelType w:val="hybridMultilevel"/>
    <w:lvl w:ilvl="0">
      <w:lvlJc w:val="left"/>
      <w:lvlText w:val="%1"/>
      <w:numFmt w:val="lowerLetter"/>
      <w:start w:val="1"/>
    </w:lvl>
    <w:lvl w:ilvl="1">
      <w:lvlJc w:val="left"/>
      <w:lvlText w:val="(%2)"/>
      <w:numFmt w:val="lowerLetter"/>
      <w:start w:val="9"/>
    </w:lvl>
  </w:abstractNum>
  <w:abstractNum w:abstractNumId="109">
    <w:nsid w:val="23D86AAC"/>
    <w:multiLevelType w:val="hybridMultilevel"/>
    <w:lvl w:ilvl="0">
      <w:lvlJc w:val="left"/>
      <w:lvlText w:val="(%1)"/>
      <w:numFmt w:val="lowerLetter"/>
      <w:start w:val="2"/>
    </w:lvl>
    <w:lvl w:ilvl="1">
      <w:lvlJc w:val="left"/>
      <w:lvlText w:val="%2"/>
      <w:numFmt w:val="lowerLetter"/>
      <w:start w:val="1"/>
    </w:lvl>
  </w:abstractNum>
  <w:abstractNum w:abstractNumId="110">
    <w:nsid w:val="45E6D486"/>
    <w:multiLevelType w:val="hybridMultilevel"/>
    <w:lvl w:ilvl="0">
      <w:lvlJc w:val="left"/>
      <w:lvlText w:val="1"/>
      <w:numFmt w:val="bullet"/>
      <w:start w:val="1"/>
    </w:lvl>
  </w:abstractNum>
  <w:abstractNum w:abstractNumId="111">
    <w:nsid w:val="5C10FE21"/>
    <w:multiLevelType w:val="hybridMultilevel"/>
    <w:lvl w:ilvl="0">
      <w:lvlJc w:val="left"/>
      <w:lvlText w:val="2"/>
      <w:numFmt w:val="bullet"/>
      <w:start w:val="1"/>
    </w:lvl>
  </w:abstractNum>
  <w:abstractNum w:abstractNumId="112">
    <w:nsid w:val="E7FFA2B"/>
    <w:multiLevelType w:val="hybridMultilevel"/>
    <w:lvl w:ilvl="0">
      <w:lvlJc w:val="left"/>
      <w:lvlText w:val="3"/>
      <w:numFmt w:val="bullet"/>
      <w:start w:val="1"/>
    </w:lvl>
  </w:abstractNum>
  <w:abstractNum w:abstractNumId="113">
    <w:nsid w:val="3C5991AA"/>
    <w:multiLevelType w:val="hybridMultilevel"/>
    <w:lvl w:ilvl="0">
      <w:lvlJc w:val="left"/>
      <w:lvlText w:val="%1."/>
      <w:numFmt w:val="decimal"/>
      <w:start w:val="1"/>
    </w:lvl>
  </w:abstractNum>
  <w:abstractNum w:abstractNumId="114">
    <w:nsid w:val="4BD859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2019-12-07T16:11:09Z</dcterms:created>
  <dcterms:modified xsi:type="dcterms:W3CDTF">2019-12-07T16:11:09Z</dcterms:modified>
</cp:coreProperties>
</file>