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001-35466</w:t>
        </w:r>
      </w:hyperlink>
    </w:p>
    <w:p>
      <w:pPr>
        <w:spacing w:after="0" w:line="136" w:lineRule="exact"/>
        <w:rPr>
          <w:sz w:val="24"/>
          <w:szCs w:val="24"/>
          <w:color w:val="auto"/>
        </w:rPr>
      </w:pPr>
    </w:p>
    <w:p>
      <w:pPr>
        <w:ind w:left="3100"/>
        <w:spacing w:after="0"/>
        <w:tabs>
          <w:tab w:leader="none" w:pos="396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GasLog Ltd.</w:t>
        </w:r>
      </w:hyperlink>
    </w:p>
    <w:p>
      <w:pPr>
        <w:spacing w:after="0" w:line="5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820"/>
        <w:spacing w:after="0"/>
        <w:tabs>
          <w:tab w:leader="none" w:pos="43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81 Kings Road</w:t>
      </w:r>
    </w:p>
    <w:p>
      <w:pPr>
        <w:spacing w:after="0" w:line="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0000FF"/>
        </w:rPr>
        <w:t>London  SW3 4NX</w:t>
      </w:r>
    </w:p>
    <w:p>
      <w:pPr>
        <w:spacing w:after="0" w:line="63" w:lineRule="exact"/>
        <w:rPr>
          <w:sz w:val="24"/>
          <w:szCs w:val="24"/>
          <w:color w:val="auto"/>
        </w:rPr>
      </w:pPr>
    </w:p>
    <w:p>
      <w:pPr>
        <w:ind w:left="2820"/>
        <w:spacing w:after="0"/>
        <w:tabs>
          <w:tab w:leader="none" w:pos="586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44 0 203 388 3109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8.75% Series A Cumulative Redeemable Perpetual Preference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NEW YORK STOCK EXCHANGE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By</w:t>
            </w: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7"/>
              </w:rPr>
              <w:t>Manager, Market Watch and</w:t>
            </w:r>
          </w:p>
        </w:tc>
        <w:tc>
          <w:tcPr>
            <w:tcW w:w="0" w:type="dxa"/>
            <w:vAlign w:val="bottom"/>
          </w:tcPr>
          <w:p>
            <w:pPr>
              <w:spacing w:after="0"/>
              <w:rPr>
                <w:sz w:val="1"/>
                <w:szCs w:val="1"/>
                <w:color w:val="auto"/>
              </w:rPr>
            </w:pPr>
          </w:p>
        </w:tc>
      </w:tr>
      <w:tr>
        <w:trPr>
          <w:trHeight w:val="138"/>
        </w:trPr>
        <w:tc>
          <w:tcPr>
            <w:tcW w:w="2060" w:type="dxa"/>
            <w:vAlign w:val="bottom"/>
            <w:vMerge w:val="restart"/>
          </w:tcPr>
          <w:p>
            <w:pPr>
              <w:jc w:val="right"/>
              <w:ind w:right="532"/>
              <w:spacing w:after="0"/>
              <w:rPr>
                <w:sz w:val="20"/>
                <w:szCs w:val="20"/>
                <w:color w:val="auto"/>
              </w:rPr>
            </w:pPr>
            <w:r>
              <w:rPr>
                <w:rFonts w:ascii="Times New Roman" w:cs="Times New Roman" w:eastAsia="Times New Roman" w:hAnsi="Times New Roman"/>
                <w:sz w:val="18"/>
                <w:szCs w:val="18"/>
                <w:color w:val="0000FF"/>
              </w:rPr>
              <w:t>2024-05-28</w:t>
            </w:r>
          </w:p>
        </w:tc>
        <w:tc>
          <w:tcPr>
            <w:tcW w:w="940" w:type="dxa"/>
            <w:vAlign w:val="bottom"/>
            <w:vMerge w:val="continue"/>
          </w:tcPr>
          <w:p>
            <w:pPr>
              <w:spacing w:after="0"/>
              <w:rPr>
                <w:sz w:val="11"/>
                <w:szCs w:val="11"/>
                <w:color w:val="auto"/>
              </w:rPr>
            </w:pPr>
          </w:p>
        </w:tc>
        <w:tc>
          <w:tcPr>
            <w:tcW w:w="3400" w:type="dxa"/>
            <w:vAlign w:val="bottom"/>
            <w:vMerge w:val="restart"/>
          </w:tcPr>
          <w:p>
            <w:pPr>
              <w:ind w:left="1200"/>
              <w:spacing w:after="0"/>
              <w:rPr>
                <w:sz w:val="20"/>
                <w:szCs w:val="20"/>
                <w:color w:val="auto"/>
              </w:rPr>
            </w:pPr>
            <w:r>
              <w:rPr>
                <w:rFonts w:ascii="Times New Roman" w:cs="Times New Roman" w:eastAsia="Times New Roman" w:hAnsi="Times New Roman"/>
                <w:sz w:val="18"/>
                <w:szCs w:val="18"/>
                <w:color w:val="0000FF"/>
              </w:rPr>
              <w:t>Victoria Paper</w:t>
            </w:r>
          </w:p>
        </w:tc>
        <w:tc>
          <w:tcPr>
            <w:tcW w:w="260" w:type="dxa"/>
            <w:vAlign w:val="bottom"/>
          </w:tcPr>
          <w:p>
            <w:pPr>
              <w:spacing w:after="0"/>
              <w:rPr>
                <w:sz w:val="11"/>
                <w:szCs w:val="11"/>
                <w:color w:val="auto"/>
              </w:rPr>
            </w:pPr>
          </w:p>
        </w:tc>
        <w:tc>
          <w:tcPr>
            <w:tcW w:w="20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0000FF"/>
              </w:rPr>
              <w:t>Proxy Compliance</w:t>
            </w:r>
          </w:p>
        </w:tc>
        <w:tc>
          <w:tcPr>
            <w:tcW w:w="0" w:type="dxa"/>
            <w:vAlign w:val="bottom"/>
          </w:tcPr>
          <w:p>
            <w:pPr>
              <w:spacing w:after="0"/>
              <w:rPr>
                <w:sz w:val="1"/>
                <w:szCs w:val="1"/>
                <w:color w:val="auto"/>
              </w:rPr>
            </w:pPr>
          </w:p>
        </w:tc>
      </w:tr>
      <w:tr>
        <w:trPr>
          <w:trHeight w:val="105"/>
        </w:trPr>
        <w:tc>
          <w:tcPr>
            <w:tcW w:w="2060" w:type="dxa"/>
            <w:vAlign w:val="bottom"/>
            <w:tcBorders>
              <w:bottom w:val="single" w:sz="8" w:color="auto"/>
            </w:tcBorders>
            <w:vMerge w:val="continue"/>
          </w:tcPr>
          <w:p>
            <w:pPr>
              <w:spacing w:after="0"/>
              <w:rPr>
                <w:sz w:val="8"/>
                <w:szCs w:val="8"/>
                <w:color w:val="auto"/>
              </w:rPr>
            </w:pPr>
          </w:p>
        </w:tc>
        <w:tc>
          <w:tcPr>
            <w:tcW w:w="940" w:type="dxa"/>
            <w:vAlign w:val="bottom"/>
          </w:tcPr>
          <w:p>
            <w:pPr>
              <w:spacing w:after="0"/>
              <w:rPr>
                <w:sz w:val="8"/>
                <w:szCs w:val="8"/>
                <w:color w:val="auto"/>
              </w:rPr>
            </w:pPr>
          </w:p>
        </w:tc>
        <w:tc>
          <w:tcPr>
            <w:tcW w:w="3400" w:type="dxa"/>
            <w:vAlign w:val="bottom"/>
            <w:tcBorders>
              <w:bottom w:val="single" w:sz="8" w:color="auto"/>
            </w:tcBorders>
            <w:vMerge w:val="continue"/>
          </w:tcPr>
          <w:p>
            <w:pPr>
              <w:spacing w:after="0"/>
              <w:rPr>
                <w:sz w:val="8"/>
                <w:szCs w:val="8"/>
                <w:color w:val="auto"/>
              </w:rPr>
            </w:pPr>
          </w:p>
        </w:tc>
        <w:tc>
          <w:tcPr>
            <w:tcW w:w="260" w:type="dxa"/>
            <w:vAlign w:val="bottom"/>
          </w:tcPr>
          <w:p>
            <w:pPr>
              <w:spacing w:after="0"/>
              <w:rPr>
                <w:sz w:val="8"/>
                <w:szCs w:val="8"/>
                <w:color w:val="auto"/>
              </w:rPr>
            </w:pPr>
          </w:p>
        </w:tc>
        <w:tc>
          <w:tcPr>
            <w:tcW w:w="20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2"/>
                <w:szCs w:val="22"/>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line="235" w:lineRule="auto"/>
        <w:rPr>
          <w:sz w:val="20"/>
          <w:szCs w:val="20"/>
          <w:color w:val="auto"/>
        </w:rPr>
      </w:pPr>
      <w:r>
        <w:rPr>
          <w:rFonts w:ascii="Times New Roman" w:cs="Times New Roman" w:eastAsia="Times New Roman" w:hAnsi="Times New Roman"/>
          <w:sz w:val="22"/>
          <w:szCs w:val="22"/>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June 10, 2024, pursuant to the provisions of Rule 12d2-2 (a). [ X ] 17 CFR 240.12d2-2(a)(1) That the entire class of this security was called for redemption, maturity or retirement on May 28, 2024; appropriate notice thereof was given; funds sufficient for the payment of all such securities were deposited with an agency authorized to make such payment; and such funds were made available to security holders on May 28, 2024. The Exchange also notifies the Securities and Exchange Commission that as a result of the above indicated conditions this security was suspended from trading on May 28, 2024.</w:t>
      </w:r>
    </w:p>
    <w:sectPr>
      <w:pgSz w:w="11900" w:h="16838" w:orient="portrait"/>
      <w:cols w:equalWidth="0" w:num="1">
        <w:col w:w="11100"/>
      </w:cols>
      <w:pgMar w:left="320" w:top="11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5466" TargetMode="External"/><Relationship Id="rId11" Type="http://schemas.openxmlformats.org/officeDocument/2006/relationships/hyperlink" Target="http://www.sec.gov/cgi-bin/browse-edgar?action=getcompany&amp;CIK=00015341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2024-05-28T11:11:19Z</dcterms:created>
  <dcterms:modified xsi:type="dcterms:W3CDTF">2024-05-28T11:11:19Z</dcterms:modified>
</cp:coreProperties>
</file>