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GasLog Ltd.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52"/>
        </w:trPr>
        <w:tc>
          <w:tcPr>
            <w:tcW w:w="9920" w:type="dxa"/>
            <w:vAlign w:val="bottom"/>
          </w:tcPr>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tc>
        <w:tc>
          <w:tcPr>
            <w:tcW w:w="1320" w:type="dxa"/>
            <w:vAlign w:val="bottom"/>
          </w:tcPr>
          <w:p>
            <w:pPr>
              <w:spacing w:after="0"/>
              <w:rPr>
                <w:sz w:val="24"/>
                <w:szCs w:val="24"/>
                <w:color w:val="auto"/>
              </w:rPr>
            </w:pP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 w:name="page2"/>
    <w:bookmarkEnd w:id="1"/>
    <w:p>
      <w:pPr>
        <w:ind w:firstLine="324"/>
        <w:spacing w:after="0" w:line="277" w:lineRule="auto"/>
        <w:rPr>
          <w:sz w:val="20"/>
          <w:szCs w:val="20"/>
          <w:color w:val="auto"/>
        </w:rPr>
      </w:pPr>
      <w:r>
        <w:rPr>
          <w:rFonts w:ascii="Arial" w:cs="Arial" w:eastAsia="Arial" w:hAnsi="Arial"/>
          <w:sz w:val="18"/>
          <w:szCs w:val="18"/>
          <w:color w:val="auto"/>
        </w:rPr>
        <w:t>The financial report issued by GasLog Ltd. on May 6, 2021 relating to its results for the three-month period ended March 31, 2021 is attached hereto as Exhibit 99.1.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333-194894, 333-230205 and 333-239797), initially filed with the Securities and Exchange Commission (the “SEC”) on March 28, 2014, March 12, 2019 and July 10, 2020,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Financial Report for the Three Months Ended March 31, 2021</w:t>
        </w:r>
      </w:hyperlink>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Management’s Discussion and Analysis of Financial Condition and Results of Operation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tbl>
      <w:tblPr>
        <w:tblLayout w:type="fixed"/>
        <w:tblInd w:w="62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Wogan</w:t>
            </w:r>
          </w:p>
        </w:tc>
      </w:tr>
      <w:tr>
        <w:trPr>
          <w:trHeight w:val="195"/>
        </w:trPr>
        <w:tc>
          <w:tcPr>
            <w:tcW w:w="5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Name: Paul Wogan</w:t>
            </w:r>
          </w:p>
        </w:tc>
      </w:tr>
      <w:tr>
        <w:trPr>
          <w:trHeight w:val="230"/>
        </w:trPr>
        <w:tc>
          <w:tcPr>
            <w:tcW w:w="5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Report for the Three Months Ended March 31,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following is a discussion of our financial condition and results of operations for the three-month periods ended March 31, 2020 and March 31, 2021.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U.S. Securities and Exchange Commission (the “SEC”) on March 5, 2021.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00" w:hanging="328"/>
        <w:spacing w:after="0" w:line="255"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2" w:lineRule="exact"/>
        <w:rPr>
          <w:rFonts w:ascii="Arial" w:cs="Arial" w:eastAsia="Arial" w:hAnsi="Arial"/>
          <w:sz w:val="18"/>
          <w:szCs w:val="18"/>
          <w:i w:val="1"/>
          <w:iCs w:val="1"/>
          <w:color w:val="auto"/>
        </w:rPr>
      </w:pPr>
    </w:p>
    <w:p>
      <w:pPr>
        <w:ind w:left="660" w:right="40" w:hanging="328"/>
        <w:spacing w:after="0" w:line="265" w:lineRule="auto"/>
        <w:tabs>
          <w:tab w:leader="none" w:pos="660" w:val="left"/>
        </w:tabs>
        <w:numPr>
          <w:ilvl w:val="0"/>
          <w:numId w:val="1"/>
        </w:numPr>
        <w:rPr>
          <w:rFonts w:ascii="Arial" w:cs="Arial" w:eastAsia="Arial" w:hAnsi="Arial"/>
          <w:sz w:val="17"/>
          <w:szCs w:val="17"/>
          <w:i w:val="1"/>
          <w:iCs w:val="1"/>
          <w:color w:val="auto"/>
        </w:rPr>
      </w:pPr>
      <w:r>
        <w:rPr>
          <w:rFonts w:ascii="Arial" w:cs="Arial" w:eastAsia="Arial" w:hAnsi="Arial"/>
          <w:sz w:val="17"/>
          <w:szCs w:val="17"/>
          <w:color w:val="auto"/>
        </w:rPr>
        <w:t>the ability of GasLog and BlackRock’s Global Energy and Power Infrastructure Team (collectively, ‘‘GEPIF’’) to consummate the acquisition of all of the outstanding common shares of GasLog that are not held by certain existing shareholders of GasLog for a purchase price of $5.80 in cash per share (the “Transaction”) is difficult to predict, involves uncertainties that may materially affect actual results and that may be beyond the control of GasLog and GEPIF, including, but not limited to, the satisfaction of the conditions to the closing of the Transaction or the occurrence of any event, change or other circumstance that could give rise to the termination of the agreement and plan of merger dated as of February 21, 2021 (the “Merger Agreement”) or cause delays in the consummation of the Transaction;</w:t>
      </w: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fluctuations in charter hire rates, vessel utilization and vessel values;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i w:val="1"/>
          <w:iCs w:val="1"/>
          <w:color w:val="auto"/>
        </w:rPr>
      </w:pPr>
    </w:p>
    <w:p>
      <w:pPr>
        <w:ind w:left="660" w:right="48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 to the LNG, LNG shipping and financial markets caused by global shutdown as a result of the COVID-19 pandemic;</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fluctuations in prices for crude oil, petroleum products and natural gas;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i w:val="1"/>
          <w:iCs w:val="1"/>
          <w:color w:val="auto"/>
        </w:rPr>
      </w:pPr>
    </w:p>
    <w:p>
      <w:pPr>
        <w:ind w:left="660" w:right="20" w:hanging="328"/>
        <w:spacing w:after="0" w:line="281" w:lineRule="auto"/>
        <w:tabs>
          <w:tab w:leader="none" w:pos="660" w:val="left"/>
        </w:tabs>
        <w:numPr>
          <w:ilvl w:val="0"/>
          <w:numId w:val="1"/>
        </w:numPr>
        <w:rPr>
          <w:rFonts w:ascii="Arial" w:cs="Arial" w:eastAsia="Arial" w:hAnsi="Arial"/>
          <w:sz w:val="16"/>
          <w:szCs w:val="16"/>
          <w:i w:val="1"/>
          <w:iCs w:val="1"/>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16"/>
          <w:szCs w:val="16"/>
          <w:i w:val="1"/>
          <w:iCs w:val="1"/>
          <w:color w:val="auto"/>
        </w:rPr>
      </w:pPr>
    </w:p>
    <w:p>
      <w:pPr>
        <w:ind w:left="660" w:right="400" w:hanging="328"/>
        <w:spacing w:after="0" w:line="250"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i w:val="1"/>
          <w:iCs w:val="1"/>
          <w:color w:val="auto"/>
        </w:rPr>
      </w:pPr>
    </w:p>
    <w:p>
      <w:pPr>
        <w:ind w:left="660" w:right="340" w:hanging="328"/>
        <w:spacing w:after="0" w:line="265"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the impact of environmental liabilities on us and the shipping industry, including climate change;</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our ability to retain key employees and the availability of skilled labour, ship crews and management;</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potential disruption of shipping routes due to accidents, diseases, pandemics, political events, piracy or acts by terrorists;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potential liability from future litigation;</w:t>
      </w:r>
    </w:p>
    <w:p>
      <w:pPr>
        <w:spacing w:after="0" w:line="23" w:lineRule="exact"/>
        <w:rPr>
          <w:rFonts w:ascii="Arial" w:cs="Arial" w:eastAsia="Arial" w:hAnsi="Arial"/>
          <w:sz w:val="18"/>
          <w:szCs w:val="18"/>
          <w:i w:val="1"/>
          <w:iCs w:val="1"/>
          <w:color w:val="auto"/>
        </w:rPr>
      </w:pPr>
    </w:p>
    <w:p>
      <w:pPr>
        <w:ind w:left="660" w:right="900" w:hanging="328"/>
        <w:spacing w:after="0" w:line="250"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ind w:left="660" w:right="440" w:hanging="328"/>
        <w:spacing w:after="0" w:line="260"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 xml:space="preserve">other risks and uncertainties described in the Company’s Annual Report on Form 20-F filed with the SEC on March 5, 2021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and sale-and-leaseback facilities, the provisions of Bermuda law and such other factors as our board of directors may deem relevant.</w:t>
      </w:r>
    </w:p>
    <w:p>
      <w:pPr>
        <w:spacing w:after="0" w:line="18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Delivery of the </w:t>
      </w:r>
      <w:r>
        <w:rPr>
          <w:rFonts w:ascii="Arial" w:cs="Arial" w:eastAsia="Arial" w:hAnsi="Arial"/>
          <w:sz w:val="18"/>
          <w:szCs w:val="18"/>
          <w:b w:val="1"/>
          <w:bCs w:val="1"/>
          <w:i w:val="1"/>
          <w:iCs w:val="1"/>
          <w:u w:val="single" w:color="auto"/>
          <w:color w:val="auto"/>
        </w:rPr>
        <w:t>GasLog Galveston</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 xml:space="preserve">On January 4, 2021, GasLog took delivery of the </w:t>
      </w:r>
      <w:r>
        <w:rPr>
          <w:rFonts w:ascii="Arial" w:cs="Arial" w:eastAsia="Arial" w:hAnsi="Arial"/>
          <w:sz w:val="17"/>
          <w:szCs w:val="17"/>
          <w:i w:val="1"/>
          <w:iCs w:val="1"/>
          <w:color w:val="auto"/>
        </w:rPr>
        <w:t>GasLog Galveston</w:t>
      </w:r>
      <w:r>
        <w:rPr>
          <w:rFonts w:ascii="Arial" w:cs="Arial" w:eastAsia="Arial" w:hAnsi="Arial"/>
          <w:sz w:val="17"/>
          <w:szCs w:val="17"/>
          <w:color w:val="auto"/>
        </w:rPr>
        <w:t>, a 174,000 cubic meters (“cbm”) LNG carrier with dual fuel medium speed propulsion (“X-DF”) constructed by Samsung Heavy Industries Co., Ltd. (“Samsung”). Upon delivery, the vessel immediately commenced its seven-year charter with Cheniere Marketing International LLP, a wholly owned subsidiary of Cheniere Energy Inc. (“Cheniere”).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Declarations</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On March 11, 2021, the board of directors declared a dividend on the Series A Preference Shares of $0.546875 per share, or $2.5 million in the aggregate, payable on April 1, 2021 to holders of record as of March 31, 2021. GasLog paid the declared dividend to the transfer agent on March 31, 2021.</w:t>
      </w:r>
    </w:p>
    <w:p>
      <w:pPr>
        <w:spacing w:after="0" w:line="12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On May 5, 2021, the board of directors declared a quarterly cash dividend of $0.05 per common share, or $4.8 million in the aggregate, payable on May 27, 2021 to shareholders of record as of May 17,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Update on the Transaction</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GasLog announced on May 3, 2021 that it has called a special general meeting of shareholders (the “Special Meeting”), to be held on June 4, 2021, to consider and vote on the proposal to approve (i) the previously announced Merger Agreement, (ii) the merger and (iii) the statutory merger agreement contemplated by the Merger Agreement.</w:t>
      </w:r>
    </w:p>
    <w:p>
      <w:pPr>
        <w:spacing w:after="0" w:line="18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Holders of record of GasLog’s common shares and 8.75% Series A Cumulative Redeemable Perpetual Preference Shares on April 30, 2021 will be entitled to attend and vote at the Special Meeting, including any postponement or adjournment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We are an international owner, operator and manager of LNG carriers. Our wholly owned fleet as of May 6, 2021, consists of 17 LNG carriers, including 15 ships in operation and two LNG carriers on order at Samsung. GasLog is also the general and controlling partner in GasLog Partners LP (“GasLog Partners” or the “Partnership”), a publicly traded master limited partnership, which owns 15 LNG carriers. In addition, GasLog has leased back under a bareboat charter one vessel sold to Lepta Shipping Co., Ltd. (“Lepta Shipping”), a subsidiary of Mitsui &amp; Co., Ltd. (“Mitsui”) in February 2016, for a period of up to 20 years. GasLog has the option to repurchase the vessel on pre-agreed terms no earlier than the end of year ten and no later than the end of year 17 of the bareboat charter. In addition, on October 21, 2020, GasLog leased back under a bareboat charter the </w:t>
      </w:r>
      <w:r>
        <w:rPr>
          <w:rFonts w:ascii="Arial" w:cs="Arial" w:eastAsia="Arial" w:hAnsi="Arial"/>
          <w:sz w:val="17"/>
          <w:szCs w:val="17"/>
          <w:i w:val="1"/>
          <w:iCs w:val="1"/>
          <w:color w:val="auto"/>
        </w:rPr>
        <w:t>GasLog Hong Kong</w:t>
      </w:r>
      <w:r>
        <w:rPr>
          <w:rFonts w:ascii="Arial" w:cs="Arial" w:eastAsia="Arial" w:hAnsi="Arial"/>
          <w:sz w:val="17"/>
          <w:szCs w:val="17"/>
          <w:color w:val="auto"/>
        </w:rPr>
        <w:t xml:space="preserve"> which was sold to Sea 190 Leasing Co. Limited. (“Sea 190 Leasing”), an indirectly owned subsidiary of CMB Financial Leasing Co. Ltd. (“CMBFL”), for a period of up to twelve years. GasLog has the option to repurchase the vessel on pre-agreed terms no earlier than the end of year one, and no later than the end of year 12, of the bareboat charter. Finally, on January 22, 2021, GasLog leased back under a bareboat charter the </w:t>
      </w:r>
      <w:r>
        <w:rPr>
          <w:rFonts w:ascii="Arial" w:cs="Arial" w:eastAsia="Arial" w:hAnsi="Arial"/>
          <w:sz w:val="17"/>
          <w:szCs w:val="17"/>
          <w:i w:val="1"/>
          <w:iCs w:val="1"/>
          <w:color w:val="auto"/>
        </w:rPr>
        <w:t>GasLog Houston</w:t>
      </w:r>
      <w:r>
        <w:rPr>
          <w:rFonts w:ascii="Arial" w:cs="Arial" w:eastAsia="Arial" w:hAnsi="Arial"/>
          <w:sz w:val="17"/>
          <w:szCs w:val="17"/>
          <w:color w:val="auto"/>
        </w:rPr>
        <w:t xml:space="preserve"> which was sold to Hai Kuo Shipping 2051G Limited (“Hai Kuo Shipping”), a wholly owned subsidiary of ICBC Financial Leasing Co., Ltd. (“ICBC”), for a period of up to eight years. GasLog has the obligation to re-purchase the vessel at end of the charter period. GasLog has also the option to repurchase the vessel on pre-agreed terms no earlier than the end of the first interest period, and no later than the end of year eight, of the bareboat charter. We currently manage and operate 33 LNG carriers including 15 of our wholly owned ships in operation, 14 of the 15 ships contributed or sold to the Partnership (the other one is managed by a subsidiary of Royal Dutch Shell plc (“Shell”)), the three bareboat vessels and one additional LNG carrier owned by an entity in which we have a 25% interest. We are also supervising the construction of our newbuildings.</w:t>
      </w:r>
    </w:p>
    <w:p>
      <w:pPr>
        <w:spacing w:after="0" w:line="18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 xml:space="preserve">We have a 25% interest in the </w:t>
      </w:r>
      <w:r>
        <w:rPr>
          <w:rFonts w:ascii="Arial" w:cs="Arial" w:eastAsia="Arial" w:hAnsi="Arial"/>
          <w:sz w:val="18"/>
          <w:szCs w:val="18"/>
          <w:i w:val="1"/>
          <w:iCs w:val="1"/>
          <w:color w:val="auto"/>
        </w:rPr>
        <w:t>Methane Nile Eagle</w:t>
      </w:r>
      <w:r>
        <w:rPr>
          <w:rFonts w:ascii="Arial" w:cs="Arial" w:eastAsia="Arial" w:hAnsi="Arial"/>
          <w:sz w:val="18"/>
          <w:szCs w:val="18"/>
          <w:color w:val="auto"/>
        </w:rPr>
        <w:t>, a 2007-built LNG carrier owned by Egypt LNG Shipping Ltd. (“Egypt LNG”) and technically managed by us. It is currently operating under a 20-year time charter to a subsidiary of Shell.</w:t>
      </w:r>
    </w:p>
    <w:p>
      <w:pPr>
        <w:spacing w:after="0" w:line="170"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We generate revenues by chartering our ships to customers on multi-year time charters and 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902" w:gutter="0" w:footer="0" w:header="0"/>
        </w:sectPr>
      </w:pPr>
    </w:p>
    <w:bookmarkStart w:id="5" w:name="page6"/>
    <w:bookmarkEnd w:id="5"/>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Fleet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May 6, 2021, our wholly owned fleet consisted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Charterer (for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440"/>
              <w:spacing w:after="0"/>
              <w:rPr>
                <w:sz w:val="20"/>
                <w:szCs w:val="20"/>
                <w:color w:val="auto"/>
              </w:rPr>
            </w:pPr>
            <w:r>
              <w:rPr>
                <w:rFonts w:ascii="Arial" w:cs="Arial" w:eastAsia="Arial" w:hAnsi="Arial"/>
                <w:sz w:val="18"/>
                <w:szCs w:val="18"/>
                <w:b w:val="1"/>
                <w:bCs w:val="1"/>
                <w:color w:val="auto"/>
              </w:rPr>
              <w:t>Cargo</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contracts of</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6"/>
              </w:rPr>
              <w:t>Charter</w:t>
            </w:r>
          </w:p>
        </w:tc>
        <w:tc>
          <w:tcPr>
            <w:tcW w:w="11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Optional</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400"/>
              <w:spacing w:after="0" w:line="181" w:lineRule="exact"/>
              <w:rPr>
                <w:sz w:val="20"/>
                <w:szCs w:val="20"/>
                <w:color w:val="auto"/>
              </w:rPr>
            </w:pPr>
            <w:r>
              <w:rPr>
                <w:rFonts w:ascii="Arial" w:cs="Arial" w:eastAsia="Arial" w:hAnsi="Arial"/>
                <w:sz w:val="18"/>
                <w:szCs w:val="18"/>
                <w:b w:val="1"/>
                <w:bCs w:val="1"/>
                <w:color w:val="auto"/>
              </w:rPr>
              <w:t>Year</w:t>
            </w:r>
          </w:p>
        </w:tc>
        <w:tc>
          <w:tcPr>
            <w:tcW w:w="1560" w:type="dxa"/>
            <w:vAlign w:val="bottom"/>
            <w:gridSpan w:val="2"/>
          </w:tcPr>
          <w:p>
            <w:pPr>
              <w:ind w:left="340"/>
              <w:spacing w:after="0" w:line="181" w:lineRule="exact"/>
              <w:rPr>
                <w:sz w:val="20"/>
                <w:szCs w:val="20"/>
                <w:color w:val="auto"/>
              </w:rPr>
            </w:pPr>
            <w:r>
              <w:rPr>
                <w:rFonts w:ascii="Arial" w:cs="Arial" w:eastAsia="Arial" w:hAnsi="Arial"/>
                <w:sz w:val="18"/>
                <w:szCs w:val="18"/>
                <w:b w:val="1"/>
                <w:bCs w:val="1"/>
                <w:color w:val="auto"/>
              </w:rPr>
              <w:t>Capacity</w:t>
            </w:r>
          </w:p>
        </w:tc>
        <w:tc>
          <w:tcPr>
            <w:tcW w:w="14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0"/>
              </w:rPr>
              <w:t>more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2460" w:type="dxa"/>
            <w:vAlign w:val="bottom"/>
            <w:gridSpan w:val="2"/>
          </w:tcPr>
          <w:p>
            <w:pPr>
              <w:ind w:left="780"/>
              <w:spacing w:after="0"/>
              <w:rPr>
                <w:sz w:val="20"/>
                <w:szCs w:val="20"/>
                <w:color w:val="auto"/>
              </w:rPr>
            </w:pPr>
            <w:r>
              <w:rPr>
                <w:rFonts w:ascii="Arial" w:cs="Arial" w:eastAsia="Arial" w:hAnsi="Arial"/>
                <w:sz w:val="18"/>
                <w:szCs w:val="18"/>
                <w:b w:val="1"/>
                <w:bCs w:val="1"/>
                <w:color w:val="auto"/>
              </w:rPr>
              <w:t>Vessel Name</w:t>
            </w:r>
          </w:p>
        </w:tc>
        <w:tc>
          <w:tcPr>
            <w:tcW w:w="1500" w:type="dxa"/>
            <w:vAlign w:val="bottom"/>
            <w:gridSpan w:val="2"/>
          </w:tcPr>
          <w:p>
            <w:pPr>
              <w:ind w:left="440"/>
              <w:spacing w:after="0"/>
              <w:rPr>
                <w:sz w:val="20"/>
                <w:szCs w:val="20"/>
                <w:color w:val="auto"/>
              </w:rPr>
            </w:pPr>
            <w:r>
              <w:rPr>
                <w:rFonts w:ascii="Arial" w:cs="Arial" w:eastAsia="Arial" w:hAnsi="Arial"/>
                <w:sz w:val="18"/>
                <w:szCs w:val="18"/>
                <w:b w:val="1"/>
                <w:bCs w:val="1"/>
                <w:color w:val="auto"/>
              </w:rPr>
              <w:t>Built</w:t>
            </w:r>
          </w:p>
        </w:tc>
        <w:tc>
          <w:tcPr>
            <w:tcW w:w="1560" w:type="dxa"/>
            <w:vAlign w:val="bottom"/>
            <w:gridSpan w:val="2"/>
          </w:tcPr>
          <w:p>
            <w:pPr>
              <w:ind w:left="460"/>
              <w:spacing w:after="0"/>
              <w:rPr>
                <w:sz w:val="20"/>
                <w:szCs w:val="20"/>
                <w:color w:val="auto"/>
              </w:rPr>
            </w:pPr>
            <w:r>
              <w:rPr>
                <w:rFonts w:ascii="Arial" w:cs="Arial" w:eastAsia="Arial" w:hAnsi="Arial"/>
                <w:sz w:val="18"/>
                <w:szCs w:val="18"/>
                <w:b w:val="1"/>
                <w:bCs w:val="1"/>
                <w:color w:val="auto"/>
              </w:rPr>
              <w:t>(cbm)</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than six months)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Propulsion</w:t>
            </w:r>
          </w:p>
        </w:tc>
        <w:tc>
          <w:tcPr>
            <w:tcW w:w="1780" w:type="dxa"/>
            <w:vAlign w:val="bottom"/>
            <w:gridSpan w:val="2"/>
          </w:tcPr>
          <w:p>
            <w:pPr>
              <w:jc w:val="center"/>
              <w:ind w:right="220"/>
              <w:spacing w:after="0" w:line="270" w:lineRule="exact"/>
              <w:rPr>
                <w:sz w:val="20"/>
                <w:szCs w:val="20"/>
                <w:color w:val="auto"/>
              </w:rPr>
            </w:pPr>
            <w:r>
              <w:rPr>
                <w:rFonts w:ascii="Arial" w:cs="Arial" w:eastAsia="Arial" w:hAnsi="Arial"/>
                <w:sz w:val="18"/>
                <w:szCs w:val="18"/>
                <w:b w:val="1"/>
                <w:bCs w:val="1"/>
                <w:color w:val="auto"/>
                <w:w w:val="89"/>
              </w:rPr>
              <w:t>Expiration</w:t>
            </w:r>
            <w:r>
              <w:rPr>
                <w:rFonts w:ascii="Arial" w:cs="Arial" w:eastAsia="Arial" w:hAnsi="Arial"/>
                <w:sz w:val="29"/>
                <w:szCs w:val="29"/>
                <w:b w:val="1"/>
                <w:bCs w:val="1"/>
                <w:color w:val="auto"/>
                <w:w w:val="89"/>
                <w:vertAlign w:val="superscript"/>
              </w:rPr>
              <w:t>(1)</w:t>
            </w:r>
          </w:p>
        </w:tc>
        <w:tc>
          <w:tcPr>
            <w:tcW w:w="1100" w:type="dxa"/>
            <w:vAlign w:val="bottom"/>
            <w:gridSpan w:val="2"/>
          </w:tcPr>
          <w:p>
            <w:pPr>
              <w:ind w:left="160"/>
              <w:spacing w:after="0" w:line="270"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shd w:val="clear" w:color="auto" w:fill="CCFFFF"/>
          </w:tcPr>
          <w:p>
            <w:pPr>
              <w:spacing w:after="0"/>
              <w:rPr>
                <w:sz w:val="16"/>
                <w:szCs w:val="16"/>
                <w:color w:val="auto"/>
              </w:rPr>
            </w:pPr>
          </w:p>
        </w:tc>
        <w:tc>
          <w:tcPr>
            <w:tcW w:w="2340" w:type="dxa"/>
            <w:vAlign w:val="bottom"/>
            <w:tcBorders>
              <w:top w:val="single" w:sz="8" w:color="auto"/>
            </w:tcBorders>
            <w:shd w:val="clear" w:color="auto" w:fill="CCFFFF"/>
          </w:tcPr>
          <w:p>
            <w:pPr>
              <w:spacing w:after="0"/>
              <w:rPr>
                <w:sz w:val="16"/>
                <w:szCs w:val="16"/>
                <w:color w:val="auto"/>
              </w:rPr>
            </w:pPr>
          </w:p>
        </w:tc>
        <w:tc>
          <w:tcPr>
            <w:tcW w:w="120" w:type="dxa"/>
            <w:vAlign w:val="bottom"/>
            <w:tcBorders>
              <w:top w:val="single" w:sz="8" w:color="CCFFFF"/>
            </w:tcBorders>
            <w:shd w:val="clear" w:color="auto" w:fill="CCFFFF"/>
          </w:tcPr>
          <w:p>
            <w:pPr>
              <w:spacing w:after="0"/>
              <w:rPr>
                <w:sz w:val="16"/>
                <w:szCs w:val="16"/>
                <w:color w:val="auto"/>
              </w:rPr>
            </w:pPr>
          </w:p>
        </w:tc>
        <w:tc>
          <w:tcPr>
            <w:tcW w:w="1260" w:type="dxa"/>
            <w:vAlign w:val="bottom"/>
            <w:tcBorders>
              <w:top w:val="single" w:sz="8" w:color="auto"/>
            </w:tcBorders>
            <w:shd w:val="clear" w:color="auto" w:fill="CCFFFF"/>
          </w:tcPr>
          <w:p>
            <w:pPr>
              <w:spacing w:after="0"/>
              <w:rPr>
                <w:sz w:val="16"/>
                <w:szCs w:val="16"/>
                <w:color w:val="auto"/>
              </w:rPr>
            </w:pPr>
          </w:p>
        </w:tc>
        <w:tc>
          <w:tcPr>
            <w:tcW w:w="240" w:type="dxa"/>
            <w:vAlign w:val="bottom"/>
            <w:tcBorders>
              <w:top w:val="single" w:sz="8" w:color="CCFFFF"/>
            </w:tcBorders>
            <w:shd w:val="clear" w:color="auto" w:fill="CCFFFF"/>
          </w:tcPr>
          <w:p>
            <w:pPr>
              <w:spacing w:after="0"/>
              <w:rPr>
                <w:sz w:val="16"/>
                <w:szCs w:val="16"/>
                <w:color w:val="auto"/>
              </w:rPr>
            </w:pPr>
          </w:p>
        </w:tc>
        <w:tc>
          <w:tcPr>
            <w:tcW w:w="1360" w:type="dxa"/>
            <w:vAlign w:val="bottom"/>
            <w:tcBorders>
              <w:top w:val="single" w:sz="8" w:color="auto"/>
            </w:tcBorders>
            <w:shd w:val="clear" w:color="auto" w:fill="CCFFFF"/>
          </w:tcPr>
          <w:p>
            <w:pPr>
              <w:spacing w:after="0"/>
              <w:rPr>
                <w:sz w:val="16"/>
                <w:szCs w:val="16"/>
                <w:color w:val="auto"/>
              </w:rPr>
            </w:pPr>
          </w:p>
        </w:tc>
        <w:tc>
          <w:tcPr>
            <w:tcW w:w="200" w:type="dxa"/>
            <w:vAlign w:val="bottom"/>
            <w:tcBorders>
              <w:top w:val="single" w:sz="8" w:color="CCFFFF"/>
            </w:tcBorders>
            <w:shd w:val="clear" w:color="auto" w:fill="CCFFFF"/>
          </w:tcPr>
          <w:p>
            <w:pPr>
              <w:spacing w:after="0"/>
              <w:rPr>
                <w:sz w:val="16"/>
                <w:szCs w:val="16"/>
                <w:color w:val="auto"/>
              </w:rPr>
            </w:pPr>
          </w:p>
        </w:tc>
        <w:tc>
          <w:tcPr>
            <w:tcW w:w="1340" w:type="dxa"/>
            <w:vAlign w:val="bottom"/>
            <w:tcBorders>
              <w:top w:val="single" w:sz="8" w:color="auto"/>
            </w:tcBorders>
            <w:shd w:val="clear" w:color="auto" w:fill="CCFFFF"/>
          </w:tcPr>
          <w:p>
            <w:pPr>
              <w:spacing w:after="0"/>
              <w:rPr>
                <w:sz w:val="16"/>
                <w:szCs w:val="16"/>
                <w:color w:val="auto"/>
              </w:rPr>
            </w:pPr>
          </w:p>
        </w:tc>
        <w:tc>
          <w:tcPr>
            <w:tcW w:w="120" w:type="dxa"/>
            <w:vAlign w:val="bottom"/>
            <w:tcBorders>
              <w:top w:val="single" w:sz="8" w:color="CCFFFF"/>
            </w:tcBorders>
            <w:shd w:val="clear" w:color="auto" w:fill="CCFFFF"/>
          </w:tcPr>
          <w:p>
            <w:pPr>
              <w:spacing w:after="0"/>
              <w:rPr>
                <w:sz w:val="16"/>
                <w:szCs w:val="16"/>
                <w:color w:val="auto"/>
              </w:rPr>
            </w:pPr>
          </w:p>
        </w:tc>
        <w:tc>
          <w:tcPr>
            <w:tcW w:w="880" w:type="dxa"/>
            <w:vAlign w:val="bottom"/>
            <w:tcBorders>
              <w:top w:val="single" w:sz="8" w:color="auto"/>
            </w:tcBorders>
            <w:shd w:val="clear" w:color="auto" w:fill="CCFFFF"/>
          </w:tcPr>
          <w:p>
            <w:pPr>
              <w:jc w:val="center"/>
              <w:spacing w:after="0" w:line="195" w:lineRule="exact"/>
              <w:rPr>
                <w:sz w:val="20"/>
                <w:szCs w:val="20"/>
                <w:color w:val="auto"/>
              </w:rPr>
            </w:pPr>
            <w:r>
              <w:rPr>
                <w:rFonts w:ascii="Arial" w:cs="Arial" w:eastAsia="Arial" w:hAnsi="Arial"/>
                <w:sz w:val="18"/>
                <w:szCs w:val="18"/>
                <w:color w:val="auto"/>
                <w:w w:val="84"/>
              </w:rPr>
              <w:t>Steam</w:t>
            </w:r>
          </w:p>
        </w:tc>
        <w:tc>
          <w:tcPr>
            <w:tcW w:w="120" w:type="dxa"/>
            <w:vAlign w:val="bottom"/>
            <w:tcBorders>
              <w:top w:val="single" w:sz="8" w:color="CCFFFF"/>
            </w:tcBorders>
            <w:shd w:val="clear" w:color="auto" w:fill="CCFFFF"/>
          </w:tcPr>
          <w:p>
            <w:pPr>
              <w:spacing w:after="0"/>
              <w:rPr>
                <w:sz w:val="16"/>
                <w:szCs w:val="16"/>
                <w:color w:val="auto"/>
              </w:rPr>
            </w:pPr>
          </w:p>
        </w:tc>
        <w:tc>
          <w:tcPr>
            <w:tcW w:w="1560" w:type="dxa"/>
            <w:vAlign w:val="bottom"/>
            <w:tcBorders>
              <w:top w:val="single" w:sz="8" w:color="auto"/>
            </w:tcBorders>
            <w:shd w:val="clear" w:color="auto" w:fill="CCFFFF"/>
          </w:tcPr>
          <w:p>
            <w:pPr>
              <w:spacing w:after="0"/>
              <w:rPr>
                <w:sz w:val="16"/>
                <w:szCs w:val="16"/>
                <w:color w:val="auto"/>
              </w:rPr>
            </w:pPr>
          </w:p>
        </w:tc>
        <w:tc>
          <w:tcPr>
            <w:tcW w:w="220" w:type="dxa"/>
            <w:vAlign w:val="bottom"/>
            <w:tcBorders>
              <w:top w:val="single" w:sz="8" w:color="CCFFFF"/>
            </w:tcBorders>
            <w:shd w:val="clear" w:color="auto" w:fill="CCFFFF"/>
          </w:tcPr>
          <w:p>
            <w:pPr>
              <w:spacing w:after="0"/>
              <w:rPr>
                <w:sz w:val="16"/>
                <w:szCs w:val="16"/>
                <w:color w:val="auto"/>
              </w:rPr>
            </w:pPr>
          </w:p>
        </w:tc>
        <w:tc>
          <w:tcPr>
            <w:tcW w:w="1000" w:type="dxa"/>
            <w:vAlign w:val="bottom"/>
            <w:tcBorders>
              <w:top w:val="single" w:sz="8" w:color="auto"/>
            </w:tcBorders>
            <w:shd w:val="clear" w:color="auto" w:fill="CCFFFF"/>
          </w:tcPr>
          <w:p>
            <w:pPr>
              <w:spacing w:after="0"/>
              <w:rPr>
                <w:sz w:val="16"/>
                <w:szCs w:val="16"/>
                <w:color w:val="auto"/>
              </w:rPr>
            </w:pPr>
          </w:p>
        </w:tc>
        <w:tc>
          <w:tcPr>
            <w:tcW w:w="100" w:type="dxa"/>
            <w:vAlign w:val="bottom"/>
            <w:tcBorders>
              <w:top w:val="single" w:sz="8" w:color="CCFFFF"/>
            </w:tcBorders>
            <w:shd w:val="clear" w:color="auto" w:fill="CC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vMerge w:val="restart"/>
            <w:shd w:val="clear" w:color="auto" w:fill="CCFFFF"/>
          </w:tcPr>
          <w:p>
            <w:pPr>
              <w:spacing w:after="0"/>
              <w:rPr>
                <w:sz w:val="20"/>
                <w:szCs w:val="20"/>
                <w:color w:val="auto"/>
              </w:rPr>
            </w:pPr>
            <w:r>
              <w:rPr>
                <w:rFonts w:ascii="Arial" w:cs="Arial" w:eastAsia="Arial" w:hAnsi="Arial"/>
                <w:sz w:val="18"/>
                <w:szCs w:val="18"/>
                <w:b w:val="1"/>
                <w:bCs w:val="1"/>
                <w:color w:val="auto"/>
              </w:rPr>
              <w:t>1</w:t>
            </w:r>
          </w:p>
        </w:tc>
        <w:tc>
          <w:tcPr>
            <w:tcW w:w="23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260" w:type="dxa"/>
            <w:vAlign w:val="bottom"/>
            <w:shd w:val="clear" w:color="auto" w:fill="CCFFFF"/>
          </w:tcPr>
          <w:p>
            <w:pPr>
              <w:spacing w:after="0"/>
              <w:rPr>
                <w:sz w:val="18"/>
                <w:szCs w:val="18"/>
                <w:color w:val="auto"/>
              </w:rPr>
            </w:pPr>
          </w:p>
        </w:tc>
        <w:tc>
          <w:tcPr>
            <w:tcW w:w="24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134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00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4"/>
              </w:rPr>
              <w:t>turbine</w:t>
            </w:r>
          </w:p>
        </w:tc>
        <w:tc>
          <w:tcPr>
            <w:tcW w:w="156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00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vMerge w:val="continue"/>
            <w:shd w:val="clear" w:color="auto" w:fill="CCFFFF"/>
          </w:tcPr>
          <w:p>
            <w:pPr>
              <w:spacing w:after="0"/>
              <w:rPr>
                <w:sz w:val="20"/>
                <w:szCs w:val="20"/>
                <w:color w:val="auto"/>
              </w:rPr>
            </w:pPr>
          </w:p>
        </w:tc>
        <w:tc>
          <w:tcPr>
            <w:tcW w:w="2460" w:type="dxa"/>
            <w:vAlign w:val="bottom"/>
            <w:gridSpan w:val="2"/>
            <w:shd w:val="clear" w:color="auto" w:fill="CCFFFF"/>
          </w:tcPr>
          <w:p>
            <w:pPr>
              <w:ind w:left="200"/>
              <w:spacing w:after="0"/>
              <w:rPr>
                <w:sz w:val="20"/>
                <w:szCs w:val="20"/>
                <w:color w:val="auto"/>
              </w:rPr>
            </w:pPr>
            <w:r>
              <w:rPr>
                <w:rFonts w:ascii="Arial" w:cs="Arial" w:eastAsia="Arial" w:hAnsi="Arial"/>
                <w:sz w:val="18"/>
                <w:szCs w:val="18"/>
                <w:i w:val="1"/>
                <w:iCs w:val="1"/>
                <w:color w:val="auto"/>
              </w:rPr>
              <w:t>Methane Lydon Volney</w:t>
            </w:r>
          </w:p>
        </w:tc>
        <w:tc>
          <w:tcPr>
            <w:tcW w:w="1260" w:type="dxa"/>
            <w:vAlign w:val="bottom"/>
            <w:shd w:val="clear" w:color="auto" w:fill="CCFFFF"/>
          </w:tcPr>
          <w:p>
            <w:pPr>
              <w:jc w:val="right"/>
              <w:ind w:right="290"/>
              <w:spacing w:after="0"/>
              <w:rPr>
                <w:sz w:val="20"/>
                <w:szCs w:val="20"/>
                <w:color w:val="auto"/>
              </w:rPr>
            </w:pPr>
            <w:r>
              <w:rPr>
                <w:rFonts w:ascii="Arial" w:cs="Arial" w:eastAsia="Arial" w:hAnsi="Arial"/>
                <w:sz w:val="18"/>
                <w:szCs w:val="18"/>
                <w:color w:val="auto"/>
              </w:rPr>
              <w:t>2006</w:t>
            </w:r>
          </w:p>
        </w:tc>
        <w:tc>
          <w:tcPr>
            <w:tcW w:w="240" w:type="dxa"/>
            <w:vAlign w:val="bottom"/>
            <w:shd w:val="clear" w:color="auto" w:fill="CCFFFF"/>
          </w:tcPr>
          <w:p>
            <w:pPr>
              <w:spacing w:after="0"/>
              <w:rPr>
                <w:sz w:val="20"/>
                <w:szCs w:val="20"/>
                <w:color w:val="auto"/>
              </w:rPr>
            </w:pPr>
          </w:p>
        </w:tc>
        <w:tc>
          <w:tcPr>
            <w:tcW w:w="136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145,000</w:t>
            </w:r>
          </w:p>
        </w:tc>
        <w:tc>
          <w:tcPr>
            <w:tcW w:w="200" w:type="dxa"/>
            <w:vAlign w:val="bottom"/>
            <w:shd w:val="clear" w:color="auto" w:fill="CCFFFF"/>
          </w:tcPr>
          <w:p>
            <w:pPr>
              <w:spacing w:after="0"/>
              <w:rPr>
                <w:sz w:val="20"/>
                <w:szCs w:val="20"/>
                <w:color w:val="auto"/>
              </w:rPr>
            </w:pPr>
          </w:p>
        </w:tc>
        <w:tc>
          <w:tcPr>
            <w:tcW w:w="146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2"/>
              </w:rPr>
              <w:t>Spot Market</w:t>
            </w:r>
          </w:p>
        </w:tc>
        <w:tc>
          <w:tcPr>
            <w:tcW w:w="100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4"/>
              </w:rPr>
              <w:t>(“Steam”)</w:t>
            </w:r>
          </w:p>
        </w:tc>
        <w:tc>
          <w:tcPr>
            <w:tcW w:w="178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FF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9"/>
              </w:rPr>
              <w:t>Tri-fuel</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diesel</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vMerge w:val="restart"/>
          </w:tcPr>
          <w:p>
            <w:pPr>
              <w:spacing w:after="0"/>
              <w:rPr>
                <w:sz w:val="20"/>
                <w:szCs w:val="20"/>
                <w:color w:val="auto"/>
              </w:rPr>
            </w:pPr>
            <w:r>
              <w:rPr>
                <w:rFonts w:ascii="Arial" w:cs="Arial" w:eastAsia="Arial" w:hAnsi="Arial"/>
                <w:sz w:val="18"/>
                <w:szCs w:val="18"/>
                <w:b w:val="1"/>
                <w:bCs w:val="1"/>
                <w:color w:val="auto"/>
              </w:rPr>
              <w:t>2</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electric</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vMerge w:val="continue"/>
          </w:tcPr>
          <w:p>
            <w:pPr>
              <w:spacing w:after="0"/>
              <w:rPr>
                <w:sz w:val="20"/>
                <w:szCs w:val="20"/>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i w:val="1"/>
                <w:iCs w:val="1"/>
                <w:color w:val="auto"/>
              </w:rPr>
              <w:t>GasLog Skagen</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0"/>
                <w:szCs w:val="20"/>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155,000</w:t>
            </w:r>
          </w:p>
        </w:tc>
        <w:tc>
          <w:tcPr>
            <w:tcW w:w="20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Spot Market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rPr>
              <w:t>(“TFDE”)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3</w:t>
            </w:r>
          </w:p>
        </w:tc>
        <w:tc>
          <w:tcPr>
            <w:tcW w:w="2460" w:type="dxa"/>
            <w:vAlign w:val="bottom"/>
            <w:gridSpan w:val="2"/>
            <w:shd w:val="clear" w:color="auto" w:fill="CCFFFF"/>
          </w:tcPr>
          <w:p>
            <w:pPr>
              <w:ind w:left="200"/>
              <w:spacing w:after="0"/>
              <w:rPr>
                <w:sz w:val="20"/>
                <w:szCs w:val="20"/>
                <w:color w:val="auto"/>
              </w:rPr>
            </w:pPr>
            <w:r>
              <w:rPr>
                <w:rFonts w:ascii="Arial" w:cs="Arial" w:eastAsia="Arial" w:hAnsi="Arial"/>
                <w:sz w:val="18"/>
                <w:szCs w:val="18"/>
                <w:i w:val="1"/>
                <w:iCs w:val="1"/>
                <w:color w:val="auto"/>
              </w:rPr>
              <w:t>GasLog Saratoga</w:t>
            </w:r>
          </w:p>
        </w:tc>
        <w:tc>
          <w:tcPr>
            <w:tcW w:w="1260" w:type="dxa"/>
            <w:vAlign w:val="bottom"/>
            <w:shd w:val="clear" w:color="auto" w:fill="CCFFFF"/>
          </w:tcPr>
          <w:p>
            <w:pPr>
              <w:jc w:val="right"/>
              <w:ind w:right="290"/>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FFFF"/>
          </w:tcPr>
          <w:p>
            <w:pPr>
              <w:spacing w:after="0"/>
              <w:rPr>
                <w:sz w:val="18"/>
                <w:szCs w:val="18"/>
                <w:color w:val="auto"/>
              </w:rPr>
            </w:pPr>
          </w:p>
        </w:tc>
        <w:tc>
          <w:tcPr>
            <w:tcW w:w="136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155,000</w:t>
            </w:r>
          </w:p>
        </w:tc>
        <w:tc>
          <w:tcPr>
            <w:tcW w:w="200" w:type="dxa"/>
            <w:vAlign w:val="bottom"/>
            <w:shd w:val="clear" w:color="auto" w:fill="CCFFFF"/>
          </w:tcPr>
          <w:p>
            <w:pPr>
              <w:spacing w:after="0"/>
              <w:rPr>
                <w:sz w:val="18"/>
                <w:szCs w:val="18"/>
                <w:color w:val="auto"/>
              </w:rPr>
            </w:pPr>
          </w:p>
        </w:tc>
        <w:tc>
          <w:tcPr>
            <w:tcW w:w="146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2"/>
              </w:rPr>
              <w:t>Spot Market</w:t>
            </w:r>
          </w:p>
        </w:tc>
        <w:tc>
          <w:tcPr>
            <w:tcW w:w="100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3"/>
              </w:rPr>
              <w:t>TFDE</w:t>
            </w:r>
          </w:p>
        </w:tc>
        <w:tc>
          <w:tcPr>
            <w:tcW w:w="178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FF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0"/>
                <w:szCs w:val="20"/>
                <w:color w:val="auto"/>
              </w:rPr>
            </w:pPr>
            <w:r>
              <w:rPr>
                <w:rFonts w:ascii="Arial" w:cs="Arial" w:eastAsia="Arial" w:hAnsi="Arial"/>
                <w:sz w:val="18"/>
                <w:szCs w:val="18"/>
                <w:b w:val="1"/>
                <w:bCs w:val="1"/>
                <w:color w:val="auto"/>
              </w:rPr>
              <w:t>4</w:t>
            </w:r>
          </w:p>
        </w:tc>
        <w:tc>
          <w:tcPr>
            <w:tcW w:w="2460" w:type="dxa"/>
            <w:vAlign w:val="bottom"/>
            <w:gridSpan w:val="2"/>
          </w:tcPr>
          <w:p>
            <w:pPr>
              <w:ind w:left="200"/>
              <w:spacing w:after="0"/>
              <w:rPr>
                <w:sz w:val="20"/>
                <w:szCs w:val="20"/>
                <w:color w:val="auto"/>
              </w:rPr>
            </w:pPr>
            <w:r>
              <w:rPr>
                <w:rFonts w:ascii="Arial" w:cs="Arial" w:eastAsia="Arial" w:hAnsi="Arial"/>
                <w:sz w:val="18"/>
                <w:szCs w:val="18"/>
                <w:i w:val="1"/>
                <w:iCs w:val="1"/>
                <w:color w:val="auto"/>
              </w:rPr>
              <w:t>GasLog Chelsea</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2"/>
                <w:szCs w:val="22"/>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153,600</w:t>
            </w:r>
          </w:p>
        </w:tc>
        <w:tc>
          <w:tcPr>
            <w:tcW w:w="200" w:type="dxa"/>
            <w:vAlign w:val="bottom"/>
          </w:tcPr>
          <w:p>
            <w:pPr>
              <w:spacing w:after="0"/>
              <w:rPr>
                <w:sz w:val="22"/>
                <w:szCs w:val="22"/>
                <w:color w:val="auto"/>
              </w:rPr>
            </w:pPr>
          </w:p>
        </w:tc>
        <w:tc>
          <w:tcPr>
            <w:tcW w:w="146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6"/>
              </w:rPr>
              <w:t xml:space="preserve">Glencore </w:t>
            </w:r>
            <w:r>
              <w:rPr>
                <w:rFonts w:ascii="Arial" w:cs="Arial" w:eastAsia="Arial" w:hAnsi="Arial"/>
                <w:sz w:val="29"/>
                <w:szCs w:val="29"/>
                <w:color w:val="auto"/>
                <w:w w:val="86"/>
                <w:vertAlign w:val="superscript"/>
              </w:rPr>
              <w:t>(3)</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TFDE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2022</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5</w:t>
            </w:r>
          </w:p>
        </w:tc>
        <w:tc>
          <w:tcPr>
            <w:tcW w:w="2460" w:type="dxa"/>
            <w:vAlign w:val="bottom"/>
            <w:gridSpan w:val="2"/>
            <w:shd w:val="clear" w:color="auto" w:fill="CCFFFF"/>
          </w:tcPr>
          <w:p>
            <w:pPr>
              <w:ind w:left="200"/>
              <w:spacing w:after="0"/>
              <w:rPr>
                <w:sz w:val="20"/>
                <w:szCs w:val="20"/>
                <w:color w:val="auto"/>
              </w:rPr>
            </w:pPr>
            <w:r>
              <w:rPr>
                <w:rFonts w:ascii="Arial" w:cs="Arial" w:eastAsia="Arial" w:hAnsi="Arial"/>
                <w:sz w:val="18"/>
                <w:szCs w:val="18"/>
                <w:i w:val="1"/>
                <w:iCs w:val="1"/>
                <w:color w:val="auto"/>
              </w:rPr>
              <w:t>GasLog Salem</w:t>
            </w:r>
          </w:p>
        </w:tc>
        <w:tc>
          <w:tcPr>
            <w:tcW w:w="1260" w:type="dxa"/>
            <w:vAlign w:val="bottom"/>
            <w:shd w:val="clear" w:color="auto" w:fill="CCFFFF"/>
          </w:tcPr>
          <w:p>
            <w:pPr>
              <w:jc w:val="right"/>
              <w:ind w:right="290"/>
              <w:spacing w:after="0"/>
              <w:rPr>
                <w:sz w:val="20"/>
                <w:szCs w:val="20"/>
                <w:color w:val="auto"/>
              </w:rPr>
            </w:pPr>
            <w:r>
              <w:rPr>
                <w:rFonts w:ascii="Arial" w:cs="Arial" w:eastAsia="Arial" w:hAnsi="Arial"/>
                <w:sz w:val="18"/>
                <w:szCs w:val="18"/>
                <w:color w:val="auto"/>
              </w:rPr>
              <w:t>2015</w:t>
            </w:r>
          </w:p>
        </w:tc>
        <w:tc>
          <w:tcPr>
            <w:tcW w:w="240" w:type="dxa"/>
            <w:vAlign w:val="bottom"/>
            <w:shd w:val="clear" w:color="auto" w:fill="CCFFFF"/>
          </w:tcPr>
          <w:p>
            <w:pPr>
              <w:spacing w:after="0"/>
              <w:rPr>
                <w:sz w:val="22"/>
                <w:szCs w:val="22"/>
                <w:color w:val="auto"/>
              </w:rPr>
            </w:pPr>
          </w:p>
        </w:tc>
        <w:tc>
          <w:tcPr>
            <w:tcW w:w="136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155,000</w:t>
            </w:r>
          </w:p>
        </w:tc>
        <w:tc>
          <w:tcPr>
            <w:tcW w:w="200" w:type="dxa"/>
            <w:vAlign w:val="bottom"/>
            <w:shd w:val="clear" w:color="auto" w:fill="CCFFFF"/>
          </w:tcPr>
          <w:p>
            <w:pPr>
              <w:spacing w:after="0"/>
              <w:rPr>
                <w:sz w:val="22"/>
                <w:szCs w:val="22"/>
                <w:color w:val="auto"/>
              </w:rPr>
            </w:pPr>
          </w:p>
        </w:tc>
        <w:tc>
          <w:tcPr>
            <w:tcW w:w="1460" w:type="dxa"/>
            <w:vAlign w:val="bottom"/>
            <w:gridSpan w:val="2"/>
            <w:shd w:val="clear" w:color="auto" w:fill="CCFFFF"/>
          </w:tcPr>
          <w:p>
            <w:pPr>
              <w:jc w:val="center"/>
              <w:ind w:right="100"/>
              <w:spacing w:after="0" w:line="256" w:lineRule="exact"/>
              <w:rPr>
                <w:sz w:val="20"/>
                <w:szCs w:val="20"/>
                <w:color w:val="auto"/>
              </w:rPr>
            </w:pPr>
            <w:r>
              <w:rPr>
                <w:rFonts w:ascii="Arial" w:cs="Arial" w:eastAsia="Arial" w:hAnsi="Arial"/>
                <w:sz w:val="18"/>
                <w:szCs w:val="18"/>
                <w:color w:val="auto"/>
                <w:w w:val="86"/>
              </w:rPr>
              <w:t xml:space="preserve">Gunvor </w:t>
            </w:r>
            <w:r>
              <w:rPr>
                <w:rFonts w:ascii="Arial" w:cs="Arial" w:eastAsia="Arial" w:hAnsi="Arial"/>
                <w:sz w:val="29"/>
                <w:szCs w:val="29"/>
                <w:color w:val="auto"/>
                <w:w w:val="86"/>
                <w:vertAlign w:val="superscript"/>
              </w:rPr>
              <w:t>(4)</w:t>
            </w:r>
          </w:p>
        </w:tc>
        <w:tc>
          <w:tcPr>
            <w:tcW w:w="100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3"/>
              </w:rPr>
              <w:t>TFDE</w:t>
            </w:r>
          </w:p>
        </w:tc>
        <w:tc>
          <w:tcPr>
            <w:tcW w:w="178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0"/>
              </w:rPr>
              <w:t>March 2022</w:t>
            </w:r>
          </w:p>
        </w:tc>
        <w:tc>
          <w:tcPr>
            <w:tcW w:w="1100" w:type="dxa"/>
            <w:vAlign w:val="bottom"/>
            <w:gridSpan w:val="2"/>
            <w:shd w:val="clear" w:color="auto" w:fill="CCFF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0"/>
                <w:szCs w:val="20"/>
                <w:color w:val="auto"/>
              </w:rPr>
            </w:pPr>
            <w:r>
              <w:rPr>
                <w:rFonts w:ascii="Arial" w:cs="Arial" w:eastAsia="Arial" w:hAnsi="Arial"/>
                <w:sz w:val="18"/>
                <w:szCs w:val="18"/>
                <w:b w:val="1"/>
                <w:bCs w:val="1"/>
                <w:color w:val="auto"/>
              </w:rPr>
              <w:t>6</w:t>
            </w:r>
          </w:p>
        </w:tc>
        <w:tc>
          <w:tcPr>
            <w:tcW w:w="2460" w:type="dxa"/>
            <w:vAlign w:val="bottom"/>
            <w:gridSpan w:val="2"/>
          </w:tcPr>
          <w:p>
            <w:pPr>
              <w:ind w:left="200"/>
              <w:spacing w:after="0"/>
              <w:rPr>
                <w:sz w:val="20"/>
                <w:szCs w:val="20"/>
                <w:color w:val="auto"/>
              </w:rPr>
            </w:pPr>
            <w:r>
              <w:rPr>
                <w:rFonts w:ascii="Arial" w:cs="Arial" w:eastAsia="Arial" w:hAnsi="Arial"/>
                <w:sz w:val="18"/>
                <w:szCs w:val="18"/>
                <w:i w:val="1"/>
                <w:iCs w:val="1"/>
                <w:color w:val="auto"/>
              </w:rPr>
              <w:t>GasLog Savannah</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2"/>
                <w:szCs w:val="22"/>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155,000</w:t>
            </w:r>
          </w:p>
        </w:tc>
        <w:tc>
          <w:tcPr>
            <w:tcW w:w="200" w:type="dxa"/>
            <w:vAlign w:val="bottom"/>
          </w:tcPr>
          <w:p>
            <w:pPr>
              <w:spacing w:after="0"/>
              <w:rPr>
                <w:sz w:val="22"/>
                <w:szCs w:val="22"/>
                <w:color w:val="auto"/>
              </w:rPr>
            </w:pPr>
          </w:p>
        </w:tc>
        <w:tc>
          <w:tcPr>
            <w:tcW w:w="146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Eni </w:t>
            </w:r>
            <w:r>
              <w:rPr>
                <w:rFonts w:ascii="Arial" w:cs="Arial" w:eastAsia="Arial" w:hAnsi="Arial"/>
                <w:sz w:val="29"/>
                <w:szCs w:val="29"/>
                <w:color w:val="auto"/>
                <w:w w:val="87"/>
                <w:vertAlign w:val="superscript"/>
              </w:rPr>
              <w:t>(5)</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TFDE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2022</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7</w:t>
            </w:r>
          </w:p>
        </w:tc>
        <w:tc>
          <w:tcPr>
            <w:tcW w:w="2460" w:type="dxa"/>
            <w:vAlign w:val="bottom"/>
            <w:gridSpan w:val="2"/>
            <w:shd w:val="clear" w:color="auto" w:fill="CCFFFF"/>
          </w:tcPr>
          <w:p>
            <w:pPr>
              <w:ind w:left="200"/>
              <w:spacing w:after="0"/>
              <w:rPr>
                <w:sz w:val="20"/>
                <w:szCs w:val="20"/>
                <w:color w:val="auto"/>
              </w:rPr>
            </w:pPr>
            <w:r>
              <w:rPr>
                <w:rFonts w:ascii="Arial" w:cs="Arial" w:eastAsia="Arial" w:hAnsi="Arial"/>
                <w:sz w:val="18"/>
                <w:szCs w:val="18"/>
                <w:i w:val="1"/>
                <w:iCs w:val="1"/>
                <w:color w:val="auto"/>
              </w:rPr>
              <w:t>GasLog Genoa</w:t>
            </w:r>
          </w:p>
        </w:tc>
        <w:tc>
          <w:tcPr>
            <w:tcW w:w="1260" w:type="dxa"/>
            <w:vAlign w:val="bottom"/>
            <w:shd w:val="clear" w:color="auto" w:fill="CCFFFF"/>
          </w:tcPr>
          <w:p>
            <w:pPr>
              <w:jc w:val="right"/>
              <w:ind w:right="29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FFFF"/>
          </w:tcPr>
          <w:p>
            <w:pPr>
              <w:spacing w:after="0"/>
              <w:rPr>
                <w:sz w:val="18"/>
                <w:szCs w:val="18"/>
                <w:color w:val="auto"/>
              </w:rPr>
            </w:pPr>
          </w:p>
        </w:tc>
        <w:tc>
          <w:tcPr>
            <w:tcW w:w="136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174,000</w:t>
            </w:r>
          </w:p>
        </w:tc>
        <w:tc>
          <w:tcPr>
            <w:tcW w:w="200" w:type="dxa"/>
            <w:vAlign w:val="bottom"/>
            <w:shd w:val="clear" w:color="auto" w:fill="CCFFFF"/>
          </w:tcPr>
          <w:p>
            <w:pPr>
              <w:spacing w:after="0"/>
              <w:rPr>
                <w:sz w:val="18"/>
                <w:szCs w:val="18"/>
                <w:color w:val="auto"/>
              </w:rPr>
            </w:pPr>
          </w:p>
        </w:tc>
        <w:tc>
          <w:tcPr>
            <w:tcW w:w="1460" w:type="dxa"/>
            <w:vAlign w:val="bottom"/>
            <w:gridSpan w:val="2"/>
            <w:shd w:val="clear" w:color="auto" w:fill="CCFFFF"/>
          </w:tcPr>
          <w:p>
            <w:pPr>
              <w:jc w:val="center"/>
              <w:ind w:right="100"/>
              <w:spacing w:after="0"/>
              <w:rPr>
                <w:sz w:val="20"/>
                <w:szCs w:val="20"/>
                <w:color w:val="auto"/>
              </w:rPr>
            </w:pPr>
            <w:r>
              <w:rPr>
                <w:rFonts w:ascii="Arial" w:cs="Arial" w:eastAsia="Arial" w:hAnsi="Arial"/>
                <w:sz w:val="18"/>
                <w:szCs w:val="18"/>
                <w:color w:val="auto"/>
                <w:w w:val="89"/>
              </w:rPr>
              <w:t>Shell</w:t>
            </w:r>
          </w:p>
        </w:tc>
        <w:tc>
          <w:tcPr>
            <w:tcW w:w="1000" w:type="dxa"/>
            <w:vAlign w:val="bottom"/>
            <w:gridSpan w:val="2"/>
            <w:shd w:val="clear" w:color="auto" w:fill="CCFFFF"/>
          </w:tcPr>
          <w:p>
            <w:pPr>
              <w:jc w:val="center"/>
              <w:ind w:right="140"/>
              <w:spacing w:after="0"/>
              <w:rPr>
                <w:sz w:val="20"/>
                <w:szCs w:val="20"/>
                <w:color w:val="auto"/>
              </w:rPr>
            </w:pPr>
            <w:r>
              <w:rPr>
                <w:rFonts w:ascii="Arial" w:cs="Arial" w:eastAsia="Arial" w:hAnsi="Arial"/>
                <w:sz w:val="18"/>
                <w:szCs w:val="18"/>
                <w:color w:val="auto"/>
                <w:w w:val="99"/>
              </w:rPr>
              <w:t>X-DF</w:t>
            </w:r>
          </w:p>
        </w:tc>
        <w:tc>
          <w:tcPr>
            <w:tcW w:w="178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0"/>
              </w:rPr>
              <w:t>March 2027</w:t>
            </w:r>
          </w:p>
        </w:tc>
        <w:tc>
          <w:tcPr>
            <w:tcW w:w="1000" w:type="dxa"/>
            <w:vAlign w:val="bottom"/>
            <w:shd w:val="clear" w:color="auto" w:fill="CCFFFF"/>
          </w:tcPr>
          <w:p>
            <w:pPr>
              <w:jc w:val="center"/>
              <w:ind w:left="10"/>
              <w:spacing w:after="0"/>
              <w:rPr>
                <w:sz w:val="20"/>
                <w:szCs w:val="20"/>
                <w:color w:val="auto"/>
              </w:rPr>
            </w:pPr>
            <w:r>
              <w:rPr>
                <w:rFonts w:ascii="Arial" w:cs="Arial" w:eastAsia="Arial" w:hAnsi="Arial"/>
                <w:sz w:val="18"/>
                <w:szCs w:val="18"/>
                <w:color w:val="auto"/>
                <w:w w:val="90"/>
              </w:rPr>
              <w:t>2030-2033</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0"/>
                <w:szCs w:val="20"/>
                <w:color w:val="auto"/>
              </w:rPr>
            </w:pPr>
            <w:r>
              <w:rPr>
                <w:rFonts w:ascii="Arial" w:cs="Arial" w:eastAsia="Arial" w:hAnsi="Arial"/>
                <w:sz w:val="18"/>
                <w:szCs w:val="18"/>
                <w:b w:val="1"/>
                <w:bCs w:val="1"/>
                <w:color w:val="auto"/>
              </w:rPr>
              <w:t>8</w:t>
            </w:r>
          </w:p>
        </w:tc>
        <w:tc>
          <w:tcPr>
            <w:tcW w:w="2460" w:type="dxa"/>
            <w:vAlign w:val="bottom"/>
            <w:gridSpan w:val="2"/>
          </w:tcPr>
          <w:p>
            <w:pPr>
              <w:ind w:left="200"/>
              <w:spacing w:after="0"/>
              <w:rPr>
                <w:sz w:val="20"/>
                <w:szCs w:val="20"/>
                <w:color w:val="auto"/>
              </w:rPr>
            </w:pPr>
            <w:r>
              <w:rPr>
                <w:rFonts w:ascii="Arial" w:cs="Arial" w:eastAsia="Arial" w:hAnsi="Arial"/>
                <w:sz w:val="18"/>
                <w:szCs w:val="18"/>
                <w:i w:val="1"/>
                <w:iCs w:val="1"/>
                <w:color w:val="auto"/>
              </w:rPr>
              <w:t>GasLog Windsor</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2"/>
                <w:szCs w:val="22"/>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180,000</w:t>
            </w:r>
          </w:p>
        </w:tc>
        <w:tc>
          <w:tcPr>
            <w:tcW w:w="200" w:type="dxa"/>
            <w:vAlign w:val="bottom"/>
          </w:tcPr>
          <w:p>
            <w:pPr>
              <w:spacing w:after="0"/>
              <w:rPr>
                <w:sz w:val="22"/>
                <w:szCs w:val="22"/>
                <w:color w:val="auto"/>
              </w:rPr>
            </w:pPr>
          </w:p>
        </w:tc>
        <w:tc>
          <w:tcPr>
            <w:tcW w:w="146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Centrica </w:t>
            </w:r>
            <w:r>
              <w:rPr>
                <w:rFonts w:ascii="Arial" w:cs="Arial" w:eastAsia="Arial" w:hAnsi="Arial"/>
                <w:sz w:val="29"/>
                <w:szCs w:val="29"/>
                <w:color w:val="auto"/>
                <w:w w:val="87"/>
                <w:vertAlign w:val="superscript"/>
              </w:rPr>
              <w:t>(6)</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X-DF</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April 2027</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0"/>
              </w:rPr>
              <w:t>2029-2033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9</w:t>
            </w:r>
          </w:p>
        </w:tc>
        <w:tc>
          <w:tcPr>
            <w:tcW w:w="2460" w:type="dxa"/>
            <w:vAlign w:val="bottom"/>
            <w:gridSpan w:val="2"/>
            <w:shd w:val="clear" w:color="auto" w:fill="CCFFFF"/>
          </w:tcPr>
          <w:p>
            <w:pPr>
              <w:ind w:left="200"/>
              <w:spacing w:after="0"/>
              <w:rPr>
                <w:sz w:val="20"/>
                <w:szCs w:val="20"/>
                <w:color w:val="auto"/>
              </w:rPr>
            </w:pPr>
            <w:r>
              <w:rPr>
                <w:rFonts w:ascii="Arial" w:cs="Arial" w:eastAsia="Arial" w:hAnsi="Arial"/>
                <w:sz w:val="18"/>
                <w:szCs w:val="18"/>
                <w:i w:val="1"/>
                <w:iCs w:val="1"/>
                <w:color w:val="auto"/>
              </w:rPr>
              <w:t>GasLog Westminster</w:t>
            </w:r>
          </w:p>
        </w:tc>
        <w:tc>
          <w:tcPr>
            <w:tcW w:w="1260" w:type="dxa"/>
            <w:vAlign w:val="bottom"/>
            <w:shd w:val="clear" w:color="auto" w:fill="CCFFFF"/>
          </w:tcPr>
          <w:p>
            <w:pPr>
              <w:jc w:val="right"/>
              <w:ind w:right="29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FFFF"/>
          </w:tcPr>
          <w:p>
            <w:pPr>
              <w:spacing w:after="0"/>
              <w:rPr>
                <w:sz w:val="22"/>
                <w:szCs w:val="22"/>
                <w:color w:val="auto"/>
              </w:rPr>
            </w:pPr>
          </w:p>
        </w:tc>
        <w:tc>
          <w:tcPr>
            <w:tcW w:w="136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180,000</w:t>
            </w:r>
          </w:p>
        </w:tc>
        <w:tc>
          <w:tcPr>
            <w:tcW w:w="200" w:type="dxa"/>
            <w:vAlign w:val="bottom"/>
            <w:shd w:val="clear" w:color="auto" w:fill="CCFFFF"/>
          </w:tcPr>
          <w:p>
            <w:pPr>
              <w:spacing w:after="0"/>
              <w:rPr>
                <w:sz w:val="22"/>
                <w:szCs w:val="22"/>
                <w:color w:val="auto"/>
              </w:rPr>
            </w:pPr>
          </w:p>
        </w:tc>
        <w:tc>
          <w:tcPr>
            <w:tcW w:w="1460" w:type="dxa"/>
            <w:vAlign w:val="bottom"/>
            <w:gridSpan w:val="2"/>
            <w:shd w:val="clear" w:color="auto" w:fill="CC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Centrica </w:t>
            </w:r>
            <w:r>
              <w:rPr>
                <w:rFonts w:ascii="Arial" w:cs="Arial" w:eastAsia="Arial" w:hAnsi="Arial"/>
                <w:sz w:val="29"/>
                <w:szCs w:val="29"/>
                <w:color w:val="auto"/>
                <w:w w:val="87"/>
                <w:vertAlign w:val="superscript"/>
              </w:rPr>
              <w:t>(6)</w:t>
            </w:r>
          </w:p>
        </w:tc>
        <w:tc>
          <w:tcPr>
            <w:tcW w:w="1000" w:type="dxa"/>
            <w:vAlign w:val="bottom"/>
            <w:gridSpan w:val="2"/>
            <w:shd w:val="clear" w:color="auto" w:fill="CCFFFF"/>
          </w:tcPr>
          <w:p>
            <w:pPr>
              <w:jc w:val="center"/>
              <w:ind w:right="140"/>
              <w:spacing w:after="0"/>
              <w:rPr>
                <w:sz w:val="20"/>
                <w:szCs w:val="20"/>
                <w:color w:val="auto"/>
              </w:rPr>
            </w:pPr>
            <w:r>
              <w:rPr>
                <w:rFonts w:ascii="Arial" w:cs="Arial" w:eastAsia="Arial" w:hAnsi="Arial"/>
                <w:sz w:val="18"/>
                <w:szCs w:val="18"/>
                <w:color w:val="auto"/>
                <w:w w:val="99"/>
              </w:rPr>
              <w:t>X-DF</w:t>
            </w:r>
          </w:p>
        </w:tc>
        <w:tc>
          <w:tcPr>
            <w:tcW w:w="178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0"/>
              </w:rPr>
              <w:t>July 2027</w:t>
            </w:r>
          </w:p>
        </w:tc>
        <w:tc>
          <w:tcPr>
            <w:tcW w:w="1000" w:type="dxa"/>
            <w:vAlign w:val="bottom"/>
            <w:shd w:val="clear" w:color="auto" w:fill="CCFFFF"/>
          </w:tcPr>
          <w:p>
            <w:pPr>
              <w:jc w:val="center"/>
              <w:ind w:left="10"/>
              <w:spacing w:after="0"/>
              <w:rPr>
                <w:sz w:val="20"/>
                <w:szCs w:val="20"/>
                <w:color w:val="auto"/>
              </w:rPr>
            </w:pPr>
            <w:r>
              <w:rPr>
                <w:rFonts w:ascii="Arial" w:cs="Arial" w:eastAsia="Arial" w:hAnsi="Arial"/>
                <w:sz w:val="18"/>
                <w:szCs w:val="18"/>
                <w:color w:val="auto"/>
                <w:w w:val="90"/>
              </w:rPr>
              <w:t>2029-2033</w:t>
            </w:r>
          </w:p>
        </w:tc>
        <w:tc>
          <w:tcPr>
            <w:tcW w:w="100" w:type="dxa"/>
            <w:vAlign w:val="bottom"/>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460" w:type="dxa"/>
            <w:vAlign w:val="bottom"/>
            <w:gridSpan w:val="2"/>
          </w:tcPr>
          <w:p>
            <w:pPr>
              <w:ind w:left="200"/>
              <w:spacing w:after="0"/>
              <w:rPr>
                <w:sz w:val="20"/>
                <w:szCs w:val="20"/>
                <w:color w:val="auto"/>
              </w:rPr>
            </w:pPr>
            <w:r>
              <w:rPr>
                <w:rFonts w:ascii="Arial" w:cs="Arial" w:eastAsia="Arial" w:hAnsi="Arial"/>
                <w:sz w:val="18"/>
                <w:szCs w:val="18"/>
                <w:i w:val="1"/>
                <w:iCs w:val="1"/>
                <w:color w:val="auto"/>
              </w:rPr>
              <w:t>GasLog Georgetown</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174,000</w:t>
            </w:r>
          </w:p>
        </w:tc>
        <w:tc>
          <w:tcPr>
            <w:tcW w:w="2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Cheniere</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X-DF</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November 2027</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0"/>
              </w:rPr>
              <w:t>2030-2034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11</w:t>
            </w:r>
          </w:p>
        </w:tc>
        <w:tc>
          <w:tcPr>
            <w:tcW w:w="2460" w:type="dxa"/>
            <w:vAlign w:val="bottom"/>
            <w:gridSpan w:val="2"/>
            <w:shd w:val="clear" w:color="auto" w:fill="CCFFFF"/>
          </w:tcPr>
          <w:p>
            <w:pPr>
              <w:ind w:left="200"/>
              <w:spacing w:after="0"/>
              <w:rPr>
                <w:sz w:val="20"/>
                <w:szCs w:val="20"/>
                <w:color w:val="auto"/>
              </w:rPr>
            </w:pPr>
            <w:r>
              <w:rPr>
                <w:rFonts w:ascii="Arial" w:cs="Arial" w:eastAsia="Arial" w:hAnsi="Arial"/>
                <w:sz w:val="18"/>
                <w:szCs w:val="18"/>
                <w:i w:val="1"/>
                <w:iCs w:val="1"/>
                <w:color w:val="auto"/>
              </w:rPr>
              <w:t>GasLog Galveston</w:t>
            </w:r>
          </w:p>
        </w:tc>
        <w:tc>
          <w:tcPr>
            <w:tcW w:w="1260" w:type="dxa"/>
            <w:vAlign w:val="bottom"/>
            <w:shd w:val="clear" w:color="auto" w:fill="CCFFFF"/>
          </w:tcPr>
          <w:p>
            <w:pPr>
              <w:jc w:val="right"/>
              <w:ind w:right="29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FFFF"/>
          </w:tcPr>
          <w:p>
            <w:pPr>
              <w:spacing w:after="0"/>
              <w:rPr>
                <w:sz w:val="18"/>
                <w:szCs w:val="18"/>
                <w:color w:val="auto"/>
              </w:rPr>
            </w:pPr>
          </w:p>
        </w:tc>
        <w:tc>
          <w:tcPr>
            <w:tcW w:w="136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174,000</w:t>
            </w:r>
          </w:p>
        </w:tc>
        <w:tc>
          <w:tcPr>
            <w:tcW w:w="200" w:type="dxa"/>
            <w:vAlign w:val="bottom"/>
            <w:shd w:val="clear" w:color="auto" w:fill="CCFFFF"/>
          </w:tcPr>
          <w:p>
            <w:pPr>
              <w:spacing w:after="0"/>
              <w:rPr>
                <w:sz w:val="18"/>
                <w:szCs w:val="18"/>
                <w:color w:val="auto"/>
              </w:rPr>
            </w:pPr>
          </w:p>
        </w:tc>
        <w:tc>
          <w:tcPr>
            <w:tcW w:w="1460" w:type="dxa"/>
            <w:vAlign w:val="bottom"/>
            <w:gridSpan w:val="2"/>
            <w:shd w:val="clear" w:color="auto" w:fill="CCFFFF"/>
          </w:tcPr>
          <w:p>
            <w:pPr>
              <w:jc w:val="center"/>
              <w:ind w:right="100"/>
              <w:spacing w:after="0"/>
              <w:rPr>
                <w:sz w:val="20"/>
                <w:szCs w:val="20"/>
                <w:color w:val="auto"/>
              </w:rPr>
            </w:pPr>
            <w:r>
              <w:rPr>
                <w:rFonts w:ascii="Arial" w:cs="Arial" w:eastAsia="Arial" w:hAnsi="Arial"/>
                <w:sz w:val="18"/>
                <w:szCs w:val="18"/>
                <w:color w:val="auto"/>
                <w:w w:val="87"/>
              </w:rPr>
              <w:t>Cheniere</w:t>
            </w:r>
          </w:p>
        </w:tc>
        <w:tc>
          <w:tcPr>
            <w:tcW w:w="1000" w:type="dxa"/>
            <w:vAlign w:val="bottom"/>
            <w:gridSpan w:val="2"/>
            <w:shd w:val="clear" w:color="auto" w:fill="CCFFFF"/>
          </w:tcPr>
          <w:p>
            <w:pPr>
              <w:jc w:val="center"/>
              <w:ind w:right="140"/>
              <w:spacing w:after="0"/>
              <w:rPr>
                <w:sz w:val="20"/>
                <w:szCs w:val="20"/>
                <w:color w:val="auto"/>
              </w:rPr>
            </w:pPr>
            <w:r>
              <w:rPr>
                <w:rFonts w:ascii="Arial" w:cs="Arial" w:eastAsia="Arial" w:hAnsi="Arial"/>
                <w:sz w:val="18"/>
                <w:szCs w:val="18"/>
                <w:color w:val="auto"/>
                <w:w w:val="99"/>
              </w:rPr>
              <w:t>X-DF</w:t>
            </w:r>
          </w:p>
        </w:tc>
        <w:tc>
          <w:tcPr>
            <w:tcW w:w="178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89"/>
              </w:rPr>
              <w:t>January 2028</w:t>
            </w:r>
          </w:p>
        </w:tc>
        <w:tc>
          <w:tcPr>
            <w:tcW w:w="1000" w:type="dxa"/>
            <w:vAlign w:val="bottom"/>
            <w:shd w:val="clear" w:color="auto" w:fill="CCFFFF"/>
          </w:tcPr>
          <w:p>
            <w:pPr>
              <w:jc w:val="center"/>
              <w:ind w:left="10"/>
              <w:spacing w:after="0"/>
              <w:rPr>
                <w:sz w:val="20"/>
                <w:szCs w:val="20"/>
                <w:color w:val="auto"/>
              </w:rPr>
            </w:pPr>
            <w:r>
              <w:rPr>
                <w:rFonts w:ascii="Arial" w:cs="Arial" w:eastAsia="Arial" w:hAnsi="Arial"/>
                <w:sz w:val="18"/>
                <w:szCs w:val="18"/>
                <w:color w:val="auto"/>
                <w:w w:val="90"/>
              </w:rPr>
              <w:t>2031-2035</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2460" w:type="dxa"/>
            <w:vAlign w:val="bottom"/>
            <w:gridSpan w:val="2"/>
          </w:tcPr>
          <w:p>
            <w:pPr>
              <w:ind w:left="200"/>
              <w:spacing w:after="0"/>
              <w:rPr>
                <w:sz w:val="20"/>
                <w:szCs w:val="20"/>
                <w:color w:val="auto"/>
              </w:rPr>
            </w:pPr>
            <w:r>
              <w:rPr>
                <w:rFonts w:ascii="Arial" w:cs="Arial" w:eastAsia="Arial" w:hAnsi="Arial"/>
                <w:sz w:val="18"/>
                <w:szCs w:val="18"/>
                <w:i w:val="1"/>
                <w:iCs w:val="1"/>
                <w:color w:val="auto"/>
              </w:rPr>
              <w:t>GasLog Gladstone</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1360" w:type="dxa"/>
            <w:vAlign w:val="bottom"/>
          </w:tcPr>
          <w:p>
            <w:pPr>
              <w:ind w:left="440"/>
              <w:spacing w:after="0"/>
              <w:rPr>
                <w:sz w:val="20"/>
                <w:szCs w:val="20"/>
                <w:color w:val="auto"/>
              </w:rPr>
            </w:pPr>
            <w:r>
              <w:rPr>
                <w:rFonts w:ascii="Arial" w:cs="Arial" w:eastAsia="Arial" w:hAnsi="Arial"/>
                <w:sz w:val="18"/>
                <w:szCs w:val="18"/>
                <w:color w:val="auto"/>
              </w:rPr>
              <w:t>174,000</w:t>
            </w:r>
          </w:p>
        </w:tc>
        <w:tc>
          <w:tcPr>
            <w:tcW w:w="2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Shell</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X-DF</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January 2029</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0"/>
              </w:rPr>
              <w:t>2032-2035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0" w:type="dxa"/>
            <w:vAlign w:val="bottom"/>
            <w:vMerge w:val="restart"/>
            <w:shd w:val="clear" w:color="auto" w:fill="CCFFFF"/>
          </w:tcPr>
          <w:p>
            <w:pPr>
              <w:spacing w:after="0"/>
              <w:rPr>
                <w:sz w:val="20"/>
                <w:szCs w:val="20"/>
                <w:color w:val="auto"/>
              </w:rPr>
            </w:pPr>
            <w:r>
              <w:rPr>
                <w:rFonts w:ascii="Arial" w:cs="Arial" w:eastAsia="Arial" w:hAnsi="Arial"/>
                <w:sz w:val="18"/>
                <w:szCs w:val="18"/>
                <w:b w:val="1"/>
                <w:bCs w:val="1"/>
                <w:color w:val="auto"/>
              </w:rPr>
              <w:t>13</w:t>
            </w:r>
          </w:p>
        </w:tc>
        <w:tc>
          <w:tcPr>
            <w:tcW w:w="2460" w:type="dxa"/>
            <w:vAlign w:val="bottom"/>
            <w:gridSpan w:val="2"/>
            <w:vMerge w:val="restart"/>
            <w:shd w:val="clear" w:color="auto" w:fill="CCFFFF"/>
          </w:tcPr>
          <w:p>
            <w:pPr>
              <w:ind w:left="200"/>
              <w:spacing w:after="0"/>
              <w:rPr>
                <w:sz w:val="20"/>
                <w:szCs w:val="20"/>
                <w:color w:val="auto"/>
              </w:rPr>
            </w:pPr>
            <w:r>
              <w:rPr>
                <w:rFonts w:ascii="Arial" w:cs="Arial" w:eastAsia="Arial" w:hAnsi="Arial"/>
                <w:sz w:val="18"/>
                <w:szCs w:val="18"/>
                <w:i w:val="1"/>
                <w:iCs w:val="1"/>
                <w:color w:val="auto"/>
              </w:rPr>
              <w:t>GasLog Warsaw</w:t>
            </w:r>
          </w:p>
        </w:tc>
        <w:tc>
          <w:tcPr>
            <w:tcW w:w="1260" w:type="dxa"/>
            <w:vAlign w:val="bottom"/>
            <w:vMerge w:val="restart"/>
            <w:shd w:val="clear" w:color="auto" w:fill="CCFFFF"/>
          </w:tcPr>
          <w:p>
            <w:pPr>
              <w:jc w:val="right"/>
              <w:ind w:right="29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FFFF"/>
          </w:tcPr>
          <w:p>
            <w:pPr>
              <w:spacing w:after="0"/>
              <w:rPr>
                <w:sz w:val="17"/>
                <w:szCs w:val="17"/>
                <w:color w:val="auto"/>
              </w:rPr>
            </w:pPr>
          </w:p>
        </w:tc>
        <w:tc>
          <w:tcPr>
            <w:tcW w:w="1360" w:type="dxa"/>
            <w:vAlign w:val="bottom"/>
            <w:vMerge w:val="restart"/>
            <w:shd w:val="clear" w:color="auto" w:fill="CCFFFF"/>
          </w:tcPr>
          <w:p>
            <w:pPr>
              <w:ind w:left="440"/>
              <w:spacing w:after="0"/>
              <w:rPr>
                <w:sz w:val="20"/>
                <w:szCs w:val="20"/>
                <w:color w:val="auto"/>
              </w:rPr>
            </w:pPr>
            <w:r>
              <w:rPr>
                <w:rFonts w:ascii="Arial" w:cs="Arial" w:eastAsia="Arial" w:hAnsi="Arial"/>
                <w:sz w:val="18"/>
                <w:szCs w:val="18"/>
                <w:color w:val="auto"/>
              </w:rPr>
              <w:t>180,000</w:t>
            </w:r>
          </w:p>
        </w:tc>
        <w:tc>
          <w:tcPr>
            <w:tcW w:w="200" w:type="dxa"/>
            <w:vAlign w:val="bottom"/>
            <w:shd w:val="clear" w:color="auto" w:fill="CCFFFF"/>
          </w:tcPr>
          <w:p>
            <w:pPr>
              <w:spacing w:after="0"/>
              <w:rPr>
                <w:sz w:val="17"/>
                <w:szCs w:val="17"/>
                <w:color w:val="auto"/>
              </w:rPr>
            </w:pPr>
          </w:p>
        </w:tc>
        <w:tc>
          <w:tcPr>
            <w:tcW w:w="1460" w:type="dxa"/>
            <w:vAlign w:val="bottom"/>
            <w:gridSpan w:val="2"/>
            <w:shd w:val="clear" w:color="auto" w:fill="CCFFFF"/>
          </w:tcPr>
          <w:p>
            <w:pPr>
              <w:jc w:val="center"/>
              <w:ind w:right="100"/>
              <w:spacing w:after="0" w:line="206" w:lineRule="exact"/>
              <w:rPr>
                <w:sz w:val="20"/>
                <w:szCs w:val="20"/>
                <w:color w:val="auto"/>
              </w:rPr>
            </w:pPr>
            <w:r>
              <w:rPr>
                <w:rFonts w:ascii="Arial" w:cs="Arial" w:eastAsia="Arial" w:hAnsi="Arial"/>
                <w:sz w:val="18"/>
                <w:szCs w:val="18"/>
                <w:color w:val="auto"/>
                <w:w w:val="87"/>
              </w:rPr>
              <w:t>Cheniere</w:t>
            </w:r>
          </w:p>
        </w:tc>
        <w:tc>
          <w:tcPr>
            <w:tcW w:w="1000" w:type="dxa"/>
            <w:vAlign w:val="bottom"/>
            <w:gridSpan w:val="2"/>
            <w:vMerge w:val="restart"/>
            <w:shd w:val="clear" w:color="auto" w:fill="CCFFFF"/>
          </w:tcPr>
          <w:p>
            <w:pPr>
              <w:jc w:val="center"/>
              <w:ind w:right="140"/>
              <w:spacing w:after="0"/>
              <w:rPr>
                <w:sz w:val="20"/>
                <w:szCs w:val="20"/>
                <w:color w:val="auto"/>
              </w:rPr>
            </w:pPr>
            <w:r>
              <w:rPr>
                <w:rFonts w:ascii="Arial" w:cs="Arial" w:eastAsia="Arial" w:hAnsi="Arial"/>
                <w:sz w:val="18"/>
                <w:szCs w:val="18"/>
                <w:color w:val="auto"/>
                <w:w w:val="99"/>
              </w:rPr>
              <w:t>X-DF</w:t>
            </w:r>
          </w:p>
        </w:tc>
        <w:tc>
          <w:tcPr>
            <w:tcW w:w="1780" w:type="dxa"/>
            <w:vAlign w:val="bottom"/>
            <w:gridSpan w:val="2"/>
            <w:shd w:val="clear" w:color="auto" w:fill="CCFFFF"/>
          </w:tcPr>
          <w:p>
            <w:pPr>
              <w:jc w:val="center"/>
              <w:ind w:right="120"/>
              <w:spacing w:after="0" w:line="206" w:lineRule="exact"/>
              <w:rPr>
                <w:sz w:val="20"/>
                <w:szCs w:val="20"/>
                <w:color w:val="auto"/>
              </w:rPr>
            </w:pPr>
            <w:r>
              <w:rPr>
                <w:rFonts w:ascii="Arial" w:cs="Arial" w:eastAsia="Arial" w:hAnsi="Arial"/>
                <w:sz w:val="18"/>
                <w:szCs w:val="18"/>
                <w:color w:val="auto"/>
                <w:w w:val="93"/>
              </w:rPr>
              <w:t>May 2021</w:t>
            </w:r>
          </w:p>
        </w:tc>
        <w:tc>
          <w:tcPr>
            <w:tcW w:w="1100" w:type="dxa"/>
            <w:vAlign w:val="bottom"/>
            <w:gridSpan w:val="2"/>
            <w:shd w:val="clear" w:color="auto" w:fill="CCFFFF"/>
          </w:tcPr>
          <w:p>
            <w:pPr>
              <w:jc w:val="center"/>
              <w:spacing w:after="0" w:line="20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2"/>
        </w:trPr>
        <w:tc>
          <w:tcPr>
            <w:tcW w:w="380" w:type="dxa"/>
            <w:vAlign w:val="bottom"/>
            <w:vMerge w:val="continue"/>
            <w:shd w:val="clear" w:color="auto" w:fill="CCFFFF"/>
          </w:tcPr>
          <w:p>
            <w:pPr>
              <w:spacing w:after="0"/>
              <w:rPr>
                <w:sz w:val="11"/>
                <w:szCs w:val="11"/>
                <w:color w:val="auto"/>
              </w:rPr>
            </w:pPr>
          </w:p>
        </w:tc>
        <w:tc>
          <w:tcPr>
            <w:tcW w:w="2460" w:type="dxa"/>
            <w:vAlign w:val="bottom"/>
            <w:gridSpan w:val="2"/>
            <w:vMerge w:val="continue"/>
            <w:shd w:val="clear" w:color="auto" w:fill="CCFFFF"/>
          </w:tcPr>
          <w:p>
            <w:pPr>
              <w:spacing w:after="0"/>
              <w:rPr>
                <w:sz w:val="11"/>
                <w:szCs w:val="11"/>
                <w:color w:val="auto"/>
              </w:rPr>
            </w:pPr>
          </w:p>
        </w:tc>
        <w:tc>
          <w:tcPr>
            <w:tcW w:w="1260" w:type="dxa"/>
            <w:vAlign w:val="bottom"/>
            <w:vMerge w:val="continue"/>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1360" w:type="dxa"/>
            <w:vAlign w:val="bottom"/>
            <w:vMerge w:val="continue"/>
            <w:shd w:val="clear" w:color="auto" w:fill="CCFFFF"/>
          </w:tcPr>
          <w:p>
            <w:pPr>
              <w:spacing w:after="0"/>
              <w:rPr>
                <w:sz w:val="11"/>
                <w:szCs w:val="11"/>
                <w:color w:val="auto"/>
              </w:rPr>
            </w:pPr>
          </w:p>
        </w:tc>
        <w:tc>
          <w:tcPr>
            <w:tcW w:w="200" w:type="dxa"/>
            <w:vAlign w:val="bottom"/>
            <w:shd w:val="clear" w:color="auto" w:fill="CCFFFF"/>
          </w:tcPr>
          <w:p>
            <w:pPr>
              <w:spacing w:after="0"/>
              <w:rPr>
                <w:sz w:val="11"/>
                <w:szCs w:val="11"/>
                <w:color w:val="auto"/>
              </w:rPr>
            </w:pPr>
          </w:p>
        </w:tc>
        <w:tc>
          <w:tcPr>
            <w:tcW w:w="1460" w:type="dxa"/>
            <w:vAlign w:val="bottom"/>
            <w:gridSpan w:val="2"/>
            <w:vMerge w:val="restart"/>
            <w:shd w:val="clear" w:color="auto" w:fill="CCFFFF"/>
          </w:tcPr>
          <w:p>
            <w:pPr>
              <w:jc w:val="center"/>
              <w:ind w:right="120"/>
              <w:spacing w:after="0" w:line="267" w:lineRule="exact"/>
              <w:rPr>
                <w:sz w:val="20"/>
                <w:szCs w:val="20"/>
                <w:color w:val="auto"/>
              </w:rPr>
            </w:pPr>
            <w:r>
              <w:rPr>
                <w:rFonts w:ascii="Arial" w:cs="Arial" w:eastAsia="Arial" w:hAnsi="Arial"/>
                <w:sz w:val="18"/>
                <w:szCs w:val="18"/>
                <w:color w:val="auto"/>
                <w:w w:val="82"/>
              </w:rPr>
              <w:t>Endesa</w:t>
            </w:r>
            <w:r>
              <w:rPr>
                <w:rFonts w:ascii="Arial" w:cs="Arial" w:eastAsia="Arial" w:hAnsi="Arial"/>
                <w:sz w:val="29"/>
                <w:szCs w:val="29"/>
                <w:color w:val="auto"/>
                <w:w w:val="82"/>
                <w:vertAlign w:val="superscript"/>
              </w:rPr>
              <w:t>(7)</w:t>
            </w:r>
          </w:p>
        </w:tc>
        <w:tc>
          <w:tcPr>
            <w:tcW w:w="1000" w:type="dxa"/>
            <w:vAlign w:val="bottom"/>
            <w:gridSpan w:val="2"/>
            <w:vMerge w:val="continue"/>
            <w:shd w:val="clear" w:color="auto" w:fill="CCFFFF"/>
          </w:tcPr>
          <w:p>
            <w:pPr>
              <w:spacing w:after="0"/>
              <w:rPr>
                <w:sz w:val="11"/>
                <w:szCs w:val="11"/>
                <w:color w:val="auto"/>
              </w:rPr>
            </w:pPr>
          </w:p>
        </w:tc>
        <w:tc>
          <w:tcPr>
            <w:tcW w:w="1780" w:type="dxa"/>
            <w:vAlign w:val="bottom"/>
            <w:gridSpan w:val="2"/>
            <w:vMerge w:val="restart"/>
            <w:shd w:val="clear" w:color="auto" w:fill="CCFFFF"/>
          </w:tcPr>
          <w:p>
            <w:pPr>
              <w:jc w:val="center"/>
              <w:ind w:right="120"/>
              <w:spacing w:after="0"/>
              <w:rPr>
                <w:sz w:val="20"/>
                <w:szCs w:val="20"/>
                <w:color w:val="auto"/>
              </w:rPr>
            </w:pPr>
            <w:r>
              <w:rPr>
                <w:rFonts w:ascii="Arial" w:cs="Arial" w:eastAsia="Arial" w:hAnsi="Arial"/>
                <w:sz w:val="18"/>
                <w:szCs w:val="18"/>
                <w:color w:val="auto"/>
                <w:w w:val="93"/>
              </w:rPr>
              <w:t>May 2029</w:t>
            </w:r>
          </w:p>
        </w:tc>
        <w:tc>
          <w:tcPr>
            <w:tcW w:w="1000" w:type="dxa"/>
            <w:vAlign w:val="bottom"/>
            <w:vMerge w:val="restart"/>
            <w:shd w:val="clear" w:color="auto" w:fill="CCFFFF"/>
          </w:tcPr>
          <w:p>
            <w:pPr>
              <w:jc w:val="center"/>
              <w:ind w:left="10"/>
              <w:spacing w:after="0"/>
              <w:rPr>
                <w:sz w:val="20"/>
                <w:szCs w:val="20"/>
                <w:color w:val="auto"/>
              </w:rPr>
            </w:pPr>
            <w:r>
              <w:rPr>
                <w:rFonts w:ascii="Arial" w:cs="Arial" w:eastAsia="Arial" w:hAnsi="Arial"/>
                <w:sz w:val="18"/>
                <w:szCs w:val="18"/>
                <w:color w:val="auto"/>
                <w:w w:val="90"/>
              </w:rPr>
              <w:t>2035-2041</w:t>
            </w:r>
          </w:p>
        </w:tc>
        <w:tc>
          <w:tcPr>
            <w:tcW w:w="100" w:type="dxa"/>
            <w:vAlign w:val="bottom"/>
            <w:shd w:val="clear" w:color="auto" w:fill="CC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 w:type="dxa"/>
            <w:vAlign w:val="bottom"/>
            <w:shd w:val="clear" w:color="auto" w:fill="CCFFFF"/>
          </w:tcPr>
          <w:p>
            <w:pPr>
              <w:spacing w:after="0"/>
              <w:rPr>
                <w:sz w:val="11"/>
                <w:szCs w:val="11"/>
                <w:color w:val="auto"/>
              </w:rPr>
            </w:pPr>
          </w:p>
        </w:tc>
        <w:tc>
          <w:tcPr>
            <w:tcW w:w="2340" w:type="dxa"/>
            <w:vAlign w:val="bottom"/>
            <w:shd w:val="clear" w:color="auto" w:fill="CCFFFF"/>
          </w:tcPr>
          <w:p>
            <w:pPr>
              <w:spacing w:after="0"/>
              <w:rPr>
                <w:sz w:val="11"/>
                <w:szCs w:val="11"/>
                <w:color w:val="auto"/>
              </w:rPr>
            </w:pPr>
          </w:p>
        </w:tc>
        <w:tc>
          <w:tcPr>
            <w:tcW w:w="120" w:type="dxa"/>
            <w:vAlign w:val="bottom"/>
            <w:shd w:val="clear" w:color="auto" w:fill="CCFFFF"/>
          </w:tcPr>
          <w:p>
            <w:pPr>
              <w:spacing w:after="0"/>
              <w:rPr>
                <w:sz w:val="11"/>
                <w:szCs w:val="11"/>
                <w:color w:val="auto"/>
              </w:rPr>
            </w:pPr>
          </w:p>
        </w:tc>
        <w:tc>
          <w:tcPr>
            <w:tcW w:w="126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1360" w:type="dxa"/>
            <w:vAlign w:val="bottom"/>
            <w:shd w:val="clear" w:color="auto" w:fill="CCFFFF"/>
          </w:tcPr>
          <w:p>
            <w:pPr>
              <w:spacing w:after="0"/>
              <w:rPr>
                <w:sz w:val="11"/>
                <w:szCs w:val="11"/>
                <w:color w:val="auto"/>
              </w:rPr>
            </w:pPr>
          </w:p>
        </w:tc>
        <w:tc>
          <w:tcPr>
            <w:tcW w:w="200" w:type="dxa"/>
            <w:vAlign w:val="bottom"/>
            <w:shd w:val="clear" w:color="auto" w:fill="CCFFFF"/>
          </w:tcPr>
          <w:p>
            <w:pPr>
              <w:spacing w:after="0"/>
              <w:rPr>
                <w:sz w:val="11"/>
                <w:szCs w:val="11"/>
                <w:color w:val="auto"/>
              </w:rPr>
            </w:pPr>
          </w:p>
        </w:tc>
        <w:tc>
          <w:tcPr>
            <w:tcW w:w="1460" w:type="dxa"/>
            <w:vAlign w:val="bottom"/>
            <w:gridSpan w:val="2"/>
            <w:vMerge w:val="continue"/>
            <w:shd w:val="clear" w:color="auto" w:fill="CCFFFF"/>
          </w:tcPr>
          <w:p>
            <w:pPr>
              <w:spacing w:after="0"/>
              <w:rPr>
                <w:sz w:val="11"/>
                <w:szCs w:val="11"/>
                <w:color w:val="auto"/>
              </w:rPr>
            </w:pPr>
          </w:p>
        </w:tc>
        <w:tc>
          <w:tcPr>
            <w:tcW w:w="880" w:type="dxa"/>
            <w:vAlign w:val="bottom"/>
            <w:shd w:val="clear" w:color="auto" w:fill="CCFFFF"/>
          </w:tcPr>
          <w:p>
            <w:pPr>
              <w:spacing w:after="0"/>
              <w:rPr>
                <w:sz w:val="11"/>
                <w:szCs w:val="11"/>
                <w:color w:val="auto"/>
              </w:rPr>
            </w:pPr>
          </w:p>
        </w:tc>
        <w:tc>
          <w:tcPr>
            <w:tcW w:w="120" w:type="dxa"/>
            <w:vAlign w:val="bottom"/>
            <w:shd w:val="clear" w:color="auto" w:fill="CCFFFF"/>
          </w:tcPr>
          <w:p>
            <w:pPr>
              <w:spacing w:after="0"/>
              <w:rPr>
                <w:sz w:val="11"/>
                <w:szCs w:val="11"/>
                <w:color w:val="auto"/>
              </w:rPr>
            </w:pPr>
          </w:p>
        </w:tc>
        <w:tc>
          <w:tcPr>
            <w:tcW w:w="1780" w:type="dxa"/>
            <w:vAlign w:val="bottom"/>
            <w:gridSpan w:val="2"/>
            <w:vMerge w:val="continue"/>
            <w:shd w:val="clear" w:color="auto" w:fill="CCFFFF"/>
          </w:tcPr>
          <w:p>
            <w:pPr>
              <w:spacing w:after="0"/>
              <w:rPr>
                <w:sz w:val="11"/>
                <w:szCs w:val="11"/>
                <w:color w:val="auto"/>
              </w:rPr>
            </w:pPr>
          </w:p>
        </w:tc>
        <w:tc>
          <w:tcPr>
            <w:tcW w:w="1000" w:type="dxa"/>
            <w:vAlign w:val="bottom"/>
            <w:vMerge w:val="continue"/>
            <w:shd w:val="clear" w:color="auto" w:fill="CCFFFF"/>
          </w:tcPr>
          <w:p>
            <w:pPr>
              <w:spacing w:after="0"/>
              <w:rPr>
                <w:sz w:val="11"/>
                <w:szCs w:val="11"/>
                <w:color w:val="auto"/>
              </w:rPr>
            </w:pPr>
          </w:p>
        </w:tc>
        <w:tc>
          <w:tcPr>
            <w:tcW w:w="100" w:type="dxa"/>
            <w:vAlign w:val="bottom"/>
            <w:shd w:val="clear" w:color="auto" w:fill="CCFF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380" w:type="dxa"/>
            <w:vAlign w:val="bottom"/>
            <w:vMerge w:val="restart"/>
          </w:tcPr>
          <w:p>
            <w:pPr>
              <w:spacing w:after="0"/>
              <w:rPr>
                <w:sz w:val="20"/>
                <w:szCs w:val="20"/>
                <w:color w:val="auto"/>
              </w:rPr>
            </w:pPr>
            <w:r>
              <w:rPr>
                <w:rFonts w:ascii="Arial" w:cs="Arial" w:eastAsia="Arial" w:hAnsi="Arial"/>
                <w:sz w:val="18"/>
                <w:szCs w:val="18"/>
                <w:b w:val="1"/>
                <w:bCs w:val="1"/>
                <w:color w:val="auto"/>
              </w:rPr>
              <w:t>14</w:t>
            </w:r>
          </w:p>
        </w:tc>
        <w:tc>
          <w:tcPr>
            <w:tcW w:w="2460" w:type="dxa"/>
            <w:vAlign w:val="bottom"/>
            <w:gridSpan w:val="2"/>
            <w:vMerge w:val="restart"/>
          </w:tcPr>
          <w:p>
            <w:pPr>
              <w:ind w:left="200"/>
              <w:spacing w:after="0"/>
              <w:rPr>
                <w:sz w:val="20"/>
                <w:szCs w:val="20"/>
                <w:color w:val="auto"/>
              </w:rPr>
            </w:pPr>
            <w:r>
              <w:rPr>
                <w:rFonts w:ascii="Arial" w:cs="Arial" w:eastAsia="Arial" w:hAnsi="Arial"/>
                <w:sz w:val="18"/>
                <w:szCs w:val="18"/>
                <w:i w:val="1"/>
                <w:iCs w:val="1"/>
                <w:color w:val="auto"/>
              </w:rPr>
              <w:t>GasLog Singapore</w:t>
            </w: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7"/>
                <w:szCs w:val="17"/>
                <w:color w:val="auto"/>
              </w:rPr>
            </w:pPr>
          </w:p>
        </w:tc>
        <w:tc>
          <w:tcPr>
            <w:tcW w:w="1360" w:type="dxa"/>
            <w:vAlign w:val="bottom"/>
            <w:vMerge w:val="restart"/>
          </w:tcPr>
          <w:p>
            <w:pPr>
              <w:ind w:left="440"/>
              <w:spacing w:after="0"/>
              <w:rPr>
                <w:sz w:val="20"/>
                <w:szCs w:val="20"/>
                <w:color w:val="auto"/>
              </w:rPr>
            </w:pPr>
            <w:r>
              <w:rPr>
                <w:rFonts w:ascii="Arial" w:cs="Arial" w:eastAsia="Arial" w:hAnsi="Arial"/>
                <w:sz w:val="18"/>
                <w:szCs w:val="18"/>
                <w:color w:val="auto"/>
              </w:rPr>
              <w:t>155,000</w:t>
            </w:r>
          </w:p>
        </w:tc>
        <w:tc>
          <w:tcPr>
            <w:tcW w:w="200" w:type="dxa"/>
            <w:vAlign w:val="bottom"/>
          </w:tcPr>
          <w:p>
            <w:pPr>
              <w:spacing w:after="0"/>
              <w:rPr>
                <w:sz w:val="17"/>
                <w:szCs w:val="17"/>
                <w:color w:val="auto"/>
              </w:rPr>
            </w:pPr>
          </w:p>
        </w:tc>
        <w:tc>
          <w:tcPr>
            <w:tcW w:w="1460" w:type="dxa"/>
            <w:vAlign w:val="bottom"/>
            <w:gridSpan w:val="2"/>
          </w:tcPr>
          <w:p>
            <w:pPr>
              <w:jc w:val="center"/>
              <w:ind w:right="120"/>
              <w:spacing w:after="0" w:line="206" w:lineRule="exact"/>
              <w:rPr>
                <w:sz w:val="20"/>
                <w:szCs w:val="20"/>
                <w:color w:val="auto"/>
              </w:rPr>
            </w:pPr>
            <w:r>
              <w:rPr>
                <w:rFonts w:ascii="Arial" w:cs="Arial" w:eastAsia="Arial" w:hAnsi="Arial"/>
                <w:sz w:val="18"/>
                <w:szCs w:val="18"/>
                <w:color w:val="auto"/>
                <w:w w:val="92"/>
              </w:rPr>
              <w:t>Spot Market</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TFDE</w:t>
            </w:r>
          </w:p>
        </w:tc>
        <w:tc>
          <w:tcPr>
            <w:tcW w:w="1780" w:type="dxa"/>
            <w:vAlign w:val="bottom"/>
            <w:gridSpan w:val="2"/>
          </w:tcPr>
          <w:p>
            <w:pPr>
              <w:jc w:val="center"/>
              <w:ind w:right="120"/>
              <w:spacing w:after="0" w:line="206"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center"/>
              <w:spacing w:after="0" w:line="20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2"/>
        </w:trPr>
        <w:tc>
          <w:tcPr>
            <w:tcW w:w="380" w:type="dxa"/>
            <w:vAlign w:val="bottom"/>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jc w:val="center"/>
              <w:ind w:right="120"/>
              <w:spacing w:after="0" w:line="267" w:lineRule="exact"/>
              <w:rPr>
                <w:sz w:val="20"/>
                <w:szCs w:val="20"/>
                <w:color w:val="auto"/>
              </w:rPr>
            </w:pPr>
            <w:r>
              <w:rPr>
                <w:rFonts w:ascii="Arial" w:cs="Arial" w:eastAsia="Arial" w:hAnsi="Arial"/>
                <w:sz w:val="18"/>
                <w:szCs w:val="18"/>
                <w:color w:val="auto"/>
                <w:w w:val="87"/>
              </w:rPr>
              <w:t xml:space="preserve">Sinolam </w:t>
            </w:r>
            <w:r>
              <w:rPr>
                <w:rFonts w:ascii="Arial" w:cs="Arial" w:eastAsia="Arial" w:hAnsi="Arial"/>
                <w:sz w:val="29"/>
                <w:szCs w:val="29"/>
                <w:color w:val="auto"/>
                <w:w w:val="87"/>
                <w:vertAlign w:val="superscript"/>
              </w:rPr>
              <w:t>(8)</w:t>
            </w:r>
          </w:p>
        </w:tc>
        <w:tc>
          <w:tcPr>
            <w:tcW w:w="1000" w:type="dxa"/>
            <w:vAlign w:val="bottom"/>
            <w:gridSpan w:val="2"/>
            <w:vMerge w:val="continue"/>
          </w:tcPr>
          <w:p>
            <w:pPr>
              <w:spacing w:after="0"/>
              <w:rPr>
                <w:sz w:val="11"/>
                <w:szCs w:val="11"/>
                <w:color w:val="auto"/>
              </w:rPr>
            </w:pPr>
          </w:p>
        </w:tc>
        <w:tc>
          <w:tcPr>
            <w:tcW w:w="1560" w:type="dxa"/>
            <w:vAlign w:val="bottom"/>
            <w:vMerge w:val="restart"/>
          </w:tcPr>
          <w:p>
            <w:pPr>
              <w:jc w:val="center"/>
              <w:ind w:left="10"/>
              <w:spacing w:after="0" w:line="267" w:lineRule="exact"/>
              <w:rPr>
                <w:sz w:val="20"/>
                <w:szCs w:val="20"/>
                <w:color w:val="auto"/>
              </w:rPr>
            </w:pPr>
            <w:r>
              <w:rPr>
                <w:rFonts w:ascii="Arial" w:cs="Arial" w:eastAsia="Arial" w:hAnsi="Arial"/>
                <w:sz w:val="18"/>
                <w:szCs w:val="18"/>
                <w:color w:val="auto"/>
                <w:w w:val="84"/>
              </w:rPr>
              <w:t xml:space="preserve">2032 </w:t>
            </w:r>
            <w:r>
              <w:rPr>
                <w:rFonts w:ascii="Arial" w:cs="Arial" w:eastAsia="Arial" w:hAnsi="Arial"/>
                <w:sz w:val="29"/>
                <w:szCs w:val="29"/>
                <w:color w:val="auto"/>
                <w:w w:val="84"/>
                <w:vertAlign w:val="superscript"/>
              </w:rPr>
              <w:t>(8)</w:t>
            </w:r>
          </w:p>
        </w:tc>
        <w:tc>
          <w:tcPr>
            <w:tcW w:w="220" w:type="dxa"/>
            <w:vAlign w:val="bottom"/>
          </w:tcPr>
          <w:p>
            <w:pPr>
              <w:spacing w:after="0"/>
              <w:rPr>
                <w:sz w:val="11"/>
                <w:szCs w:val="11"/>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15</w:t>
            </w:r>
          </w:p>
        </w:tc>
        <w:tc>
          <w:tcPr>
            <w:tcW w:w="2460" w:type="dxa"/>
            <w:vAlign w:val="bottom"/>
            <w:gridSpan w:val="2"/>
            <w:shd w:val="clear" w:color="auto" w:fill="CCFFFF"/>
          </w:tcPr>
          <w:p>
            <w:pPr>
              <w:ind w:left="200"/>
              <w:spacing w:after="0"/>
              <w:rPr>
                <w:sz w:val="20"/>
                <w:szCs w:val="20"/>
                <w:color w:val="auto"/>
              </w:rPr>
            </w:pPr>
            <w:r>
              <w:rPr>
                <w:rFonts w:ascii="Arial" w:cs="Arial" w:eastAsia="Arial" w:hAnsi="Arial"/>
                <w:sz w:val="18"/>
                <w:szCs w:val="18"/>
                <w:i w:val="1"/>
                <w:iCs w:val="1"/>
                <w:color w:val="auto"/>
              </w:rPr>
              <w:t>GasLog Wales</w:t>
            </w:r>
          </w:p>
        </w:tc>
        <w:tc>
          <w:tcPr>
            <w:tcW w:w="1260" w:type="dxa"/>
            <w:vAlign w:val="bottom"/>
            <w:shd w:val="clear" w:color="auto" w:fill="CCFFFF"/>
          </w:tcPr>
          <w:p>
            <w:pPr>
              <w:jc w:val="right"/>
              <w:ind w:right="29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FFFF"/>
          </w:tcPr>
          <w:p>
            <w:pPr>
              <w:spacing w:after="0"/>
              <w:rPr>
                <w:sz w:val="22"/>
                <w:szCs w:val="22"/>
                <w:color w:val="auto"/>
              </w:rPr>
            </w:pPr>
          </w:p>
        </w:tc>
        <w:tc>
          <w:tcPr>
            <w:tcW w:w="136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180,000</w:t>
            </w:r>
          </w:p>
        </w:tc>
        <w:tc>
          <w:tcPr>
            <w:tcW w:w="200" w:type="dxa"/>
            <w:vAlign w:val="bottom"/>
            <w:shd w:val="clear" w:color="auto" w:fill="CCFFFF"/>
          </w:tcPr>
          <w:p>
            <w:pPr>
              <w:spacing w:after="0"/>
              <w:rPr>
                <w:sz w:val="22"/>
                <w:szCs w:val="22"/>
                <w:color w:val="auto"/>
              </w:rPr>
            </w:pPr>
          </w:p>
        </w:tc>
        <w:tc>
          <w:tcPr>
            <w:tcW w:w="1460" w:type="dxa"/>
            <w:vAlign w:val="bottom"/>
            <w:gridSpan w:val="2"/>
            <w:shd w:val="clear" w:color="auto" w:fill="CCFFFF"/>
          </w:tcPr>
          <w:p>
            <w:pPr>
              <w:jc w:val="center"/>
              <w:ind w:right="100"/>
              <w:spacing w:after="0" w:line="256" w:lineRule="exact"/>
              <w:rPr>
                <w:sz w:val="20"/>
                <w:szCs w:val="20"/>
                <w:color w:val="auto"/>
              </w:rPr>
            </w:pPr>
            <w:r>
              <w:rPr>
                <w:rFonts w:ascii="Arial" w:cs="Arial" w:eastAsia="Arial" w:hAnsi="Arial"/>
                <w:sz w:val="18"/>
                <w:szCs w:val="18"/>
                <w:color w:val="auto"/>
                <w:w w:val="81"/>
              </w:rPr>
              <w:t xml:space="preserve">Jera </w:t>
            </w:r>
            <w:r>
              <w:rPr>
                <w:rFonts w:ascii="Arial" w:cs="Arial" w:eastAsia="Arial" w:hAnsi="Arial"/>
                <w:sz w:val="29"/>
                <w:szCs w:val="29"/>
                <w:color w:val="auto"/>
                <w:w w:val="81"/>
                <w:vertAlign w:val="superscript"/>
              </w:rPr>
              <w:t>(9)</w:t>
            </w:r>
          </w:p>
        </w:tc>
        <w:tc>
          <w:tcPr>
            <w:tcW w:w="1000" w:type="dxa"/>
            <w:vAlign w:val="bottom"/>
            <w:gridSpan w:val="2"/>
            <w:shd w:val="clear" w:color="auto" w:fill="CCFFFF"/>
          </w:tcPr>
          <w:p>
            <w:pPr>
              <w:jc w:val="center"/>
              <w:ind w:right="140"/>
              <w:spacing w:after="0"/>
              <w:rPr>
                <w:sz w:val="20"/>
                <w:szCs w:val="20"/>
                <w:color w:val="auto"/>
              </w:rPr>
            </w:pPr>
            <w:r>
              <w:rPr>
                <w:rFonts w:ascii="Arial" w:cs="Arial" w:eastAsia="Arial" w:hAnsi="Arial"/>
                <w:sz w:val="18"/>
                <w:szCs w:val="18"/>
                <w:color w:val="auto"/>
                <w:w w:val="99"/>
              </w:rPr>
              <w:t>X-DF</w:t>
            </w:r>
          </w:p>
        </w:tc>
        <w:tc>
          <w:tcPr>
            <w:tcW w:w="1780" w:type="dxa"/>
            <w:vAlign w:val="bottom"/>
            <w:gridSpan w:val="2"/>
            <w:shd w:val="clear" w:color="auto" w:fill="CCFFFF"/>
          </w:tcPr>
          <w:p>
            <w:pPr>
              <w:jc w:val="center"/>
              <w:ind w:right="120"/>
              <w:spacing w:after="0"/>
              <w:rPr>
                <w:sz w:val="20"/>
                <w:szCs w:val="20"/>
                <w:color w:val="auto"/>
              </w:rPr>
            </w:pPr>
            <w:r>
              <w:rPr>
                <w:rFonts w:ascii="Arial" w:cs="Arial" w:eastAsia="Arial" w:hAnsi="Arial"/>
                <w:sz w:val="18"/>
                <w:szCs w:val="18"/>
                <w:color w:val="auto"/>
                <w:w w:val="90"/>
              </w:rPr>
              <w:t>March 2032</w:t>
            </w:r>
          </w:p>
        </w:tc>
        <w:tc>
          <w:tcPr>
            <w:tcW w:w="1000" w:type="dxa"/>
            <w:vAlign w:val="bottom"/>
            <w:shd w:val="clear" w:color="auto" w:fill="CCFFFF"/>
          </w:tcPr>
          <w:p>
            <w:pPr>
              <w:jc w:val="center"/>
              <w:ind w:left="10"/>
              <w:spacing w:after="0"/>
              <w:rPr>
                <w:sz w:val="20"/>
                <w:szCs w:val="20"/>
                <w:color w:val="auto"/>
              </w:rPr>
            </w:pPr>
            <w:r>
              <w:rPr>
                <w:rFonts w:ascii="Arial" w:cs="Arial" w:eastAsia="Arial" w:hAnsi="Arial"/>
                <w:sz w:val="18"/>
                <w:szCs w:val="18"/>
                <w:color w:val="auto"/>
                <w:w w:val="90"/>
              </w:rPr>
              <w:t>2035-2038</w:t>
            </w:r>
          </w:p>
        </w:tc>
        <w:tc>
          <w:tcPr>
            <w:tcW w:w="100" w:type="dxa"/>
            <w:vAlign w:val="bottom"/>
            <w:shd w:val="clear" w:color="auto" w:fill="CCFF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6, 2021, the Partnership’s fleet consisted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Charterer (for</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4"/>
            <w:vMerge w:val="restart"/>
          </w:tcPr>
          <w:p>
            <w:pPr>
              <w:ind w:left="400"/>
              <w:spacing w:after="0"/>
              <w:rPr>
                <w:sz w:val="20"/>
                <w:szCs w:val="20"/>
                <w:color w:val="auto"/>
              </w:rPr>
            </w:pPr>
            <w:r>
              <w:rPr>
                <w:rFonts w:ascii="Arial" w:cs="Arial" w:eastAsia="Arial" w:hAnsi="Arial"/>
                <w:sz w:val="18"/>
                <w:szCs w:val="18"/>
                <w:b w:val="1"/>
                <w:bCs w:val="1"/>
                <w:color w:val="auto"/>
              </w:rPr>
              <w:t>Year</w:t>
            </w:r>
          </w:p>
        </w:tc>
        <w:tc>
          <w:tcPr>
            <w:tcW w:w="1560" w:type="dxa"/>
            <w:vAlign w:val="bottom"/>
            <w:gridSpan w:val="4"/>
          </w:tcPr>
          <w:p>
            <w:pPr>
              <w:ind w:left="440"/>
              <w:spacing w:after="0"/>
              <w:rPr>
                <w:sz w:val="20"/>
                <w:szCs w:val="20"/>
                <w:color w:val="auto"/>
              </w:rPr>
            </w:pPr>
            <w:r>
              <w:rPr>
                <w:rFonts w:ascii="Arial" w:cs="Arial" w:eastAsia="Arial" w:hAnsi="Arial"/>
                <w:sz w:val="18"/>
                <w:szCs w:val="18"/>
                <w:b w:val="1"/>
                <w:bCs w:val="1"/>
                <w:color w:val="auto"/>
              </w:rPr>
              <w:t>Cargo</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contracts of</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restart"/>
          </w:tcPr>
          <w:p>
            <w:pPr>
              <w:jc w:val="center"/>
              <w:ind w:right="640"/>
              <w:spacing w:after="0"/>
              <w:rPr>
                <w:sz w:val="20"/>
                <w:szCs w:val="20"/>
                <w:color w:val="auto"/>
              </w:rPr>
            </w:pPr>
            <w:r>
              <w:rPr>
                <w:rFonts w:ascii="Arial" w:cs="Arial" w:eastAsia="Arial" w:hAnsi="Arial"/>
                <w:sz w:val="18"/>
                <w:szCs w:val="18"/>
                <w:b w:val="1"/>
                <w:bCs w:val="1"/>
                <w:color w:val="auto"/>
                <w:w w:val="96"/>
              </w:rPr>
              <w:t>Charter</w:t>
            </w:r>
          </w:p>
        </w:tc>
        <w:tc>
          <w:tcPr>
            <w:tcW w:w="100" w:type="dxa"/>
            <w:vAlign w:val="bottom"/>
          </w:tcPr>
          <w:p>
            <w:pPr>
              <w:spacing w:after="0"/>
              <w:rPr>
                <w:sz w:val="18"/>
                <w:szCs w:val="18"/>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Optional</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1560" w:type="dxa"/>
            <w:vAlign w:val="bottom"/>
            <w:gridSpan w:val="4"/>
          </w:tcPr>
          <w:p>
            <w:pPr>
              <w:ind w:left="340"/>
              <w:spacing w:after="0" w:line="181" w:lineRule="exact"/>
              <w:rPr>
                <w:sz w:val="20"/>
                <w:szCs w:val="20"/>
                <w:color w:val="auto"/>
              </w:rPr>
            </w:pPr>
            <w:r>
              <w:rPr>
                <w:rFonts w:ascii="Arial" w:cs="Arial" w:eastAsia="Arial" w:hAnsi="Arial"/>
                <w:sz w:val="18"/>
                <w:szCs w:val="18"/>
                <w:b w:val="1"/>
                <w:bCs w:val="1"/>
                <w:color w:val="auto"/>
              </w:rPr>
              <w:t>Capacity</w:t>
            </w:r>
          </w:p>
        </w:tc>
        <w:tc>
          <w:tcPr>
            <w:tcW w:w="1460" w:type="dxa"/>
            <w:vAlign w:val="bottom"/>
            <w:gridSpan w:val="3"/>
          </w:tcPr>
          <w:p>
            <w:pPr>
              <w:jc w:val="center"/>
              <w:ind w:right="100"/>
              <w:spacing w:after="0" w:line="181" w:lineRule="exact"/>
              <w:rPr>
                <w:sz w:val="20"/>
                <w:szCs w:val="20"/>
                <w:color w:val="auto"/>
              </w:rPr>
            </w:pPr>
            <w:r>
              <w:rPr>
                <w:rFonts w:ascii="Arial" w:cs="Arial" w:eastAsia="Arial" w:hAnsi="Arial"/>
                <w:sz w:val="18"/>
                <w:szCs w:val="18"/>
                <w:b w:val="1"/>
                <w:bCs w:val="1"/>
                <w:color w:val="auto"/>
                <w:w w:val="88"/>
              </w:rPr>
              <w:t>more than six</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80" w:type="dxa"/>
            <w:vAlign w:val="bottom"/>
          </w:tcPr>
          <w:p>
            <w:pPr>
              <w:spacing w:after="0"/>
              <w:rPr>
                <w:sz w:val="23"/>
                <w:szCs w:val="23"/>
                <w:color w:val="auto"/>
              </w:rPr>
            </w:pPr>
          </w:p>
        </w:tc>
        <w:tc>
          <w:tcPr>
            <w:tcW w:w="2460" w:type="dxa"/>
            <w:vAlign w:val="bottom"/>
            <w:gridSpan w:val="4"/>
          </w:tcPr>
          <w:p>
            <w:pPr>
              <w:ind w:left="780"/>
              <w:spacing w:after="0"/>
              <w:rPr>
                <w:sz w:val="20"/>
                <w:szCs w:val="20"/>
                <w:color w:val="auto"/>
              </w:rPr>
            </w:pPr>
            <w:r>
              <w:rPr>
                <w:rFonts w:ascii="Arial" w:cs="Arial" w:eastAsia="Arial" w:hAnsi="Arial"/>
                <w:sz w:val="18"/>
                <w:szCs w:val="18"/>
                <w:b w:val="1"/>
                <w:bCs w:val="1"/>
                <w:color w:val="auto"/>
              </w:rPr>
              <w:t>Vessel Name</w:t>
            </w:r>
          </w:p>
        </w:tc>
        <w:tc>
          <w:tcPr>
            <w:tcW w:w="1500" w:type="dxa"/>
            <w:vAlign w:val="bottom"/>
            <w:gridSpan w:val="4"/>
          </w:tcPr>
          <w:p>
            <w:pPr>
              <w:ind w:left="440"/>
              <w:spacing w:after="0"/>
              <w:rPr>
                <w:sz w:val="20"/>
                <w:szCs w:val="20"/>
                <w:color w:val="auto"/>
              </w:rPr>
            </w:pPr>
            <w:r>
              <w:rPr>
                <w:rFonts w:ascii="Arial" w:cs="Arial" w:eastAsia="Arial" w:hAnsi="Arial"/>
                <w:sz w:val="18"/>
                <w:szCs w:val="18"/>
                <w:b w:val="1"/>
                <w:bCs w:val="1"/>
                <w:color w:val="auto"/>
              </w:rPr>
              <w:t>Built</w:t>
            </w:r>
          </w:p>
        </w:tc>
        <w:tc>
          <w:tcPr>
            <w:tcW w:w="1560" w:type="dxa"/>
            <w:vAlign w:val="bottom"/>
            <w:gridSpan w:val="4"/>
          </w:tcPr>
          <w:p>
            <w:pPr>
              <w:ind w:left="460"/>
              <w:spacing w:after="0"/>
              <w:rPr>
                <w:sz w:val="20"/>
                <w:szCs w:val="20"/>
                <w:color w:val="auto"/>
              </w:rPr>
            </w:pPr>
            <w:r>
              <w:rPr>
                <w:rFonts w:ascii="Arial" w:cs="Arial" w:eastAsia="Arial" w:hAnsi="Arial"/>
                <w:sz w:val="18"/>
                <w:szCs w:val="18"/>
                <w:b w:val="1"/>
                <w:bCs w:val="1"/>
                <w:color w:val="auto"/>
              </w:rPr>
              <w:t>(cbm)</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months)</w:t>
            </w:r>
          </w:p>
        </w:tc>
        <w:tc>
          <w:tcPr>
            <w:tcW w:w="10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Propulsion</w:t>
            </w:r>
          </w:p>
        </w:tc>
        <w:tc>
          <w:tcPr>
            <w:tcW w:w="1700" w:type="dxa"/>
            <w:vAlign w:val="bottom"/>
            <w:gridSpan w:val="4"/>
          </w:tcPr>
          <w:p>
            <w:pPr>
              <w:jc w:val="center"/>
              <w:ind w:right="300"/>
              <w:spacing w:after="0" w:line="270" w:lineRule="exact"/>
              <w:rPr>
                <w:sz w:val="20"/>
                <w:szCs w:val="20"/>
                <w:color w:val="auto"/>
              </w:rPr>
            </w:pPr>
            <w:r>
              <w:rPr>
                <w:rFonts w:ascii="Arial" w:cs="Arial" w:eastAsia="Arial" w:hAnsi="Arial"/>
                <w:sz w:val="18"/>
                <w:szCs w:val="18"/>
                <w:b w:val="1"/>
                <w:bCs w:val="1"/>
                <w:color w:val="auto"/>
                <w:w w:val="89"/>
              </w:rPr>
              <w:t>Expiration</w:t>
            </w:r>
            <w:r>
              <w:rPr>
                <w:rFonts w:ascii="Arial" w:cs="Arial" w:eastAsia="Arial" w:hAnsi="Arial"/>
                <w:sz w:val="29"/>
                <w:szCs w:val="29"/>
                <w:b w:val="1"/>
                <w:bCs w:val="1"/>
                <w:color w:val="auto"/>
                <w:w w:val="89"/>
                <w:vertAlign w:val="superscript"/>
              </w:rPr>
              <w:t>(1)</w:t>
            </w:r>
          </w:p>
        </w:tc>
        <w:tc>
          <w:tcPr>
            <w:tcW w:w="100" w:type="dxa"/>
            <w:vAlign w:val="bottom"/>
          </w:tcPr>
          <w:p>
            <w:pPr>
              <w:spacing w:after="0"/>
              <w:rPr>
                <w:sz w:val="23"/>
                <w:szCs w:val="23"/>
                <w:color w:val="auto"/>
              </w:rPr>
            </w:pPr>
          </w:p>
        </w:tc>
        <w:tc>
          <w:tcPr>
            <w:tcW w:w="1000" w:type="dxa"/>
            <w:vAlign w:val="bottom"/>
            <w:gridSpan w:val="2"/>
          </w:tcPr>
          <w:p>
            <w:pPr>
              <w:jc w:val="center"/>
              <w:ind w:right="200"/>
              <w:spacing w:after="0" w:line="270" w:lineRule="exact"/>
              <w:rPr>
                <w:sz w:val="20"/>
                <w:szCs w:val="20"/>
                <w:color w:val="auto"/>
              </w:rPr>
            </w:pPr>
            <w:r>
              <w:rPr>
                <w:rFonts w:ascii="Arial" w:cs="Arial" w:eastAsia="Arial" w:hAnsi="Arial"/>
                <w:sz w:val="18"/>
                <w:szCs w:val="18"/>
                <w:b w:val="1"/>
                <w:bCs w:val="1"/>
                <w:color w:val="auto"/>
                <w:w w:val="85"/>
              </w:rPr>
              <w:t>Period</w:t>
            </w:r>
            <w:r>
              <w:rPr>
                <w:rFonts w:ascii="Arial" w:cs="Arial" w:eastAsia="Arial" w:hAnsi="Arial"/>
                <w:sz w:val="29"/>
                <w:szCs w:val="29"/>
                <w:b w:val="1"/>
                <w:bCs w:val="1"/>
                <w:color w:val="auto"/>
                <w:w w:val="85"/>
                <w:vertAlign w:val="superscript"/>
              </w:rPr>
              <w:t>(2)</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FFFF"/>
          </w:tcPr>
          <w:p>
            <w:pPr>
              <w:spacing w:after="0"/>
              <w:rPr>
                <w:sz w:val="20"/>
                <w:szCs w:val="20"/>
                <w:color w:val="auto"/>
              </w:rPr>
            </w:pPr>
            <w:r>
              <w:rPr>
                <w:rFonts w:ascii="Arial" w:cs="Arial" w:eastAsia="Arial" w:hAnsi="Arial"/>
                <w:sz w:val="18"/>
                <w:szCs w:val="18"/>
                <w:b w:val="1"/>
                <w:bCs w:val="1"/>
                <w:color w:val="auto"/>
              </w:rPr>
              <w:t>1</w:t>
            </w:r>
          </w:p>
        </w:tc>
        <w:tc>
          <w:tcPr>
            <w:tcW w:w="2340" w:type="dxa"/>
            <w:vAlign w:val="bottom"/>
            <w:tcBorders>
              <w:top w:val="single" w:sz="8" w:color="auto"/>
            </w:tcBorders>
            <w:gridSpan w:val="2"/>
            <w:shd w:val="clear" w:color="auto" w:fill="CCFFFF"/>
          </w:tcPr>
          <w:p>
            <w:pPr>
              <w:ind w:left="200"/>
              <w:spacing w:after="0"/>
              <w:rPr>
                <w:sz w:val="20"/>
                <w:szCs w:val="20"/>
                <w:color w:val="auto"/>
              </w:rPr>
            </w:pPr>
            <w:r>
              <w:rPr>
                <w:rFonts w:ascii="Arial" w:cs="Arial" w:eastAsia="Arial" w:hAnsi="Arial"/>
                <w:sz w:val="18"/>
                <w:szCs w:val="18"/>
                <w:i w:val="1"/>
                <w:iCs w:val="1"/>
                <w:color w:val="auto"/>
              </w:rPr>
              <w:t>Methane Rita Andrea</w:t>
            </w:r>
          </w:p>
        </w:tc>
        <w:tc>
          <w:tcPr>
            <w:tcW w:w="60" w:type="dxa"/>
            <w:vAlign w:val="bottom"/>
            <w:tcBorders>
              <w:top w:val="single" w:sz="8" w:color="CCFFFF"/>
            </w:tcBorders>
            <w:shd w:val="clear" w:color="auto" w:fill="CCFFFF"/>
          </w:tcPr>
          <w:p>
            <w:pPr>
              <w:spacing w:after="0"/>
              <w:rPr>
                <w:sz w:val="18"/>
                <w:szCs w:val="18"/>
                <w:color w:val="auto"/>
              </w:rPr>
            </w:pPr>
          </w:p>
        </w:tc>
        <w:tc>
          <w:tcPr>
            <w:tcW w:w="60" w:type="dxa"/>
            <w:vAlign w:val="bottom"/>
            <w:tcBorders>
              <w:top w:val="single" w:sz="8" w:color="CCFFFF"/>
            </w:tcBorders>
            <w:shd w:val="clear" w:color="auto" w:fill="CCFFFF"/>
          </w:tcPr>
          <w:p>
            <w:pPr>
              <w:spacing w:after="0"/>
              <w:rPr>
                <w:sz w:val="18"/>
                <w:szCs w:val="18"/>
                <w:color w:val="auto"/>
              </w:rPr>
            </w:pPr>
          </w:p>
        </w:tc>
        <w:tc>
          <w:tcPr>
            <w:tcW w:w="1180" w:type="dxa"/>
            <w:vAlign w:val="bottom"/>
            <w:tcBorders>
              <w:top w:val="single" w:sz="8" w:color="auto"/>
            </w:tcBorders>
            <w:shd w:val="clear" w:color="auto" w:fill="CCFFFF"/>
          </w:tcPr>
          <w:p>
            <w:pPr>
              <w:jc w:val="right"/>
              <w:ind w:right="210"/>
              <w:spacing w:after="0"/>
              <w:rPr>
                <w:sz w:val="20"/>
                <w:szCs w:val="20"/>
                <w:color w:val="auto"/>
              </w:rPr>
            </w:pPr>
            <w:r>
              <w:rPr>
                <w:rFonts w:ascii="Arial" w:cs="Arial" w:eastAsia="Arial" w:hAnsi="Arial"/>
                <w:sz w:val="18"/>
                <w:szCs w:val="18"/>
                <w:color w:val="auto"/>
              </w:rPr>
              <w:t>2006</w:t>
            </w:r>
          </w:p>
        </w:tc>
        <w:tc>
          <w:tcPr>
            <w:tcW w:w="80" w:type="dxa"/>
            <w:vAlign w:val="bottom"/>
            <w:tcBorders>
              <w:top w:val="single" w:sz="8" w:color="auto"/>
            </w:tcBorders>
            <w:shd w:val="clear" w:color="auto" w:fill="CCFFFF"/>
          </w:tcPr>
          <w:p>
            <w:pPr>
              <w:spacing w:after="0"/>
              <w:rPr>
                <w:sz w:val="18"/>
                <w:szCs w:val="18"/>
                <w:color w:val="auto"/>
              </w:rPr>
            </w:pPr>
          </w:p>
        </w:tc>
        <w:tc>
          <w:tcPr>
            <w:tcW w:w="140" w:type="dxa"/>
            <w:vAlign w:val="bottom"/>
            <w:tcBorders>
              <w:top w:val="single" w:sz="8" w:color="CCFFFF"/>
            </w:tcBorders>
            <w:shd w:val="clear" w:color="auto" w:fill="CCFFFF"/>
          </w:tcPr>
          <w:p>
            <w:pPr>
              <w:spacing w:after="0"/>
              <w:rPr>
                <w:sz w:val="18"/>
                <w:szCs w:val="18"/>
                <w:color w:val="auto"/>
              </w:rPr>
            </w:pPr>
          </w:p>
        </w:tc>
        <w:tc>
          <w:tcPr>
            <w:tcW w:w="100" w:type="dxa"/>
            <w:vAlign w:val="bottom"/>
            <w:tcBorders>
              <w:top w:val="single" w:sz="8" w:color="CCFFFF"/>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ind w:left="440"/>
              <w:spacing w:after="0"/>
              <w:rPr>
                <w:sz w:val="20"/>
                <w:szCs w:val="20"/>
                <w:color w:val="auto"/>
              </w:rPr>
            </w:pPr>
            <w:r>
              <w:rPr>
                <w:rFonts w:ascii="Arial" w:cs="Arial" w:eastAsia="Arial" w:hAnsi="Arial"/>
                <w:sz w:val="18"/>
                <w:szCs w:val="18"/>
                <w:color w:val="auto"/>
              </w:rPr>
              <w:t>145,000</w:t>
            </w:r>
          </w:p>
        </w:tc>
        <w:tc>
          <w:tcPr>
            <w:tcW w:w="140" w:type="dxa"/>
            <w:vAlign w:val="bottom"/>
            <w:tcBorders>
              <w:top w:val="single" w:sz="8" w:color="auto"/>
            </w:tcBorders>
            <w:shd w:val="clear" w:color="auto" w:fill="CCFFFF"/>
          </w:tcPr>
          <w:p>
            <w:pPr>
              <w:spacing w:after="0"/>
              <w:rPr>
                <w:sz w:val="18"/>
                <w:szCs w:val="18"/>
                <w:color w:val="auto"/>
              </w:rPr>
            </w:pPr>
          </w:p>
        </w:tc>
        <w:tc>
          <w:tcPr>
            <w:tcW w:w="80" w:type="dxa"/>
            <w:vAlign w:val="bottom"/>
            <w:tcBorders>
              <w:top w:val="single" w:sz="8" w:color="CCFFFF"/>
            </w:tcBorders>
            <w:shd w:val="clear" w:color="auto" w:fill="CCFFFF"/>
          </w:tcPr>
          <w:p>
            <w:pPr>
              <w:spacing w:after="0"/>
              <w:rPr>
                <w:sz w:val="18"/>
                <w:szCs w:val="18"/>
                <w:color w:val="auto"/>
              </w:rPr>
            </w:pPr>
          </w:p>
        </w:tc>
        <w:tc>
          <w:tcPr>
            <w:tcW w:w="120" w:type="dxa"/>
            <w:vAlign w:val="bottom"/>
            <w:tcBorders>
              <w:top w:val="single" w:sz="8" w:color="CCFFFF"/>
            </w:tcBorders>
            <w:shd w:val="clear" w:color="auto" w:fill="CCFFFF"/>
          </w:tcPr>
          <w:p>
            <w:pPr>
              <w:spacing w:after="0"/>
              <w:rPr>
                <w:sz w:val="18"/>
                <w:szCs w:val="18"/>
                <w:color w:val="auto"/>
              </w:rPr>
            </w:pPr>
          </w:p>
        </w:tc>
        <w:tc>
          <w:tcPr>
            <w:tcW w:w="1360" w:type="dxa"/>
            <w:vAlign w:val="bottom"/>
            <w:tcBorders>
              <w:top w:val="single" w:sz="8" w:color="auto"/>
            </w:tcBorders>
            <w:gridSpan w:val="2"/>
            <w:shd w:val="clear" w:color="auto" w:fill="CCFFFF"/>
          </w:tcPr>
          <w:p>
            <w:pPr>
              <w:jc w:val="center"/>
              <w:ind w:right="20"/>
              <w:spacing w:after="0"/>
              <w:rPr>
                <w:sz w:val="20"/>
                <w:szCs w:val="20"/>
                <w:color w:val="auto"/>
              </w:rPr>
            </w:pPr>
            <w:r>
              <w:rPr>
                <w:rFonts w:ascii="Arial" w:cs="Arial" w:eastAsia="Arial" w:hAnsi="Arial"/>
                <w:sz w:val="18"/>
                <w:szCs w:val="18"/>
                <w:color w:val="auto"/>
                <w:w w:val="92"/>
              </w:rPr>
              <w:t>Spot Market</w:t>
            </w:r>
          </w:p>
        </w:tc>
        <w:tc>
          <w:tcPr>
            <w:tcW w:w="100" w:type="dxa"/>
            <w:vAlign w:val="bottom"/>
            <w:tcBorders>
              <w:top w:val="single" w:sz="8" w:color="CCFFFF"/>
            </w:tcBorders>
            <w:shd w:val="clear" w:color="auto" w:fill="CCFFFF"/>
          </w:tcPr>
          <w:p>
            <w:pPr>
              <w:spacing w:after="0"/>
              <w:rPr>
                <w:sz w:val="18"/>
                <w:szCs w:val="18"/>
                <w:color w:val="auto"/>
              </w:rPr>
            </w:pPr>
          </w:p>
        </w:tc>
        <w:tc>
          <w:tcPr>
            <w:tcW w:w="80" w:type="dxa"/>
            <w:vAlign w:val="bottom"/>
            <w:tcBorders>
              <w:top w:val="single" w:sz="8" w:color="auto"/>
            </w:tcBorders>
            <w:shd w:val="clear" w:color="auto" w:fill="CCFFFF"/>
          </w:tcPr>
          <w:p>
            <w:pPr>
              <w:spacing w:after="0"/>
              <w:rPr>
                <w:sz w:val="18"/>
                <w:szCs w:val="18"/>
                <w:color w:val="auto"/>
              </w:rPr>
            </w:pPr>
          </w:p>
        </w:tc>
        <w:tc>
          <w:tcPr>
            <w:tcW w:w="800" w:type="dxa"/>
            <w:vAlign w:val="bottom"/>
            <w:tcBorders>
              <w:top w:val="single" w:sz="8" w:color="auto"/>
            </w:tcBorders>
            <w:shd w:val="clear" w:color="auto" w:fill="CCFFFF"/>
          </w:tcPr>
          <w:p>
            <w:pPr>
              <w:jc w:val="center"/>
              <w:spacing w:after="0"/>
              <w:rPr>
                <w:sz w:val="20"/>
                <w:szCs w:val="20"/>
                <w:color w:val="auto"/>
              </w:rPr>
            </w:pPr>
            <w:r>
              <w:rPr>
                <w:rFonts w:ascii="Arial" w:cs="Arial" w:eastAsia="Arial" w:hAnsi="Arial"/>
                <w:sz w:val="18"/>
                <w:szCs w:val="18"/>
                <w:color w:val="auto"/>
                <w:w w:val="84"/>
              </w:rPr>
              <w:t>Steam</w:t>
            </w:r>
          </w:p>
        </w:tc>
        <w:tc>
          <w:tcPr>
            <w:tcW w:w="120" w:type="dxa"/>
            <w:vAlign w:val="bottom"/>
            <w:tcBorders>
              <w:top w:val="single" w:sz="8" w:color="CCFFFF"/>
            </w:tcBorders>
            <w:shd w:val="clear" w:color="auto" w:fill="CCFFFF"/>
          </w:tcPr>
          <w:p>
            <w:pPr>
              <w:spacing w:after="0"/>
              <w:rPr>
                <w:sz w:val="18"/>
                <w:szCs w:val="18"/>
                <w:color w:val="auto"/>
              </w:rPr>
            </w:pPr>
          </w:p>
        </w:tc>
        <w:tc>
          <w:tcPr>
            <w:tcW w:w="80" w:type="dxa"/>
            <w:vAlign w:val="bottom"/>
            <w:tcBorders>
              <w:top w:val="single" w:sz="8" w:color="auto"/>
            </w:tcBorders>
            <w:shd w:val="clear" w:color="auto" w:fill="CCFFFF"/>
          </w:tcPr>
          <w:p>
            <w:pPr>
              <w:spacing w:after="0"/>
              <w:rPr>
                <w:sz w:val="18"/>
                <w:szCs w:val="18"/>
                <w:color w:val="auto"/>
              </w:rPr>
            </w:pPr>
          </w:p>
        </w:tc>
        <w:tc>
          <w:tcPr>
            <w:tcW w:w="220" w:type="dxa"/>
            <w:vAlign w:val="bottom"/>
            <w:tcBorders>
              <w:top w:val="single" w:sz="8" w:color="auto"/>
            </w:tcBorders>
            <w:shd w:val="clear" w:color="auto" w:fill="CCFFFF"/>
          </w:tcPr>
          <w:p>
            <w:pPr>
              <w:spacing w:after="0"/>
              <w:rPr>
                <w:sz w:val="18"/>
                <w:szCs w:val="18"/>
                <w:color w:val="auto"/>
              </w:rPr>
            </w:pPr>
          </w:p>
        </w:tc>
        <w:tc>
          <w:tcPr>
            <w:tcW w:w="100" w:type="dxa"/>
            <w:vAlign w:val="bottom"/>
            <w:tcBorders>
              <w:top w:val="single" w:sz="8" w:color="auto"/>
            </w:tcBorders>
            <w:shd w:val="clear" w:color="auto" w:fill="CCFFFF"/>
          </w:tcPr>
          <w:p>
            <w:pPr>
              <w:spacing w:after="0"/>
              <w:rPr>
                <w:sz w:val="18"/>
                <w:szCs w:val="18"/>
                <w:color w:val="auto"/>
              </w:rPr>
            </w:pPr>
          </w:p>
        </w:tc>
        <w:tc>
          <w:tcPr>
            <w:tcW w:w="1160" w:type="dxa"/>
            <w:vAlign w:val="bottom"/>
            <w:tcBorders>
              <w:top w:val="single" w:sz="8" w:color="auto"/>
            </w:tcBorders>
            <w:shd w:val="clear" w:color="auto" w:fill="CCFFFF"/>
          </w:tcPr>
          <w:p>
            <w:pPr>
              <w:jc w:val="center"/>
              <w:ind w:right="2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FFFF"/>
            </w:tcBorders>
            <w:shd w:val="clear" w:color="auto" w:fill="CCFFFF"/>
          </w:tcPr>
          <w:p>
            <w:pPr>
              <w:spacing w:after="0"/>
              <w:rPr>
                <w:sz w:val="18"/>
                <w:szCs w:val="18"/>
                <w:color w:val="auto"/>
              </w:rPr>
            </w:pPr>
          </w:p>
        </w:tc>
        <w:tc>
          <w:tcPr>
            <w:tcW w:w="100" w:type="dxa"/>
            <w:vAlign w:val="bottom"/>
            <w:tcBorders>
              <w:top w:val="single" w:sz="8" w:color="auto"/>
            </w:tcBorders>
            <w:shd w:val="clear" w:color="auto" w:fill="CCFFFF"/>
          </w:tcPr>
          <w:p>
            <w:pPr>
              <w:spacing w:after="0"/>
              <w:rPr>
                <w:sz w:val="18"/>
                <w:szCs w:val="18"/>
                <w:color w:val="auto"/>
              </w:rPr>
            </w:pPr>
          </w:p>
        </w:tc>
        <w:tc>
          <w:tcPr>
            <w:tcW w:w="900" w:type="dxa"/>
            <w:vAlign w:val="bottom"/>
            <w:tcBorders>
              <w:top w:val="single" w:sz="8" w:color="auto"/>
            </w:tcBorders>
            <w:shd w:val="clear" w:color="auto" w:fill="CCFF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FFFF"/>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2</w:t>
            </w:r>
          </w:p>
        </w:tc>
        <w:tc>
          <w:tcPr>
            <w:tcW w:w="2460" w:type="dxa"/>
            <w:vAlign w:val="bottom"/>
            <w:gridSpan w:val="4"/>
          </w:tcPr>
          <w:p>
            <w:pPr>
              <w:ind w:left="200"/>
              <w:spacing w:after="0"/>
              <w:rPr>
                <w:sz w:val="20"/>
                <w:szCs w:val="20"/>
                <w:color w:val="auto"/>
              </w:rPr>
            </w:pPr>
            <w:r>
              <w:rPr>
                <w:rFonts w:ascii="Arial" w:cs="Arial" w:eastAsia="Arial" w:hAnsi="Arial"/>
                <w:sz w:val="18"/>
                <w:szCs w:val="18"/>
                <w:i w:val="1"/>
                <w:iCs w:val="1"/>
                <w:color w:val="auto"/>
              </w:rPr>
              <w:t>Methane Heather Sally</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145,000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Spot Market</w:t>
            </w:r>
          </w:p>
        </w:tc>
        <w:tc>
          <w:tcPr>
            <w:tcW w:w="8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color w:val="auto"/>
                <w:w w:val="84"/>
              </w:rPr>
              <w:t>Steam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3</w:t>
            </w:r>
          </w:p>
        </w:tc>
        <w:tc>
          <w:tcPr>
            <w:tcW w:w="2460" w:type="dxa"/>
            <w:vAlign w:val="bottom"/>
            <w:gridSpan w:val="4"/>
            <w:shd w:val="clear" w:color="auto" w:fill="CCFFFF"/>
          </w:tcPr>
          <w:p>
            <w:pPr>
              <w:ind w:left="200"/>
              <w:spacing w:after="0"/>
              <w:rPr>
                <w:sz w:val="20"/>
                <w:szCs w:val="20"/>
                <w:color w:val="auto"/>
              </w:rPr>
            </w:pPr>
            <w:r>
              <w:rPr>
                <w:rFonts w:ascii="Arial" w:cs="Arial" w:eastAsia="Arial" w:hAnsi="Arial"/>
                <w:sz w:val="18"/>
                <w:szCs w:val="18"/>
                <w:i w:val="1"/>
                <w:iCs w:val="1"/>
                <w:color w:val="auto"/>
              </w:rPr>
              <w:t>GasLog Sydney</w:t>
            </w:r>
          </w:p>
        </w:tc>
        <w:tc>
          <w:tcPr>
            <w:tcW w:w="1180" w:type="dxa"/>
            <w:vAlign w:val="bottom"/>
            <w:shd w:val="clear" w:color="auto" w:fill="CCFFFF"/>
          </w:tcPr>
          <w:p>
            <w:pPr>
              <w:jc w:val="right"/>
              <w:ind w:right="210"/>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2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460" w:type="dxa"/>
            <w:vAlign w:val="bottom"/>
            <w:gridSpan w:val="3"/>
            <w:shd w:val="clear" w:color="auto" w:fill="CCFFFF"/>
          </w:tcPr>
          <w:p>
            <w:pPr>
              <w:jc w:val="center"/>
              <w:ind w:right="120"/>
              <w:spacing w:after="0"/>
              <w:rPr>
                <w:sz w:val="20"/>
                <w:szCs w:val="20"/>
                <w:color w:val="auto"/>
              </w:rPr>
            </w:pPr>
            <w:r>
              <w:rPr>
                <w:rFonts w:ascii="Arial" w:cs="Arial" w:eastAsia="Arial" w:hAnsi="Arial"/>
                <w:sz w:val="18"/>
                <w:szCs w:val="18"/>
                <w:color w:val="auto"/>
                <w:w w:val="92"/>
              </w:rPr>
              <w:t>Spot Market</w:t>
            </w:r>
          </w:p>
        </w:tc>
        <w:tc>
          <w:tcPr>
            <w:tcW w:w="80" w:type="dxa"/>
            <w:vAlign w:val="bottom"/>
            <w:shd w:val="clear" w:color="auto" w:fill="CCFFFF"/>
          </w:tcPr>
          <w:p>
            <w:pPr>
              <w:spacing w:after="0"/>
              <w:rPr>
                <w:sz w:val="18"/>
                <w:szCs w:val="18"/>
                <w:color w:val="auto"/>
              </w:rPr>
            </w:pPr>
          </w:p>
        </w:tc>
        <w:tc>
          <w:tcPr>
            <w:tcW w:w="1000" w:type="dxa"/>
            <w:vAlign w:val="bottom"/>
            <w:gridSpan w:val="3"/>
            <w:shd w:val="clear" w:color="auto" w:fill="CCFFFF"/>
          </w:tcPr>
          <w:p>
            <w:pPr>
              <w:jc w:val="center"/>
              <w:ind w:right="280"/>
              <w:spacing w:after="0"/>
              <w:rPr>
                <w:sz w:val="20"/>
                <w:szCs w:val="20"/>
                <w:color w:val="auto"/>
              </w:rPr>
            </w:pPr>
            <w:r>
              <w:rPr>
                <w:rFonts w:ascii="Arial" w:cs="Arial" w:eastAsia="Arial" w:hAnsi="Arial"/>
                <w:sz w:val="18"/>
                <w:szCs w:val="18"/>
                <w:color w:val="auto"/>
                <w:w w:val="93"/>
              </w:rPr>
              <w:t>TFDE</w:t>
            </w:r>
          </w:p>
        </w:tc>
        <w:tc>
          <w:tcPr>
            <w:tcW w:w="2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80" w:type="dxa"/>
            <w:vAlign w:val="bottom"/>
            <w:gridSpan w:val="2"/>
            <w:shd w:val="clear" w:color="auto" w:fill="CCFFFF"/>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FFFF"/>
          </w:tcPr>
          <w:p>
            <w:pPr>
              <w:spacing w:after="0"/>
              <w:rPr>
                <w:sz w:val="18"/>
                <w:szCs w:val="18"/>
                <w:color w:val="auto"/>
              </w:rPr>
            </w:pPr>
          </w:p>
        </w:tc>
        <w:tc>
          <w:tcPr>
            <w:tcW w:w="1000" w:type="dxa"/>
            <w:vAlign w:val="bottom"/>
            <w:gridSpan w:val="2"/>
            <w:shd w:val="clear" w:color="auto" w:fill="CCFF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4</w:t>
            </w:r>
          </w:p>
        </w:tc>
        <w:tc>
          <w:tcPr>
            <w:tcW w:w="2460" w:type="dxa"/>
            <w:vAlign w:val="bottom"/>
            <w:gridSpan w:val="4"/>
          </w:tcPr>
          <w:p>
            <w:pPr>
              <w:ind w:left="200"/>
              <w:spacing w:after="0"/>
              <w:rPr>
                <w:sz w:val="20"/>
                <w:szCs w:val="20"/>
                <w:color w:val="auto"/>
              </w:rPr>
            </w:pPr>
            <w:r>
              <w:rPr>
                <w:rFonts w:ascii="Arial" w:cs="Arial" w:eastAsia="Arial" w:hAnsi="Arial"/>
                <w:sz w:val="18"/>
                <w:szCs w:val="18"/>
                <w:i w:val="1"/>
                <w:iCs w:val="1"/>
                <w:color w:val="auto"/>
              </w:rPr>
              <w:t>GasLog Seattle</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Shell</w:t>
            </w:r>
          </w:p>
        </w:tc>
        <w:tc>
          <w:tcPr>
            <w:tcW w:w="8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TFDE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July 2021</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5</w:t>
            </w:r>
          </w:p>
        </w:tc>
        <w:tc>
          <w:tcPr>
            <w:tcW w:w="2460" w:type="dxa"/>
            <w:vAlign w:val="bottom"/>
            <w:gridSpan w:val="4"/>
            <w:shd w:val="clear" w:color="auto" w:fill="CCFFFF"/>
          </w:tcPr>
          <w:p>
            <w:pPr>
              <w:ind w:left="200"/>
              <w:spacing w:after="0"/>
              <w:rPr>
                <w:sz w:val="20"/>
                <w:szCs w:val="20"/>
                <w:color w:val="auto"/>
              </w:rPr>
            </w:pPr>
            <w:r>
              <w:rPr>
                <w:rFonts w:ascii="Arial" w:cs="Arial" w:eastAsia="Arial" w:hAnsi="Arial"/>
                <w:sz w:val="18"/>
                <w:szCs w:val="18"/>
                <w:i w:val="1"/>
                <w:iCs w:val="1"/>
                <w:color w:val="auto"/>
              </w:rPr>
              <w:t>Solaris</w:t>
            </w:r>
          </w:p>
        </w:tc>
        <w:tc>
          <w:tcPr>
            <w:tcW w:w="1180" w:type="dxa"/>
            <w:vAlign w:val="bottom"/>
            <w:shd w:val="clear" w:color="auto" w:fill="CCFFFF"/>
          </w:tcPr>
          <w:p>
            <w:pPr>
              <w:jc w:val="right"/>
              <w:ind w:right="210"/>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2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155,000</w:t>
            </w:r>
          </w:p>
        </w:tc>
        <w:tc>
          <w:tcPr>
            <w:tcW w:w="1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460" w:type="dxa"/>
            <w:vAlign w:val="bottom"/>
            <w:gridSpan w:val="3"/>
            <w:shd w:val="clear" w:color="auto" w:fill="CCFFFF"/>
          </w:tcPr>
          <w:p>
            <w:pPr>
              <w:jc w:val="center"/>
              <w:ind w:right="100"/>
              <w:spacing w:after="0"/>
              <w:rPr>
                <w:sz w:val="20"/>
                <w:szCs w:val="20"/>
                <w:color w:val="auto"/>
              </w:rPr>
            </w:pPr>
            <w:r>
              <w:rPr>
                <w:rFonts w:ascii="Arial" w:cs="Arial" w:eastAsia="Arial" w:hAnsi="Arial"/>
                <w:sz w:val="18"/>
                <w:szCs w:val="18"/>
                <w:color w:val="auto"/>
                <w:w w:val="89"/>
              </w:rPr>
              <w:t>Shell</w:t>
            </w:r>
          </w:p>
        </w:tc>
        <w:tc>
          <w:tcPr>
            <w:tcW w:w="80" w:type="dxa"/>
            <w:vAlign w:val="bottom"/>
            <w:shd w:val="clear" w:color="auto" w:fill="CCFFFF"/>
          </w:tcPr>
          <w:p>
            <w:pPr>
              <w:spacing w:after="0"/>
              <w:rPr>
                <w:sz w:val="18"/>
                <w:szCs w:val="18"/>
                <w:color w:val="auto"/>
              </w:rPr>
            </w:pPr>
          </w:p>
        </w:tc>
        <w:tc>
          <w:tcPr>
            <w:tcW w:w="1000" w:type="dxa"/>
            <w:vAlign w:val="bottom"/>
            <w:gridSpan w:val="3"/>
            <w:shd w:val="clear" w:color="auto" w:fill="CCFFFF"/>
          </w:tcPr>
          <w:p>
            <w:pPr>
              <w:jc w:val="center"/>
              <w:ind w:right="280"/>
              <w:spacing w:after="0"/>
              <w:rPr>
                <w:sz w:val="20"/>
                <w:szCs w:val="20"/>
                <w:color w:val="auto"/>
              </w:rPr>
            </w:pPr>
            <w:r>
              <w:rPr>
                <w:rFonts w:ascii="Arial" w:cs="Arial" w:eastAsia="Arial" w:hAnsi="Arial"/>
                <w:sz w:val="18"/>
                <w:szCs w:val="18"/>
                <w:color w:val="auto"/>
                <w:w w:val="93"/>
              </w:rPr>
              <w:t>TFDE</w:t>
            </w:r>
          </w:p>
        </w:tc>
        <w:tc>
          <w:tcPr>
            <w:tcW w:w="220" w:type="dxa"/>
            <w:vAlign w:val="bottom"/>
            <w:shd w:val="clear" w:color="auto" w:fill="CCFFFF"/>
          </w:tcPr>
          <w:p>
            <w:pPr>
              <w:spacing w:after="0"/>
              <w:rPr>
                <w:sz w:val="18"/>
                <w:szCs w:val="18"/>
                <w:color w:val="auto"/>
              </w:rPr>
            </w:pPr>
          </w:p>
        </w:tc>
        <w:tc>
          <w:tcPr>
            <w:tcW w:w="1480" w:type="dxa"/>
            <w:vAlign w:val="bottom"/>
            <w:gridSpan w:val="3"/>
            <w:shd w:val="clear" w:color="auto" w:fill="CCFFFF"/>
          </w:tcPr>
          <w:p>
            <w:pPr>
              <w:jc w:val="center"/>
              <w:ind w:right="420"/>
              <w:spacing w:after="0"/>
              <w:rPr>
                <w:sz w:val="20"/>
                <w:szCs w:val="20"/>
                <w:color w:val="auto"/>
              </w:rPr>
            </w:pPr>
            <w:r>
              <w:rPr>
                <w:rFonts w:ascii="Arial" w:cs="Arial" w:eastAsia="Arial" w:hAnsi="Arial"/>
                <w:sz w:val="18"/>
                <w:szCs w:val="18"/>
                <w:color w:val="auto"/>
                <w:w w:val="92"/>
              </w:rPr>
              <w:t>August 2021</w:t>
            </w:r>
          </w:p>
        </w:tc>
        <w:tc>
          <w:tcPr>
            <w:tcW w:w="100" w:type="dxa"/>
            <w:vAlign w:val="bottom"/>
            <w:shd w:val="clear" w:color="auto" w:fill="CCFFFF"/>
          </w:tcPr>
          <w:p>
            <w:pPr>
              <w:spacing w:after="0"/>
              <w:rPr>
                <w:sz w:val="18"/>
                <w:szCs w:val="18"/>
                <w:color w:val="auto"/>
              </w:rPr>
            </w:pPr>
          </w:p>
        </w:tc>
        <w:tc>
          <w:tcPr>
            <w:tcW w:w="1000" w:type="dxa"/>
            <w:vAlign w:val="bottom"/>
            <w:gridSpan w:val="2"/>
            <w:shd w:val="clear" w:color="auto" w:fill="CCFF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38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2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86"/>
              </w:rPr>
              <w:t xml:space="preserve">Trafigura </w:t>
            </w:r>
            <w:r>
              <w:rPr>
                <w:rFonts w:ascii="Arial" w:cs="Arial" w:eastAsia="Arial" w:hAnsi="Arial"/>
                <w:sz w:val="29"/>
                <w:szCs w:val="29"/>
                <w:color w:val="auto"/>
                <w:w w:val="86"/>
                <w:vertAlign w:val="superscript"/>
              </w:rPr>
              <w:t>(10)</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2022–</w:t>
            </w:r>
          </w:p>
        </w:tc>
        <w:tc>
          <w:tcPr>
            <w:tcW w:w="0" w:type="dxa"/>
            <w:vAlign w:val="bottom"/>
          </w:tcPr>
          <w:p>
            <w:pPr>
              <w:spacing w:after="0"/>
              <w:rPr>
                <w:sz w:val="1"/>
                <w:szCs w:val="1"/>
                <w:color w:val="auto"/>
              </w:rPr>
            </w:pPr>
          </w:p>
        </w:tc>
      </w:tr>
      <w:tr>
        <w:trPr>
          <w:trHeight w:val="230"/>
        </w:trPr>
        <w:tc>
          <w:tcPr>
            <w:tcW w:w="380" w:type="dxa"/>
            <w:vAlign w:val="bottom"/>
            <w:vMerge w:val="continue"/>
          </w:tcPr>
          <w:p>
            <w:pPr>
              <w:spacing w:after="0"/>
              <w:rPr>
                <w:sz w:val="20"/>
                <w:szCs w:val="20"/>
                <w:color w:val="auto"/>
              </w:rPr>
            </w:pPr>
          </w:p>
        </w:tc>
        <w:tc>
          <w:tcPr>
            <w:tcW w:w="2460" w:type="dxa"/>
            <w:vAlign w:val="bottom"/>
            <w:gridSpan w:val="4"/>
          </w:tcPr>
          <w:p>
            <w:pPr>
              <w:ind w:left="200"/>
              <w:spacing w:after="0"/>
              <w:rPr>
                <w:sz w:val="20"/>
                <w:szCs w:val="20"/>
                <w:color w:val="auto"/>
              </w:rPr>
            </w:pPr>
            <w:r>
              <w:rPr>
                <w:rFonts w:ascii="Arial" w:cs="Arial" w:eastAsia="Arial" w:hAnsi="Arial"/>
                <w:sz w:val="18"/>
                <w:szCs w:val="18"/>
                <w:i w:val="1"/>
                <w:iCs w:val="1"/>
                <w:color w:val="auto"/>
              </w:rPr>
              <w:t>GasLog Santiago</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TFDE</w:t>
            </w:r>
          </w:p>
        </w:tc>
        <w:tc>
          <w:tcPr>
            <w:tcW w:w="1700" w:type="dxa"/>
            <w:vAlign w:val="bottom"/>
            <w:gridSpan w:val="4"/>
          </w:tcPr>
          <w:p>
            <w:pPr>
              <w:jc w:val="center"/>
              <w:ind w:right="200"/>
              <w:spacing w:after="0"/>
              <w:rPr>
                <w:sz w:val="20"/>
                <w:szCs w:val="20"/>
                <w:color w:val="auto"/>
              </w:rPr>
            </w:pPr>
            <w:r>
              <w:rPr>
                <w:rFonts w:ascii="Arial" w:cs="Arial" w:eastAsia="Arial" w:hAnsi="Arial"/>
                <w:sz w:val="18"/>
                <w:szCs w:val="18"/>
                <w:color w:val="auto"/>
                <w:w w:val="88"/>
              </w:rPr>
              <w:t>December 2021</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2028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7</w:t>
            </w:r>
          </w:p>
        </w:tc>
        <w:tc>
          <w:tcPr>
            <w:tcW w:w="2460" w:type="dxa"/>
            <w:vAlign w:val="bottom"/>
            <w:gridSpan w:val="4"/>
            <w:shd w:val="clear" w:color="auto" w:fill="CCFFFF"/>
          </w:tcPr>
          <w:p>
            <w:pPr>
              <w:ind w:left="200"/>
              <w:spacing w:after="0"/>
              <w:rPr>
                <w:sz w:val="20"/>
                <w:szCs w:val="20"/>
                <w:color w:val="auto"/>
              </w:rPr>
            </w:pPr>
            <w:r>
              <w:rPr>
                <w:rFonts w:ascii="Arial" w:cs="Arial" w:eastAsia="Arial" w:hAnsi="Arial"/>
                <w:sz w:val="18"/>
                <w:szCs w:val="18"/>
                <w:i w:val="1"/>
                <w:iCs w:val="1"/>
                <w:color w:val="auto"/>
              </w:rPr>
              <w:t>Methane Shirley Elisabeth</w:t>
            </w:r>
          </w:p>
        </w:tc>
        <w:tc>
          <w:tcPr>
            <w:tcW w:w="1180" w:type="dxa"/>
            <w:vAlign w:val="bottom"/>
            <w:shd w:val="clear" w:color="auto" w:fill="CCFFFF"/>
          </w:tcPr>
          <w:p>
            <w:pPr>
              <w:jc w:val="right"/>
              <w:ind w:right="210"/>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FFFF"/>
          </w:tcPr>
          <w:p>
            <w:pPr>
              <w:spacing w:after="0"/>
              <w:rPr>
                <w:sz w:val="22"/>
                <w:szCs w:val="22"/>
                <w:color w:val="auto"/>
              </w:rPr>
            </w:pPr>
          </w:p>
        </w:tc>
        <w:tc>
          <w:tcPr>
            <w:tcW w:w="140" w:type="dxa"/>
            <w:vAlign w:val="bottom"/>
            <w:shd w:val="clear" w:color="auto" w:fill="CCFFFF"/>
          </w:tcPr>
          <w:p>
            <w:pPr>
              <w:spacing w:after="0"/>
              <w:rPr>
                <w:sz w:val="22"/>
                <w:szCs w:val="22"/>
                <w:color w:val="auto"/>
              </w:rPr>
            </w:pPr>
          </w:p>
        </w:tc>
        <w:tc>
          <w:tcPr>
            <w:tcW w:w="100" w:type="dxa"/>
            <w:vAlign w:val="bottom"/>
            <w:shd w:val="clear" w:color="auto" w:fill="CCFFFF"/>
          </w:tcPr>
          <w:p>
            <w:pPr>
              <w:spacing w:after="0"/>
              <w:rPr>
                <w:sz w:val="22"/>
                <w:szCs w:val="22"/>
                <w:color w:val="auto"/>
              </w:rPr>
            </w:pPr>
          </w:p>
        </w:tc>
        <w:tc>
          <w:tcPr>
            <w:tcW w:w="122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FFFF"/>
          </w:tcPr>
          <w:p>
            <w:pPr>
              <w:spacing w:after="0"/>
              <w:rPr>
                <w:sz w:val="22"/>
                <w:szCs w:val="22"/>
                <w:color w:val="auto"/>
              </w:rPr>
            </w:pPr>
          </w:p>
        </w:tc>
        <w:tc>
          <w:tcPr>
            <w:tcW w:w="80" w:type="dxa"/>
            <w:vAlign w:val="bottom"/>
            <w:shd w:val="clear" w:color="auto" w:fill="CCFFFF"/>
          </w:tcPr>
          <w:p>
            <w:pPr>
              <w:spacing w:after="0"/>
              <w:rPr>
                <w:sz w:val="22"/>
                <w:szCs w:val="22"/>
                <w:color w:val="auto"/>
              </w:rPr>
            </w:pPr>
          </w:p>
        </w:tc>
        <w:tc>
          <w:tcPr>
            <w:tcW w:w="120" w:type="dxa"/>
            <w:vAlign w:val="bottom"/>
            <w:shd w:val="clear" w:color="auto" w:fill="CCFFFF"/>
          </w:tcPr>
          <w:p>
            <w:pPr>
              <w:spacing w:after="0"/>
              <w:rPr>
                <w:sz w:val="22"/>
                <w:szCs w:val="22"/>
                <w:color w:val="auto"/>
              </w:rPr>
            </w:pPr>
          </w:p>
        </w:tc>
        <w:tc>
          <w:tcPr>
            <w:tcW w:w="1460" w:type="dxa"/>
            <w:vAlign w:val="bottom"/>
            <w:gridSpan w:val="3"/>
            <w:shd w:val="clear" w:color="auto" w:fill="CCFFFF"/>
          </w:tcPr>
          <w:p>
            <w:pPr>
              <w:jc w:val="center"/>
              <w:ind w:right="100"/>
              <w:spacing w:after="0" w:line="256" w:lineRule="exact"/>
              <w:rPr>
                <w:sz w:val="20"/>
                <w:szCs w:val="20"/>
                <w:color w:val="auto"/>
              </w:rPr>
            </w:pPr>
            <w:r>
              <w:rPr>
                <w:rFonts w:ascii="Arial" w:cs="Arial" w:eastAsia="Arial" w:hAnsi="Arial"/>
                <w:sz w:val="18"/>
                <w:szCs w:val="18"/>
                <w:color w:val="auto"/>
                <w:w w:val="85"/>
              </w:rPr>
              <w:t xml:space="preserve">JOVO </w:t>
            </w:r>
            <w:r>
              <w:rPr>
                <w:rFonts w:ascii="Arial" w:cs="Arial" w:eastAsia="Arial" w:hAnsi="Arial"/>
                <w:sz w:val="29"/>
                <w:szCs w:val="29"/>
                <w:color w:val="auto"/>
                <w:w w:val="85"/>
                <w:vertAlign w:val="superscript"/>
              </w:rPr>
              <w:t>(11)</w:t>
            </w:r>
          </w:p>
        </w:tc>
        <w:tc>
          <w:tcPr>
            <w:tcW w:w="80" w:type="dxa"/>
            <w:vAlign w:val="bottom"/>
            <w:shd w:val="clear" w:color="auto" w:fill="CCFFFF"/>
          </w:tcPr>
          <w:p>
            <w:pPr>
              <w:spacing w:after="0"/>
              <w:rPr>
                <w:sz w:val="22"/>
                <w:szCs w:val="22"/>
                <w:color w:val="auto"/>
              </w:rPr>
            </w:pPr>
          </w:p>
        </w:tc>
        <w:tc>
          <w:tcPr>
            <w:tcW w:w="1000" w:type="dxa"/>
            <w:vAlign w:val="bottom"/>
            <w:gridSpan w:val="3"/>
            <w:shd w:val="clear" w:color="auto" w:fill="CCFFFF"/>
          </w:tcPr>
          <w:p>
            <w:pPr>
              <w:jc w:val="center"/>
              <w:ind w:right="280"/>
              <w:spacing w:after="0"/>
              <w:rPr>
                <w:sz w:val="20"/>
                <w:szCs w:val="20"/>
                <w:color w:val="auto"/>
              </w:rPr>
            </w:pPr>
            <w:r>
              <w:rPr>
                <w:rFonts w:ascii="Arial" w:cs="Arial" w:eastAsia="Arial" w:hAnsi="Arial"/>
                <w:sz w:val="18"/>
                <w:szCs w:val="18"/>
                <w:color w:val="auto"/>
                <w:w w:val="84"/>
              </w:rPr>
              <w:t>Steam</w:t>
            </w:r>
          </w:p>
        </w:tc>
        <w:tc>
          <w:tcPr>
            <w:tcW w:w="220" w:type="dxa"/>
            <w:vAlign w:val="bottom"/>
            <w:shd w:val="clear" w:color="auto" w:fill="CCFFFF"/>
          </w:tcPr>
          <w:p>
            <w:pPr>
              <w:spacing w:after="0"/>
              <w:rPr>
                <w:sz w:val="22"/>
                <w:szCs w:val="22"/>
                <w:color w:val="auto"/>
              </w:rPr>
            </w:pPr>
          </w:p>
        </w:tc>
        <w:tc>
          <w:tcPr>
            <w:tcW w:w="1480" w:type="dxa"/>
            <w:vAlign w:val="bottom"/>
            <w:gridSpan w:val="3"/>
            <w:shd w:val="clear" w:color="auto" w:fill="CCFFFF"/>
          </w:tcPr>
          <w:p>
            <w:pPr>
              <w:jc w:val="center"/>
              <w:ind w:right="420"/>
              <w:spacing w:after="0"/>
              <w:rPr>
                <w:sz w:val="20"/>
                <w:szCs w:val="20"/>
                <w:color w:val="auto"/>
              </w:rPr>
            </w:pPr>
            <w:r>
              <w:rPr>
                <w:rFonts w:ascii="Arial" w:cs="Arial" w:eastAsia="Arial" w:hAnsi="Arial"/>
                <w:sz w:val="18"/>
                <w:szCs w:val="18"/>
                <w:color w:val="auto"/>
                <w:w w:val="92"/>
              </w:rPr>
              <w:t>August 2022</w:t>
            </w:r>
          </w:p>
        </w:tc>
        <w:tc>
          <w:tcPr>
            <w:tcW w:w="100" w:type="dxa"/>
            <w:vAlign w:val="bottom"/>
            <w:shd w:val="clear" w:color="auto" w:fill="CCFFFF"/>
          </w:tcPr>
          <w:p>
            <w:pPr>
              <w:spacing w:after="0"/>
              <w:rPr>
                <w:sz w:val="22"/>
                <w:szCs w:val="22"/>
                <w:color w:val="auto"/>
              </w:rPr>
            </w:pPr>
          </w:p>
        </w:tc>
        <w:tc>
          <w:tcPr>
            <w:tcW w:w="1000" w:type="dxa"/>
            <w:vAlign w:val="bottom"/>
            <w:gridSpan w:val="2"/>
            <w:shd w:val="clear" w:color="auto" w:fill="CCFF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0"/>
                <w:szCs w:val="20"/>
                <w:color w:val="auto"/>
              </w:rPr>
            </w:pPr>
            <w:r>
              <w:rPr>
                <w:rFonts w:ascii="Arial" w:cs="Arial" w:eastAsia="Arial" w:hAnsi="Arial"/>
                <w:sz w:val="18"/>
                <w:szCs w:val="18"/>
                <w:b w:val="1"/>
                <w:bCs w:val="1"/>
                <w:color w:val="auto"/>
              </w:rPr>
              <w:t>8</w:t>
            </w:r>
          </w:p>
        </w:tc>
        <w:tc>
          <w:tcPr>
            <w:tcW w:w="2460" w:type="dxa"/>
            <w:vAlign w:val="bottom"/>
            <w:gridSpan w:val="4"/>
          </w:tcPr>
          <w:p>
            <w:pPr>
              <w:ind w:left="200"/>
              <w:spacing w:after="0"/>
              <w:rPr>
                <w:sz w:val="20"/>
                <w:szCs w:val="20"/>
                <w:color w:val="auto"/>
              </w:rPr>
            </w:pPr>
            <w:r>
              <w:rPr>
                <w:rFonts w:ascii="Arial" w:cs="Arial" w:eastAsia="Arial" w:hAnsi="Arial"/>
                <w:sz w:val="18"/>
                <w:szCs w:val="18"/>
                <w:i w:val="1"/>
                <w:iCs w:val="1"/>
                <w:color w:val="auto"/>
              </w:rPr>
              <w:t>GasLog Shanghai</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3"/>
          </w:tcPr>
          <w:p>
            <w:pPr>
              <w:jc w:val="center"/>
              <w:ind w:right="100"/>
              <w:spacing w:after="0" w:line="256" w:lineRule="exact"/>
              <w:rPr>
                <w:sz w:val="20"/>
                <w:szCs w:val="20"/>
                <w:color w:val="auto"/>
              </w:rPr>
            </w:pPr>
            <w:r>
              <w:rPr>
                <w:rFonts w:ascii="Arial" w:cs="Arial" w:eastAsia="Arial" w:hAnsi="Arial"/>
                <w:sz w:val="18"/>
                <w:szCs w:val="18"/>
                <w:color w:val="auto"/>
                <w:w w:val="86"/>
              </w:rPr>
              <w:t xml:space="preserve">Gunvor </w:t>
            </w:r>
            <w:r>
              <w:rPr>
                <w:rFonts w:ascii="Arial" w:cs="Arial" w:eastAsia="Arial" w:hAnsi="Arial"/>
                <w:sz w:val="29"/>
                <w:szCs w:val="29"/>
                <w:color w:val="auto"/>
                <w:w w:val="86"/>
                <w:vertAlign w:val="superscript"/>
              </w:rPr>
              <w:t>(4)</w:t>
            </w:r>
          </w:p>
        </w:tc>
        <w:tc>
          <w:tcPr>
            <w:tcW w:w="80" w:type="dxa"/>
            <w:vAlign w:val="bottom"/>
          </w:tcPr>
          <w:p>
            <w:pPr>
              <w:spacing w:after="0"/>
              <w:rPr>
                <w:sz w:val="22"/>
                <w:szCs w:val="22"/>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TFDE</w:t>
            </w:r>
          </w:p>
        </w:tc>
        <w:tc>
          <w:tcPr>
            <w:tcW w:w="1700" w:type="dxa"/>
            <w:vAlign w:val="bottom"/>
            <w:gridSpan w:val="4"/>
          </w:tcPr>
          <w:p>
            <w:pPr>
              <w:jc w:val="center"/>
              <w:ind w:right="200"/>
              <w:spacing w:after="0"/>
              <w:rPr>
                <w:sz w:val="20"/>
                <w:szCs w:val="20"/>
                <w:color w:val="auto"/>
              </w:rPr>
            </w:pPr>
            <w:r>
              <w:rPr>
                <w:rFonts w:ascii="Arial" w:cs="Arial" w:eastAsia="Arial" w:hAnsi="Arial"/>
                <w:sz w:val="18"/>
                <w:szCs w:val="18"/>
                <w:color w:val="auto"/>
                <w:w w:val="92"/>
              </w:rPr>
              <w:t>November 2022</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9</w:t>
            </w:r>
          </w:p>
        </w:tc>
        <w:tc>
          <w:tcPr>
            <w:tcW w:w="2460" w:type="dxa"/>
            <w:vAlign w:val="bottom"/>
            <w:gridSpan w:val="4"/>
            <w:shd w:val="clear" w:color="auto" w:fill="CCFFFF"/>
          </w:tcPr>
          <w:p>
            <w:pPr>
              <w:ind w:left="200"/>
              <w:spacing w:after="0"/>
              <w:rPr>
                <w:sz w:val="20"/>
                <w:szCs w:val="20"/>
                <w:color w:val="auto"/>
              </w:rPr>
            </w:pPr>
            <w:r>
              <w:rPr>
                <w:rFonts w:ascii="Arial" w:cs="Arial" w:eastAsia="Arial" w:hAnsi="Arial"/>
                <w:sz w:val="18"/>
                <w:szCs w:val="18"/>
                <w:i w:val="1"/>
                <w:iCs w:val="1"/>
                <w:color w:val="auto"/>
              </w:rPr>
              <w:t>Methane Jane Elizabeth</w:t>
            </w:r>
          </w:p>
        </w:tc>
        <w:tc>
          <w:tcPr>
            <w:tcW w:w="1180" w:type="dxa"/>
            <w:vAlign w:val="bottom"/>
            <w:shd w:val="clear" w:color="auto" w:fill="CCFFFF"/>
          </w:tcPr>
          <w:p>
            <w:pPr>
              <w:jc w:val="right"/>
              <w:ind w:right="210"/>
              <w:spacing w:after="0"/>
              <w:rPr>
                <w:sz w:val="20"/>
                <w:szCs w:val="20"/>
                <w:color w:val="auto"/>
              </w:rPr>
            </w:pPr>
            <w:r>
              <w:rPr>
                <w:rFonts w:ascii="Arial" w:cs="Arial" w:eastAsia="Arial" w:hAnsi="Arial"/>
                <w:sz w:val="18"/>
                <w:szCs w:val="18"/>
                <w:color w:val="auto"/>
              </w:rPr>
              <w:t>2006</w:t>
            </w:r>
          </w:p>
        </w:tc>
        <w:tc>
          <w:tcPr>
            <w:tcW w:w="8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2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460" w:type="dxa"/>
            <w:vAlign w:val="bottom"/>
            <w:gridSpan w:val="3"/>
            <w:shd w:val="clear" w:color="auto" w:fill="CCFFFF"/>
          </w:tcPr>
          <w:p>
            <w:pPr>
              <w:jc w:val="center"/>
              <w:ind w:right="100"/>
              <w:spacing w:after="0"/>
              <w:rPr>
                <w:sz w:val="20"/>
                <w:szCs w:val="20"/>
                <w:color w:val="auto"/>
              </w:rPr>
            </w:pPr>
            <w:r>
              <w:rPr>
                <w:rFonts w:ascii="Arial" w:cs="Arial" w:eastAsia="Arial" w:hAnsi="Arial"/>
                <w:sz w:val="18"/>
                <w:szCs w:val="18"/>
                <w:color w:val="auto"/>
                <w:w w:val="87"/>
              </w:rPr>
              <w:t>Cheniere</w:t>
            </w:r>
          </w:p>
        </w:tc>
        <w:tc>
          <w:tcPr>
            <w:tcW w:w="80" w:type="dxa"/>
            <w:vAlign w:val="bottom"/>
            <w:shd w:val="clear" w:color="auto" w:fill="CCFFFF"/>
          </w:tcPr>
          <w:p>
            <w:pPr>
              <w:spacing w:after="0"/>
              <w:rPr>
                <w:sz w:val="18"/>
                <w:szCs w:val="18"/>
                <w:color w:val="auto"/>
              </w:rPr>
            </w:pPr>
          </w:p>
        </w:tc>
        <w:tc>
          <w:tcPr>
            <w:tcW w:w="1000" w:type="dxa"/>
            <w:vAlign w:val="bottom"/>
            <w:gridSpan w:val="3"/>
            <w:shd w:val="clear" w:color="auto" w:fill="CCFFFF"/>
          </w:tcPr>
          <w:p>
            <w:pPr>
              <w:jc w:val="center"/>
              <w:ind w:right="280"/>
              <w:spacing w:after="0"/>
              <w:rPr>
                <w:sz w:val="20"/>
                <w:szCs w:val="20"/>
                <w:color w:val="auto"/>
              </w:rPr>
            </w:pPr>
            <w:r>
              <w:rPr>
                <w:rFonts w:ascii="Arial" w:cs="Arial" w:eastAsia="Arial" w:hAnsi="Arial"/>
                <w:sz w:val="18"/>
                <w:szCs w:val="18"/>
                <w:color w:val="auto"/>
                <w:w w:val="84"/>
              </w:rPr>
              <w:t>Steam</w:t>
            </w:r>
          </w:p>
        </w:tc>
        <w:tc>
          <w:tcPr>
            <w:tcW w:w="220" w:type="dxa"/>
            <w:vAlign w:val="bottom"/>
            <w:shd w:val="clear" w:color="auto" w:fill="CCFFFF"/>
          </w:tcPr>
          <w:p>
            <w:pPr>
              <w:spacing w:after="0"/>
              <w:rPr>
                <w:sz w:val="18"/>
                <w:szCs w:val="18"/>
                <w:color w:val="auto"/>
              </w:rPr>
            </w:pPr>
          </w:p>
        </w:tc>
        <w:tc>
          <w:tcPr>
            <w:tcW w:w="1480" w:type="dxa"/>
            <w:vAlign w:val="bottom"/>
            <w:gridSpan w:val="3"/>
            <w:shd w:val="clear" w:color="auto" w:fill="CCFFFF"/>
          </w:tcPr>
          <w:p>
            <w:pPr>
              <w:jc w:val="center"/>
              <w:ind w:right="420"/>
              <w:spacing w:after="0"/>
              <w:rPr>
                <w:sz w:val="20"/>
                <w:szCs w:val="20"/>
                <w:color w:val="auto"/>
              </w:rPr>
            </w:pPr>
            <w:r>
              <w:rPr>
                <w:rFonts w:ascii="Arial" w:cs="Arial" w:eastAsia="Arial" w:hAnsi="Arial"/>
                <w:sz w:val="18"/>
                <w:szCs w:val="18"/>
                <w:color w:val="auto"/>
                <w:w w:val="90"/>
              </w:rPr>
              <w:t>March 2023</w:t>
            </w:r>
          </w:p>
        </w:tc>
        <w:tc>
          <w:tcPr>
            <w:tcW w:w="1000" w:type="dxa"/>
            <w:vAlign w:val="bottom"/>
            <w:gridSpan w:val="2"/>
            <w:shd w:val="clear" w:color="auto" w:fill="CCFFFF"/>
          </w:tcPr>
          <w:p>
            <w:pPr>
              <w:jc w:val="center"/>
              <w:ind w:left="10"/>
              <w:spacing w:after="0"/>
              <w:rPr>
                <w:sz w:val="20"/>
                <w:szCs w:val="20"/>
                <w:color w:val="auto"/>
              </w:rPr>
            </w:pPr>
            <w:r>
              <w:rPr>
                <w:rFonts w:ascii="Arial" w:cs="Arial" w:eastAsia="Arial" w:hAnsi="Arial"/>
                <w:sz w:val="18"/>
                <w:szCs w:val="18"/>
                <w:color w:val="auto"/>
                <w:w w:val="90"/>
              </w:rPr>
              <w:t>2024-2025</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2460" w:type="dxa"/>
            <w:vAlign w:val="bottom"/>
            <w:gridSpan w:val="4"/>
          </w:tcPr>
          <w:p>
            <w:pPr>
              <w:ind w:left="200"/>
              <w:spacing w:after="0"/>
              <w:rPr>
                <w:sz w:val="20"/>
                <w:szCs w:val="20"/>
                <w:color w:val="auto"/>
              </w:rPr>
            </w:pPr>
            <w:r>
              <w:rPr>
                <w:rFonts w:ascii="Arial" w:cs="Arial" w:eastAsia="Arial" w:hAnsi="Arial"/>
                <w:sz w:val="18"/>
                <w:szCs w:val="18"/>
                <w:i w:val="1"/>
                <w:iCs w:val="1"/>
                <w:color w:val="auto"/>
              </w:rPr>
              <w:t>GasLog Geneva</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Shell</w:t>
            </w:r>
          </w:p>
        </w:tc>
        <w:tc>
          <w:tcPr>
            <w:tcW w:w="8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TFDE</w:t>
            </w:r>
          </w:p>
        </w:tc>
        <w:tc>
          <w:tcPr>
            <w:tcW w:w="1700" w:type="dxa"/>
            <w:vAlign w:val="bottom"/>
            <w:gridSpan w:val="4"/>
          </w:tcPr>
          <w:p>
            <w:pPr>
              <w:jc w:val="center"/>
              <w:ind w:right="200"/>
              <w:spacing w:after="0"/>
              <w:rPr>
                <w:sz w:val="20"/>
                <w:szCs w:val="20"/>
                <w:color w:val="auto"/>
              </w:rPr>
            </w:pPr>
            <w:r>
              <w:rPr>
                <w:rFonts w:ascii="Arial" w:cs="Arial" w:eastAsia="Arial" w:hAnsi="Arial"/>
                <w:sz w:val="18"/>
                <w:szCs w:val="18"/>
                <w:color w:val="auto"/>
                <w:w w:val="88"/>
              </w:rPr>
              <w:t>September 2023</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2028-2031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0" w:type="dxa"/>
            <w:vAlign w:val="bottom"/>
            <w:shd w:val="clear" w:color="auto" w:fill="CCFFFF"/>
          </w:tcPr>
          <w:p>
            <w:pPr>
              <w:spacing w:after="0"/>
              <w:rPr>
                <w:sz w:val="17"/>
                <w:szCs w:val="17"/>
                <w:color w:val="auto"/>
              </w:rPr>
            </w:pPr>
          </w:p>
        </w:tc>
        <w:tc>
          <w:tcPr>
            <w:tcW w:w="2300" w:type="dxa"/>
            <w:vAlign w:val="bottom"/>
            <w:shd w:val="clear" w:color="auto" w:fill="CCFFFF"/>
          </w:tcPr>
          <w:p>
            <w:pPr>
              <w:spacing w:after="0"/>
              <w:rPr>
                <w:sz w:val="17"/>
                <w:szCs w:val="17"/>
                <w:color w:val="auto"/>
              </w:rPr>
            </w:pPr>
          </w:p>
        </w:tc>
        <w:tc>
          <w:tcPr>
            <w:tcW w:w="40" w:type="dxa"/>
            <w:vAlign w:val="bottom"/>
            <w:shd w:val="clear" w:color="auto" w:fill="CCFFFF"/>
          </w:tcPr>
          <w:p>
            <w:pPr>
              <w:spacing w:after="0"/>
              <w:rPr>
                <w:sz w:val="17"/>
                <w:szCs w:val="17"/>
                <w:color w:val="auto"/>
              </w:rPr>
            </w:pPr>
          </w:p>
        </w:tc>
        <w:tc>
          <w:tcPr>
            <w:tcW w:w="60" w:type="dxa"/>
            <w:vAlign w:val="bottom"/>
            <w:shd w:val="clear" w:color="auto" w:fill="CCFFFF"/>
          </w:tcPr>
          <w:p>
            <w:pPr>
              <w:spacing w:after="0"/>
              <w:rPr>
                <w:sz w:val="17"/>
                <w:szCs w:val="17"/>
                <w:color w:val="auto"/>
              </w:rPr>
            </w:pPr>
          </w:p>
        </w:tc>
        <w:tc>
          <w:tcPr>
            <w:tcW w:w="60" w:type="dxa"/>
            <w:vAlign w:val="bottom"/>
            <w:shd w:val="clear" w:color="auto" w:fill="CCFFFF"/>
          </w:tcPr>
          <w:p>
            <w:pPr>
              <w:spacing w:after="0"/>
              <w:rPr>
                <w:sz w:val="17"/>
                <w:szCs w:val="17"/>
                <w:color w:val="auto"/>
              </w:rPr>
            </w:pPr>
          </w:p>
        </w:tc>
        <w:tc>
          <w:tcPr>
            <w:tcW w:w="1180" w:type="dxa"/>
            <w:vAlign w:val="bottom"/>
            <w:shd w:val="clear" w:color="auto" w:fill="CCFFFF"/>
          </w:tcPr>
          <w:p>
            <w:pPr>
              <w:spacing w:after="0"/>
              <w:rPr>
                <w:sz w:val="17"/>
                <w:szCs w:val="17"/>
                <w:color w:val="auto"/>
              </w:rPr>
            </w:pPr>
          </w:p>
        </w:tc>
        <w:tc>
          <w:tcPr>
            <w:tcW w:w="80" w:type="dxa"/>
            <w:vAlign w:val="bottom"/>
            <w:shd w:val="clear" w:color="auto" w:fill="CCFFFF"/>
          </w:tcPr>
          <w:p>
            <w:pPr>
              <w:spacing w:after="0"/>
              <w:rPr>
                <w:sz w:val="17"/>
                <w:szCs w:val="17"/>
                <w:color w:val="auto"/>
              </w:rPr>
            </w:pPr>
          </w:p>
        </w:tc>
        <w:tc>
          <w:tcPr>
            <w:tcW w:w="140" w:type="dxa"/>
            <w:vAlign w:val="bottom"/>
            <w:shd w:val="clear" w:color="auto" w:fill="CCFFFF"/>
          </w:tcPr>
          <w:p>
            <w:pPr>
              <w:spacing w:after="0"/>
              <w:rPr>
                <w:sz w:val="17"/>
                <w:szCs w:val="17"/>
                <w:color w:val="auto"/>
              </w:rPr>
            </w:pPr>
          </w:p>
        </w:tc>
        <w:tc>
          <w:tcPr>
            <w:tcW w:w="10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140" w:type="dxa"/>
            <w:vAlign w:val="bottom"/>
            <w:shd w:val="clear" w:color="auto" w:fill="CCFFFF"/>
          </w:tcPr>
          <w:p>
            <w:pPr>
              <w:spacing w:after="0"/>
              <w:rPr>
                <w:sz w:val="17"/>
                <w:szCs w:val="17"/>
                <w:color w:val="auto"/>
              </w:rPr>
            </w:pPr>
          </w:p>
        </w:tc>
        <w:tc>
          <w:tcPr>
            <w:tcW w:w="80" w:type="dxa"/>
            <w:vAlign w:val="bottom"/>
            <w:shd w:val="clear" w:color="auto" w:fill="CCFFFF"/>
          </w:tcPr>
          <w:p>
            <w:pPr>
              <w:spacing w:after="0"/>
              <w:rPr>
                <w:sz w:val="17"/>
                <w:szCs w:val="17"/>
                <w:color w:val="auto"/>
              </w:rPr>
            </w:pPr>
          </w:p>
        </w:tc>
        <w:tc>
          <w:tcPr>
            <w:tcW w:w="120" w:type="dxa"/>
            <w:vAlign w:val="bottom"/>
            <w:shd w:val="clear" w:color="auto" w:fill="CCFFFF"/>
          </w:tcPr>
          <w:p>
            <w:pPr>
              <w:spacing w:after="0"/>
              <w:rPr>
                <w:sz w:val="17"/>
                <w:szCs w:val="17"/>
                <w:color w:val="auto"/>
              </w:rPr>
            </w:pPr>
          </w:p>
        </w:tc>
        <w:tc>
          <w:tcPr>
            <w:tcW w:w="1460" w:type="dxa"/>
            <w:vAlign w:val="bottom"/>
            <w:gridSpan w:val="3"/>
            <w:shd w:val="clear" w:color="auto" w:fill="CCFFFF"/>
          </w:tcPr>
          <w:p>
            <w:pPr>
              <w:jc w:val="center"/>
              <w:ind w:right="120"/>
              <w:spacing w:after="0" w:line="206" w:lineRule="exact"/>
              <w:rPr>
                <w:sz w:val="20"/>
                <w:szCs w:val="20"/>
                <w:color w:val="auto"/>
              </w:rPr>
            </w:pPr>
            <w:r>
              <w:rPr>
                <w:rFonts w:ascii="Arial" w:cs="Arial" w:eastAsia="Arial" w:hAnsi="Arial"/>
                <w:sz w:val="18"/>
                <w:szCs w:val="18"/>
                <w:color w:val="auto"/>
                <w:w w:val="98"/>
              </w:rPr>
              <w:t>CNTIC</w:t>
            </w:r>
          </w:p>
        </w:tc>
        <w:tc>
          <w:tcPr>
            <w:tcW w:w="80" w:type="dxa"/>
            <w:vAlign w:val="bottom"/>
            <w:shd w:val="clear" w:color="auto" w:fill="CCFFFF"/>
          </w:tcPr>
          <w:p>
            <w:pPr>
              <w:spacing w:after="0"/>
              <w:rPr>
                <w:sz w:val="17"/>
                <w:szCs w:val="17"/>
                <w:color w:val="auto"/>
              </w:rPr>
            </w:pPr>
          </w:p>
        </w:tc>
        <w:tc>
          <w:tcPr>
            <w:tcW w:w="800" w:type="dxa"/>
            <w:vAlign w:val="bottom"/>
            <w:shd w:val="clear" w:color="auto" w:fill="CCFFFF"/>
          </w:tcPr>
          <w:p>
            <w:pPr>
              <w:spacing w:after="0"/>
              <w:rPr>
                <w:sz w:val="17"/>
                <w:szCs w:val="17"/>
                <w:color w:val="auto"/>
              </w:rPr>
            </w:pPr>
          </w:p>
        </w:tc>
        <w:tc>
          <w:tcPr>
            <w:tcW w:w="120" w:type="dxa"/>
            <w:vAlign w:val="bottom"/>
            <w:shd w:val="clear" w:color="auto" w:fill="CCFFFF"/>
          </w:tcPr>
          <w:p>
            <w:pPr>
              <w:spacing w:after="0"/>
              <w:rPr>
                <w:sz w:val="17"/>
                <w:szCs w:val="17"/>
                <w:color w:val="auto"/>
              </w:rPr>
            </w:pPr>
          </w:p>
        </w:tc>
        <w:tc>
          <w:tcPr>
            <w:tcW w:w="8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00" w:type="dxa"/>
            <w:vAlign w:val="bottom"/>
            <w:shd w:val="clear" w:color="auto" w:fill="CCFFFF"/>
          </w:tcPr>
          <w:p>
            <w:pPr>
              <w:spacing w:after="0"/>
              <w:rPr>
                <w:sz w:val="17"/>
                <w:szCs w:val="17"/>
                <w:color w:val="auto"/>
              </w:rPr>
            </w:pPr>
          </w:p>
        </w:tc>
        <w:tc>
          <w:tcPr>
            <w:tcW w:w="116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00" w:type="dxa"/>
            <w:vAlign w:val="bottom"/>
            <w:shd w:val="clear" w:color="auto" w:fill="CCFFFF"/>
          </w:tcPr>
          <w:p>
            <w:pPr>
              <w:spacing w:after="0"/>
              <w:rPr>
                <w:sz w:val="17"/>
                <w:szCs w:val="17"/>
                <w:color w:val="auto"/>
              </w:rPr>
            </w:pPr>
          </w:p>
        </w:tc>
        <w:tc>
          <w:tcPr>
            <w:tcW w:w="900" w:type="dxa"/>
            <w:vAlign w:val="bottom"/>
            <w:shd w:val="clear" w:color="auto" w:fill="CCFFFF"/>
          </w:tcPr>
          <w:p>
            <w:pPr>
              <w:spacing w:after="0"/>
              <w:rPr>
                <w:sz w:val="17"/>
                <w:szCs w:val="17"/>
                <w:color w:val="auto"/>
              </w:rPr>
            </w:pPr>
          </w:p>
        </w:tc>
        <w:tc>
          <w:tcPr>
            <w:tcW w:w="1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11</w:t>
            </w:r>
          </w:p>
        </w:tc>
        <w:tc>
          <w:tcPr>
            <w:tcW w:w="2460" w:type="dxa"/>
            <w:vAlign w:val="bottom"/>
            <w:gridSpan w:val="4"/>
            <w:shd w:val="clear" w:color="auto" w:fill="CCFFFF"/>
          </w:tcPr>
          <w:p>
            <w:pPr>
              <w:ind w:left="200"/>
              <w:spacing w:after="0"/>
              <w:rPr>
                <w:sz w:val="20"/>
                <w:szCs w:val="20"/>
                <w:color w:val="auto"/>
              </w:rPr>
            </w:pPr>
            <w:r>
              <w:rPr>
                <w:rFonts w:ascii="Arial" w:cs="Arial" w:eastAsia="Arial" w:hAnsi="Arial"/>
                <w:sz w:val="18"/>
                <w:szCs w:val="18"/>
                <w:i w:val="1"/>
                <w:iCs w:val="1"/>
                <w:color w:val="auto"/>
              </w:rPr>
              <w:t>Methane Alison Victoria</w:t>
            </w:r>
          </w:p>
        </w:tc>
        <w:tc>
          <w:tcPr>
            <w:tcW w:w="1180" w:type="dxa"/>
            <w:vAlign w:val="bottom"/>
            <w:shd w:val="clear" w:color="auto" w:fill="CCFFFF"/>
          </w:tcPr>
          <w:p>
            <w:pPr>
              <w:jc w:val="right"/>
              <w:ind w:right="210"/>
              <w:spacing w:after="0"/>
              <w:rPr>
                <w:sz w:val="20"/>
                <w:szCs w:val="20"/>
                <w:color w:val="auto"/>
              </w:rPr>
            </w:pPr>
            <w:r>
              <w:rPr>
                <w:rFonts w:ascii="Arial" w:cs="Arial" w:eastAsia="Arial" w:hAnsi="Arial"/>
                <w:sz w:val="18"/>
                <w:szCs w:val="18"/>
                <w:color w:val="auto"/>
              </w:rPr>
              <w:t>2007</w:t>
            </w:r>
          </w:p>
        </w:tc>
        <w:tc>
          <w:tcPr>
            <w:tcW w:w="80" w:type="dxa"/>
            <w:vAlign w:val="bottom"/>
            <w:shd w:val="clear" w:color="auto" w:fill="CCFFFF"/>
          </w:tcPr>
          <w:p>
            <w:pPr>
              <w:spacing w:after="0"/>
              <w:rPr>
                <w:sz w:val="23"/>
                <w:szCs w:val="23"/>
                <w:color w:val="auto"/>
              </w:rPr>
            </w:pPr>
          </w:p>
        </w:tc>
        <w:tc>
          <w:tcPr>
            <w:tcW w:w="140" w:type="dxa"/>
            <w:vAlign w:val="bottom"/>
            <w:shd w:val="clear" w:color="auto" w:fill="CCFFFF"/>
          </w:tcPr>
          <w:p>
            <w:pPr>
              <w:spacing w:after="0"/>
              <w:rPr>
                <w:sz w:val="23"/>
                <w:szCs w:val="23"/>
                <w:color w:val="auto"/>
              </w:rPr>
            </w:pPr>
          </w:p>
        </w:tc>
        <w:tc>
          <w:tcPr>
            <w:tcW w:w="100" w:type="dxa"/>
            <w:vAlign w:val="bottom"/>
            <w:shd w:val="clear" w:color="auto" w:fill="CCFFFF"/>
          </w:tcPr>
          <w:p>
            <w:pPr>
              <w:spacing w:after="0"/>
              <w:rPr>
                <w:sz w:val="23"/>
                <w:szCs w:val="23"/>
                <w:color w:val="auto"/>
              </w:rPr>
            </w:pPr>
          </w:p>
        </w:tc>
        <w:tc>
          <w:tcPr>
            <w:tcW w:w="122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145,000</w:t>
            </w:r>
          </w:p>
        </w:tc>
        <w:tc>
          <w:tcPr>
            <w:tcW w:w="140" w:type="dxa"/>
            <w:vAlign w:val="bottom"/>
            <w:shd w:val="clear" w:color="auto" w:fill="CCFFFF"/>
          </w:tcPr>
          <w:p>
            <w:pPr>
              <w:spacing w:after="0"/>
              <w:rPr>
                <w:sz w:val="23"/>
                <w:szCs w:val="23"/>
                <w:color w:val="auto"/>
              </w:rPr>
            </w:pPr>
          </w:p>
        </w:tc>
        <w:tc>
          <w:tcPr>
            <w:tcW w:w="80" w:type="dxa"/>
            <w:vAlign w:val="bottom"/>
            <w:shd w:val="clear" w:color="auto" w:fill="CCFFFF"/>
          </w:tcPr>
          <w:p>
            <w:pPr>
              <w:spacing w:after="0"/>
              <w:rPr>
                <w:sz w:val="23"/>
                <w:szCs w:val="23"/>
                <w:color w:val="auto"/>
              </w:rPr>
            </w:pPr>
          </w:p>
        </w:tc>
        <w:tc>
          <w:tcPr>
            <w:tcW w:w="120" w:type="dxa"/>
            <w:vAlign w:val="bottom"/>
            <w:shd w:val="clear" w:color="auto" w:fill="CCFFFF"/>
          </w:tcPr>
          <w:p>
            <w:pPr>
              <w:spacing w:after="0"/>
              <w:rPr>
                <w:sz w:val="23"/>
                <w:szCs w:val="23"/>
                <w:color w:val="auto"/>
              </w:rPr>
            </w:pPr>
          </w:p>
        </w:tc>
        <w:tc>
          <w:tcPr>
            <w:tcW w:w="1460" w:type="dxa"/>
            <w:vAlign w:val="bottom"/>
            <w:gridSpan w:val="3"/>
            <w:shd w:val="clear" w:color="auto" w:fill="CCFFFF"/>
          </w:tcPr>
          <w:p>
            <w:pPr>
              <w:jc w:val="center"/>
              <w:ind w:right="100"/>
              <w:spacing w:after="0" w:line="267" w:lineRule="exact"/>
              <w:rPr>
                <w:sz w:val="20"/>
                <w:szCs w:val="20"/>
                <w:color w:val="auto"/>
              </w:rPr>
            </w:pPr>
            <w:r>
              <w:rPr>
                <w:rFonts w:ascii="Arial" w:cs="Arial" w:eastAsia="Arial" w:hAnsi="Arial"/>
                <w:sz w:val="18"/>
                <w:szCs w:val="18"/>
                <w:color w:val="auto"/>
                <w:w w:val="86"/>
              </w:rPr>
              <w:t>VPower</w:t>
            </w:r>
            <w:r>
              <w:rPr>
                <w:rFonts w:ascii="Arial" w:cs="Arial" w:eastAsia="Arial" w:hAnsi="Arial"/>
                <w:sz w:val="29"/>
                <w:szCs w:val="29"/>
                <w:color w:val="auto"/>
                <w:w w:val="86"/>
                <w:vertAlign w:val="superscript"/>
              </w:rPr>
              <w:t>(12)</w:t>
            </w:r>
          </w:p>
        </w:tc>
        <w:tc>
          <w:tcPr>
            <w:tcW w:w="80" w:type="dxa"/>
            <w:vAlign w:val="bottom"/>
            <w:shd w:val="clear" w:color="auto" w:fill="CCFFFF"/>
          </w:tcPr>
          <w:p>
            <w:pPr>
              <w:spacing w:after="0"/>
              <w:rPr>
                <w:sz w:val="23"/>
                <w:szCs w:val="23"/>
                <w:color w:val="auto"/>
              </w:rPr>
            </w:pPr>
          </w:p>
        </w:tc>
        <w:tc>
          <w:tcPr>
            <w:tcW w:w="1000" w:type="dxa"/>
            <w:vAlign w:val="bottom"/>
            <w:gridSpan w:val="3"/>
            <w:shd w:val="clear" w:color="auto" w:fill="CCFFFF"/>
          </w:tcPr>
          <w:p>
            <w:pPr>
              <w:jc w:val="center"/>
              <w:ind w:right="280"/>
              <w:spacing w:after="0"/>
              <w:rPr>
                <w:sz w:val="20"/>
                <w:szCs w:val="20"/>
                <w:color w:val="auto"/>
              </w:rPr>
            </w:pPr>
            <w:r>
              <w:rPr>
                <w:rFonts w:ascii="Arial" w:cs="Arial" w:eastAsia="Arial" w:hAnsi="Arial"/>
                <w:sz w:val="18"/>
                <w:szCs w:val="18"/>
                <w:color w:val="auto"/>
                <w:w w:val="84"/>
              </w:rPr>
              <w:t>Steam</w:t>
            </w:r>
          </w:p>
        </w:tc>
        <w:tc>
          <w:tcPr>
            <w:tcW w:w="220" w:type="dxa"/>
            <w:vAlign w:val="bottom"/>
            <w:shd w:val="clear" w:color="auto" w:fill="CCFFFF"/>
          </w:tcPr>
          <w:p>
            <w:pPr>
              <w:spacing w:after="0"/>
              <w:rPr>
                <w:sz w:val="23"/>
                <w:szCs w:val="23"/>
                <w:color w:val="auto"/>
              </w:rPr>
            </w:pPr>
          </w:p>
        </w:tc>
        <w:tc>
          <w:tcPr>
            <w:tcW w:w="1480" w:type="dxa"/>
            <w:vAlign w:val="bottom"/>
            <w:gridSpan w:val="3"/>
            <w:shd w:val="clear" w:color="auto" w:fill="CCFFFF"/>
          </w:tcPr>
          <w:p>
            <w:pPr>
              <w:jc w:val="center"/>
              <w:ind w:right="420"/>
              <w:spacing w:after="0"/>
              <w:rPr>
                <w:sz w:val="20"/>
                <w:szCs w:val="20"/>
                <w:color w:val="auto"/>
              </w:rPr>
            </w:pPr>
            <w:r>
              <w:rPr>
                <w:rFonts w:ascii="Arial" w:cs="Arial" w:eastAsia="Arial" w:hAnsi="Arial"/>
                <w:sz w:val="18"/>
                <w:szCs w:val="18"/>
                <w:color w:val="auto"/>
                <w:w w:val="89"/>
              </w:rPr>
              <w:t>October 2023</w:t>
            </w:r>
          </w:p>
        </w:tc>
        <w:tc>
          <w:tcPr>
            <w:tcW w:w="1000" w:type="dxa"/>
            <w:vAlign w:val="bottom"/>
            <w:gridSpan w:val="2"/>
            <w:shd w:val="clear" w:color="auto" w:fill="CCFFFF"/>
          </w:tcPr>
          <w:p>
            <w:pPr>
              <w:jc w:val="center"/>
              <w:ind w:left="10"/>
              <w:spacing w:after="0"/>
              <w:rPr>
                <w:sz w:val="20"/>
                <w:szCs w:val="20"/>
                <w:color w:val="auto"/>
              </w:rPr>
            </w:pPr>
            <w:r>
              <w:rPr>
                <w:rFonts w:ascii="Arial" w:cs="Arial" w:eastAsia="Arial" w:hAnsi="Arial"/>
                <w:sz w:val="18"/>
                <w:szCs w:val="18"/>
                <w:color w:val="auto"/>
                <w:w w:val="90"/>
              </w:rPr>
              <w:t>2024-2025</w:t>
            </w:r>
          </w:p>
        </w:tc>
        <w:tc>
          <w:tcPr>
            <w:tcW w:w="100" w:type="dxa"/>
            <w:vAlign w:val="bottom"/>
            <w:shd w:val="clear" w:color="auto" w:fill="CCFF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2460" w:type="dxa"/>
            <w:vAlign w:val="bottom"/>
            <w:gridSpan w:val="4"/>
          </w:tcPr>
          <w:p>
            <w:pPr>
              <w:ind w:left="200"/>
              <w:spacing w:after="0"/>
              <w:rPr>
                <w:sz w:val="20"/>
                <w:szCs w:val="20"/>
                <w:color w:val="auto"/>
              </w:rPr>
            </w:pPr>
            <w:r>
              <w:rPr>
                <w:rFonts w:ascii="Arial" w:cs="Arial" w:eastAsia="Arial" w:hAnsi="Arial"/>
                <w:sz w:val="18"/>
                <w:szCs w:val="18"/>
                <w:i w:val="1"/>
                <w:iCs w:val="1"/>
                <w:color w:val="auto"/>
              </w:rPr>
              <w:t>GasLog Gibraltar</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Shell</w:t>
            </w:r>
          </w:p>
        </w:tc>
        <w:tc>
          <w:tcPr>
            <w:tcW w:w="8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TFDE</w:t>
            </w:r>
          </w:p>
        </w:tc>
        <w:tc>
          <w:tcPr>
            <w:tcW w:w="220" w:type="dxa"/>
            <w:vAlign w:val="bottom"/>
          </w:tcPr>
          <w:p>
            <w:pPr>
              <w:spacing w:after="0"/>
              <w:rPr>
                <w:sz w:val="18"/>
                <w:szCs w:val="18"/>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October 2023</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2028-2031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13</w:t>
            </w:r>
          </w:p>
        </w:tc>
        <w:tc>
          <w:tcPr>
            <w:tcW w:w="2460" w:type="dxa"/>
            <w:vAlign w:val="bottom"/>
            <w:gridSpan w:val="4"/>
            <w:shd w:val="clear" w:color="auto" w:fill="CCFFFF"/>
          </w:tcPr>
          <w:p>
            <w:pPr>
              <w:ind w:left="200"/>
              <w:spacing w:after="0"/>
              <w:rPr>
                <w:sz w:val="20"/>
                <w:szCs w:val="20"/>
                <w:color w:val="auto"/>
              </w:rPr>
            </w:pPr>
            <w:r>
              <w:rPr>
                <w:rFonts w:ascii="Arial" w:cs="Arial" w:eastAsia="Arial" w:hAnsi="Arial"/>
                <w:sz w:val="18"/>
                <w:szCs w:val="18"/>
                <w:i w:val="1"/>
                <w:iCs w:val="1"/>
                <w:color w:val="auto"/>
              </w:rPr>
              <w:t>Methane Becki Anne</w:t>
            </w:r>
          </w:p>
        </w:tc>
        <w:tc>
          <w:tcPr>
            <w:tcW w:w="1180" w:type="dxa"/>
            <w:vAlign w:val="bottom"/>
            <w:shd w:val="clear" w:color="auto" w:fill="CCFFFF"/>
          </w:tcPr>
          <w:p>
            <w:pPr>
              <w:jc w:val="right"/>
              <w:ind w:right="210"/>
              <w:spacing w:after="0"/>
              <w:rPr>
                <w:sz w:val="20"/>
                <w:szCs w:val="20"/>
                <w:color w:val="auto"/>
              </w:rPr>
            </w:pPr>
            <w:r>
              <w:rPr>
                <w:rFonts w:ascii="Arial" w:cs="Arial" w:eastAsia="Arial" w:hAnsi="Arial"/>
                <w:sz w:val="18"/>
                <w:szCs w:val="18"/>
                <w:color w:val="auto"/>
              </w:rPr>
              <w:t>2010</w:t>
            </w:r>
          </w:p>
        </w:tc>
        <w:tc>
          <w:tcPr>
            <w:tcW w:w="8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2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460" w:type="dxa"/>
            <w:vAlign w:val="bottom"/>
            <w:gridSpan w:val="3"/>
            <w:shd w:val="clear" w:color="auto" w:fill="CCFFFF"/>
          </w:tcPr>
          <w:p>
            <w:pPr>
              <w:jc w:val="center"/>
              <w:ind w:right="100"/>
              <w:spacing w:after="0"/>
              <w:rPr>
                <w:sz w:val="20"/>
                <w:szCs w:val="20"/>
                <w:color w:val="auto"/>
              </w:rPr>
            </w:pPr>
            <w:r>
              <w:rPr>
                <w:rFonts w:ascii="Arial" w:cs="Arial" w:eastAsia="Arial" w:hAnsi="Arial"/>
                <w:sz w:val="18"/>
                <w:szCs w:val="18"/>
                <w:color w:val="auto"/>
                <w:w w:val="89"/>
              </w:rPr>
              <w:t>Shell</w:t>
            </w:r>
          </w:p>
        </w:tc>
        <w:tc>
          <w:tcPr>
            <w:tcW w:w="80" w:type="dxa"/>
            <w:vAlign w:val="bottom"/>
            <w:shd w:val="clear" w:color="auto" w:fill="CCFFFF"/>
          </w:tcPr>
          <w:p>
            <w:pPr>
              <w:spacing w:after="0"/>
              <w:rPr>
                <w:sz w:val="18"/>
                <w:szCs w:val="18"/>
                <w:color w:val="auto"/>
              </w:rPr>
            </w:pPr>
          </w:p>
        </w:tc>
        <w:tc>
          <w:tcPr>
            <w:tcW w:w="1000" w:type="dxa"/>
            <w:vAlign w:val="bottom"/>
            <w:gridSpan w:val="3"/>
            <w:shd w:val="clear" w:color="auto" w:fill="CCFFFF"/>
          </w:tcPr>
          <w:p>
            <w:pPr>
              <w:jc w:val="center"/>
              <w:ind w:right="280"/>
              <w:spacing w:after="0"/>
              <w:rPr>
                <w:sz w:val="20"/>
                <w:szCs w:val="20"/>
                <w:color w:val="auto"/>
              </w:rPr>
            </w:pPr>
            <w:r>
              <w:rPr>
                <w:rFonts w:ascii="Arial" w:cs="Arial" w:eastAsia="Arial" w:hAnsi="Arial"/>
                <w:sz w:val="18"/>
                <w:szCs w:val="18"/>
                <w:color w:val="auto"/>
                <w:w w:val="93"/>
              </w:rPr>
              <w:t>TFDE</w:t>
            </w:r>
          </w:p>
        </w:tc>
        <w:tc>
          <w:tcPr>
            <w:tcW w:w="220" w:type="dxa"/>
            <w:vAlign w:val="bottom"/>
            <w:shd w:val="clear" w:color="auto" w:fill="CCFFFF"/>
          </w:tcPr>
          <w:p>
            <w:pPr>
              <w:spacing w:after="0"/>
              <w:rPr>
                <w:sz w:val="18"/>
                <w:szCs w:val="18"/>
                <w:color w:val="auto"/>
              </w:rPr>
            </w:pPr>
          </w:p>
        </w:tc>
        <w:tc>
          <w:tcPr>
            <w:tcW w:w="1480" w:type="dxa"/>
            <w:vAlign w:val="bottom"/>
            <w:gridSpan w:val="3"/>
            <w:shd w:val="clear" w:color="auto" w:fill="CCFFFF"/>
          </w:tcPr>
          <w:p>
            <w:pPr>
              <w:jc w:val="center"/>
              <w:ind w:right="420"/>
              <w:spacing w:after="0"/>
              <w:rPr>
                <w:sz w:val="20"/>
                <w:szCs w:val="20"/>
                <w:color w:val="auto"/>
              </w:rPr>
            </w:pPr>
            <w:r>
              <w:rPr>
                <w:rFonts w:ascii="Arial" w:cs="Arial" w:eastAsia="Arial" w:hAnsi="Arial"/>
                <w:sz w:val="18"/>
                <w:szCs w:val="18"/>
                <w:color w:val="auto"/>
                <w:w w:val="90"/>
              </w:rPr>
              <w:t>March 2024</w:t>
            </w:r>
          </w:p>
        </w:tc>
        <w:tc>
          <w:tcPr>
            <w:tcW w:w="1000" w:type="dxa"/>
            <w:vAlign w:val="bottom"/>
            <w:gridSpan w:val="2"/>
            <w:shd w:val="clear" w:color="auto" w:fill="CCFFFF"/>
          </w:tcPr>
          <w:p>
            <w:pPr>
              <w:jc w:val="center"/>
              <w:ind w:left="10"/>
              <w:spacing w:after="0"/>
              <w:rPr>
                <w:sz w:val="20"/>
                <w:szCs w:val="20"/>
                <w:color w:val="auto"/>
              </w:rPr>
            </w:pPr>
            <w:r>
              <w:rPr>
                <w:rFonts w:ascii="Arial" w:cs="Arial" w:eastAsia="Arial" w:hAnsi="Arial"/>
                <w:sz w:val="18"/>
                <w:szCs w:val="18"/>
                <w:color w:val="auto"/>
                <w:w w:val="90"/>
              </w:rPr>
              <w:t>2027-2029</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14</w:t>
            </w:r>
          </w:p>
        </w:tc>
        <w:tc>
          <w:tcPr>
            <w:tcW w:w="2460" w:type="dxa"/>
            <w:vAlign w:val="bottom"/>
            <w:gridSpan w:val="4"/>
          </w:tcPr>
          <w:p>
            <w:pPr>
              <w:ind w:left="200"/>
              <w:spacing w:after="0"/>
              <w:rPr>
                <w:sz w:val="20"/>
                <w:szCs w:val="20"/>
                <w:color w:val="auto"/>
              </w:rPr>
            </w:pPr>
            <w:r>
              <w:rPr>
                <w:rFonts w:ascii="Arial" w:cs="Arial" w:eastAsia="Arial" w:hAnsi="Arial"/>
                <w:sz w:val="18"/>
                <w:szCs w:val="18"/>
                <w:i w:val="1"/>
                <w:iCs w:val="1"/>
                <w:color w:val="auto"/>
              </w:rPr>
              <w:t>GasLog Greece</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174,000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Shell</w:t>
            </w:r>
          </w:p>
        </w:tc>
        <w:tc>
          <w:tcPr>
            <w:tcW w:w="8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TFDE</w:t>
            </w:r>
          </w:p>
        </w:tc>
        <w:tc>
          <w:tcPr>
            <w:tcW w:w="220" w:type="dxa"/>
            <w:vAlign w:val="bottom"/>
          </w:tcPr>
          <w:p>
            <w:pPr>
              <w:spacing w:after="0"/>
              <w:rPr>
                <w:sz w:val="18"/>
                <w:szCs w:val="18"/>
                <w:color w:val="auto"/>
              </w:rPr>
            </w:pPr>
          </w:p>
        </w:tc>
        <w:tc>
          <w:tcPr>
            <w:tcW w:w="148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March 2026</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2031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15</w:t>
            </w:r>
          </w:p>
        </w:tc>
        <w:tc>
          <w:tcPr>
            <w:tcW w:w="2460" w:type="dxa"/>
            <w:vAlign w:val="bottom"/>
            <w:gridSpan w:val="4"/>
            <w:shd w:val="clear" w:color="auto" w:fill="CCFFFF"/>
          </w:tcPr>
          <w:p>
            <w:pPr>
              <w:ind w:left="200"/>
              <w:spacing w:after="0"/>
              <w:rPr>
                <w:sz w:val="20"/>
                <w:szCs w:val="20"/>
                <w:color w:val="auto"/>
              </w:rPr>
            </w:pPr>
            <w:r>
              <w:rPr>
                <w:rFonts w:ascii="Arial" w:cs="Arial" w:eastAsia="Arial" w:hAnsi="Arial"/>
                <w:sz w:val="18"/>
                <w:szCs w:val="18"/>
                <w:i w:val="1"/>
                <w:iCs w:val="1"/>
                <w:color w:val="auto"/>
              </w:rPr>
              <w:t>GasLog Glasgow</w:t>
            </w:r>
          </w:p>
        </w:tc>
        <w:tc>
          <w:tcPr>
            <w:tcW w:w="1180" w:type="dxa"/>
            <w:vAlign w:val="bottom"/>
            <w:shd w:val="clear" w:color="auto" w:fill="CCFFFF"/>
          </w:tcPr>
          <w:p>
            <w:pPr>
              <w:jc w:val="right"/>
              <w:ind w:right="210"/>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FFFF"/>
          </w:tcPr>
          <w:p>
            <w:pPr>
              <w:spacing w:after="0"/>
              <w:rPr>
                <w:sz w:val="18"/>
                <w:szCs w:val="18"/>
                <w:color w:val="auto"/>
              </w:rPr>
            </w:pPr>
          </w:p>
        </w:tc>
        <w:tc>
          <w:tcPr>
            <w:tcW w:w="1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20" w:type="dxa"/>
            <w:vAlign w:val="bottom"/>
            <w:shd w:val="clear" w:color="auto" w:fill="CCFFFF"/>
          </w:tcPr>
          <w:p>
            <w:pPr>
              <w:ind w:left="440"/>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1460" w:type="dxa"/>
            <w:vAlign w:val="bottom"/>
            <w:gridSpan w:val="3"/>
            <w:shd w:val="clear" w:color="auto" w:fill="CCFFFF"/>
          </w:tcPr>
          <w:p>
            <w:pPr>
              <w:jc w:val="center"/>
              <w:ind w:right="100"/>
              <w:spacing w:after="0"/>
              <w:rPr>
                <w:sz w:val="20"/>
                <w:szCs w:val="20"/>
                <w:color w:val="auto"/>
              </w:rPr>
            </w:pPr>
            <w:r>
              <w:rPr>
                <w:rFonts w:ascii="Arial" w:cs="Arial" w:eastAsia="Arial" w:hAnsi="Arial"/>
                <w:sz w:val="18"/>
                <w:szCs w:val="18"/>
                <w:color w:val="auto"/>
                <w:w w:val="89"/>
              </w:rPr>
              <w:t>Shell</w:t>
            </w:r>
          </w:p>
        </w:tc>
        <w:tc>
          <w:tcPr>
            <w:tcW w:w="80" w:type="dxa"/>
            <w:vAlign w:val="bottom"/>
            <w:shd w:val="clear" w:color="auto" w:fill="CCFFFF"/>
          </w:tcPr>
          <w:p>
            <w:pPr>
              <w:spacing w:after="0"/>
              <w:rPr>
                <w:sz w:val="18"/>
                <w:szCs w:val="18"/>
                <w:color w:val="auto"/>
              </w:rPr>
            </w:pPr>
          </w:p>
        </w:tc>
        <w:tc>
          <w:tcPr>
            <w:tcW w:w="1000" w:type="dxa"/>
            <w:vAlign w:val="bottom"/>
            <w:gridSpan w:val="3"/>
            <w:shd w:val="clear" w:color="auto" w:fill="CCFFFF"/>
          </w:tcPr>
          <w:p>
            <w:pPr>
              <w:jc w:val="center"/>
              <w:ind w:right="280"/>
              <w:spacing w:after="0"/>
              <w:rPr>
                <w:sz w:val="20"/>
                <w:szCs w:val="20"/>
                <w:color w:val="auto"/>
              </w:rPr>
            </w:pPr>
            <w:r>
              <w:rPr>
                <w:rFonts w:ascii="Arial" w:cs="Arial" w:eastAsia="Arial" w:hAnsi="Arial"/>
                <w:sz w:val="18"/>
                <w:szCs w:val="18"/>
                <w:color w:val="auto"/>
                <w:w w:val="93"/>
              </w:rPr>
              <w:t>TFDE</w:t>
            </w:r>
          </w:p>
        </w:tc>
        <w:tc>
          <w:tcPr>
            <w:tcW w:w="22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80" w:type="dxa"/>
            <w:vAlign w:val="bottom"/>
            <w:gridSpan w:val="2"/>
            <w:shd w:val="clear" w:color="auto" w:fill="CCFFFF"/>
          </w:tcPr>
          <w:p>
            <w:pPr>
              <w:jc w:val="center"/>
              <w:ind w:right="520"/>
              <w:spacing w:after="0"/>
              <w:rPr>
                <w:sz w:val="20"/>
                <w:szCs w:val="20"/>
                <w:color w:val="auto"/>
              </w:rPr>
            </w:pPr>
            <w:r>
              <w:rPr>
                <w:rFonts w:ascii="Arial" w:cs="Arial" w:eastAsia="Arial" w:hAnsi="Arial"/>
                <w:sz w:val="18"/>
                <w:szCs w:val="18"/>
                <w:color w:val="auto"/>
                <w:w w:val="87"/>
              </w:rPr>
              <w:t>June 2026</w:t>
            </w:r>
          </w:p>
        </w:tc>
        <w:tc>
          <w:tcPr>
            <w:tcW w:w="1000" w:type="dxa"/>
            <w:vAlign w:val="bottom"/>
            <w:gridSpan w:val="2"/>
            <w:shd w:val="clear" w:color="auto" w:fill="CCFFFF"/>
          </w:tcPr>
          <w:p>
            <w:pPr>
              <w:jc w:val="center"/>
              <w:spacing w:after="0"/>
              <w:rPr>
                <w:sz w:val="20"/>
                <w:szCs w:val="20"/>
                <w:color w:val="auto"/>
              </w:rPr>
            </w:pPr>
            <w:r>
              <w:rPr>
                <w:rFonts w:ascii="Arial" w:cs="Arial" w:eastAsia="Arial" w:hAnsi="Arial"/>
                <w:sz w:val="18"/>
                <w:szCs w:val="18"/>
                <w:color w:val="auto"/>
                <w:w w:val="89"/>
              </w:rPr>
              <w:t>2031</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8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Bareboat Vessels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ind w:left="320"/>
              <w:spacing w:after="0"/>
              <w:rPr>
                <w:sz w:val="20"/>
                <w:szCs w:val="20"/>
                <w:color w:val="auto"/>
              </w:rPr>
            </w:pPr>
            <w:r>
              <w:rPr>
                <w:rFonts w:ascii="Arial" w:cs="Arial" w:eastAsia="Arial" w:hAnsi="Arial"/>
                <w:sz w:val="18"/>
                <w:szCs w:val="18"/>
                <w:b w:val="1"/>
                <w:bCs w:val="1"/>
                <w:color w:val="auto"/>
              </w:rPr>
              <w:t>Cargo</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6"/>
              </w:rPr>
              <w:t>Charter</w:t>
            </w:r>
          </w:p>
        </w:tc>
        <w:tc>
          <w:tcPr>
            <w:tcW w:w="100" w:type="dxa"/>
            <w:vAlign w:val="bottom"/>
          </w:tcPr>
          <w:p>
            <w:pPr>
              <w:spacing w:after="0"/>
              <w:rPr>
                <w:sz w:val="24"/>
                <w:szCs w:val="2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3"/>
              </w:rPr>
              <w:t>Optional</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ind w:left="220"/>
              <w:spacing w:after="0" w:line="181" w:lineRule="exact"/>
              <w:rPr>
                <w:sz w:val="20"/>
                <w:szCs w:val="20"/>
                <w:color w:val="auto"/>
              </w:rPr>
            </w:pPr>
            <w:r>
              <w:rPr>
                <w:rFonts w:ascii="Arial" w:cs="Arial" w:eastAsia="Arial" w:hAnsi="Arial"/>
                <w:sz w:val="18"/>
                <w:szCs w:val="18"/>
                <w:b w:val="1"/>
                <w:bCs w:val="1"/>
                <w:color w:val="auto"/>
              </w:rPr>
              <w:t>Capacity</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Vessel Name</w:t>
            </w:r>
          </w:p>
        </w:tc>
        <w:tc>
          <w:tcPr>
            <w:tcW w:w="100" w:type="dxa"/>
            <w:vAlign w:val="bottom"/>
            <w:tcBorders>
              <w:bottom w:val="single" w:sz="8" w:color="CCFFFF"/>
            </w:tcBorders>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Year Built</w:t>
            </w:r>
          </w:p>
        </w:tc>
        <w:tc>
          <w:tcPr>
            <w:tcW w:w="220" w:type="dxa"/>
            <w:vAlign w:val="bottom"/>
            <w:tcBorders>
              <w:bottom w:val="single" w:sz="8" w:color="CCFFFF"/>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(cbm)</w:t>
            </w:r>
          </w:p>
        </w:tc>
        <w:tc>
          <w:tcPr>
            <w:tcW w:w="220" w:type="dxa"/>
            <w:vAlign w:val="bottom"/>
            <w:tcBorders>
              <w:bottom w:val="single" w:sz="8" w:color="CCFFFF"/>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Charterer</w:t>
            </w:r>
          </w:p>
        </w:tc>
        <w:tc>
          <w:tcPr>
            <w:tcW w:w="120" w:type="dxa"/>
            <w:vAlign w:val="bottom"/>
            <w:tcBorders>
              <w:bottom w:val="single" w:sz="8" w:color="CCFFFF"/>
            </w:tcBorders>
            <w:gridSpan w:val="2"/>
          </w:tcPr>
          <w:p>
            <w:pPr>
              <w:spacing w:after="0"/>
              <w:rPr>
                <w:sz w:val="22"/>
                <w:szCs w:val="22"/>
                <w:color w:val="auto"/>
              </w:rPr>
            </w:pPr>
          </w:p>
        </w:tc>
        <w:tc>
          <w:tcPr>
            <w:tcW w:w="80" w:type="dxa"/>
            <w:vAlign w:val="bottom"/>
            <w:tcBorders>
              <w:bottom w:val="single" w:sz="8" w:color="CCFFFF"/>
            </w:tcBorders>
          </w:tcPr>
          <w:p>
            <w:pPr>
              <w:spacing w:after="0"/>
              <w:rPr>
                <w:sz w:val="22"/>
                <w:szCs w:val="22"/>
                <w:color w:val="auto"/>
              </w:rPr>
            </w:pPr>
          </w:p>
        </w:tc>
        <w:tc>
          <w:tcPr>
            <w:tcW w:w="10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5"/>
              </w:rPr>
              <w:t>Propulsion</w:t>
            </w:r>
          </w:p>
        </w:tc>
        <w:tc>
          <w:tcPr>
            <w:tcW w:w="220" w:type="dxa"/>
            <w:vAlign w:val="bottom"/>
            <w:tcBorders>
              <w:bottom w:val="single" w:sz="8" w:color="CC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0"/>
              <w:spacing w:after="0" w:line="256" w:lineRule="exact"/>
              <w:rPr>
                <w:sz w:val="20"/>
                <w:szCs w:val="20"/>
                <w:color w:val="auto"/>
              </w:rPr>
            </w:pPr>
            <w:r>
              <w:rPr>
                <w:rFonts w:ascii="Arial" w:cs="Arial" w:eastAsia="Arial" w:hAnsi="Arial"/>
                <w:sz w:val="18"/>
                <w:szCs w:val="18"/>
                <w:b w:val="1"/>
                <w:bCs w:val="1"/>
                <w:color w:val="auto"/>
                <w:w w:val="91"/>
              </w:rPr>
              <w:t>Expiration</w:t>
            </w:r>
            <w:r>
              <w:rPr>
                <w:rFonts w:ascii="Arial" w:cs="Arial" w:eastAsia="Arial" w:hAnsi="Arial"/>
                <w:sz w:val="29"/>
                <w:szCs w:val="29"/>
                <w:b w:val="1"/>
                <w:bCs w:val="1"/>
                <w:color w:val="auto"/>
                <w:w w:val="91"/>
                <w:vertAlign w:val="superscript"/>
              </w:rPr>
              <w:t>(1)</w:t>
            </w:r>
          </w:p>
        </w:tc>
        <w:tc>
          <w:tcPr>
            <w:tcW w:w="220" w:type="dxa"/>
            <w:vAlign w:val="bottom"/>
            <w:tcBorders>
              <w:bottom w:val="single" w:sz="8" w:color="CC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0"/>
              <w:spacing w:after="0" w:line="256" w:lineRule="exact"/>
              <w:rPr>
                <w:sz w:val="20"/>
                <w:szCs w:val="20"/>
                <w:color w:val="auto"/>
              </w:rPr>
            </w:pPr>
            <w:r>
              <w:rPr>
                <w:rFonts w:ascii="Arial" w:cs="Arial" w:eastAsia="Arial" w:hAnsi="Arial"/>
                <w:sz w:val="18"/>
                <w:szCs w:val="18"/>
                <w:b w:val="1"/>
                <w:bCs w:val="1"/>
                <w:color w:val="auto"/>
                <w:w w:val="85"/>
              </w:rPr>
              <w:t>Period</w:t>
            </w:r>
            <w:r>
              <w:rPr>
                <w:rFonts w:ascii="Arial" w:cs="Arial" w:eastAsia="Arial" w:hAnsi="Arial"/>
                <w:sz w:val="29"/>
                <w:szCs w:val="29"/>
                <w:b w:val="1"/>
                <w:bCs w:val="1"/>
                <w:color w:val="auto"/>
                <w:w w:val="85"/>
                <w:vertAlign w:val="superscript"/>
              </w:rPr>
              <w:t>(2)</w:t>
            </w:r>
          </w:p>
        </w:tc>
        <w:tc>
          <w:tcPr>
            <w:tcW w:w="100" w:type="dxa"/>
            <w:vAlign w:val="bottom"/>
            <w:tcBorders>
              <w:bottom w:val="single" w:sz="8" w:color="CCFF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1</w:t>
            </w:r>
          </w:p>
        </w:tc>
        <w:tc>
          <w:tcPr>
            <w:tcW w:w="2300" w:type="dxa"/>
            <w:vAlign w:val="bottom"/>
            <w:shd w:val="clear" w:color="auto" w:fill="CCFFFF"/>
          </w:tcPr>
          <w:p>
            <w:pPr>
              <w:ind w:left="240"/>
              <w:spacing w:after="0" w:line="256" w:lineRule="exact"/>
              <w:rPr>
                <w:sz w:val="20"/>
                <w:szCs w:val="20"/>
                <w:color w:val="auto"/>
              </w:rPr>
            </w:pPr>
            <w:r>
              <w:rPr>
                <w:rFonts w:ascii="Arial" w:cs="Arial" w:eastAsia="Arial" w:hAnsi="Arial"/>
                <w:sz w:val="18"/>
                <w:szCs w:val="18"/>
                <w:i w:val="1"/>
                <w:iCs w:val="1"/>
                <w:color w:val="auto"/>
              </w:rPr>
              <w:t>GasLog Hong Kong</w:t>
            </w:r>
            <w:r>
              <w:rPr>
                <w:rFonts w:ascii="Arial" w:cs="Arial" w:eastAsia="Arial" w:hAnsi="Arial"/>
                <w:sz w:val="29"/>
                <w:szCs w:val="29"/>
                <w:i w:val="1"/>
                <w:iCs w:val="1"/>
                <w:color w:val="auto"/>
                <w:vertAlign w:val="superscript"/>
              </w:rPr>
              <w:t>(14)</w:t>
            </w:r>
          </w:p>
        </w:tc>
        <w:tc>
          <w:tcPr>
            <w:tcW w:w="100" w:type="dxa"/>
            <w:vAlign w:val="bottom"/>
            <w:gridSpan w:val="2"/>
            <w:shd w:val="clear" w:color="auto" w:fill="CCFFFF"/>
          </w:tcPr>
          <w:p>
            <w:pPr>
              <w:spacing w:after="0"/>
              <w:rPr>
                <w:sz w:val="22"/>
                <w:szCs w:val="22"/>
                <w:color w:val="auto"/>
              </w:rPr>
            </w:pPr>
          </w:p>
        </w:tc>
        <w:tc>
          <w:tcPr>
            <w:tcW w:w="60" w:type="dxa"/>
            <w:vAlign w:val="bottom"/>
            <w:shd w:val="clear" w:color="auto" w:fill="CCFFFF"/>
          </w:tcPr>
          <w:p>
            <w:pPr>
              <w:spacing w:after="0"/>
              <w:rPr>
                <w:sz w:val="22"/>
                <w:szCs w:val="22"/>
                <w:color w:val="auto"/>
              </w:rPr>
            </w:pPr>
          </w:p>
        </w:tc>
        <w:tc>
          <w:tcPr>
            <w:tcW w:w="1180" w:type="dxa"/>
            <w:vAlign w:val="bottom"/>
            <w:shd w:val="clear" w:color="auto" w:fill="CCFFFF"/>
          </w:tcPr>
          <w:p>
            <w:pPr>
              <w:ind w:left="440"/>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FFFF"/>
          </w:tcPr>
          <w:p>
            <w:pPr>
              <w:spacing w:after="0"/>
              <w:rPr>
                <w:sz w:val="22"/>
                <w:szCs w:val="22"/>
                <w:color w:val="auto"/>
              </w:rPr>
            </w:pPr>
          </w:p>
        </w:tc>
        <w:tc>
          <w:tcPr>
            <w:tcW w:w="140" w:type="dxa"/>
            <w:vAlign w:val="bottom"/>
            <w:shd w:val="clear" w:color="auto" w:fill="CCFFFF"/>
          </w:tcPr>
          <w:p>
            <w:pPr>
              <w:spacing w:after="0"/>
              <w:rPr>
                <w:sz w:val="22"/>
                <w:szCs w:val="22"/>
                <w:color w:val="auto"/>
              </w:rPr>
            </w:pPr>
          </w:p>
        </w:tc>
        <w:tc>
          <w:tcPr>
            <w:tcW w:w="100" w:type="dxa"/>
            <w:vAlign w:val="bottom"/>
            <w:shd w:val="clear" w:color="auto" w:fill="CCFFFF"/>
          </w:tcPr>
          <w:p>
            <w:pPr>
              <w:spacing w:after="0"/>
              <w:rPr>
                <w:sz w:val="22"/>
                <w:szCs w:val="22"/>
                <w:color w:val="auto"/>
              </w:rPr>
            </w:pPr>
          </w:p>
        </w:tc>
        <w:tc>
          <w:tcPr>
            <w:tcW w:w="1220" w:type="dxa"/>
            <w:vAlign w:val="bottom"/>
            <w:shd w:val="clear" w:color="auto" w:fill="CCFFFF"/>
          </w:tcPr>
          <w:p>
            <w:pPr>
              <w:ind w:left="320"/>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FFFF"/>
          </w:tcPr>
          <w:p>
            <w:pPr>
              <w:spacing w:after="0"/>
              <w:rPr>
                <w:sz w:val="22"/>
                <w:szCs w:val="22"/>
                <w:color w:val="auto"/>
              </w:rPr>
            </w:pPr>
          </w:p>
        </w:tc>
        <w:tc>
          <w:tcPr>
            <w:tcW w:w="80" w:type="dxa"/>
            <w:vAlign w:val="bottom"/>
            <w:shd w:val="clear" w:color="auto" w:fill="CCFFFF"/>
          </w:tcPr>
          <w:p>
            <w:pPr>
              <w:spacing w:after="0"/>
              <w:rPr>
                <w:sz w:val="22"/>
                <w:szCs w:val="22"/>
                <w:color w:val="auto"/>
              </w:rPr>
            </w:pPr>
          </w:p>
        </w:tc>
        <w:tc>
          <w:tcPr>
            <w:tcW w:w="120" w:type="dxa"/>
            <w:vAlign w:val="bottom"/>
            <w:shd w:val="clear" w:color="auto" w:fill="CCFFFF"/>
          </w:tcPr>
          <w:p>
            <w:pPr>
              <w:spacing w:after="0"/>
              <w:rPr>
                <w:sz w:val="22"/>
                <w:szCs w:val="22"/>
                <w:color w:val="auto"/>
              </w:rPr>
            </w:pPr>
          </w:p>
        </w:tc>
        <w:tc>
          <w:tcPr>
            <w:tcW w:w="1340" w:type="dxa"/>
            <w:vAlign w:val="bottom"/>
            <w:shd w:val="clear" w:color="auto" w:fill="CCFFFF"/>
          </w:tcPr>
          <w:p>
            <w:pPr>
              <w:jc w:val="center"/>
              <w:spacing w:after="0" w:line="256" w:lineRule="exact"/>
              <w:rPr>
                <w:sz w:val="20"/>
                <w:szCs w:val="20"/>
                <w:color w:val="auto"/>
              </w:rPr>
            </w:pPr>
            <w:r>
              <w:rPr>
                <w:rFonts w:ascii="Arial" w:cs="Arial" w:eastAsia="Arial" w:hAnsi="Arial"/>
                <w:sz w:val="18"/>
                <w:szCs w:val="18"/>
                <w:color w:val="auto"/>
                <w:w w:val="83"/>
              </w:rPr>
              <w:t xml:space="preserve">Total </w:t>
            </w:r>
            <w:r>
              <w:rPr>
                <w:rFonts w:ascii="Arial" w:cs="Arial" w:eastAsia="Arial" w:hAnsi="Arial"/>
                <w:sz w:val="29"/>
                <w:szCs w:val="29"/>
                <w:color w:val="auto"/>
                <w:w w:val="83"/>
                <w:vertAlign w:val="superscript"/>
              </w:rPr>
              <w:t>(13)</w:t>
            </w:r>
          </w:p>
        </w:tc>
        <w:tc>
          <w:tcPr>
            <w:tcW w:w="120" w:type="dxa"/>
            <w:vAlign w:val="bottom"/>
            <w:gridSpan w:val="2"/>
            <w:shd w:val="clear" w:color="auto" w:fill="CCFFFF"/>
          </w:tcPr>
          <w:p>
            <w:pPr>
              <w:spacing w:after="0"/>
              <w:rPr>
                <w:sz w:val="22"/>
                <w:szCs w:val="22"/>
                <w:color w:val="auto"/>
              </w:rPr>
            </w:pPr>
          </w:p>
        </w:tc>
        <w:tc>
          <w:tcPr>
            <w:tcW w:w="80" w:type="dxa"/>
            <w:vAlign w:val="bottom"/>
            <w:shd w:val="clear" w:color="auto" w:fill="CCFFFF"/>
          </w:tcPr>
          <w:p>
            <w:pPr>
              <w:spacing w:after="0"/>
              <w:rPr>
                <w:sz w:val="22"/>
                <w:szCs w:val="22"/>
                <w:color w:val="auto"/>
              </w:rPr>
            </w:pPr>
          </w:p>
        </w:tc>
        <w:tc>
          <w:tcPr>
            <w:tcW w:w="1000" w:type="dxa"/>
            <w:vAlign w:val="bottom"/>
            <w:gridSpan w:val="3"/>
            <w:shd w:val="clear" w:color="auto" w:fill="CCFFFF"/>
          </w:tcPr>
          <w:p>
            <w:pPr>
              <w:ind w:left="360"/>
              <w:spacing w:after="0"/>
              <w:rPr>
                <w:sz w:val="20"/>
                <w:szCs w:val="20"/>
                <w:color w:val="auto"/>
              </w:rPr>
            </w:pPr>
            <w:r>
              <w:rPr>
                <w:rFonts w:ascii="Arial" w:cs="Arial" w:eastAsia="Arial" w:hAnsi="Arial"/>
                <w:sz w:val="18"/>
                <w:szCs w:val="18"/>
                <w:color w:val="auto"/>
              </w:rPr>
              <w:t>X-DF</w:t>
            </w:r>
          </w:p>
        </w:tc>
        <w:tc>
          <w:tcPr>
            <w:tcW w:w="220" w:type="dxa"/>
            <w:vAlign w:val="bottom"/>
            <w:shd w:val="clear" w:color="auto" w:fill="CCFFFF"/>
          </w:tcPr>
          <w:p>
            <w:pPr>
              <w:spacing w:after="0"/>
              <w:rPr>
                <w:sz w:val="22"/>
                <w:szCs w:val="22"/>
                <w:color w:val="auto"/>
              </w:rPr>
            </w:pPr>
          </w:p>
        </w:tc>
        <w:tc>
          <w:tcPr>
            <w:tcW w:w="100" w:type="dxa"/>
            <w:vAlign w:val="bottom"/>
            <w:shd w:val="clear" w:color="auto" w:fill="CCFFFF"/>
          </w:tcPr>
          <w:p>
            <w:pPr>
              <w:spacing w:after="0"/>
              <w:rPr>
                <w:sz w:val="22"/>
                <w:szCs w:val="22"/>
                <w:color w:val="auto"/>
              </w:rPr>
            </w:pPr>
          </w:p>
        </w:tc>
        <w:tc>
          <w:tcPr>
            <w:tcW w:w="1380" w:type="dxa"/>
            <w:vAlign w:val="bottom"/>
            <w:gridSpan w:val="2"/>
            <w:shd w:val="clear" w:color="auto" w:fill="CCFFFF"/>
          </w:tcPr>
          <w:p>
            <w:pPr>
              <w:jc w:val="center"/>
              <w:ind w:right="200"/>
              <w:spacing w:after="0"/>
              <w:rPr>
                <w:sz w:val="20"/>
                <w:szCs w:val="20"/>
                <w:color w:val="auto"/>
              </w:rPr>
            </w:pPr>
            <w:r>
              <w:rPr>
                <w:rFonts w:ascii="Arial" w:cs="Arial" w:eastAsia="Arial" w:hAnsi="Arial"/>
                <w:sz w:val="18"/>
                <w:szCs w:val="18"/>
                <w:color w:val="auto"/>
                <w:w w:val="88"/>
              </w:rPr>
              <w:t>December 2025</w:t>
            </w:r>
          </w:p>
        </w:tc>
        <w:tc>
          <w:tcPr>
            <w:tcW w:w="1000" w:type="dxa"/>
            <w:vAlign w:val="bottom"/>
            <w:gridSpan w:val="2"/>
            <w:shd w:val="clear" w:color="auto" w:fill="CCFFFF"/>
          </w:tcPr>
          <w:p>
            <w:pPr>
              <w:jc w:val="center"/>
              <w:spacing w:after="0"/>
              <w:rPr>
                <w:sz w:val="20"/>
                <w:szCs w:val="20"/>
                <w:color w:val="auto"/>
              </w:rPr>
            </w:pPr>
            <w:r>
              <w:rPr>
                <w:rFonts w:ascii="Arial" w:cs="Arial" w:eastAsia="Arial" w:hAnsi="Arial"/>
                <w:sz w:val="18"/>
                <w:szCs w:val="18"/>
                <w:color w:val="auto"/>
                <w:w w:val="89"/>
              </w:rPr>
              <w:t>2028</w:t>
            </w:r>
          </w:p>
        </w:tc>
        <w:tc>
          <w:tcPr>
            <w:tcW w:w="100" w:type="dxa"/>
            <w:vAlign w:val="bottom"/>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0" w:type="dxa"/>
            <w:vAlign w:val="bottom"/>
          </w:tcPr>
          <w:p>
            <w:pPr>
              <w:spacing w:after="0"/>
              <w:rPr>
                <w:sz w:val="20"/>
                <w:szCs w:val="20"/>
                <w:color w:val="auto"/>
              </w:rPr>
            </w:pPr>
            <w:r>
              <w:rPr>
                <w:rFonts w:ascii="Arial" w:cs="Arial" w:eastAsia="Arial" w:hAnsi="Arial"/>
                <w:sz w:val="18"/>
                <w:szCs w:val="18"/>
                <w:b w:val="1"/>
                <w:bCs w:val="1"/>
                <w:color w:val="auto"/>
              </w:rPr>
              <w:t>2</w:t>
            </w:r>
          </w:p>
        </w:tc>
        <w:tc>
          <w:tcPr>
            <w:tcW w:w="2460" w:type="dxa"/>
            <w:vAlign w:val="bottom"/>
            <w:gridSpan w:val="4"/>
          </w:tcPr>
          <w:p>
            <w:pPr>
              <w:ind w:left="240"/>
              <w:spacing w:after="0" w:line="256" w:lineRule="exact"/>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29"/>
                <w:szCs w:val="29"/>
                <w:i w:val="1"/>
                <w:iCs w:val="1"/>
                <w:color w:val="auto"/>
                <w:vertAlign w:val="superscript"/>
              </w:rPr>
              <w:t>(15)</w:t>
            </w:r>
          </w:p>
        </w:tc>
        <w:tc>
          <w:tcPr>
            <w:tcW w:w="1180" w:type="dxa"/>
            <w:vAlign w:val="bottom"/>
          </w:tcPr>
          <w:p>
            <w:pPr>
              <w:ind w:left="44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rPr>
              <w:t>170,000</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Shell</w:t>
            </w:r>
          </w:p>
        </w:tc>
        <w:tc>
          <w:tcPr>
            <w:tcW w:w="80" w:type="dxa"/>
            <w:vAlign w:val="bottom"/>
          </w:tcPr>
          <w:p>
            <w:pPr>
              <w:spacing w:after="0"/>
              <w:rPr>
                <w:sz w:val="22"/>
                <w:szCs w:val="22"/>
                <w:color w:val="auto"/>
              </w:rPr>
            </w:pPr>
          </w:p>
        </w:tc>
        <w:tc>
          <w:tcPr>
            <w:tcW w:w="1000" w:type="dxa"/>
            <w:vAlign w:val="bottom"/>
            <w:gridSpan w:val="3"/>
          </w:tcPr>
          <w:p>
            <w:pPr>
              <w:ind w:left="340"/>
              <w:spacing w:after="0"/>
              <w:rPr>
                <w:sz w:val="20"/>
                <w:szCs w:val="20"/>
                <w:color w:val="auto"/>
              </w:rPr>
            </w:pPr>
            <w:r>
              <w:rPr>
                <w:rFonts w:ascii="Arial" w:cs="Arial" w:eastAsia="Arial" w:hAnsi="Arial"/>
                <w:sz w:val="18"/>
                <w:szCs w:val="18"/>
                <w:color w:val="auto"/>
              </w:rPr>
              <w:t>TFDE</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2026</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2029–2031</w:t>
            </w:r>
          </w:p>
        </w:tc>
        <w:tc>
          <w:tcPr>
            <w:tcW w:w="0" w:type="dxa"/>
            <w:vAlign w:val="bottom"/>
          </w:tcPr>
          <w:p>
            <w:pPr>
              <w:spacing w:after="0"/>
              <w:rPr>
                <w:sz w:val="1"/>
                <w:szCs w:val="1"/>
                <w:color w:val="auto"/>
              </w:rPr>
            </w:pPr>
          </w:p>
        </w:tc>
      </w:tr>
      <w:tr>
        <w:trPr>
          <w:trHeight w:val="256"/>
        </w:trPr>
        <w:tc>
          <w:tcPr>
            <w:tcW w:w="38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3</w:t>
            </w:r>
          </w:p>
        </w:tc>
        <w:tc>
          <w:tcPr>
            <w:tcW w:w="2460" w:type="dxa"/>
            <w:vAlign w:val="bottom"/>
            <w:gridSpan w:val="4"/>
            <w:shd w:val="clear" w:color="auto" w:fill="CCFFFF"/>
          </w:tcPr>
          <w:p>
            <w:pPr>
              <w:ind w:left="240"/>
              <w:spacing w:after="0" w:line="256" w:lineRule="exact"/>
              <w:rPr>
                <w:sz w:val="20"/>
                <w:szCs w:val="20"/>
                <w:color w:val="auto"/>
              </w:rPr>
            </w:pPr>
            <w:r>
              <w:rPr>
                <w:rFonts w:ascii="Arial" w:cs="Arial" w:eastAsia="Arial" w:hAnsi="Arial"/>
                <w:sz w:val="18"/>
                <w:szCs w:val="18"/>
                <w:i w:val="1"/>
                <w:iCs w:val="1"/>
                <w:color w:val="auto"/>
              </w:rPr>
              <w:t xml:space="preserve">GasLog Houston </w:t>
            </w:r>
            <w:r>
              <w:rPr>
                <w:rFonts w:ascii="Arial" w:cs="Arial" w:eastAsia="Arial" w:hAnsi="Arial"/>
                <w:sz w:val="29"/>
                <w:szCs w:val="29"/>
                <w:i w:val="1"/>
                <w:iCs w:val="1"/>
                <w:color w:val="auto"/>
                <w:vertAlign w:val="superscript"/>
              </w:rPr>
              <w:t>(16)</w:t>
            </w:r>
          </w:p>
        </w:tc>
        <w:tc>
          <w:tcPr>
            <w:tcW w:w="1180" w:type="dxa"/>
            <w:vAlign w:val="bottom"/>
            <w:shd w:val="clear" w:color="auto" w:fill="CCFFFF"/>
          </w:tcPr>
          <w:p>
            <w:pPr>
              <w:ind w:left="440"/>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FFFF"/>
          </w:tcPr>
          <w:p>
            <w:pPr>
              <w:spacing w:after="0"/>
              <w:rPr>
                <w:sz w:val="22"/>
                <w:szCs w:val="22"/>
                <w:color w:val="auto"/>
              </w:rPr>
            </w:pPr>
          </w:p>
        </w:tc>
        <w:tc>
          <w:tcPr>
            <w:tcW w:w="140" w:type="dxa"/>
            <w:vAlign w:val="bottom"/>
            <w:shd w:val="clear" w:color="auto" w:fill="CCFFFF"/>
          </w:tcPr>
          <w:p>
            <w:pPr>
              <w:spacing w:after="0"/>
              <w:rPr>
                <w:sz w:val="22"/>
                <w:szCs w:val="22"/>
                <w:color w:val="auto"/>
              </w:rPr>
            </w:pPr>
          </w:p>
        </w:tc>
        <w:tc>
          <w:tcPr>
            <w:tcW w:w="100" w:type="dxa"/>
            <w:vAlign w:val="bottom"/>
            <w:shd w:val="clear" w:color="auto" w:fill="CCFFFF"/>
          </w:tcPr>
          <w:p>
            <w:pPr>
              <w:spacing w:after="0"/>
              <w:rPr>
                <w:sz w:val="22"/>
                <w:szCs w:val="22"/>
                <w:color w:val="auto"/>
              </w:rPr>
            </w:pPr>
          </w:p>
        </w:tc>
        <w:tc>
          <w:tcPr>
            <w:tcW w:w="1220" w:type="dxa"/>
            <w:vAlign w:val="bottom"/>
            <w:shd w:val="clear" w:color="auto" w:fill="CCFFFF"/>
          </w:tcPr>
          <w:p>
            <w:pPr>
              <w:ind w:left="320"/>
              <w:spacing w:after="0"/>
              <w:rPr>
                <w:sz w:val="20"/>
                <w:szCs w:val="20"/>
                <w:color w:val="auto"/>
              </w:rPr>
            </w:pPr>
            <w:r>
              <w:rPr>
                <w:rFonts w:ascii="Arial" w:cs="Arial" w:eastAsia="Arial" w:hAnsi="Arial"/>
                <w:sz w:val="18"/>
                <w:szCs w:val="18"/>
                <w:color w:val="auto"/>
              </w:rPr>
              <w:t>174,000</w:t>
            </w:r>
          </w:p>
        </w:tc>
        <w:tc>
          <w:tcPr>
            <w:tcW w:w="140" w:type="dxa"/>
            <w:vAlign w:val="bottom"/>
            <w:shd w:val="clear" w:color="auto" w:fill="CCFFFF"/>
          </w:tcPr>
          <w:p>
            <w:pPr>
              <w:spacing w:after="0"/>
              <w:rPr>
                <w:sz w:val="22"/>
                <w:szCs w:val="22"/>
                <w:color w:val="auto"/>
              </w:rPr>
            </w:pPr>
          </w:p>
        </w:tc>
        <w:tc>
          <w:tcPr>
            <w:tcW w:w="80" w:type="dxa"/>
            <w:vAlign w:val="bottom"/>
            <w:shd w:val="clear" w:color="auto" w:fill="CCFFFF"/>
          </w:tcPr>
          <w:p>
            <w:pPr>
              <w:spacing w:after="0"/>
              <w:rPr>
                <w:sz w:val="22"/>
                <w:szCs w:val="22"/>
                <w:color w:val="auto"/>
              </w:rPr>
            </w:pPr>
          </w:p>
        </w:tc>
        <w:tc>
          <w:tcPr>
            <w:tcW w:w="120" w:type="dxa"/>
            <w:vAlign w:val="bottom"/>
            <w:shd w:val="clear" w:color="auto" w:fill="CCFFFF"/>
          </w:tcPr>
          <w:p>
            <w:pPr>
              <w:spacing w:after="0"/>
              <w:rPr>
                <w:sz w:val="22"/>
                <w:szCs w:val="22"/>
                <w:color w:val="auto"/>
              </w:rPr>
            </w:pPr>
          </w:p>
        </w:tc>
        <w:tc>
          <w:tcPr>
            <w:tcW w:w="1460" w:type="dxa"/>
            <w:vAlign w:val="bottom"/>
            <w:gridSpan w:val="3"/>
            <w:shd w:val="clear" w:color="auto" w:fill="CCFFFF"/>
          </w:tcPr>
          <w:p>
            <w:pPr>
              <w:jc w:val="center"/>
              <w:ind w:right="140"/>
              <w:spacing w:after="0"/>
              <w:rPr>
                <w:sz w:val="20"/>
                <w:szCs w:val="20"/>
                <w:color w:val="auto"/>
              </w:rPr>
            </w:pPr>
            <w:r>
              <w:rPr>
                <w:rFonts w:ascii="Arial" w:cs="Arial" w:eastAsia="Arial" w:hAnsi="Arial"/>
                <w:sz w:val="18"/>
                <w:szCs w:val="18"/>
                <w:color w:val="auto"/>
                <w:w w:val="89"/>
              </w:rPr>
              <w:t>Shell</w:t>
            </w:r>
          </w:p>
        </w:tc>
        <w:tc>
          <w:tcPr>
            <w:tcW w:w="80" w:type="dxa"/>
            <w:vAlign w:val="bottom"/>
            <w:shd w:val="clear" w:color="auto" w:fill="CCFFFF"/>
          </w:tcPr>
          <w:p>
            <w:pPr>
              <w:spacing w:after="0"/>
              <w:rPr>
                <w:sz w:val="22"/>
                <w:szCs w:val="22"/>
                <w:color w:val="auto"/>
              </w:rPr>
            </w:pPr>
          </w:p>
        </w:tc>
        <w:tc>
          <w:tcPr>
            <w:tcW w:w="1000" w:type="dxa"/>
            <w:vAlign w:val="bottom"/>
            <w:gridSpan w:val="3"/>
            <w:shd w:val="clear" w:color="auto" w:fill="CCFFFF"/>
          </w:tcPr>
          <w:p>
            <w:pPr>
              <w:ind w:left="360"/>
              <w:spacing w:after="0"/>
              <w:rPr>
                <w:sz w:val="20"/>
                <w:szCs w:val="20"/>
                <w:color w:val="auto"/>
              </w:rPr>
            </w:pPr>
            <w:r>
              <w:rPr>
                <w:rFonts w:ascii="Arial" w:cs="Arial" w:eastAsia="Arial" w:hAnsi="Arial"/>
                <w:sz w:val="18"/>
                <w:szCs w:val="18"/>
                <w:color w:val="auto"/>
              </w:rPr>
              <w:t>X-DF</w:t>
            </w:r>
          </w:p>
        </w:tc>
        <w:tc>
          <w:tcPr>
            <w:tcW w:w="220" w:type="dxa"/>
            <w:vAlign w:val="bottom"/>
            <w:shd w:val="clear" w:color="auto" w:fill="CCFFFF"/>
          </w:tcPr>
          <w:p>
            <w:pPr>
              <w:spacing w:after="0"/>
              <w:rPr>
                <w:sz w:val="22"/>
                <w:szCs w:val="22"/>
                <w:color w:val="auto"/>
              </w:rPr>
            </w:pPr>
          </w:p>
        </w:tc>
        <w:tc>
          <w:tcPr>
            <w:tcW w:w="100" w:type="dxa"/>
            <w:vAlign w:val="bottom"/>
            <w:shd w:val="clear" w:color="auto" w:fill="CCFFFF"/>
          </w:tcPr>
          <w:p>
            <w:pPr>
              <w:spacing w:after="0"/>
              <w:rPr>
                <w:sz w:val="22"/>
                <w:szCs w:val="22"/>
                <w:color w:val="auto"/>
              </w:rPr>
            </w:pPr>
          </w:p>
        </w:tc>
        <w:tc>
          <w:tcPr>
            <w:tcW w:w="1380" w:type="dxa"/>
            <w:vAlign w:val="bottom"/>
            <w:gridSpan w:val="2"/>
            <w:shd w:val="clear" w:color="auto" w:fill="CCFFFF"/>
          </w:tcPr>
          <w:p>
            <w:pPr>
              <w:jc w:val="center"/>
              <w:ind w:right="200"/>
              <w:spacing w:after="0"/>
              <w:rPr>
                <w:sz w:val="20"/>
                <w:szCs w:val="20"/>
                <w:color w:val="auto"/>
              </w:rPr>
            </w:pPr>
            <w:r>
              <w:rPr>
                <w:rFonts w:ascii="Arial" w:cs="Arial" w:eastAsia="Arial" w:hAnsi="Arial"/>
                <w:sz w:val="18"/>
                <w:szCs w:val="18"/>
                <w:color w:val="auto"/>
                <w:w w:val="93"/>
              </w:rPr>
              <w:t>May 2028</w:t>
            </w:r>
          </w:p>
        </w:tc>
        <w:tc>
          <w:tcPr>
            <w:tcW w:w="1000" w:type="dxa"/>
            <w:vAlign w:val="bottom"/>
            <w:gridSpan w:val="2"/>
            <w:shd w:val="clear" w:color="auto" w:fill="CCFFFF"/>
          </w:tcPr>
          <w:p>
            <w:pPr>
              <w:jc w:val="center"/>
              <w:ind w:left="10"/>
              <w:spacing w:after="0"/>
              <w:rPr>
                <w:sz w:val="20"/>
                <w:szCs w:val="20"/>
                <w:color w:val="auto"/>
              </w:rPr>
            </w:pPr>
            <w:r>
              <w:rPr>
                <w:rFonts w:ascii="Arial" w:cs="Arial" w:eastAsia="Arial" w:hAnsi="Arial"/>
                <w:sz w:val="18"/>
                <w:szCs w:val="18"/>
                <w:color w:val="auto"/>
                <w:w w:val="90"/>
              </w:rPr>
              <w:t>2031-2034</w:t>
            </w:r>
          </w:p>
        </w:tc>
        <w:tc>
          <w:tcPr>
            <w:tcW w:w="100" w:type="dxa"/>
            <w:vAlign w:val="bottom"/>
            <w:shd w:val="clear" w:color="auto" w:fill="CCFFFF"/>
          </w:tcPr>
          <w:p>
            <w:pPr>
              <w:spacing w:after="0"/>
              <w:rPr>
                <w:sz w:val="22"/>
                <w:szCs w:val="2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Indicates the expiration of the initial term.</w:t>
      </w:r>
    </w:p>
    <w:p>
      <w:pPr>
        <w:spacing w:after="0" w:line="201" w:lineRule="exact"/>
        <w:rPr>
          <w:rFonts w:ascii="Arial" w:cs="Arial" w:eastAsia="Arial" w:hAnsi="Arial"/>
          <w:sz w:val="30"/>
          <w:szCs w:val="30"/>
          <w:color w:val="auto"/>
          <w:vertAlign w:val="superscript"/>
        </w:rPr>
      </w:pPr>
    </w:p>
    <w:p>
      <w:pPr>
        <w:ind w:left="340" w:hanging="332"/>
        <w:spacing w:after="0" w:line="216" w:lineRule="auto"/>
        <w:tabs>
          <w:tab w:leader="none" w:pos="340"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 xml:space="preserve">The period shown reflects the expiration of the minimum optional period and the maximum optional period. The charterer of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may extend the term of this time charter for a period ranging from one to seven years, provided that the charterer provides us with advance notice of</w:t>
      </w:r>
    </w:p>
    <w:p>
      <w:pPr>
        <w:sectPr>
          <w:pgSz w:w="11900" w:h="16849" w:orient="portrait"/>
          <w:cols w:equalWidth="0" w:num="1">
            <w:col w:w="11240"/>
          </w:cols>
          <w:pgMar w:left="320" w:top="904" w:right="339" w:bottom="0" w:gutter="0" w:footer="0" w:header="0"/>
        </w:sectPr>
      </w:pPr>
    </w:p>
    <w:bookmarkStart w:id="6" w:name="page7"/>
    <w:bookmarkEnd w:id="6"/>
    <w:p>
      <w:pPr>
        <w:spacing w:after="0" w:line="296" w:lineRule="auto"/>
        <w:rPr>
          <w:sz w:val="20"/>
          <w:szCs w:val="20"/>
          <w:color w:val="auto"/>
        </w:rPr>
      </w:pPr>
      <w:r>
        <w:rPr>
          <w:rFonts w:ascii="Arial" w:cs="Arial" w:eastAsia="Arial" w:hAnsi="Arial"/>
          <w:sz w:val="16"/>
          <w:szCs w:val="16"/>
          <w:color w:val="auto"/>
        </w:rPr>
        <w:t xml:space="preserve">declaration. The charterer of the </w:t>
      </w:r>
      <w:r>
        <w:rPr>
          <w:rFonts w:ascii="Arial" w:cs="Arial" w:eastAsia="Arial" w:hAnsi="Arial"/>
          <w:sz w:val="16"/>
          <w:szCs w:val="16"/>
          <w:i w:val="1"/>
          <w:iCs w:val="1"/>
          <w:color w:val="auto"/>
        </w:rPr>
        <w:t>Methane Becki</w:t>
      </w:r>
      <w:r>
        <w:rPr>
          <w:rFonts w:ascii="Arial" w:cs="Arial" w:eastAsia="Arial" w:hAnsi="Arial"/>
          <w:sz w:val="16"/>
          <w:szCs w:val="16"/>
          <w:color w:val="auto"/>
        </w:rPr>
        <w:t xml:space="preserve"> Anne and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has unilateral options to extend the term of the related time charters for a period of either three or five years at their election, provided that the charterer provides us with advance notice of declaration of any option in accordance with the terms of the applicable charter. The charterer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has the right to extend the charters for a period of five years at the charterer’s option. The charterer of the </w:t>
      </w:r>
      <w:r>
        <w:rPr>
          <w:rFonts w:ascii="Arial" w:cs="Arial" w:eastAsia="Arial" w:hAnsi="Arial"/>
          <w:sz w:val="16"/>
          <w:szCs w:val="16"/>
          <w:i w:val="1"/>
          <w:iCs w:val="1"/>
          <w:color w:val="auto"/>
        </w:rPr>
        <w:t>GasLog Genev</w:t>
      </w:r>
      <w:r>
        <w:rPr>
          <w:rFonts w:ascii="Arial" w:cs="Arial" w:eastAsia="Arial" w:hAnsi="Arial"/>
          <w:sz w:val="16"/>
          <w:szCs w:val="16"/>
          <w:color w:val="auto"/>
        </w:rPr>
        <w:t xml:space="preserve">a and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has the right to extend the charter by two additional periods of five and three years, respectively, provided that the charterer provides us with advance notice of declaration.</w:t>
      </w:r>
    </w:p>
    <w:p>
      <w:pPr>
        <w:spacing w:after="0" w:line="37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660" w:top="125" w:right="439" w:bottom="1440" w:gutter="0" w:footer="0" w:header="0"/>
        </w:sectPr>
      </w:pPr>
    </w:p>
    <w:bookmarkStart w:id="7" w:name="page8"/>
    <w:bookmarkEnd w:id="7"/>
    <w:p>
      <w:pPr>
        <w:ind w:left="340" w:right="40"/>
        <w:spacing w:after="0" w:line="287" w:lineRule="auto"/>
        <w:rPr>
          <w:sz w:val="20"/>
          <w:szCs w:val="20"/>
          <w:color w:val="auto"/>
        </w:rPr>
      </w:pPr>
      <w:r>
        <w:rPr>
          <w:rFonts w:ascii="Arial" w:cs="Arial" w:eastAsia="Arial" w:hAnsi="Arial"/>
          <w:sz w:val="16"/>
          <w:szCs w:val="16"/>
          <w:color w:val="auto"/>
        </w:rPr>
        <w:t xml:space="preserve">The charterer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has the right to extend the charter for a period of three years, provided that the charterer provides us with advance notice of declaration. Endesa has the right to extend the charter of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by two additional periods of six years, provided that the charterer provides us with advance notice of declaration. The charterer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Westminster</w:t>
      </w:r>
      <w:r>
        <w:rPr>
          <w:rFonts w:ascii="Arial" w:cs="Arial" w:eastAsia="Arial" w:hAnsi="Arial"/>
          <w:sz w:val="16"/>
          <w:szCs w:val="16"/>
          <w:color w:val="auto"/>
        </w:rPr>
        <w:t xml:space="preserve"> has the right to extend the charter by three additional periods of two years, provided that the charterer provides us with advance notice of declaration. The charterer of the </w:t>
      </w:r>
      <w:r>
        <w:rPr>
          <w:rFonts w:ascii="Arial" w:cs="Arial" w:eastAsia="Arial" w:hAnsi="Arial"/>
          <w:sz w:val="16"/>
          <w:szCs w:val="16"/>
          <w:i w:val="1"/>
          <w:iCs w:val="1"/>
          <w:color w:val="auto"/>
        </w:rPr>
        <w:t>GasLog Wales</w:t>
      </w:r>
      <w:r>
        <w:rPr>
          <w:rFonts w:ascii="Arial" w:cs="Arial" w:eastAsia="Arial" w:hAnsi="Arial"/>
          <w:sz w:val="16"/>
          <w:szCs w:val="16"/>
          <w:color w:val="auto"/>
        </w:rPr>
        <w:t xml:space="preserve"> has the right to extend the charter by two additional periods of three years, provided that the charterer provides us with advance notice of declaration. The charterer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may extend the term of the related charter by two additional periods of one year, provided that the charterer gives us advance notice of declaration. The charterer of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has the right to extend the term of the related charter by two additional periods of one year, provided that the charterer gives us advance notice of declaration. The charterer of the </w:t>
      </w:r>
      <w:r>
        <w:rPr>
          <w:rFonts w:ascii="Arial" w:cs="Arial" w:eastAsia="Arial" w:hAnsi="Arial"/>
          <w:sz w:val="16"/>
          <w:szCs w:val="16"/>
          <w:i w:val="1"/>
          <w:iCs w:val="1"/>
          <w:color w:val="auto"/>
        </w:rPr>
        <w:t>GasLog Georgetown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Galveston</w:t>
      </w:r>
      <w:r>
        <w:rPr>
          <w:rFonts w:ascii="Arial" w:cs="Arial" w:eastAsia="Arial" w:hAnsi="Arial"/>
          <w:sz w:val="16"/>
          <w:szCs w:val="16"/>
          <w:color w:val="auto"/>
        </w:rPr>
        <w:t xml:space="preserve"> has the right to extend the charters by three consecutive periods of three years, two years and two years, respectively, each at the charterer's option.</w:t>
      </w:r>
    </w:p>
    <w:p>
      <w:pPr>
        <w:spacing w:after="0" w:line="5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vessel is chartered to ST Shipping &amp; Transport Pte. Ltd., a wholly owned subsidiary of Glencore PLC. (“Glencore”).</w:t>
      </w:r>
    </w:p>
    <w:p>
      <w:pPr>
        <w:spacing w:after="0" w:line="16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vessel is chartered to Clearlake Shipping Pte. Ltd., a wholly owned subsidiary of Gunvor Group Ltd. (“Gunvor”).</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vessel is chartered to LNG Shipping SpA, a wholly owned subsidiary of Eni SpA (“Eni”).</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vessel is chartered to Pioneer Shipping Limited, a wholly owned subsidiary of Centrica Plc (“Centrica”).</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“Endesa” refers to Endesa S.A.</w:t>
      </w:r>
    </w:p>
    <w:p>
      <w:pPr>
        <w:spacing w:after="0" w:line="202" w:lineRule="exact"/>
        <w:rPr>
          <w:rFonts w:ascii="Arial" w:cs="Arial" w:eastAsia="Arial" w:hAnsi="Arial"/>
          <w:sz w:val="30"/>
          <w:szCs w:val="30"/>
          <w:color w:val="auto"/>
          <w:vertAlign w:val="superscript"/>
        </w:rPr>
      </w:pPr>
    </w:p>
    <w:p>
      <w:pPr>
        <w:ind w:left="340" w:right="80" w:hanging="332"/>
        <w:spacing w:after="0" w:line="209" w:lineRule="auto"/>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vessel is currently in the shipyard for its dry-docking and conversion to a Floating Storage Unit ("FSU"). It will be trading in the spot market until the commencement of its charter with Sinolam LNG Terminal S.A. (“Sinolam”) for the provision of an FSU that has been delayed due to COVID-19 restrictions in the construction of the powerplant for Sinolam.</w:t>
      </w:r>
    </w:p>
    <w:p>
      <w:pPr>
        <w:spacing w:after="0" w:line="88"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“Jera” refers to LNG Marine Transport Limited, the principal LNG shipping entity of Japan’s Jera Co., Inc..</w:t>
      </w:r>
    </w:p>
    <w:p>
      <w:pPr>
        <w:spacing w:after="0" w:line="163" w:lineRule="exact"/>
        <w:rPr>
          <w:rFonts w:ascii="Arial" w:cs="Arial" w:eastAsia="Arial" w:hAnsi="Arial"/>
          <w:sz w:val="30"/>
          <w:szCs w:val="30"/>
          <w:color w:val="auto"/>
          <w:vertAlign w:val="superscript"/>
        </w:rPr>
      </w:pPr>
    </w:p>
    <w:p>
      <w:pPr>
        <w:ind w:left="340" w:hanging="332"/>
        <w:spacing w:after="0" w:line="230" w:lineRule="auto"/>
        <w:tabs>
          <w:tab w:leader="none" w:pos="3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“Trafigura” refers to Trafigura Maritime Logistics PTE Ltd.</w:t>
      </w:r>
    </w:p>
    <w:p>
      <w:pPr>
        <w:spacing w:after="0" w:line="123" w:lineRule="exact"/>
        <w:rPr>
          <w:rFonts w:ascii="Arial" w:cs="Arial" w:eastAsia="Arial" w:hAnsi="Arial"/>
          <w:sz w:val="28"/>
          <w:szCs w:val="28"/>
          <w:color w:val="auto"/>
          <w:vertAlign w:val="superscript"/>
        </w:rPr>
      </w:pPr>
    </w:p>
    <w:p>
      <w:pPr>
        <w:ind w:left="340" w:hanging="332"/>
        <w:spacing w:after="0" w:line="230" w:lineRule="auto"/>
        <w:tabs>
          <w:tab w:leader="none" w:pos="3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The vessel is chartered to Singapore Carbon Hydrogen Energy Pte. Ltd., a wholly owned subsidiary of JOVO Group (“JOVO”).</w:t>
      </w:r>
    </w:p>
    <w:p>
      <w:pPr>
        <w:spacing w:after="0" w:line="163" w:lineRule="exact"/>
        <w:rPr>
          <w:rFonts w:ascii="Arial" w:cs="Arial" w:eastAsia="Arial" w:hAnsi="Arial"/>
          <w:sz w:val="28"/>
          <w:szCs w:val="28"/>
          <w:color w:val="auto"/>
          <w:vertAlign w:val="superscript"/>
        </w:rPr>
      </w:pPr>
    </w:p>
    <w:p>
      <w:pPr>
        <w:ind w:left="340" w:hanging="332"/>
        <w:spacing w:after="0" w:line="200" w:lineRule="auto"/>
        <w:tabs>
          <w:tab w:leader="none" w:pos="3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The vessel is chartered to CNTIC VPower Energy Ltd. (“CNTIC VPower”), an independent Chinese energy company.</w:t>
      </w:r>
    </w:p>
    <w:p>
      <w:pPr>
        <w:spacing w:after="0" w:line="163" w:lineRule="exact"/>
        <w:rPr>
          <w:rFonts w:ascii="Arial" w:cs="Arial" w:eastAsia="Arial" w:hAnsi="Arial"/>
          <w:sz w:val="28"/>
          <w:szCs w:val="28"/>
          <w:color w:val="auto"/>
          <w:vertAlign w:val="superscript"/>
        </w:rPr>
      </w:pPr>
    </w:p>
    <w:p>
      <w:pPr>
        <w:ind w:left="340" w:hanging="332"/>
        <w:spacing w:after="0" w:line="200" w:lineRule="auto"/>
        <w:tabs>
          <w:tab w:leader="none" w:pos="3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The vessel is chartered to Total Gas &amp; Power Limited-London, Meyrin-Geneva Branch (“Total”), a wholly owned subsidiary of Total S.A..</w:t>
      </w:r>
    </w:p>
    <w:p>
      <w:pPr>
        <w:spacing w:after="0" w:line="201" w:lineRule="exact"/>
        <w:rPr>
          <w:rFonts w:ascii="Arial" w:cs="Arial" w:eastAsia="Arial" w:hAnsi="Arial"/>
          <w:sz w:val="28"/>
          <w:szCs w:val="28"/>
          <w:color w:val="auto"/>
          <w:vertAlign w:val="superscript"/>
        </w:rPr>
      </w:pPr>
    </w:p>
    <w:p>
      <w:pPr>
        <w:ind w:left="340" w:right="100" w:hanging="332"/>
        <w:spacing w:after="0" w:line="232" w:lineRule="auto"/>
        <w:tabs>
          <w:tab w:leader="none" w:pos="34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 xml:space="preserve">On October 21, 2020, GasLog’s subsidiary, GAS-twenty five Ltd., completed the sale and leaseback of the </w:t>
      </w:r>
      <w:r>
        <w:rPr>
          <w:rFonts w:ascii="Arial" w:cs="Arial" w:eastAsia="Arial" w:hAnsi="Arial"/>
          <w:sz w:val="17"/>
          <w:szCs w:val="17"/>
          <w:i w:val="1"/>
          <w:iCs w:val="1"/>
          <w:color w:val="auto"/>
        </w:rPr>
        <w:t>GasLog Hong Kong</w:t>
      </w:r>
      <w:r>
        <w:rPr>
          <w:rFonts w:ascii="Arial" w:cs="Arial" w:eastAsia="Arial" w:hAnsi="Arial"/>
          <w:sz w:val="17"/>
          <w:szCs w:val="17"/>
          <w:color w:val="auto"/>
        </w:rPr>
        <w:t xml:space="preserve"> with Sea 190 Leasing. GasLog has leased back the vessel under a bareboat charter from Sea 190 Leasing for a period of up to twelve years. GasLog has the option to re-purchase the vessel on pre-agreed terms no earlier than the end of year one, and no later than the end of year 12, of the bareboat charter. The vessel remains on its charter with Total.</w:t>
      </w:r>
    </w:p>
    <w:p>
      <w:pPr>
        <w:spacing w:after="0" w:line="201" w:lineRule="exact"/>
        <w:rPr>
          <w:rFonts w:ascii="Arial" w:cs="Arial" w:eastAsia="Arial" w:hAnsi="Arial"/>
          <w:sz w:val="28"/>
          <w:szCs w:val="28"/>
          <w:color w:val="auto"/>
          <w:vertAlign w:val="superscript"/>
        </w:rPr>
      </w:pPr>
    </w:p>
    <w:p>
      <w:pPr>
        <w:ind w:left="340" w:right="20" w:hanging="332"/>
        <w:spacing w:after="0" w:line="245" w:lineRule="auto"/>
        <w:tabs>
          <w:tab w:leader="none" w:pos="34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 xml:space="preserve">On February 24, 2016, GasLog’s subsidiary, GAS-twenty six Ltd., completed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with Lepta Shipping. Lepta Shipping has the right to on-sell and lease back the vessel.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a subsidiary of Shell.</w:t>
      </w:r>
    </w:p>
    <w:p>
      <w:pPr>
        <w:spacing w:after="0" w:line="199" w:lineRule="exact"/>
        <w:rPr>
          <w:rFonts w:ascii="Arial" w:cs="Arial" w:eastAsia="Arial" w:hAnsi="Arial"/>
          <w:sz w:val="27"/>
          <w:szCs w:val="27"/>
          <w:color w:val="auto"/>
          <w:vertAlign w:val="superscript"/>
        </w:rPr>
      </w:pPr>
    </w:p>
    <w:p>
      <w:pPr>
        <w:ind w:left="340" w:right="60" w:hanging="332"/>
        <w:spacing w:after="0" w:line="245" w:lineRule="auto"/>
        <w:tabs>
          <w:tab w:leader="none" w:pos="34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 xml:space="preserve">On January 22, 2021, GasLog’s subsidiary, GAS-twenty four Ltd., completed the sale and leaseback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with Hai Kuo Shipping. GasLog has leased back the vessel under a bareboat charter from Hai Kuo Shipping for a period of up to eight years. GasLog has the obligation to re-purchase the vessel at end of the charter period. GasLog has also the option to re-purchase the vessel on pre-agreed terms no earlier than the end of the first interest period and no later than the end of year 8 of the bareboat charter. The vessel remains on its charter with Shell.</w:t>
      </w:r>
    </w:p>
    <w:p>
      <w:pPr>
        <w:spacing w:after="0" w:line="200"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 xml:space="preserve">Under the omnibus agreement entered into with GasLog Partners and certain of its subsidiaries in connection with the Partnership’s initial public offering, as amended, GasLog Partners has the option to purchase from us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Singapore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Windsor</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Wales, </w:t>
      </w:r>
      <w:r>
        <w:rPr>
          <w:rFonts w:ascii="Arial" w:cs="Arial" w:eastAsia="Arial" w:hAnsi="Arial"/>
          <w:sz w:val="18"/>
          <w:szCs w:val="18"/>
          <w:color w:val="auto"/>
        </w:rPr>
        <w:t>the</w:t>
      </w:r>
      <w:r>
        <w:rPr>
          <w:rFonts w:ascii="Arial" w:cs="Arial" w:eastAsia="Arial" w:hAnsi="Arial"/>
          <w:sz w:val="18"/>
          <w:szCs w:val="18"/>
          <w:i w:val="1"/>
          <w:iCs w:val="1"/>
          <w:color w:val="auto"/>
        </w:rPr>
        <w:t xml:space="preserve"> GasLog Westminster, </w:t>
      </w:r>
      <w:r>
        <w:rPr>
          <w:rFonts w:ascii="Arial" w:cs="Arial" w:eastAsia="Arial" w:hAnsi="Arial"/>
          <w:sz w:val="18"/>
          <w:szCs w:val="18"/>
          <w:color w:val="auto"/>
        </w:rPr>
        <w:t>the</w:t>
      </w:r>
      <w:r>
        <w:rPr>
          <w:rFonts w:ascii="Arial" w:cs="Arial" w:eastAsia="Arial" w:hAnsi="Arial"/>
          <w:sz w:val="18"/>
          <w:szCs w:val="18"/>
          <w:i w:val="1"/>
          <w:iCs w:val="1"/>
          <w:color w:val="auto"/>
        </w:rPr>
        <w:t xml:space="preserve"> GasLog Georgetown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Galveston </w:t>
      </w:r>
      <w:r>
        <w:rPr>
          <w:rFonts w:ascii="Arial" w:cs="Arial" w:eastAsia="Arial" w:hAnsi="Arial"/>
          <w:sz w:val="18"/>
          <w:szCs w:val="18"/>
          <w:color w:val="auto"/>
        </w:rPr>
        <w:t>each within 30 days following receipt of notice from GasLog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vessel has commenced its multi-year charter (being at least five years in length). GasLog Partners’ option to purchase is at fair market value as determined pursuant to the omnibus agreement.</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GasLog Partners also has a right of first offer from us to purchase any other LNG carriers with cargo capacity greater than 75,000 cbm engaged in ongoing LNG transportation under charters of five full years or more that we own or acquire (the “Five-Year Vessels”) either at their acquisition cost plus certain break up costs (in the case of a newly acquired Five-Year Vessel) or at their fair market value (in the case of a previously owned vessel that becomes a Five-Year Vessel). In addition, our two newbuildings (Hull Nos. 2311 and 2312) will each qualify as a Five-Year Vessel upon commencement of their charters and we will be required to offer to GasLog Partners an opportunity to purchase each vessel at fair market value within 30 days of the commencement of her charter. Generally, GasLog Partners must exercise this right of first offer within 30 days following the notice from us that the vessel has been acquired or has become a Five-Year Vessel.</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862" w:gutter="0" w:footer="0" w:header="0"/>
        </w:sectPr>
      </w:pPr>
    </w:p>
    <w:bookmarkStart w:id="8" w:name="page9"/>
    <w:bookmarkEnd w:id="8"/>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tcPr>
          <w:p>
            <w:pPr>
              <w:spacing w:after="0"/>
              <w:rPr>
                <w:sz w:val="20"/>
                <w:szCs w:val="20"/>
                <w:color w:val="auto"/>
              </w:rPr>
            </w:pPr>
            <w:r>
              <w:rPr>
                <w:rFonts w:ascii="Arial" w:cs="Arial" w:eastAsia="Arial" w:hAnsi="Arial"/>
                <w:sz w:val="18"/>
                <w:szCs w:val="18"/>
                <w:b w:val="1"/>
                <w:bCs w:val="1"/>
                <w:i w:val="1"/>
                <w:iCs w:val="1"/>
                <w:color w:val="auto"/>
                <w:w w:val="95"/>
              </w:rPr>
              <w:t>Three-month period ended March 31, 2020 compared to the three-month period ended March 31, 2021</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40" w:type="dxa"/>
            <w:vAlign w:val="bottom"/>
          </w:tcPr>
          <w:p>
            <w:pPr>
              <w:spacing w:after="0"/>
              <w:rPr>
                <w:sz w:val="24"/>
                <w:szCs w:val="24"/>
                <w:color w:val="auto"/>
              </w:rPr>
            </w:pPr>
          </w:p>
        </w:tc>
        <w:tc>
          <w:tcPr>
            <w:tcW w:w="290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56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March 31,</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8340" w:type="dxa"/>
            <w:vAlign w:val="bottom"/>
            <w:tcBorders>
              <w:bottom w:val="single" w:sz="8" w:color="CCFF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FF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24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Revenues</w:t>
            </w:r>
          </w:p>
        </w:tc>
        <w:tc>
          <w:tcPr>
            <w:tcW w:w="1560" w:type="dxa"/>
            <w:vAlign w:val="bottom"/>
            <w:gridSpan w:val="2"/>
          </w:tcPr>
          <w:p>
            <w:pPr>
              <w:jc w:val="right"/>
              <w:ind w:right="241"/>
              <w:spacing w:after="0"/>
              <w:rPr>
                <w:sz w:val="20"/>
                <w:szCs w:val="20"/>
                <w:color w:val="auto"/>
              </w:rPr>
            </w:pPr>
            <w:r>
              <w:rPr>
                <w:rFonts w:ascii="Arial" w:cs="Arial" w:eastAsia="Arial" w:hAnsi="Arial"/>
                <w:sz w:val="18"/>
                <w:szCs w:val="18"/>
                <w:color w:val="auto"/>
              </w:rPr>
              <w:t>165,897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205,327</w:t>
            </w:r>
          </w:p>
        </w:tc>
        <w:tc>
          <w:tcPr>
            <w:tcW w:w="0" w:type="dxa"/>
            <w:vAlign w:val="bottom"/>
          </w:tcPr>
          <w:p>
            <w:pPr>
              <w:spacing w:after="0"/>
              <w:rPr>
                <w:sz w:val="1"/>
                <w:szCs w:val="1"/>
                <w:color w:val="auto"/>
              </w:rPr>
            </w:pPr>
          </w:p>
        </w:tc>
      </w:tr>
      <w:tr>
        <w:trPr>
          <w:trHeight w:val="216"/>
        </w:trPr>
        <w:tc>
          <w:tcPr>
            <w:tcW w:w="8340" w:type="dxa"/>
            <w:vAlign w:val="bottom"/>
            <w:shd w:val="clear" w:color="auto" w:fill="CCFFFF"/>
          </w:tcPr>
          <w:p>
            <w:pPr>
              <w:spacing w:after="0"/>
              <w:rPr>
                <w:sz w:val="20"/>
                <w:szCs w:val="20"/>
                <w:color w:val="auto"/>
              </w:rPr>
            </w:pPr>
            <w:r>
              <w:rPr>
                <w:rFonts w:ascii="Arial" w:cs="Arial" w:eastAsia="Arial" w:hAnsi="Arial"/>
                <w:sz w:val="18"/>
                <w:szCs w:val="18"/>
                <w:color w:val="auto"/>
              </w:rPr>
              <w:t>Voyage expenses and commissions</w:t>
            </w:r>
          </w:p>
        </w:tc>
        <w:tc>
          <w:tcPr>
            <w:tcW w:w="1560" w:type="dxa"/>
            <w:vAlign w:val="bottom"/>
            <w:gridSpan w:val="2"/>
            <w:shd w:val="clear" w:color="auto" w:fill="CCFFFF"/>
          </w:tcPr>
          <w:p>
            <w:pPr>
              <w:jc w:val="right"/>
              <w:ind w:right="181"/>
              <w:spacing w:after="0"/>
              <w:rPr>
                <w:sz w:val="20"/>
                <w:szCs w:val="20"/>
                <w:color w:val="auto"/>
              </w:rPr>
            </w:pPr>
            <w:r>
              <w:rPr>
                <w:rFonts w:ascii="Arial" w:cs="Arial" w:eastAsia="Arial" w:hAnsi="Arial"/>
                <w:sz w:val="18"/>
                <w:szCs w:val="18"/>
                <w:color w:val="auto"/>
              </w:rPr>
              <w:t>(7,473)</w:t>
            </w: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(35,052)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(39,253)</w:t>
            </w:r>
          </w:p>
        </w:tc>
        <w:tc>
          <w:tcPr>
            <w:tcW w:w="0" w:type="dxa"/>
            <w:vAlign w:val="bottom"/>
          </w:tcPr>
          <w:p>
            <w:pPr>
              <w:spacing w:after="0"/>
              <w:rPr>
                <w:sz w:val="1"/>
                <w:szCs w:val="1"/>
                <w:color w:val="auto"/>
              </w:rPr>
            </w:pPr>
          </w:p>
        </w:tc>
      </w:tr>
      <w:tr>
        <w:trPr>
          <w:trHeight w:val="216"/>
        </w:trPr>
        <w:tc>
          <w:tcPr>
            <w:tcW w:w="8340" w:type="dxa"/>
            <w:vAlign w:val="bottom"/>
            <w:shd w:val="clear" w:color="auto" w:fill="CCFFFF"/>
          </w:tcPr>
          <w:p>
            <w:pPr>
              <w:spacing w:after="0"/>
              <w:rPr>
                <w:sz w:val="20"/>
                <w:szCs w:val="20"/>
                <w:color w:val="auto"/>
              </w:rPr>
            </w:pPr>
            <w:r>
              <w:rPr>
                <w:rFonts w:ascii="Arial" w:cs="Arial" w:eastAsia="Arial" w:hAnsi="Arial"/>
                <w:sz w:val="18"/>
                <w:szCs w:val="18"/>
                <w:color w:val="auto"/>
              </w:rPr>
              <w:t>Depreciation</w:t>
            </w:r>
          </w:p>
        </w:tc>
        <w:tc>
          <w:tcPr>
            <w:tcW w:w="1560" w:type="dxa"/>
            <w:vAlign w:val="bottom"/>
            <w:gridSpan w:val="2"/>
            <w:shd w:val="clear" w:color="auto" w:fill="CCFFFF"/>
          </w:tcPr>
          <w:p>
            <w:pPr>
              <w:jc w:val="right"/>
              <w:ind w:right="181"/>
              <w:spacing w:after="0"/>
              <w:rPr>
                <w:sz w:val="20"/>
                <w:szCs w:val="20"/>
                <w:color w:val="auto"/>
              </w:rPr>
            </w:pPr>
            <w:r>
              <w:rPr>
                <w:rFonts w:ascii="Arial" w:cs="Arial" w:eastAsia="Arial" w:hAnsi="Arial"/>
                <w:sz w:val="18"/>
                <w:szCs w:val="18"/>
                <w:color w:val="auto"/>
              </w:rPr>
              <w:t>(41,497)</w:t>
            </w: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(47,690)</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(9,621)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(11,742)</w:t>
            </w:r>
          </w:p>
        </w:tc>
        <w:tc>
          <w:tcPr>
            <w:tcW w:w="0" w:type="dxa"/>
            <w:vAlign w:val="bottom"/>
          </w:tcPr>
          <w:p>
            <w:pPr>
              <w:spacing w:after="0"/>
              <w:rPr>
                <w:sz w:val="1"/>
                <w:szCs w:val="1"/>
                <w:color w:val="auto"/>
              </w:rPr>
            </w:pPr>
          </w:p>
        </w:tc>
      </w:tr>
      <w:tr>
        <w:trPr>
          <w:trHeight w:val="209"/>
        </w:trPr>
        <w:tc>
          <w:tcPr>
            <w:tcW w:w="834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Profit from operations</w:t>
            </w: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72,254</w:t>
            </w:r>
          </w:p>
        </w:tc>
        <w:tc>
          <w:tcPr>
            <w:tcW w:w="320" w:type="dxa"/>
            <w:vAlign w:val="bottom"/>
            <w:tcBorders>
              <w:top w:val="single" w:sz="8" w:color="CCFFFF"/>
            </w:tcBorders>
            <w:shd w:val="clear" w:color="auto" w:fill="CCFFFF"/>
          </w:tcPr>
          <w:p>
            <w:pPr>
              <w:spacing w:after="0"/>
              <w:rPr>
                <w:sz w:val="18"/>
                <w:szCs w:val="18"/>
                <w:color w:val="auto"/>
              </w:rPr>
            </w:pP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102,730</w:t>
            </w:r>
          </w:p>
        </w:tc>
        <w:tc>
          <w:tcPr>
            <w:tcW w:w="100" w:type="dxa"/>
            <w:vAlign w:val="bottom"/>
            <w:tcBorders>
              <w:top w:val="single" w:sz="8" w:color="CCFFFF"/>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20"/>
                <w:szCs w:val="20"/>
                <w:color w:val="auto"/>
              </w:rPr>
            </w:pPr>
            <w:r>
              <w:rPr>
                <w:rFonts w:ascii="Arial" w:cs="Arial" w:eastAsia="Arial" w:hAnsi="Arial"/>
                <w:sz w:val="18"/>
                <w:szCs w:val="18"/>
                <w:color w:val="auto"/>
              </w:rPr>
              <w:t>Financial costs</w:t>
            </w:r>
          </w:p>
        </w:tc>
        <w:tc>
          <w:tcPr>
            <w:tcW w:w="1240" w:type="dxa"/>
            <w:vAlign w:val="bottom"/>
          </w:tcPr>
          <w:p>
            <w:pPr>
              <w:jc w:val="right"/>
              <w:spacing w:after="0"/>
              <w:rPr>
                <w:sz w:val="20"/>
                <w:szCs w:val="20"/>
                <w:color w:val="auto"/>
              </w:rPr>
            </w:pPr>
            <w:r>
              <w:rPr>
                <w:rFonts w:ascii="Arial" w:cs="Arial" w:eastAsia="Arial" w:hAnsi="Arial"/>
                <w:sz w:val="18"/>
                <w:szCs w:val="18"/>
                <w:color w:val="auto"/>
              </w:rPr>
              <w:t>(41,441)</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FFFF"/>
          </w:tcPr>
          <w:p>
            <w:pPr>
              <w:spacing w:after="0"/>
              <w:rPr>
                <w:sz w:val="20"/>
                <w:szCs w:val="20"/>
                <w:color w:val="auto"/>
              </w:rPr>
            </w:pPr>
            <w:r>
              <w:rPr>
                <w:rFonts w:ascii="Arial" w:cs="Arial" w:eastAsia="Arial" w:hAnsi="Arial"/>
                <w:sz w:val="18"/>
                <w:szCs w:val="18"/>
                <w:color w:val="auto"/>
              </w:rPr>
              <w:t>Financial income</w:t>
            </w:r>
          </w:p>
        </w:tc>
        <w:tc>
          <w:tcPr>
            <w:tcW w:w="1560" w:type="dxa"/>
            <w:vAlign w:val="bottom"/>
            <w:gridSpan w:val="2"/>
            <w:shd w:val="clear" w:color="auto" w:fill="CCFFFF"/>
          </w:tcPr>
          <w:p>
            <w:pPr>
              <w:jc w:val="right"/>
              <w:ind w:right="241"/>
              <w:spacing w:after="0"/>
              <w:rPr>
                <w:sz w:val="20"/>
                <w:szCs w:val="20"/>
                <w:color w:val="auto"/>
              </w:rPr>
            </w:pPr>
            <w:r>
              <w:rPr>
                <w:rFonts w:ascii="Arial" w:cs="Arial" w:eastAsia="Arial" w:hAnsi="Arial"/>
                <w:sz w:val="18"/>
                <w:szCs w:val="18"/>
                <w:color w:val="auto"/>
              </w:rPr>
              <w:t>468</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(Loss)/gain on derivatives</w:t>
            </w:r>
          </w:p>
        </w:tc>
        <w:tc>
          <w:tcPr>
            <w:tcW w:w="1560" w:type="dxa"/>
            <w:vAlign w:val="bottom"/>
            <w:gridSpan w:val="2"/>
          </w:tcPr>
          <w:p>
            <w:pPr>
              <w:jc w:val="right"/>
              <w:ind w:right="181"/>
              <w:spacing w:after="0"/>
              <w:rPr>
                <w:sz w:val="20"/>
                <w:szCs w:val="20"/>
                <w:color w:val="auto"/>
              </w:rPr>
            </w:pPr>
            <w:r>
              <w:rPr>
                <w:rFonts w:ascii="Arial" w:cs="Arial" w:eastAsia="Arial" w:hAnsi="Arial"/>
                <w:sz w:val="18"/>
                <w:szCs w:val="18"/>
                <w:color w:val="auto"/>
              </w:rPr>
              <w:t>(71,124)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20,283</w:t>
            </w:r>
          </w:p>
        </w:tc>
        <w:tc>
          <w:tcPr>
            <w:tcW w:w="0" w:type="dxa"/>
            <w:vAlign w:val="bottom"/>
          </w:tcPr>
          <w:p>
            <w:pPr>
              <w:spacing w:after="0"/>
              <w:rPr>
                <w:sz w:val="1"/>
                <w:szCs w:val="1"/>
                <w:color w:val="auto"/>
              </w:rPr>
            </w:pPr>
          </w:p>
        </w:tc>
      </w:tr>
      <w:tr>
        <w:trPr>
          <w:trHeight w:val="216"/>
        </w:trPr>
        <w:tc>
          <w:tcPr>
            <w:tcW w:w="8340" w:type="dxa"/>
            <w:vAlign w:val="bottom"/>
            <w:shd w:val="clear" w:color="auto" w:fill="CCFFFF"/>
          </w:tcPr>
          <w:p>
            <w:pPr>
              <w:spacing w:after="0"/>
              <w:rPr>
                <w:sz w:val="20"/>
                <w:szCs w:val="20"/>
                <w:color w:val="auto"/>
              </w:rPr>
            </w:pPr>
            <w:r>
              <w:rPr>
                <w:rFonts w:ascii="Arial" w:cs="Arial" w:eastAsia="Arial" w:hAnsi="Arial"/>
                <w:sz w:val="18"/>
                <w:szCs w:val="18"/>
                <w:color w:val="auto"/>
              </w:rPr>
              <w:t>Share of profit of associates</w:t>
            </w:r>
          </w:p>
        </w:tc>
        <w:tc>
          <w:tcPr>
            <w:tcW w:w="1560" w:type="dxa"/>
            <w:vAlign w:val="bottom"/>
            <w:gridSpan w:val="2"/>
            <w:shd w:val="clear" w:color="auto" w:fill="CCFFFF"/>
          </w:tcPr>
          <w:p>
            <w:pPr>
              <w:jc w:val="right"/>
              <w:ind w:right="241"/>
              <w:spacing w:after="0"/>
              <w:rPr>
                <w:sz w:val="20"/>
                <w:szCs w:val="20"/>
                <w:color w:val="auto"/>
              </w:rPr>
            </w:pPr>
            <w:r>
              <w:rPr>
                <w:rFonts w:ascii="Arial" w:cs="Arial" w:eastAsia="Arial" w:hAnsi="Arial"/>
                <w:sz w:val="18"/>
                <w:szCs w:val="18"/>
                <w:color w:val="auto"/>
              </w:rPr>
              <w:t>406</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9"/>
        </w:trPr>
        <w:tc>
          <w:tcPr>
            <w:tcW w:w="834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(111,691)</w:t>
            </w:r>
          </w:p>
        </w:tc>
        <w:tc>
          <w:tcPr>
            <w:tcW w:w="320" w:type="dxa"/>
            <w:vAlign w:val="bottom"/>
            <w:tcBorders>
              <w:bottom w:val="single" w:sz="8" w:color="CC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(18,486)</w:t>
            </w:r>
          </w:p>
        </w:tc>
        <w:tc>
          <w:tcPr>
            <w:tcW w:w="100" w:type="dxa"/>
            <w:vAlign w:val="bottom"/>
            <w:tcBorders>
              <w:bottom w:val="single" w:sz="8" w:color="CC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tcBorders>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(Loss)/profit for the period</w:t>
            </w:r>
          </w:p>
        </w:tc>
        <w:tc>
          <w:tcPr>
            <w:tcW w:w="12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(39,437</w:t>
            </w:r>
          </w:p>
        </w:tc>
        <w:tc>
          <w:tcPr>
            <w:tcW w:w="320" w:type="dxa"/>
            <w:vAlign w:val="bottom"/>
            <w:tcBorders>
              <w:bottom w:val="single" w:sz="8" w:color="CCFFFF"/>
            </w:tcBorders>
            <w:shd w:val="clear" w:color="auto" w:fill="CCFF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84,244</w:t>
            </w:r>
          </w:p>
        </w:tc>
        <w:tc>
          <w:tcPr>
            <w:tcW w:w="100" w:type="dxa"/>
            <w:vAlign w:val="bottom"/>
            <w:tcBorders>
              <w:bottom w:val="single" w:sz="8" w:color="CCFFFF"/>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Non-controlling interests</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tcBorders>
              <w:bottom w:val="single" w:sz="8" w:color="CCFFFF"/>
            </w:tcBorders>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(12,042)</w:t>
            </w:r>
          </w:p>
        </w:tc>
        <w:tc>
          <w:tcPr>
            <w:tcW w:w="320" w:type="dxa"/>
            <w:vAlign w:val="bottom"/>
            <w:tcBorders>
              <w:bottom w:val="single" w:sz="8" w:color="CCFFFF"/>
            </w:tcBorders>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(26,310)</w:t>
            </w:r>
          </w:p>
        </w:tc>
        <w:tc>
          <w:tcPr>
            <w:tcW w:w="100" w:type="dxa"/>
            <w:vAlign w:val="bottom"/>
            <w:tcBorders>
              <w:bottom w:val="single" w:sz="8" w:color="CCFF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40" w:type="dxa"/>
            <w:vAlign w:val="bottom"/>
            <w:tcBorders>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(Loss)/profit attributable to owners of the Group</w:t>
            </w:r>
          </w:p>
        </w:tc>
        <w:tc>
          <w:tcPr>
            <w:tcW w:w="12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(51,479</w:t>
            </w:r>
          </w:p>
        </w:tc>
        <w:tc>
          <w:tcPr>
            <w:tcW w:w="320" w:type="dxa"/>
            <w:vAlign w:val="bottom"/>
            <w:tcBorders>
              <w:bottom w:val="single" w:sz="8" w:color="CCFFFF"/>
            </w:tcBorders>
            <w:shd w:val="clear" w:color="auto" w:fill="CCFF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57,934</w:t>
            </w:r>
          </w:p>
        </w:tc>
        <w:tc>
          <w:tcPr>
            <w:tcW w:w="100" w:type="dxa"/>
            <w:vAlign w:val="bottom"/>
            <w:tcBorders>
              <w:bottom w:val="single" w:sz="8" w:color="CCFFFF"/>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During the three-month period ended March 31, 2020 we had an average of 28.0 ships operating in our owned and bareboat fleet (including ships owned by the Partnership), having 2,250 operating days. During the three-month period ended March 31, 2021, we had an average of 33.0 ships operating in our owned and bareboat fleet (including ships owned by the Partnership), having 2,869 operating days.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 xml:space="preserve">Revenues increased by 23.7%, or $39.4 million, from $165.9 million during the three-month period ended March 31, 2020, to $205.3 million during the three-month period ended March 31, 2021. The increase in revenues is attributable to an increase of $31.3 million due to the deliveries of the GasLog wholly owned vessels, the </w:t>
      </w:r>
      <w:r>
        <w:rPr>
          <w:rFonts w:ascii="Arial" w:cs="Arial" w:eastAsia="Arial" w:hAnsi="Arial"/>
          <w:sz w:val="17"/>
          <w:szCs w:val="17"/>
          <w:i w:val="1"/>
          <w:iCs w:val="1"/>
          <w:color w:val="auto"/>
        </w:rPr>
        <w:t>GasLog Windsor</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Wales</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Westminster</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Georgetown</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Galveston</w:t>
      </w:r>
      <w:r>
        <w:rPr>
          <w:rFonts w:ascii="Arial" w:cs="Arial" w:eastAsia="Arial" w:hAnsi="Arial"/>
          <w:sz w:val="17"/>
          <w:szCs w:val="17"/>
          <w:color w:val="auto"/>
        </w:rPr>
        <w:t xml:space="preserve"> on April 1, 2020, May 11, 2020, July 15, 2020, November 16, 2020 and January 4, 2021, respectively, and a net increase of $13.9 million from the vessels of our spot fleet, as defined below. These increases were partially offset by a net decrease of $5.8 million mainly attributable to the expirations of the initial multi-year time charters of the Partnership’s vessels the </w:t>
      </w:r>
      <w:r>
        <w:rPr>
          <w:rFonts w:ascii="Arial" w:cs="Arial" w:eastAsia="Arial" w:hAnsi="Arial"/>
          <w:sz w:val="17"/>
          <w:szCs w:val="17"/>
          <w:i w:val="1"/>
          <w:iCs w:val="1"/>
          <w:color w:val="auto"/>
        </w:rPr>
        <w:t>Methane Alison Victoria</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Rita Andrea</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Shirley Elisabeth</w:t>
      </w:r>
      <w:r>
        <w:rPr>
          <w:rFonts w:ascii="Arial" w:cs="Arial" w:eastAsia="Arial" w:hAnsi="Arial"/>
          <w:sz w:val="17"/>
          <w:szCs w:val="17"/>
          <w:color w:val="auto"/>
        </w:rPr>
        <w:t xml:space="preserve"> during 2020 and the </w:t>
      </w:r>
      <w:r>
        <w:rPr>
          <w:rFonts w:ascii="Arial" w:cs="Arial" w:eastAsia="Arial" w:hAnsi="Arial"/>
          <w:sz w:val="17"/>
          <w:szCs w:val="17"/>
          <w:i w:val="1"/>
          <w:iCs w:val="1"/>
          <w:color w:val="auto"/>
        </w:rPr>
        <w:t xml:space="preserve">Methane Heather Sally </w:t>
      </w:r>
      <w:r>
        <w:rPr>
          <w:rFonts w:ascii="Arial" w:cs="Arial" w:eastAsia="Arial" w:hAnsi="Arial"/>
          <w:sz w:val="17"/>
          <w:szCs w:val="17"/>
          <w:color w:val="auto"/>
        </w:rPr>
        <w:t>in January 2021 (at higher rates compared to their current contracted rates). The average daily hire rate decreased from $73,646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quarter ended March 31, 2020 to $71,496 for the quarter ended March 31, 2021.</w:t>
      </w:r>
    </w:p>
    <w:p>
      <w:pPr>
        <w:spacing w:after="0" w:line="178"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Management allocates vessel revenues to two categories: (a) spot fleet and (b) long-term fleet. The spot fleet category contains all vessels that have contracts with initial duration of less than five years. The long-term fleet category contains all vessels that have charter party agreements with initial duration of more than five years. Both categories exclude optional periods.</w:t>
      </w:r>
    </w:p>
    <w:p>
      <w:pPr>
        <w:spacing w:after="0" w:line="18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For the three months ended March 31, 2020 and 2021, an analysis of available days, revenue operating days, revenues and voyage expenses and commissions per category is presented below:</w:t>
      </w:r>
    </w:p>
    <w:p>
      <w:pPr>
        <w:spacing w:after="0" w:line="38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1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For the three months ended</w:t>
            </w:r>
          </w:p>
        </w:tc>
        <w:tc>
          <w:tcPr>
            <w:tcW w:w="290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4840" w:type="dxa"/>
            <w:vAlign w:val="bottom"/>
          </w:tcPr>
          <w:p>
            <w:pPr>
              <w:spacing w:after="0"/>
              <w:rPr>
                <w:sz w:val="20"/>
                <w:szCs w:val="20"/>
                <w:color w:val="auto"/>
              </w:rPr>
            </w:pPr>
          </w:p>
        </w:tc>
        <w:tc>
          <w:tcPr>
            <w:tcW w:w="3140" w:type="dxa"/>
            <w:vAlign w:val="bottom"/>
            <w:gridSpan w:val="4"/>
          </w:tcPr>
          <w:p>
            <w:pPr>
              <w:jc w:val="right"/>
              <w:ind w:right="1140"/>
              <w:spacing w:after="0"/>
              <w:rPr>
                <w:sz w:val="20"/>
                <w:szCs w:val="20"/>
                <w:color w:val="auto"/>
              </w:rPr>
            </w:pPr>
            <w:r>
              <w:rPr>
                <w:rFonts w:ascii="Arial" w:cs="Arial" w:eastAsia="Arial" w:hAnsi="Arial"/>
                <w:sz w:val="18"/>
                <w:szCs w:val="18"/>
                <w:b w:val="1"/>
                <w:bCs w:val="1"/>
                <w:color w:val="auto"/>
              </w:rPr>
              <w:t>March 31, 2020</w:t>
            </w:r>
          </w:p>
        </w:tc>
        <w:tc>
          <w:tcPr>
            <w:tcW w:w="290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484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160" w:type="dxa"/>
            <w:vAlign w:val="bottom"/>
            <w:tcBorders>
              <w:top w:val="single" w:sz="8" w:color="auto"/>
              <w:bottom w:val="single" w:sz="8" w:color="auto"/>
            </w:tcBorders>
            <w:shd w:val="clear" w:color="auto" w:fill="CCFFFF"/>
          </w:tcPr>
          <w:p>
            <w:pPr>
              <w:jc w:val="right"/>
              <w:ind w:right="70"/>
              <w:spacing w:after="0"/>
              <w:rPr>
                <w:sz w:val="20"/>
                <w:szCs w:val="20"/>
                <w:color w:val="auto"/>
              </w:rPr>
            </w:pPr>
            <w:r>
              <w:rPr>
                <w:rFonts w:ascii="Arial" w:cs="Arial" w:eastAsia="Arial" w:hAnsi="Arial"/>
                <w:sz w:val="18"/>
                <w:szCs w:val="18"/>
                <w:b w:val="1"/>
                <w:bCs w:val="1"/>
                <w:color w:val="auto"/>
              </w:rPr>
              <w:t>Spot fleet</w:t>
            </w:r>
          </w:p>
        </w:tc>
        <w:tc>
          <w:tcPr>
            <w:tcW w:w="320" w:type="dxa"/>
            <w:vAlign w:val="bottom"/>
            <w:tcBorders>
              <w:top w:val="single" w:sz="8" w:color="auto"/>
            </w:tcBorders>
            <w:shd w:val="clear" w:color="auto" w:fill="CCFFFF"/>
          </w:tcPr>
          <w:p>
            <w:pPr>
              <w:spacing w:after="0"/>
              <w:rPr>
                <w:sz w:val="19"/>
                <w:szCs w:val="19"/>
                <w:color w:val="auto"/>
              </w:rPr>
            </w:pPr>
          </w:p>
        </w:tc>
        <w:tc>
          <w:tcPr>
            <w:tcW w:w="13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w w:val="99"/>
              </w:rPr>
              <w:t>Long-term fleet</w:t>
            </w:r>
          </w:p>
        </w:tc>
        <w:tc>
          <w:tcPr>
            <w:tcW w:w="340" w:type="dxa"/>
            <w:vAlign w:val="bottom"/>
            <w:tcBorders>
              <w:top w:val="single" w:sz="8" w:color="CCFFFF"/>
            </w:tcBorders>
            <w:shd w:val="clear" w:color="auto" w:fill="CCFFFF"/>
          </w:tcPr>
          <w:p>
            <w:pPr>
              <w:spacing w:after="0"/>
              <w:rPr>
                <w:sz w:val="19"/>
                <w:szCs w:val="19"/>
                <w:color w:val="auto"/>
              </w:rPr>
            </w:pPr>
          </w:p>
        </w:tc>
        <w:tc>
          <w:tcPr>
            <w:tcW w:w="1160" w:type="dxa"/>
            <w:vAlign w:val="bottom"/>
            <w:tcBorders>
              <w:top w:val="single" w:sz="8" w:color="auto"/>
              <w:bottom w:val="single" w:sz="8" w:color="auto"/>
            </w:tcBorders>
            <w:shd w:val="clear" w:color="auto" w:fill="CCFFFF"/>
          </w:tcPr>
          <w:p>
            <w:pPr>
              <w:jc w:val="right"/>
              <w:ind w:right="90"/>
              <w:spacing w:after="0"/>
              <w:rPr>
                <w:sz w:val="20"/>
                <w:szCs w:val="20"/>
                <w:color w:val="auto"/>
              </w:rPr>
            </w:pPr>
            <w:r>
              <w:rPr>
                <w:rFonts w:ascii="Arial" w:cs="Arial" w:eastAsia="Arial" w:hAnsi="Arial"/>
                <w:sz w:val="18"/>
                <w:szCs w:val="18"/>
                <w:b w:val="1"/>
                <w:bCs w:val="1"/>
                <w:color w:val="auto"/>
              </w:rPr>
              <w:t>Spot fleet</w:t>
            </w:r>
          </w:p>
        </w:tc>
        <w:tc>
          <w:tcPr>
            <w:tcW w:w="320" w:type="dxa"/>
            <w:vAlign w:val="bottom"/>
            <w:tcBorders>
              <w:top w:val="single" w:sz="8" w:color="auto"/>
            </w:tcBorders>
            <w:shd w:val="clear" w:color="auto" w:fill="CCFFFF"/>
          </w:tcPr>
          <w:p>
            <w:pPr>
              <w:spacing w:after="0"/>
              <w:rPr>
                <w:sz w:val="19"/>
                <w:szCs w:val="19"/>
                <w:color w:val="auto"/>
              </w:rPr>
            </w:pPr>
          </w:p>
        </w:tc>
        <w:tc>
          <w:tcPr>
            <w:tcW w:w="13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w w:val="99"/>
              </w:rPr>
              <w:t>Long-term fleet</w:t>
            </w:r>
          </w:p>
        </w:tc>
        <w:tc>
          <w:tcPr>
            <w:tcW w:w="100" w:type="dxa"/>
            <w:vAlign w:val="bottom"/>
            <w:tcBorders>
              <w:top w:val="single" w:sz="8" w:color="CCFFFF"/>
            </w:tcBorders>
            <w:shd w:val="clear" w:color="auto" w:fill="CCFFFF"/>
          </w:tcPr>
          <w:p>
            <w:pPr>
              <w:spacing w:after="0"/>
              <w:rPr>
                <w:sz w:val="19"/>
                <w:szCs w:val="19"/>
                <w:color w:val="auto"/>
              </w:rPr>
            </w:pPr>
          </w:p>
        </w:tc>
      </w:tr>
      <w:tr>
        <w:trPr>
          <w:trHeight w:val="237"/>
        </w:trPr>
        <w:tc>
          <w:tcPr>
            <w:tcW w:w="4840" w:type="dxa"/>
            <w:vAlign w:val="bottom"/>
          </w:tcPr>
          <w:p>
            <w:pPr>
              <w:spacing w:after="0" w:line="236" w:lineRule="exact"/>
              <w:rPr>
                <w:sz w:val="20"/>
                <w:szCs w:val="20"/>
                <w:color w:val="auto"/>
              </w:rPr>
            </w:pPr>
            <w:r>
              <w:rPr>
                <w:rFonts w:ascii="Arial" w:cs="Arial" w:eastAsia="Arial" w:hAnsi="Arial"/>
                <w:sz w:val="17"/>
                <w:szCs w:val="17"/>
                <w:color w:val="auto"/>
              </w:rPr>
              <w:t xml:space="preserve">Available days </w:t>
            </w:r>
            <w:r>
              <w:rPr>
                <w:rFonts w:ascii="Arial" w:cs="Arial" w:eastAsia="Arial" w:hAnsi="Arial"/>
                <w:sz w:val="27"/>
                <w:szCs w:val="27"/>
                <w:color w:val="auto"/>
                <w:vertAlign w:val="superscript"/>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1,039</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1,417</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1,418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r>
      <w:tr>
        <w:trPr>
          <w:trHeight w:val="256"/>
        </w:trPr>
        <w:tc>
          <w:tcPr>
            <w:tcW w:w="4840" w:type="dxa"/>
            <w:vAlign w:val="bottom"/>
            <w:shd w:val="clear" w:color="auto" w:fill="CCFFFF"/>
          </w:tcPr>
          <w:p>
            <w:pPr>
              <w:spacing w:after="0" w:line="256" w:lineRule="exact"/>
              <w:rPr>
                <w:sz w:val="20"/>
                <w:szCs w:val="20"/>
                <w:color w:val="auto"/>
              </w:rPr>
            </w:pPr>
            <w:r>
              <w:rPr>
                <w:rFonts w:ascii="Arial" w:cs="Arial" w:eastAsia="Arial" w:hAnsi="Arial"/>
                <w:sz w:val="18"/>
                <w:szCs w:val="18"/>
                <w:color w:val="auto"/>
              </w:rPr>
              <w:t xml:space="preserve">Revenue operating days </w:t>
            </w:r>
            <w:r>
              <w:rPr>
                <w:rFonts w:ascii="Arial" w:cs="Arial" w:eastAsia="Arial" w:hAnsi="Arial"/>
                <w:sz w:val="29"/>
                <w:szCs w:val="29"/>
                <w:color w:val="auto"/>
                <w:vertAlign w:val="superscript"/>
              </w:rPr>
              <w:t>(**)</w:t>
            </w:r>
          </w:p>
        </w:tc>
        <w:tc>
          <w:tcPr>
            <w:tcW w:w="148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833</w:t>
            </w:r>
          </w:p>
        </w:tc>
        <w:tc>
          <w:tcPr>
            <w:tcW w:w="1660" w:type="dxa"/>
            <w:vAlign w:val="bottom"/>
            <w:gridSpan w:val="2"/>
            <w:shd w:val="clear" w:color="auto" w:fill="CCFFFF"/>
          </w:tcPr>
          <w:p>
            <w:pPr>
              <w:jc w:val="right"/>
              <w:ind w:right="340"/>
              <w:spacing w:after="0"/>
              <w:rPr>
                <w:sz w:val="20"/>
                <w:szCs w:val="20"/>
                <w:color w:val="auto"/>
              </w:rPr>
            </w:pPr>
            <w:r>
              <w:rPr>
                <w:rFonts w:ascii="Arial" w:cs="Arial" w:eastAsia="Arial" w:hAnsi="Arial"/>
                <w:sz w:val="18"/>
                <w:szCs w:val="18"/>
                <w:color w:val="auto"/>
              </w:rPr>
              <w:t>1,417</w:t>
            </w:r>
          </w:p>
        </w:tc>
        <w:tc>
          <w:tcPr>
            <w:tcW w:w="148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1,334</w:t>
            </w:r>
          </w:p>
        </w:tc>
        <w:tc>
          <w:tcPr>
            <w:tcW w:w="142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1,535</w:t>
            </w:r>
          </w:p>
        </w:tc>
      </w:tr>
      <w:tr>
        <w:trPr>
          <w:trHeight w:val="256"/>
        </w:trPr>
        <w:tc>
          <w:tcPr>
            <w:tcW w:w="4840" w:type="dxa"/>
            <w:vAlign w:val="bottom"/>
          </w:tcPr>
          <w:p>
            <w:pPr>
              <w:spacing w:after="0" w:line="256"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9"/>
                <w:szCs w:val="29"/>
                <w:color w:val="auto"/>
                <w:vertAlign w:val="superscript"/>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55,476</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110,229</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86,963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118,159</w:t>
            </w:r>
          </w:p>
        </w:tc>
      </w:tr>
      <w:tr>
        <w:trPr>
          <w:trHeight w:val="216"/>
        </w:trPr>
        <w:tc>
          <w:tcPr>
            <w:tcW w:w="4840" w:type="dxa"/>
            <w:vAlign w:val="bottom"/>
            <w:shd w:val="clear" w:color="auto" w:fill="CCFFFF"/>
          </w:tcPr>
          <w:p>
            <w:pPr>
              <w:spacing w:after="0"/>
              <w:rPr>
                <w:sz w:val="20"/>
                <w:szCs w:val="20"/>
                <w:color w:val="auto"/>
              </w:rPr>
            </w:pPr>
            <w:r>
              <w:rPr>
                <w:rFonts w:ascii="Arial" w:cs="Arial" w:eastAsia="Arial" w:hAnsi="Arial"/>
                <w:sz w:val="18"/>
                <w:szCs w:val="18"/>
                <w:color w:val="auto"/>
              </w:rPr>
              <w:t>Voyage expenses and commissions</w:t>
            </w:r>
          </w:p>
        </w:tc>
        <w:tc>
          <w:tcPr>
            <w:tcW w:w="1480" w:type="dxa"/>
            <w:vAlign w:val="bottom"/>
            <w:gridSpan w:val="2"/>
            <w:shd w:val="clear" w:color="auto" w:fill="CCFFFF"/>
          </w:tcPr>
          <w:p>
            <w:pPr>
              <w:jc w:val="right"/>
              <w:ind w:right="260"/>
              <w:spacing w:after="0"/>
              <w:rPr>
                <w:sz w:val="20"/>
                <w:szCs w:val="20"/>
                <w:color w:val="auto"/>
              </w:rPr>
            </w:pPr>
            <w:r>
              <w:rPr>
                <w:rFonts w:ascii="Arial" w:cs="Arial" w:eastAsia="Arial" w:hAnsi="Arial"/>
                <w:sz w:val="18"/>
                <w:szCs w:val="18"/>
                <w:color w:val="auto"/>
              </w:rPr>
              <w:t>(5,368)</w:t>
            </w:r>
          </w:p>
        </w:tc>
        <w:tc>
          <w:tcPr>
            <w:tcW w:w="1660" w:type="dxa"/>
            <w:vAlign w:val="bottom"/>
            <w:gridSpan w:val="2"/>
            <w:shd w:val="clear" w:color="auto" w:fill="CCFFFF"/>
          </w:tcPr>
          <w:p>
            <w:pPr>
              <w:jc w:val="right"/>
              <w:ind w:right="280"/>
              <w:spacing w:after="0"/>
              <w:rPr>
                <w:sz w:val="20"/>
                <w:szCs w:val="20"/>
                <w:color w:val="auto"/>
              </w:rPr>
            </w:pPr>
            <w:r>
              <w:rPr>
                <w:rFonts w:ascii="Arial" w:cs="Arial" w:eastAsia="Arial" w:hAnsi="Arial"/>
                <w:sz w:val="18"/>
                <w:szCs w:val="18"/>
                <w:color w:val="auto"/>
              </w:rPr>
              <w:t>(2,105)</w:t>
            </w:r>
          </w:p>
        </w:tc>
        <w:tc>
          <w:tcPr>
            <w:tcW w:w="1480" w:type="dxa"/>
            <w:vAlign w:val="bottom"/>
            <w:gridSpan w:val="2"/>
            <w:shd w:val="clear" w:color="auto" w:fill="CCFFFF"/>
          </w:tcPr>
          <w:p>
            <w:pPr>
              <w:jc w:val="right"/>
              <w:ind w:right="260"/>
              <w:spacing w:after="0"/>
              <w:rPr>
                <w:sz w:val="20"/>
                <w:szCs w:val="20"/>
                <w:color w:val="auto"/>
              </w:rPr>
            </w:pPr>
            <w:r>
              <w:rPr>
                <w:rFonts w:ascii="Arial" w:cs="Arial" w:eastAsia="Arial" w:hAnsi="Arial"/>
                <w:sz w:val="18"/>
                <w:szCs w:val="18"/>
                <w:color w:val="auto"/>
              </w:rPr>
              <w:t>(2,239)</w:t>
            </w:r>
          </w:p>
        </w:tc>
        <w:tc>
          <w:tcPr>
            <w:tcW w:w="142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(1,673)</w:t>
            </w:r>
          </w:p>
        </w:tc>
      </w:tr>
    </w:tbl>
    <w:p>
      <w:pPr>
        <w:spacing w:after="0" w:line="242" w:lineRule="exact"/>
        <w:rPr>
          <w:sz w:val="20"/>
          <w:szCs w:val="20"/>
          <w:color w:val="auto"/>
        </w:rPr>
      </w:pPr>
    </w:p>
    <w:p>
      <w:pPr>
        <w:ind w:right="100" w:firstLine="8"/>
        <w:spacing w:after="0" w:line="202" w:lineRule="auto"/>
        <w:tabs>
          <w:tab w:leader="none" w:pos="212"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ind w:left="300" w:hanging="292"/>
        <w:spacing w:after="0" w:line="185" w:lineRule="auto"/>
        <w:tabs>
          <w:tab w:leader="none" w:pos="300" w:val="left"/>
        </w:tabs>
        <w:numPr>
          <w:ilvl w:val="0"/>
          <w:numId w:val="6"/>
        </w:numPr>
        <w:rPr>
          <w:rFonts w:ascii="Arial" w:cs="Arial" w:eastAsia="Arial" w:hAnsi="Arial"/>
          <w:sz w:val="29"/>
          <w:szCs w:val="29"/>
          <w:color w:val="auto"/>
          <w:vertAlign w:val="superscript"/>
        </w:rPr>
      </w:pPr>
      <w:r>
        <w:rPr>
          <w:rFonts w:ascii="Arial" w:cs="Arial" w:eastAsia="Arial" w:hAnsi="Arial"/>
          <w:sz w:val="17"/>
          <w:szCs w:val="17"/>
          <w:color w:val="auto"/>
        </w:rPr>
        <w:t>Revenue operating days represent total available days after deducting off-charter days and unscheduled off-hire days.</w:t>
      </w:r>
    </w:p>
    <w:p>
      <w:pPr>
        <w:spacing w:after="0" w:line="27" w:lineRule="exact"/>
        <w:rPr>
          <w:sz w:val="20"/>
          <w:szCs w:val="20"/>
          <w:color w:val="auto"/>
        </w:rPr>
      </w:pPr>
    </w:p>
    <w:p>
      <w:pPr>
        <w:ind w:right="920" w:firstLine="8"/>
        <w:spacing w:after="0" w:line="202" w:lineRule="auto"/>
        <w:tabs>
          <w:tab w:leader="none" w:pos="370" w:val="left"/>
        </w:tabs>
        <w:numPr>
          <w:ilvl w:val="0"/>
          <w:numId w:val="7"/>
        </w:numPr>
        <w:rPr>
          <w:rFonts w:ascii="Arial" w:cs="Arial" w:eastAsia="Arial" w:hAnsi="Arial"/>
          <w:sz w:val="29"/>
          <w:szCs w:val="29"/>
          <w:color w:val="auto"/>
          <w:vertAlign w:val="superscript"/>
        </w:rPr>
      </w:pPr>
      <w:r>
        <w:rPr>
          <w:rFonts w:ascii="Arial" w:cs="Arial" w:eastAsia="Arial" w:hAnsi="Arial"/>
          <w:sz w:val="17"/>
          <w:szCs w:val="17"/>
          <w:color w:val="auto"/>
        </w:rPr>
        <w:t>Revenues exclude the revenues from vessel management services of $192 and $205 for the three months ended March 31, 2020 and 2021,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Voyage expenses and commissions decreased by 48.0%, or $3.6 million, from $7.5 million during the three-month period ended March 31, 2020, to $3.9 million during the three-month period ended March 31, 2021. The decrease in voyage expenses and commissions is mainly attributable to a net decrease in bunker consumption costs due to the increased utilization of our vessels in the spot fleet, as defined above, in the first three months of 2021, as compared to the same period in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Vessel operating and supervision costs increased by 12.0%, or $4.2 million, from $35.1 million during the three-month period ended March 31, 2020, to $39.3 million during the three-month period ended March 31, 2021. The increase in vessel operating and supervision costs is mainly attributable to the</w:t>
      </w:r>
    </w:p>
    <w:p>
      <w:pPr>
        <w:sectPr>
          <w:pgSz w:w="11900" w:h="16969" w:orient="portrait"/>
          <w:cols w:equalWidth="0" w:num="1">
            <w:col w:w="11240"/>
          </w:cols>
          <w:pgMar w:left="320" w:top="904" w:right="339" w:bottom="0" w:gutter="0" w:footer="0" w:header="0"/>
        </w:sectPr>
      </w:pPr>
    </w:p>
    <w:bookmarkStart w:id="9" w:name="page10"/>
    <w:bookmarkEnd w:id="9"/>
    <w:p>
      <w:pPr>
        <w:spacing w:after="0" w:line="286" w:lineRule="auto"/>
        <w:rPr>
          <w:sz w:val="20"/>
          <w:szCs w:val="20"/>
          <w:color w:val="auto"/>
        </w:rPr>
      </w:pPr>
      <w:r>
        <w:rPr>
          <w:rFonts w:ascii="Arial" w:cs="Arial" w:eastAsia="Arial" w:hAnsi="Arial"/>
          <w:sz w:val="17"/>
          <w:szCs w:val="17"/>
          <w:color w:val="auto"/>
        </w:rPr>
        <w:t xml:space="preserve">increase in ownership days due to the deliveries of the </w:t>
      </w:r>
      <w:r>
        <w:rPr>
          <w:rFonts w:ascii="Arial" w:cs="Arial" w:eastAsia="Arial" w:hAnsi="Arial"/>
          <w:sz w:val="17"/>
          <w:szCs w:val="17"/>
          <w:i w:val="1"/>
          <w:iCs w:val="1"/>
          <w:color w:val="auto"/>
        </w:rPr>
        <w:t>GasLog Windsor,</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Wales,</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Westminster,</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Georgetown</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 xml:space="preserve">GasLog Galveston </w:t>
      </w:r>
      <w:r>
        <w:rPr>
          <w:rFonts w:ascii="Arial" w:cs="Arial" w:eastAsia="Arial" w:hAnsi="Arial"/>
          <w:sz w:val="17"/>
          <w:szCs w:val="17"/>
          <w:color w:val="auto"/>
        </w:rPr>
        <w:t>on April 1, 2020, on May 11, 2020, on July 15, 2020, on November 16, 2020 and on January 4, 2021, respectively, partially offset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decrease in daily operating costs from $14,266 per ownership day (as defined below excluding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managed by Shell)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ind w:right="40"/>
        <w:spacing w:after="0" w:line="275" w:lineRule="auto"/>
        <w:rPr>
          <w:sz w:val="20"/>
          <w:szCs w:val="20"/>
          <w:color w:val="auto"/>
        </w:rPr>
      </w:pPr>
      <w:r>
        <w:rPr>
          <w:rFonts w:ascii="Arial" w:cs="Arial" w:eastAsia="Arial" w:hAnsi="Arial"/>
          <w:sz w:val="17"/>
          <w:szCs w:val="17"/>
          <w:color w:val="auto"/>
        </w:rPr>
        <w:t xml:space="preserve">for the three-month period ended March 31, 2020 to $13,644 per ownership day (as defined below excluding the </w:t>
      </w:r>
      <w:r>
        <w:rPr>
          <w:rFonts w:ascii="Arial" w:cs="Arial" w:eastAsia="Arial" w:hAnsi="Arial"/>
          <w:sz w:val="17"/>
          <w:szCs w:val="17"/>
          <w:i w:val="1"/>
          <w:iCs w:val="1"/>
          <w:color w:val="auto"/>
        </w:rPr>
        <w:t>Solaris</w:t>
      </w:r>
      <w:r>
        <w:rPr>
          <w:rFonts w:ascii="Arial" w:cs="Arial" w:eastAsia="Arial" w:hAnsi="Arial"/>
          <w:sz w:val="17"/>
          <w:szCs w:val="17"/>
          <w:color w:val="auto"/>
        </w:rPr>
        <w:t xml:space="preserve"> managed by Shell) for the three-month period ended March 31, 2021. Ownership days represent total calendar days for our owned and bareboat fleet. Daily operating costs per vessel decreased mainly due to the decreased scheduled technical and maintenance costs in connection with fewer dry-dockings in the current period as well as a result of management’s operating cost initiatives, partially offset by the unfavorable movement of the Euro (“EUR”)/U. S. Dollar (“USD”) exchange rate in the three-month period ended March 31, 2021 as compared to the three-month period ended March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General and administrative expenses increased by 21.9%, or $2.1 million, from $9.6 million during the three-month period ended March 31, 2020,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$11.7 million during the three-month period ended March 31, 2021, before adjusting for restructuring costs and costs related to the Transaction.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administrative expenses include the effect of the restructuring costs of $0.4 million and $0.1 million for the three-month period ended March 31,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2021, respectively and the effect of the costs related to the Transaction of $3.7 million for the three-month period ended March 31, 2021. Daily general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administrative expenses increased from $3,776 per vessel ownership day for the three-month period ended March 31, 2020 to $3,958 per vessel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ownership day for the three-month period ended March 31, 2021, which includes restructuring costs and costs related to the Transaction of $175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$1,270 per vessel ownership day in three-month period ended March 31, 2020 and 2021, respectively. The increase in absolute terms is mainly attributable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legal costs associated with the Transaction, the increased costs of directors and officers’ insurance as well as the unfavorable movement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EUR/USD exchange rate in the three-month period ended March 31, 2021, which were partially offset by reduced employee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Financial costs decreased by 4.8%, or $2.0 million, from $41.4 million during the three-month period ended March 31, 2020, to $39.4 million during the three-month period ended March 31, 2021. The decrease in financial costs is mainly attributable to a decrease of $6.9 million in interest expense on loans and bonds in connection with a decrease in the London Interbank Offered Rate (“LIBOR”) rates during the three-month period ended March 31, 2021, partially offset by the higher weighted average indebtedness, compared to the same period in 2020. Specifically, during the three-month period ended March 31, 2021, we had an average of $3,814.9 million of outstanding indebtedness, with a weighted average interest rate of 3.1%, while during the three-month period ended March 31, 2020, we had an average of $3,138.3 million of outstanding indebtedness having an aggregate weighted average interest rate of 4.6%. These weighted average interest rates include interest expense on loans, bonds and Cross Currency Swaps (“CCSs”). This decrease was partially offset by an increase of $3.3 million in amortization and write-off of deferred loan/bond issuance costs/premium deriving mainly from the write-off of fees relating to the sale and leaseback transaction that took place in the three-month period ended March 31, 2021 and the net increase of $1.7 million as a result of transactions incurred in the comparative period ($1.9 million loss arising on bond repurchases at premium, partially offset by $3.6 million mainly consisting of unrealized foreign exchange gains on cash and bonds incurred during the three-month period ended March 31,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(Loss)/gain on Derivatives: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Loss on derivatives decreased by $91.4 million, from a loss of $71.1 million during the three-month period ended March 31, 2020, to a gain of $20.3 million during the three-month period ended March 31, 2021. The decrease in loss on derivatives is mainly attributable to a decrease of $98.7 million in loss from marked-to-market valuation of our derivative financial instruments carried at fair value through profit or loss which reflected a loss of $71.3 million in the three months ended March 31, 2020, as compared to a gain of $27.4 million in the three months ended March 31, 2021, a decrease of $0.3 million in the ineffective portion of cash flow hedges and a decrease of $0.2 million in realized loss on forward foreign exchange contracts held for trading. The above movements were partially offset by an increase of $7.8 million in realized loss from interest rate swaps held for trading.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(Loss)/profit for the Period:</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Loss for the period decreased by $123.6 million, from a loss of $39.4 million for the three-month period ended March 31, 2020, to a profit of $84.2 million for the three-month period ended March 31, 2021, as a result of the aforementioned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(Loss)/profit Attributable to Owners of the Group:</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Loss attributable to owners of the Group decreased by $109.4 million, from a $51.5 million loss for the three-month period ended March 31, 2020, to a profit of $57.9 million for the three-month period ended March 31, 2021. The decrease in loss attributable to the owners of GasLog resulted mainly from the decrease in loss for the period mentioned above, partially offset by the increase in profit attributable to the non-controlling interests (non-controlling unitholders of GasLog Partners) following the increase in the Partnership’s profit.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primary liquidity needs are to fund our vessel operating costs and general and administrative expenses, to finance the purchase and construction of our newbuildings and conversions, to purchase secondhand vessels, to service our existing debt and to pay dividends. In monitoring our working capital needs, we project our charter hire income and the vessels’ maintenance and running expenses, as well as debt service obligations, and seek to maintain adequate cash reserves in order to address revenue shortfalls or budget overruns, if any.</w:t>
      </w:r>
    </w:p>
    <w:p>
      <w:pPr>
        <w:spacing w:after="0" w:line="18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funding and treasury activities are intended to meet our operating and financing requirements while balancing investment returns to maintain appropriate liquidity. Cash and cash equivalents are held primarily in USD.</w:t>
      </w:r>
    </w:p>
    <w:p>
      <w:pPr>
        <w:spacing w:after="0" w:line="170"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As of March 31, 2021, GasLog had $233.9 million of cash and cash equivalents. In addition, an amount of $9.1 million was held as cash collaterals with respect to our swaps and is included in Other non-current assets and Prepayments and other current assets. This amount has been further reduced to $5.7 million as of May 6, 2021.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470" w:gutter="0" w:footer="0" w:header="0"/>
        </w:sectPr>
      </w:pPr>
    </w:p>
    <w:bookmarkStart w:id="11" w:name="page12"/>
    <w:bookmarkEnd w:id="11"/>
    <w:p>
      <w:pPr>
        <w:ind w:right="80" w:firstLine="324"/>
        <w:spacing w:after="0" w:line="257" w:lineRule="auto"/>
        <w:rPr>
          <w:sz w:val="20"/>
          <w:szCs w:val="20"/>
          <w:color w:val="auto"/>
        </w:rPr>
      </w:pPr>
      <w:r>
        <w:rPr>
          <w:rFonts w:ascii="Arial" w:cs="Arial" w:eastAsia="Arial" w:hAnsi="Arial"/>
          <w:sz w:val="18"/>
          <w:szCs w:val="18"/>
          <w:color w:val="auto"/>
        </w:rPr>
        <w:t xml:space="preserve">On January 22, 2021, GasLog’s subsidiary, GAS-twenty four Ltd., completed the sale and leaseback of the </w:t>
      </w:r>
      <w:r>
        <w:rPr>
          <w:rFonts w:ascii="Arial" w:cs="Arial" w:eastAsia="Arial" w:hAnsi="Arial"/>
          <w:sz w:val="18"/>
          <w:szCs w:val="18"/>
          <w:i w:val="1"/>
          <w:iCs w:val="1"/>
          <w:color w:val="auto"/>
        </w:rPr>
        <w:t>GasLog Houston</w:t>
      </w:r>
      <w:r>
        <w:rPr>
          <w:rFonts w:ascii="Arial" w:cs="Arial" w:eastAsia="Arial" w:hAnsi="Arial"/>
          <w:sz w:val="18"/>
          <w:szCs w:val="18"/>
          <w:color w:val="auto"/>
        </w:rPr>
        <w:t xml:space="preserve"> with Hai Kuo Shipping, a wholly owned subsidiary of ICBC. The vessel was sold to Hai Kuo Shipping. GasLog has leased back the vessel under a bareboat charter from Hai Kuo Shipping for a period of up to eight years. GasLog has the obligation to re-purchase the vessel at the end of the charter period. GasLog has also the option to re-purchase the vessel on pre-agreed terms no earlier than the first interest period and no later than the end of year eight of the bareboat charter. The vessel remains on its charter with Shell.</w:t>
      </w:r>
    </w:p>
    <w:p>
      <w:pPr>
        <w:spacing w:after="0" w:line="18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of March 31, 2021, the total remaining balance of the contract prices for the two LNG carriers on order was $311.7 million, all of which is due within 12 months, and which will be primarily funded under the facility signed on December 12, 2019 with an Export Credit Agency-backed debt financing of $1.1 billion with 13 international banks to provide the debt funding for its current newbuilding program (the “Newbuilding Facility”), available cash and cash from operations. As of March 31, 2021, there was undrawn available capacity of $305.9 million under the Newbuilding Facility.</w:t>
      </w:r>
    </w:p>
    <w:p>
      <w:pPr>
        <w:spacing w:after="0" w:line="15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As of March 31, 2021, GasLog had an aggregate of $3.7 billion of indebtedness outstanding under its credit facilities and bond agreements, of which $547.4 million was repayable within one year ($315.0 million of which relating to the 8.875% senior unsecured notes due in 2022 (the “8.875% Senior Notes”)), and $195.0 million of lease liabilities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of which $9.7 million was payable within one year.</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GasLog has hedged 45.5% of its expected floating interest rate exposure on its outstanding debt (excluding the lease liability and the 8.875% Senior Notes) as of March 31, 2021.</w:t>
      </w:r>
    </w:p>
    <w:p>
      <w:pPr>
        <w:spacing w:after="0" w:line="17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Our credit facilities are described in Note 13 of our annual audited consolidated financial statements included in our Annual Report on Form 20-F filed with the SEC on March 5, 2021 and Note 7 of our unaudited condensed consolidated financial statements included elsewhere in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2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As of March 31, 2021, GasLog’s current assets totaled $297.9 million, while current liabilities totaled $738.1 million, resulting in a negative working capital position of $440.2 million. Current liabilities include $315.0 million relating to the 8.875% Senior Notes, which will mature on March 22, 2022 (and we plan to refinance in due course), and $48.3 million of unearned revenue in relation to hires received in advance of March 31, 2021 (which represents a non-cash liability that will be recognized as revenue in April 2021 as the services are rendered).</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Considering the volatile commercial and financial market conditions experienced throughout 2020, we anticipate that our primary sources of funds for at least twelve months from the date of this report will be available cash, cash from operations and existing borrowings as well as the sale-and-leaseback transaction we concluded in January 2021 that released incremental liquidity of $34.8 million. We believe that these anticipated sources of funds will be sufficient to meet our liquidity needs and to comply with our banking covenants for at least twelve months from the date of this report and therefore it is appropriate to prepare the financial statements on a going concern basis. In addition to the 8.875% Senior Notes that mature on March 22, 2022 and we will need to refinance, we may enter into new debt facilities in the future, as well as equity or debt instruments, although there can be no assurance that we will be able to obtain additional debt or equity financing on terms acceptable to us, which will also depend on financial, commercial and other factors, as well as a significant recovery in capital market conditions and sustainable improvement of the LNG market, that are beyond our control. Our long-term ability to repay our debts and maintain compliance with our debt covenants for at least twelve months from the date of this report without reliance on additional sources of finance is also dependent on a sustainable longer-term recovery in the LNG charter market from the market disruption observed in 2020 as a result of the COVID-19 outbreak.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 ended March 31, 2020, compared to the three-month period ended March 31,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27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9"/>
              </w:rPr>
              <w:t>For the three months ended</w:t>
            </w:r>
          </w:p>
        </w:tc>
      </w:tr>
      <w:tr>
        <w:trPr>
          <w:trHeight w:val="234"/>
        </w:trPr>
        <w:tc>
          <w:tcPr>
            <w:tcW w:w="5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March 31, 2020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March 31, 2021</w:t>
            </w:r>
          </w:p>
        </w:tc>
      </w:tr>
      <w:tr>
        <w:trPr>
          <w:trHeight w:val="210"/>
        </w:trPr>
        <w:tc>
          <w:tcPr>
            <w:tcW w:w="512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260" w:type="dxa"/>
            <w:vAlign w:val="bottom"/>
            <w:tcBorders>
              <w:top w:val="single" w:sz="8" w:color="auto"/>
            </w:tcBorders>
            <w:shd w:val="clear" w:color="auto" w:fill="CCFFFF"/>
          </w:tcPr>
          <w:p>
            <w:pPr>
              <w:spacing w:after="0"/>
              <w:rPr>
                <w:sz w:val="18"/>
                <w:szCs w:val="18"/>
                <w:color w:val="auto"/>
              </w:rPr>
            </w:pPr>
          </w:p>
        </w:tc>
        <w:tc>
          <w:tcPr>
            <w:tcW w:w="160" w:type="dxa"/>
            <w:vAlign w:val="bottom"/>
            <w:tcBorders>
              <w:top w:val="single" w:sz="8" w:color="CCFFFF"/>
            </w:tcBorders>
            <w:shd w:val="clear" w:color="auto" w:fill="CCFFFF"/>
          </w:tcPr>
          <w:p>
            <w:pPr>
              <w:spacing w:after="0"/>
              <w:rPr>
                <w:sz w:val="18"/>
                <w:szCs w:val="18"/>
                <w:color w:val="auto"/>
              </w:rPr>
            </w:pPr>
          </w:p>
        </w:tc>
        <w:tc>
          <w:tcPr>
            <w:tcW w:w="1240" w:type="dxa"/>
            <w:vAlign w:val="bottom"/>
            <w:tcBorders>
              <w:top w:val="single" w:sz="8" w:color="auto"/>
            </w:tcBorders>
            <w:shd w:val="clear" w:color="auto" w:fill="CCFFFF"/>
          </w:tcPr>
          <w:p>
            <w:pPr>
              <w:spacing w:after="0"/>
              <w:rPr>
                <w:sz w:val="18"/>
                <w:szCs w:val="18"/>
                <w:color w:val="auto"/>
              </w:rPr>
            </w:pPr>
          </w:p>
        </w:tc>
        <w:tc>
          <w:tcPr>
            <w:tcW w:w="80" w:type="dxa"/>
            <w:vAlign w:val="bottom"/>
            <w:tcBorders>
              <w:top w:val="single" w:sz="8" w:color="CCFFFF"/>
            </w:tcBorders>
            <w:shd w:val="clear" w:color="auto" w:fill="CCFF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86,344</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142,540</w:t>
            </w:r>
          </w:p>
        </w:tc>
      </w:tr>
      <w:tr>
        <w:trPr>
          <w:trHeight w:val="216"/>
        </w:trPr>
        <w:tc>
          <w:tcPr>
            <w:tcW w:w="5120" w:type="dxa"/>
            <w:vAlign w:val="bottom"/>
            <w:shd w:val="clear" w:color="auto" w:fill="CCFFFF"/>
          </w:tcPr>
          <w:p>
            <w:pPr>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(55,143)</w:t>
            </w:r>
          </w:p>
        </w:tc>
        <w:tc>
          <w:tcPr>
            <w:tcW w:w="132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(163,835)</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(40,580)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(112,122)</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right="440" w:firstLine="324"/>
        <w:spacing w:after="0" w:line="311" w:lineRule="auto"/>
        <w:rPr>
          <w:sz w:val="20"/>
          <w:szCs w:val="20"/>
          <w:color w:val="auto"/>
        </w:rPr>
      </w:pPr>
      <w:r>
        <w:rPr>
          <w:rFonts w:ascii="Arial" w:cs="Arial" w:eastAsia="Arial" w:hAnsi="Arial"/>
          <w:sz w:val="16"/>
          <w:szCs w:val="16"/>
          <w:color w:val="auto"/>
        </w:rPr>
        <w:t>Net cash provided by operating activities increased by $56.2 million, from $86.3 million during the three-month period ended March 31, 2020 to $142.5 million during the three-month period ended March 31, 2021. The increase is mainly attributable to an increase in revenues of $39.4 million, a decrease of $19.9 million in movements of the working capital accounts (mainly driven by a $30.7 million decrease in unearned revenue collected,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right="160"/>
        <w:spacing w:after="0" w:line="277" w:lineRule="auto"/>
        <w:rPr>
          <w:sz w:val="20"/>
          <w:szCs w:val="20"/>
          <w:color w:val="auto"/>
        </w:rPr>
      </w:pPr>
      <w:r>
        <w:rPr>
          <w:rFonts w:ascii="Arial" w:cs="Arial" w:eastAsia="Arial" w:hAnsi="Arial"/>
          <w:sz w:val="18"/>
          <w:szCs w:val="18"/>
          <w:color w:val="auto"/>
        </w:rPr>
        <w:t>partially offset by a decrease of $14.9 million in movements of trade payable balances) and a net increase of $1.2 million from the remaining movements, partially offset by an increase of $4.2 million in vessel operating and supervision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Net cash used in investing activities increased by $108.7 million, from $55.1 million in the three-month period ended March 31, 2020 to $163.8 million in the three-month period ended March 31, 2021. The increase is mainly attributable to an increase of $104.6 million in net cash used in payments for the construction costs of newbuildings and other fixed assets, a decrease of $4.5 million in cash from short-term investments in the three-month period ended March 31, 2021 (compared to the same period of 2020) and a decrease of $0.5 million in cash from interest income, partially offset by a decrease of $1.0 million in net cash used in payments for right-of-use assets.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Net cash used in financing activities increased by $71.5 million, from $40.6 million in the three-month period ended March 31, 2020 to $112.1 million in the three-month period ended March 31, 2021. The increase is mainly attributable to an increase of $93.8 million bank loan and bond repayments and a decrease of $86.6 million in proceeds from bank loans and bonds, partially offset by a net movement of $73.3 million in cash collaterals for swaps, a decrease of $20.0 million in dividend payments, a decrease of $5.5 million in cash paid for interest, a decrease of $4.1 million relating to the payment for the termination of cross currency swaps, a decrease of $3.0 million in cash used for purchases of treasury shares, a decrease of $1.9 million in payments for bond repurchase at a premium and a net decrease of $1.1 million in net payments of loan issuance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 and Days from Time Charters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table summarizes GasLog’s (including the vessels contributed or sold to GasLog Partners) contracted charter revenues and contract cover after March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8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3"/>
              </w:rPr>
              <w:t>Contracted Charter Revenues and Days from Time Charters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5"/>
              </w:rPr>
              <w:t>After</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tcPr>
          <w:p>
            <w:pPr>
              <w:spacing w:after="0"/>
              <w:rPr>
                <w:sz w:val="20"/>
                <w:szCs w:val="20"/>
                <w:color w:val="auto"/>
              </w:rPr>
            </w:pPr>
          </w:p>
        </w:tc>
        <w:tc>
          <w:tcPr>
            <w:tcW w:w="348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89"/>
              </w:rPr>
              <w:t>For the years ending December 31,</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6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2024</w:t>
            </w:r>
          </w:p>
        </w:tc>
        <w:tc>
          <w:tcPr>
            <w:tcW w:w="12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2025-2032</w:t>
            </w:r>
          </w:p>
        </w:tc>
        <w:tc>
          <w:tcPr>
            <w:tcW w:w="8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r>
      <w:tr>
        <w:trPr>
          <w:trHeight w:val="210"/>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 millions of U.S. dollars, except days and percentages)</w:t>
            </w:r>
          </w:p>
        </w:tc>
        <w:tc>
          <w:tcPr>
            <w:tcW w:w="160" w:type="dxa"/>
            <w:vAlign w:val="bottom"/>
          </w:tcPr>
          <w:p>
            <w:pPr>
              <w:spacing w:after="0"/>
              <w:rPr>
                <w:sz w:val="18"/>
                <w:szCs w:val="18"/>
                <w:color w:val="auto"/>
              </w:rPr>
            </w:pPr>
          </w:p>
        </w:tc>
      </w:tr>
      <w:tr>
        <w:trPr>
          <w:trHeight w:val="256"/>
        </w:trPr>
        <w:tc>
          <w:tcPr>
            <w:tcW w:w="4280" w:type="dxa"/>
            <w:vAlign w:val="bottom"/>
            <w:shd w:val="clear" w:color="auto" w:fill="CCFF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w:t>
            </w:r>
          </w:p>
        </w:tc>
        <w:tc>
          <w:tcPr>
            <w:tcW w:w="1280" w:type="dxa"/>
            <w:vAlign w:val="bottom"/>
            <w:gridSpan w:val="3"/>
            <w:shd w:val="clear" w:color="auto" w:fill="CCFFFF"/>
          </w:tcPr>
          <w:p>
            <w:pPr>
              <w:jc w:val="right"/>
              <w:ind w:right="190"/>
              <w:spacing w:after="0"/>
              <w:rPr>
                <w:sz w:val="20"/>
                <w:szCs w:val="20"/>
                <w:color w:val="auto"/>
              </w:rPr>
            </w:pPr>
            <w:r>
              <w:rPr>
                <w:rFonts w:ascii="Arial" w:cs="Arial" w:eastAsia="Arial" w:hAnsi="Arial"/>
                <w:sz w:val="18"/>
                <w:szCs w:val="18"/>
                <w:color w:val="auto"/>
              </w:rPr>
              <w:t>433.4</w:t>
            </w:r>
          </w:p>
        </w:tc>
        <w:tc>
          <w:tcPr>
            <w:tcW w:w="1220" w:type="dxa"/>
            <w:vAlign w:val="bottom"/>
            <w:shd w:val="clear" w:color="auto" w:fill="CCFFFF"/>
          </w:tcPr>
          <w:p>
            <w:pPr>
              <w:jc w:val="right"/>
              <w:ind w:right="250"/>
              <w:spacing w:after="0"/>
              <w:rPr>
                <w:sz w:val="20"/>
                <w:szCs w:val="20"/>
                <w:color w:val="auto"/>
              </w:rPr>
            </w:pPr>
            <w:r>
              <w:rPr>
                <w:rFonts w:ascii="Arial" w:cs="Arial" w:eastAsia="Arial" w:hAnsi="Arial"/>
                <w:sz w:val="18"/>
                <w:szCs w:val="18"/>
                <w:color w:val="auto"/>
              </w:rPr>
              <w:t>569.2</w:t>
            </w:r>
          </w:p>
        </w:tc>
        <w:tc>
          <w:tcPr>
            <w:tcW w:w="1160" w:type="dxa"/>
            <w:vAlign w:val="bottom"/>
            <w:shd w:val="clear" w:color="auto" w:fill="CCFFFF"/>
          </w:tcPr>
          <w:p>
            <w:pPr>
              <w:jc w:val="right"/>
              <w:ind w:right="250"/>
              <w:spacing w:after="0"/>
              <w:rPr>
                <w:sz w:val="20"/>
                <w:szCs w:val="20"/>
                <w:color w:val="auto"/>
              </w:rPr>
            </w:pPr>
            <w:r>
              <w:rPr>
                <w:rFonts w:ascii="Arial" w:cs="Arial" w:eastAsia="Arial" w:hAnsi="Arial"/>
                <w:sz w:val="18"/>
                <w:szCs w:val="18"/>
                <w:color w:val="auto"/>
              </w:rPr>
              <w:t>521.6</w:t>
            </w:r>
          </w:p>
        </w:tc>
        <w:tc>
          <w:tcPr>
            <w:tcW w:w="1060" w:type="dxa"/>
            <w:vAlign w:val="bottom"/>
            <w:shd w:val="clear" w:color="auto" w:fill="CCFFFF"/>
          </w:tcPr>
          <w:p>
            <w:pPr>
              <w:jc w:val="right"/>
              <w:ind w:right="150"/>
              <w:spacing w:after="0"/>
              <w:rPr>
                <w:sz w:val="20"/>
                <w:szCs w:val="20"/>
                <w:color w:val="auto"/>
              </w:rPr>
            </w:pPr>
            <w:r>
              <w:rPr>
                <w:rFonts w:ascii="Arial" w:cs="Arial" w:eastAsia="Arial" w:hAnsi="Arial"/>
                <w:sz w:val="18"/>
                <w:szCs w:val="18"/>
                <w:color w:val="auto"/>
              </w:rPr>
              <w:t>445.7</w:t>
            </w:r>
          </w:p>
        </w:tc>
        <w:tc>
          <w:tcPr>
            <w:tcW w:w="1260" w:type="dxa"/>
            <w:vAlign w:val="bottom"/>
            <w:shd w:val="clear" w:color="auto" w:fill="CCFFFF"/>
          </w:tcPr>
          <w:p>
            <w:pPr>
              <w:jc w:val="right"/>
              <w:ind w:right="250"/>
              <w:spacing w:after="0"/>
              <w:rPr>
                <w:sz w:val="20"/>
                <w:szCs w:val="20"/>
                <w:color w:val="auto"/>
              </w:rPr>
            </w:pPr>
            <w:r>
              <w:rPr>
                <w:rFonts w:ascii="Arial" w:cs="Arial" w:eastAsia="Arial" w:hAnsi="Arial"/>
                <w:sz w:val="18"/>
                <w:szCs w:val="18"/>
                <w:color w:val="auto"/>
              </w:rPr>
              <w:t>1,357.0</w:t>
            </w:r>
          </w:p>
        </w:tc>
        <w:tc>
          <w:tcPr>
            <w:tcW w:w="980" w:type="dxa"/>
            <w:vAlign w:val="bottom"/>
            <w:gridSpan w:val="2"/>
            <w:shd w:val="clear" w:color="auto" w:fill="CCFFFF"/>
          </w:tcPr>
          <w:p>
            <w:pPr>
              <w:jc w:val="right"/>
              <w:ind w:right="160"/>
              <w:spacing w:after="0"/>
              <w:rPr>
                <w:sz w:val="20"/>
                <w:szCs w:val="20"/>
                <w:color w:val="auto"/>
              </w:rPr>
            </w:pPr>
            <w:r>
              <w:rPr>
                <w:rFonts w:ascii="Arial" w:cs="Arial" w:eastAsia="Arial" w:hAnsi="Arial"/>
                <w:sz w:val="18"/>
                <w:szCs w:val="18"/>
                <w:color w:val="auto"/>
              </w:rPr>
              <w:t>3,326.9</w:t>
            </w:r>
          </w:p>
        </w:tc>
      </w:tr>
      <w:tr>
        <w:trPr>
          <w:trHeight w:val="257"/>
        </w:trPr>
        <w:tc>
          <w:tcPr>
            <w:tcW w:w="4280" w:type="dxa"/>
            <w:vAlign w:val="bottom"/>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1280" w:type="dxa"/>
            <w:vAlign w:val="bottom"/>
            <w:gridSpan w:val="3"/>
          </w:tcPr>
          <w:p>
            <w:pPr>
              <w:jc w:val="right"/>
              <w:ind w:right="190"/>
              <w:spacing w:after="0"/>
              <w:rPr>
                <w:sz w:val="20"/>
                <w:szCs w:val="20"/>
                <w:color w:val="auto"/>
              </w:rPr>
            </w:pPr>
            <w:r>
              <w:rPr>
                <w:rFonts w:ascii="Arial" w:cs="Arial" w:eastAsia="Arial" w:hAnsi="Arial"/>
                <w:sz w:val="18"/>
                <w:szCs w:val="18"/>
                <w:color w:val="auto"/>
              </w:rPr>
              <w:t>6,913</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8,322</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7,036</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5,887</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18,287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46,445</w:t>
            </w:r>
          </w:p>
        </w:tc>
      </w:tr>
      <w:tr>
        <w:trPr>
          <w:trHeight w:val="257"/>
        </w:trPr>
        <w:tc>
          <w:tcPr>
            <w:tcW w:w="4280" w:type="dxa"/>
            <w:vAlign w:val="bottom"/>
            <w:shd w:val="clear" w:color="auto" w:fill="CCFF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(2)</w:t>
            </w:r>
          </w:p>
        </w:tc>
        <w:tc>
          <w:tcPr>
            <w:tcW w:w="1280" w:type="dxa"/>
            <w:vAlign w:val="bottom"/>
            <w:gridSpan w:val="3"/>
            <w:shd w:val="clear" w:color="auto" w:fill="CCFFFF"/>
          </w:tcPr>
          <w:p>
            <w:pPr>
              <w:jc w:val="right"/>
              <w:ind w:right="190"/>
              <w:spacing w:after="0"/>
              <w:rPr>
                <w:sz w:val="20"/>
                <w:szCs w:val="20"/>
                <w:color w:val="auto"/>
              </w:rPr>
            </w:pPr>
            <w:r>
              <w:rPr>
                <w:rFonts w:ascii="Arial" w:cs="Arial" w:eastAsia="Arial" w:hAnsi="Arial"/>
                <w:sz w:val="18"/>
                <w:szCs w:val="18"/>
                <w:color w:val="auto"/>
              </w:rPr>
              <w:t>9,207</w:t>
            </w:r>
          </w:p>
        </w:tc>
        <w:tc>
          <w:tcPr>
            <w:tcW w:w="1220" w:type="dxa"/>
            <w:vAlign w:val="bottom"/>
            <w:shd w:val="clear" w:color="auto" w:fill="CCFFFF"/>
          </w:tcPr>
          <w:p>
            <w:pPr>
              <w:jc w:val="right"/>
              <w:ind w:right="250"/>
              <w:spacing w:after="0"/>
              <w:rPr>
                <w:sz w:val="20"/>
                <w:szCs w:val="20"/>
                <w:color w:val="auto"/>
              </w:rPr>
            </w:pPr>
            <w:r>
              <w:rPr>
                <w:rFonts w:ascii="Arial" w:cs="Arial" w:eastAsia="Arial" w:hAnsi="Arial"/>
                <w:sz w:val="18"/>
                <w:szCs w:val="18"/>
                <w:color w:val="auto"/>
              </w:rPr>
              <w:t>12,775</w:t>
            </w:r>
          </w:p>
        </w:tc>
        <w:tc>
          <w:tcPr>
            <w:tcW w:w="1160" w:type="dxa"/>
            <w:vAlign w:val="bottom"/>
            <w:shd w:val="clear" w:color="auto" w:fill="CCFFFF"/>
          </w:tcPr>
          <w:p>
            <w:pPr>
              <w:jc w:val="right"/>
              <w:ind w:right="250"/>
              <w:spacing w:after="0"/>
              <w:rPr>
                <w:sz w:val="20"/>
                <w:szCs w:val="20"/>
                <w:color w:val="auto"/>
              </w:rPr>
            </w:pPr>
            <w:r>
              <w:rPr>
                <w:rFonts w:ascii="Arial" w:cs="Arial" w:eastAsia="Arial" w:hAnsi="Arial"/>
                <w:sz w:val="18"/>
                <w:szCs w:val="18"/>
                <w:color w:val="auto"/>
              </w:rPr>
              <w:t>12,535</w:t>
            </w:r>
          </w:p>
        </w:tc>
        <w:tc>
          <w:tcPr>
            <w:tcW w:w="1060" w:type="dxa"/>
            <w:vAlign w:val="bottom"/>
            <w:shd w:val="clear" w:color="auto" w:fill="CCFFFF"/>
          </w:tcPr>
          <w:p>
            <w:pPr>
              <w:jc w:val="right"/>
              <w:ind w:right="150"/>
              <w:spacing w:after="0"/>
              <w:rPr>
                <w:sz w:val="20"/>
                <w:szCs w:val="20"/>
                <w:color w:val="auto"/>
              </w:rPr>
            </w:pPr>
            <w:r>
              <w:rPr>
                <w:rFonts w:ascii="Arial" w:cs="Arial" w:eastAsia="Arial" w:hAnsi="Arial"/>
                <w:sz w:val="18"/>
                <w:szCs w:val="18"/>
                <w:color w:val="auto"/>
              </w:rPr>
              <w:t>12,690</w:t>
            </w:r>
          </w:p>
        </w:tc>
        <w:tc>
          <w:tcPr>
            <w:tcW w:w="1260" w:type="dxa"/>
            <w:vAlign w:val="bottom"/>
            <w:shd w:val="clear" w:color="auto" w:fill="CCFFFF"/>
          </w:tcPr>
          <w:p>
            <w:pPr>
              <w:jc w:val="right"/>
              <w:ind w:right="250"/>
              <w:spacing w:after="0"/>
              <w:rPr>
                <w:sz w:val="20"/>
                <w:szCs w:val="20"/>
                <w:color w:val="auto"/>
              </w:rPr>
            </w:pPr>
            <w:r>
              <w:rPr>
                <w:rFonts w:ascii="Arial" w:cs="Arial" w:eastAsia="Arial" w:hAnsi="Arial"/>
                <w:sz w:val="18"/>
                <w:szCs w:val="18"/>
                <w:color w:val="auto"/>
              </w:rPr>
              <w:t>100,560</w:t>
            </w:r>
          </w:p>
        </w:tc>
        <w:tc>
          <w:tcPr>
            <w:tcW w:w="980" w:type="dxa"/>
            <w:vAlign w:val="bottom"/>
            <w:gridSpan w:val="2"/>
            <w:shd w:val="clear" w:color="auto" w:fill="CCFFFF"/>
          </w:tcPr>
          <w:p>
            <w:pPr>
              <w:jc w:val="right"/>
              <w:ind w:right="160"/>
              <w:spacing w:after="0"/>
              <w:rPr>
                <w:sz w:val="20"/>
                <w:szCs w:val="20"/>
                <w:color w:val="auto"/>
              </w:rPr>
            </w:pPr>
            <w:r>
              <w:rPr>
                <w:rFonts w:ascii="Arial" w:cs="Arial" w:eastAsia="Arial" w:hAnsi="Arial"/>
                <w:sz w:val="18"/>
                <w:szCs w:val="18"/>
                <w:color w:val="auto"/>
              </w:rPr>
              <w:t>147,767</w:t>
            </w:r>
          </w:p>
        </w:tc>
      </w:tr>
      <w:tr>
        <w:trPr>
          <w:trHeight w:val="256"/>
        </w:trPr>
        <w:tc>
          <w:tcPr>
            <w:tcW w:w="4280" w:type="dxa"/>
            <w:vAlign w:val="bottom"/>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(3)</w:t>
            </w:r>
          </w:p>
        </w:tc>
        <w:tc>
          <w:tcPr>
            <w:tcW w:w="1280" w:type="dxa"/>
            <w:vAlign w:val="bottom"/>
            <w:gridSpan w:val="3"/>
          </w:tcPr>
          <w:p>
            <w:pPr>
              <w:jc w:val="right"/>
              <w:ind w:right="190"/>
              <w:spacing w:after="0"/>
              <w:rPr>
                <w:sz w:val="20"/>
                <w:szCs w:val="20"/>
                <w:color w:val="auto"/>
              </w:rPr>
            </w:pPr>
            <w:r>
              <w:rPr>
                <w:rFonts w:ascii="Arial" w:cs="Arial" w:eastAsia="Arial" w:hAnsi="Arial"/>
                <w:sz w:val="18"/>
                <w:szCs w:val="18"/>
                <w:color w:val="auto"/>
              </w:rPr>
              <w:t>2,294</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4,453</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5,499</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6,803</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82,273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101,322</w:t>
            </w:r>
          </w:p>
        </w:tc>
      </w:tr>
      <w:tr>
        <w:trPr>
          <w:trHeight w:val="216"/>
        </w:trPr>
        <w:tc>
          <w:tcPr>
            <w:tcW w:w="4280" w:type="dxa"/>
            <w:vAlign w:val="bottom"/>
            <w:shd w:val="clear" w:color="auto" w:fill="CCFFFF"/>
          </w:tcPr>
          <w:p>
            <w:pPr>
              <w:spacing w:after="0"/>
              <w:rPr>
                <w:sz w:val="20"/>
                <w:szCs w:val="20"/>
                <w:color w:val="auto"/>
              </w:rPr>
            </w:pPr>
            <w:r>
              <w:rPr>
                <w:rFonts w:ascii="Arial" w:cs="Arial" w:eastAsia="Arial" w:hAnsi="Arial"/>
                <w:sz w:val="18"/>
                <w:szCs w:val="18"/>
                <w:color w:val="auto"/>
                <w:w w:val="96"/>
              </w:rPr>
              <w:t>Percentage of total contracted days/total available days</w:t>
            </w:r>
          </w:p>
        </w:tc>
        <w:tc>
          <w:tcPr>
            <w:tcW w:w="1280" w:type="dxa"/>
            <w:vAlign w:val="bottom"/>
            <w:gridSpan w:val="3"/>
            <w:shd w:val="clear" w:color="auto" w:fill="CCFFFF"/>
          </w:tcPr>
          <w:p>
            <w:pPr>
              <w:jc w:val="right"/>
              <w:ind w:right="30"/>
              <w:spacing w:after="0"/>
              <w:rPr>
                <w:sz w:val="20"/>
                <w:szCs w:val="20"/>
                <w:color w:val="auto"/>
              </w:rPr>
            </w:pPr>
            <w:r>
              <w:rPr>
                <w:rFonts w:ascii="Arial" w:cs="Arial" w:eastAsia="Arial" w:hAnsi="Arial"/>
                <w:sz w:val="18"/>
                <w:szCs w:val="18"/>
                <w:color w:val="auto"/>
              </w:rPr>
              <w:t>75.1%</w:t>
            </w:r>
          </w:p>
        </w:tc>
        <w:tc>
          <w:tcPr>
            <w:tcW w:w="1220" w:type="dxa"/>
            <w:vAlign w:val="bottom"/>
            <w:shd w:val="clear" w:color="auto" w:fill="CCFFFF"/>
          </w:tcPr>
          <w:p>
            <w:pPr>
              <w:jc w:val="right"/>
              <w:ind w:right="110"/>
              <w:spacing w:after="0"/>
              <w:rPr>
                <w:sz w:val="20"/>
                <w:szCs w:val="20"/>
                <w:color w:val="auto"/>
              </w:rPr>
            </w:pPr>
            <w:r>
              <w:rPr>
                <w:rFonts w:ascii="Arial" w:cs="Arial" w:eastAsia="Arial" w:hAnsi="Arial"/>
                <w:sz w:val="18"/>
                <w:szCs w:val="18"/>
                <w:color w:val="auto"/>
              </w:rPr>
              <w:t>65.1%</w:t>
            </w:r>
          </w:p>
        </w:tc>
        <w:tc>
          <w:tcPr>
            <w:tcW w:w="1160" w:type="dxa"/>
            <w:vAlign w:val="bottom"/>
            <w:shd w:val="clear" w:color="auto" w:fill="CCFFFF"/>
          </w:tcPr>
          <w:p>
            <w:pPr>
              <w:jc w:val="right"/>
              <w:ind w:right="110"/>
              <w:spacing w:after="0"/>
              <w:rPr>
                <w:sz w:val="20"/>
                <w:szCs w:val="20"/>
                <w:color w:val="auto"/>
              </w:rPr>
            </w:pPr>
            <w:r>
              <w:rPr>
                <w:rFonts w:ascii="Arial" w:cs="Arial" w:eastAsia="Arial" w:hAnsi="Arial"/>
                <w:sz w:val="18"/>
                <w:szCs w:val="18"/>
                <w:color w:val="auto"/>
              </w:rPr>
              <w:t>56.1%</w:t>
            </w:r>
          </w:p>
        </w:tc>
        <w:tc>
          <w:tcPr>
            <w:tcW w:w="1060" w:type="dxa"/>
            <w:vAlign w:val="bottom"/>
            <w:shd w:val="clear" w:color="auto" w:fill="CCFFFF"/>
          </w:tcPr>
          <w:p>
            <w:pPr>
              <w:jc w:val="right"/>
              <w:ind w:right="10"/>
              <w:spacing w:after="0"/>
              <w:rPr>
                <w:sz w:val="20"/>
                <w:szCs w:val="20"/>
                <w:color w:val="auto"/>
              </w:rPr>
            </w:pPr>
            <w:r>
              <w:rPr>
                <w:rFonts w:ascii="Arial" w:cs="Arial" w:eastAsia="Arial" w:hAnsi="Arial"/>
                <w:sz w:val="18"/>
                <w:szCs w:val="18"/>
                <w:color w:val="auto"/>
              </w:rPr>
              <w:t>46.4%</w:t>
            </w:r>
          </w:p>
        </w:tc>
        <w:tc>
          <w:tcPr>
            <w:tcW w:w="1260" w:type="dxa"/>
            <w:vAlign w:val="bottom"/>
            <w:shd w:val="clear" w:color="auto" w:fill="CCFFFF"/>
          </w:tcPr>
          <w:p>
            <w:pPr>
              <w:jc w:val="right"/>
              <w:ind w:right="110"/>
              <w:spacing w:after="0"/>
              <w:rPr>
                <w:sz w:val="20"/>
                <w:szCs w:val="20"/>
                <w:color w:val="auto"/>
              </w:rPr>
            </w:pPr>
            <w:r>
              <w:rPr>
                <w:rFonts w:ascii="Arial" w:cs="Arial" w:eastAsia="Arial" w:hAnsi="Arial"/>
                <w:sz w:val="18"/>
                <w:szCs w:val="18"/>
                <w:color w:val="auto"/>
              </w:rPr>
              <w:t>18.2%</w:t>
            </w:r>
          </w:p>
        </w:tc>
        <w:tc>
          <w:tcPr>
            <w:tcW w:w="98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31.4%</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After giving effect to the charter parties signed from March 31, 2021 until May 6, 2021, the contracted time charter revenues and the percentage of total contracted days to total available days for the remaining quarters of 2021 increased to $451.1 million and 80.1%,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9" w:lineRule="exact"/>
        <w:rPr>
          <w:sz w:val="20"/>
          <w:szCs w:val="20"/>
          <w:color w:val="auto"/>
        </w:rPr>
      </w:pPr>
    </w:p>
    <w:p>
      <w:pPr>
        <w:ind w:left="340" w:hanging="332"/>
        <w:spacing w:after="0" w:line="266" w:lineRule="auto"/>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6"/>
          <w:szCs w:val="16"/>
          <w:color w:val="auto"/>
        </w:rPr>
        <w:t xml:space="preserve">Reflects time charter revenues and contracted days for 15 of our currently wholly owned vessels, the 15 vessels owned by the Partnership, the three bareboat vessels and the two newbuildings on order for which we have secured time charters. Does not include charter revenues for the </w:t>
      </w:r>
      <w:r>
        <w:rPr>
          <w:rFonts w:ascii="Arial" w:cs="Arial" w:eastAsia="Arial" w:hAnsi="Arial"/>
          <w:sz w:val="16"/>
          <w:szCs w:val="16"/>
          <w:i w:val="1"/>
          <w:iCs w:val="1"/>
          <w:color w:val="auto"/>
        </w:rPr>
        <w:t>Methane Nile</w:t>
      </w:r>
      <w:r>
        <w:rPr>
          <w:rFonts w:ascii="Arial" w:cs="Arial" w:eastAsia="Arial" w:hAnsi="Arial"/>
          <w:sz w:val="16"/>
          <w:szCs w:val="16"/>
          <w:color w:val="auto"/>
        </w:rPr>
        <w:t xml:space="preserve"> </w:t>
      </w:r>
      <w:r>
        <w:rPr>
          <w:rFonts w:ascii="Arial" w:cs="Arial" w:eastAsia="Arial" w:hAnsi="Arial"/>
          <w:sz w:val="16"/>
          <w:szCs w:val="16"/>
          <w:i w:val="1"/>
          <w:iCs w:val="1"/>
          <w:color w:val="auto"/>
        </w:rPr>
        <w:t>Eagle</w:t>
      </w:r>
      <w:r>
        <w:rPr>
          <w:rFonts w:ascii="Arial" w:cs="Arial" w:eastAsia="Arial" w:hAnsi="Arial"/>
          <w:sz w:val="16"/>
          <w:szCs w:val="16"/>
          <w:color w:val="auto"/>
        </w:rPr>
        <w:t>, in which we hold a 25% minority interest. Contracted revenue calculations assume: (a) 365 revenue days per annum, with 30 off-hire days</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 For time charters that are based on a variable rate of hire within an agreed range during the charter period, the lower end of the range is used for this calculation.</w:t>
      </w:r>
    </w:p>
    <w:p>
      <w:pPr>
        <w:spacing w:after="0" w:line="184" w:lineRule="exact"/>
        <w:rPr>
          <w:rFonts w:ascii="Arial" w:cs="Arial" w:eastAsia="Arial" w:hAnsi="Arial"/>
          <w:sz w:val="27"/>
          <w:szCs w:val="27"/>
          <w:color w:val="auto"/>
          <w:vertAlign w:val="superscript"/>
        </w:rPr>
      </w:pPr>
    </w:p>
    <w:p>
      <w:pPr>
        <w:ind w:left="340" w:right="220" w:hanging="332"/>
        <w:spacing w:after="0" w:line="194"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Available days represent total calendar days after deducting 30 off-hire days when the ship undergoes scheduled dry-docking. The available days for the vessels operating in the spot/short-term market are included.</w:t>
      </w:r>
    </w:p>
    <w:p>
      <w:pPr>
        <w:spacing w:after="0" w:line="201" w:lineRule="exact"/>
        <w:rPr>
          <w:rFonts w:ascii="Arial" w:cs="Arial" w:eastAsia="Arial" w:hAnsi="Arial"/>
          <w:sz w:val="30"/>
          <w:szCs w:val="30"/>
          <w:color w:val="auto"/>
          <w:vertAlign w:val="superscript"/>
        </w:rPr>
      </w:pPr>
    </w:p>
    <w:p>
      <w:pPr>
        <w:ind w:left="340" w:right="180" w:hanging="332"/>
        <w:spacing w:after="0" w:line="194"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Represents available days for ships after the expiration of existing charters (assuming charterers do not exercise any option to extend the terms of the charters) and the available days for the vessels operating in the spot/short-term market.</w:t>
      </w:r>
    </w:p>
    <w:p>
      <w:pPr>
        <w:spacing w:after="0" w:line="20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Other than the assumptions reflected in the footnotes to the table, including our assumption that our newbuildings are delivered on schedule, the table does not reflect events occurring after March 31, 2021.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any additional ships we may acquire in the future, nor does it reflect the options under our time charters that permit our charterers to extend the time charter terms for successive multi-year periods. The entry into new time charter contracts for the vessels that are operating in the spot market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w:t>
      </w:r>
    </w:p>
    <w:p>
      <w:pPr>
        <w:sectPr>
          <w:pgSz w:w="11900" w:h="16838" w:orient="portrait"/>
          <w:cols w:equalWidth="0" w:num="1">
            <w:col w:w="11240"/>
          </w:cols>
          <w:pgMar w:left="320" w:top="908" w:right="339" w:bottom="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spacing w:after="0" w:line="257" w:lineRule="auto"/>
        <w:rPr>
          <w:sz w:val="20"/>
          <w:szCs w:val="20"/>
          <w:color w:val="auto"/>
        </w:rPr>
      </w:pPr>
      <w:r>
        <w:rPr>
          <w:rFonts w:ascii="Arial" w:cs="Arial" w:eastAsia="Arial" w:hAnsi="Arial"/>
          <w:sz w:val="18"/>
          <w:szCs w:val="18"/>
          <w:color w:val="auto"/>
        </w:rPr>
        <w:t>with the SEC on March 5, 2021.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For a description of all of our significant accounting policies, see Note 2 of our annual audited consolidated financial statements included in our Annual Report on Form 20-F filed on March 5, 2021 and Note 2 of our unaudited condensed consolidated financial statements included elsewhere in this report.</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40" w:type="dxa"/>
            <w:vAlign w:val="bottom"/>
            <w:gridSpan w:val="7"/>
          </w:tcPr>
          <w:p>
            <w:pPr>
              <w:ind w:left="2940"/>
              <w:spacing w:after="0"/>
              <w:rPr>
                <w:sz w:val="20"/>
                <w:szCs w:val="20"/>
                <w:color w:val="auto"/>
              </w:rPr>
            </w:pPr>
            <w:r>
              <w:rPr>
                <w:rFonts w:ascii="Arial" w:cs="Arial" w:eastAsia="Arial" w:hAnsi="Arial"/>
                <w:sz w:val="18"/>
                <w:szCs w:val="18"/>
                <w:b w:val="1"/>
                <w:bCs w:val="1"/>
                <w:color w:val="auto"/>
              </w:rPr>
              <w:t>INDEX TO UNAUDITED CONDENSED CONSOLIDATED FINANCIAL STATEMENTS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4"/>
        </w:trPr>
        <w:tc>
          <w:tcPr>
            <w:tcW w:w="48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09"/>
        </w:trPr>
        <w:tc>
          <w:tcPr>
            <w:tcW w:w="48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96"/>
        </w:trPr>
        <w:tc>
          <w:tcPr>
            <w:tcW w:w="8160" w:type="dxa"/>
            <w:vAlign w:val="bottom"/>
            <w:tcBorders>
              <w:bottom w:val="single" w:sz="8" w:color="0000EE"/>
            </w:tcBorders>
            <w:gridSpan w:val="2"/>
            <w:shd w:val="clear" w:color="auto" w:fill="CCFFFF"/>
          </w:tcPr>
          <w:p>
            <w:pPr>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Unaudited condensed consolidated statements of financial position as of December 31, 2020 and March 31, 2021</w:t>
              </w:r>
            </w:hyperlink>
          </w:p>
        </w:tc>
        <w:tc>
          <w:tcPr>
            <w:tcW w:w="2180" w:type="dxa"/>
            <w:vAlign w:val="bottom"/>
            <w:tcBorders>
              <w:bottom w:val="single" w:sz="8" w:color="CCFFFF"/>
            </w:tcBorders>
            <w:gridSpan w:val="5"/>
            <w:shd w:val="clear" w:color="auto" w:fill="CCFFFF"/>
          </w:tcPr>
          <w:p>
            <w:pPr>
              <w:spacing w:after="0"/>
              <w:rPr>
                <w:sz w:val="17"/>
                <w:szCs w:val="17"/>
                <w:color w:val="auto"/>
              </w:rPr>
            </w:pPr>
          </w:p>
        </w:tc>
        <w:tc>
          <w:tcPr>
            <w:tcW w:w="320" w:type="dxa"/>
            <w:vAlign w:val="bottom"/>
            <w:tcBorders>
              <w:bottom w:val="single" w:sz="8" w:color="CCFFFF"/>
            </w:tcBorders>
            <w:shd w:val="clear" w:color="auto" w:fill="CCFFFF"/>
          </w:tcPr>
          <w:p>
            <w:pPr>
              <w:spacing w:after="0"/>
              <w:rPr>
                <w:sz w:val="17"/>
                <w:szCs w:val="17"/>
                <w:color w:val="auto"/>
              </w:rPr>
            </w:pPr>
          </w:p>
        </w:tc>
        <w:tc>
          <w:tcPr>
            <w:tcW w:w="260" w:type="dxa"/>
            <w:vAlign w:val="bottom"/>
            <w:tcBorders>
              <w:bottom w:val="single" w:sz="8" w:color="0000EE"/>
            </w:tcBorders>
            <w:shd w:val="clear" w:color="auto" w:fill="CCFFFF"/>
          </w:tcPr>
          <w:p>
            <w:pPr>
              <w:jc w:val="center"/>
              <w:spacing w:after="0" w:line="17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F-2</w:t>
              </w:r>
            </w:hyperlink>
          </w:p>
        </w:tc>
        <w:tc>
          <w:tcPr>
            <w:tcW w:w="320" w:type="dxa"/>
            <w:vAlign w:val="bottom"/>
            <w:tcBorders>
              <w:bottom w:val="single" w:sz="8" w:color="CCFFFF"/>
            </w:tcBorders>
            <w:shd w:val="clear" w:color="auto" w:fill="CCFFFF"/>
          </w:tcPr>
          <w:p>
            <w:pPr>
              <w:spacing w:after="0"/>
              <w:rPr>
                <w:sz w:val="17"/>
                <w:szCs w:val="17"/>
                <w:color w:val="auto"/>
              </w:rPr>
            </w:pPr>
          </w:p>
        </w:tc>
      </w:tr>
      <w:tr>
        <w:trPr>
          <w:trHeight w:val="175"/>
        </w:trPr>
        <w:tc>
          <w:tcPr>
            <w:tcW w:w="10340" w:type="dxa"/>
            <w:vAlign w:val="bottom"/>
            <w:gridSpan w:val="7"/>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Unaudited condensed consolidated statements of profit or loss for the three months ended March 31, 2020 and 2021</w:t>
              </w:r>
            </w:hyperlink>
          </w:p>
        </w:tc>
        <w:tc>
          <w:tcPr>
            <w:tcW w:w="900" w:type="dxa"/>
            <w:vAlign w:val="bottom"/>
            <w:gridSpan w:val="3"/>
          </w:tcPr>
          <w:p>
            <w:pPr>
              <w:jc w:val="center"/>
              <w:spacing w:after="0" w:line="176"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F-3</w:t>
              </w:r>
            </w:hyperlink>
          </w:p>
        </w:tc>
      </w:tr>
      <w:tr>
        <w:trPr>
          <w:trHeight w:val="21"/>
        </w:trPr>
        <w:tc>
          <w:tcPr>
            <w:tcW w:w="486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620" w:type="dxa"/>
            <w:vAlign w:val="bottom"/>
            <w:tcBorders>
              <w:bottom w:val="single" w:sz="8" w:color="0000EE"/>
            </w:tcBorders>
            <w:gridSpan w:val="6"/>
            <w:shd w:val="clear" w:color="auto" w:fill="CCFFFF"/>
          </w:tcPr>
          <w:p>
            <w:pPr>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Unaudited condensed consolidated statements of comprehensive income or loss for the three months ended March 31, 2020 and 2021</w:t>
              </w:r>
            </w:hyperlink>
          </w:p>
        </w:tc>
        <w:tc>
          <w:tcPr>
            <w:tcW w:w="720" w:type="dxa"/>
            <w:vAlign w:val="bottom"/>
            <w:tcBorders>
              <w:bottom w:val="single" w:sz="8" w:color="CCFFFF"/>
            </w:tcBorders>
            <w:shd w:val="clear" w:color="auto" w:fill="CCFFFF"/>
          </w:tcPr>
          <w:p>
            <w:pPr>
              <w:spacing w:after="0"/>
              <w:rPr>
                <w:sz w:val="17"/>
                <w:szCs w:val="17"/>
                <w:color w:val="auto"/>
              </w:rPr>
            </w:pPr>
          </w:p>
        </w:tc>
        <w:tc>
          <w:tcPr>
            <w:tcW w:w="320" w:type="dxa"/>
            <w:vAlign w:val="bottom"/>
            <w:tcBorders>
              <w:bottom w:val="single" w:sz="8" w:color="CCFFFF"/>
            </w:tcBorders>
            <w:shd w:val="clear" w:color="auto" w:fill="CCFFFF"/>
          </w:tcPr>
          <w:p>
            <w:pPr>
              <w:spacing w:after="0"/>
              <w:rPr>
                <w:sz w:val="17"/>
                <w:szCs w:val="17"/>
                <w:color w:val="auto"/>
              </w:rPr>
            </w:pPr>
          </w:p>
        </w:tc>
        <w:tc>
          <w:tcPr>
            <w:tcW w:w="260" w:type="dxa"/>
            <w:vAlign w:val="bottom"/>
            <w:tcBorders>
              <w:bottom w:val="single" w:sz="8" w:color="0000EE"/>
            </w:tcBorders>
            <w:shd w:val="clear" w:color="auto" w:fill="CCFFFF"/>
          </w:tcPr>
          <w:p>
            <w:pPr>
              <w:jc w:val="center"/>
              <w:spacing w:after="0" w:line="176"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F-4</w:t>
              </w:r>
            </w:hyperlink>
          </w:p>
        </w:tc>
        <w:tc>
          <w:tcPr>
            <w:tcW w:w="320" w:type="dxa"/>
            <w:vAlign w:val="bottom"/>
            <w:tcBorders>
              <w:bottom w:val="single" w:sz="8" w:color="CCFFFF"/>
            </w:tcBorders>
            <w:shd w:val="clear" w:color="auto" w:fill="CCFFFF"/>
          </w:tcPr>
          <w:p>
            <w:pPr>
              <w:spacing w:after="0"/>
              <w:rPr>
                <w:sz w:val="17"/>
                <w:szCs w:val="17"/>
                <w:color w:val="auto"/>
              </w:rPr>
            </w:pPr>
          </w:p>
        </w:tc>
      </w:tr>
      <w:tr>
        <w:trPr>
          <w:trHeight w:val="175"/>
        </w:trPr>
        <w:tc>
          <w:tcPr>
            <w:tcW w:w="10340" w:type="dxa"/>
            <w:vAlign w:val="bottom"/>
            <w:gridSpan w:val="7"/>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Unaudited condensed consolidated statements of changes in equity for the three months ended March 31, 2020 and 2021</w:t>
              </w:r>
            </w:hyperlink>
          </w:p>
        </w:tc>
        <w:tc>
          <w:tcPr>
            <w:tcW w:w="900" w:type="dxa"/>
            <w:vAlign w:val="bottom"/>
            <w:gridSpan w:val="3"/>
          </w:tcPr>
          <w:p>
            <w:pPr>
              <w:jc w:val="center"/>
              <w:spacing w:after="0" w:line="176"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F-5</w:t>
              </w:r>
            </w:hyperlink>
          </w:p>
        </w:tc>
      </w:tr>
      <w:tr>
        <w:trPr>
          <w:trHeight w:val="21"/>
        </w:trPr>
        <w:tc>
          <w:tcPr>
            <w:tcW w:w="486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8200" w:type="dxa"/>
            <w:vAlign w:val="bottom"/>
            <w:tcBorders>
              <w:bottom w:val="single" w:sz="8" w:color="0000EE"/>
            </w:tcBorders>
            <w:gridSpan w:val="3"/>
            <w:shd w:val="clear" w:color="auto" w:fill="CCFFFF"/>
          </w:tcPr>
          <w:p>
            <w:pP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Unaudited condensed consolidated statements of cash flows for the three months ended March 31, 2020 and 2021</w:t>
              </w:r>
            </w:hyperlink>
          </w:p>
        </w:tc>
        <w:tc>
          <w:tcPr>
            <w:tcW w:w="2140" w:type="dxa"/>
            <w:vAlign w:val="bottom"/>
            <w:tcBorders>
              <w:bottom w:val="single" w:sz="8" w:color="CCFFFF"/>
            </w:tcBorders>
            <w:gridSpan w:val="4"/>
            <w:shd w:val="clear" w:color="auto" w:fill="CCFFFF"/>
          </w:tcPr>
          <w:p>
            <w:pPr>
              <w:spacing w:after="0"/>
              <w:rPr>
                <w:sz w:val="17"/>
                <w:szCs w:val="17"/>
                <w:color w:val="auto"/>
              </w:rPr>
            </w:pPr>
          </w:p>
        </w:tc>
        <w:tc>
          <w:tcPr>
            <w:tcW w:w="320" w:type="dxa"/>
            <w:vAlign w:val="bottom"/>
            <w:tcBorders>
              <w:bottom w:val="single" w:sz="8" w:color="CCFFFF"/>
            </w:tcBorders>
            <w:shd w:val="clear" w:color="auto" w:fill="CCFFFF"/>
          </w:tcPr>
          <w:p>
            <w:pPr>
              <w:spacing w:after="0"/>
              <w:rPr>
                <w:sz w:val="17"/>
                <w:szCs w:val="17"/>
                <w:color w:val="auto"/>
              </w:rPr>
            </w:pPr>
          </w:p>
        </w:tc>
        <w:tc>
          <w:tcPr>
            <w:tcW w:w="260" w:type="dxa"/>
            <w:vAlign w:val="bottom"/>
            <w:tcBorders>
              <w:bottom w:val="single" w:sz="8" w:color="0000EE"/>
            </w:tcBorders>
            <w:shd w:val="clear" w:color="auto" w:fill="CCFFFF"/>
          </w:tcPr>
          <w:p>
            <w:pPr>
              <w:jc w:val="center"/>
              <w:spacing w:after="0" w:line="17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F-6</w:t>
              </w:r>
            </w:hyperlink>
          </w:p>
        </w:tc>
        <w:tc>
          <w:tcPr>
            <w:tcW w:w="320" w:type="dxa"/>
            <w:vAlign w:val="bottom"/>
            <w:tcBorders>
              <w:bottom w:val="single" w:sz="8" w:color="CCFFFF"/>
            </w:tcBorders>
            <w:shd w:val="clear" w:color="auto" w:fill="CCFFFF"/>
          </w:tcPr>
          <w:p>
            <w:pPr>
              <w:spacing w:after="0"/>
              <w:rPr>
                <w:sz w:val="17"/>
                <w:szCs w:val="17"/>
                <w:color w:val="auto"/>
              </w:rPr>
            </w:pPr>
          </w:p>
        </w:tc>
      </w:tr>
      <w:tr>
        <w:trPr>
          <w:trHeight w:val="176"/>
        </w:trPr>
        <w:tc>
          <w:tcPr>
            <w:tcW w:w="10340" w:type="dxa"/>
            <w:vAlign w:val="bottom"/>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Notes to the unaudited condensed consolidated financial statements</w:t>
              </w:r>
            </w:hyperlink>
          </w:p>
        </w:tc>
        <w:tc>
          <w:tcPr>
            <w:tcW w:w="900" w:type="dxa"/>
            <w:vAlign w:val="bottom"/>
            <w:gridSpan w:val="3"/>
          </w:tcPr>
          <w:p>
            <w:pPr>
              <w:jc w:val="center"/>
              <w:spacing w:after="0" w:line="17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F-7</w:t>
              </w:r>
            </w:hyperlink>
          </w:p>
        </w:tc>
      </w:tr>
      <w:tr>
        <w:trPr>
          <w:trHeight w:val="668"/>
        </w:trPr>
        <w:tc>
          <w:tcPr>
            <w:tcW w:w="4860" w:type="dxa"/>
            <w:vAlign w:val="bottom"/>
            <w:tcBorders>
              <w:top w:val="single" w:sz="8" w:color="0000EE"/>
              <w:bottom w:val="single" w:sz="8" w:color="auto"/>
            </w:tcBorders>
          </w:tcPr>
          <w:p>
            <w:pPr>
              <w:spacing w:after="0"/>
              <w:rPr>
                <w:sz w:val="24"/>
                <w:szCs w:val="24"/>
                <w:color w:val="auto"/>
              </w:rPr>
            </w:pPr>
          </w:p>
        </w:tc>
        <w:tc>
          <w:tcPr>
            <w:tcW w:w="5480" w:type="dxa"/>
            <w:vAlign w:val="bottom"/>
            <w:tcBorders>
              <w:bottom w:val="single" w:sz="8" w:color="auto"/>
            </w:tcBorders>
            <w:gridSpan w:val="6"/>
          </w:tcPr>
          <w:p>
            <w:pPr>
              <w:ind w:left="640"/>
              <w:spacing w:after="0"/>
              <w:rPr>
                <w:sz w:val="20"/>
                <w:szCs w:val="20"/>
                <w:color w:val="auto"/>
              </w:rPr>
            </w:pPr>
            <w:r>
              <w:rPr>
                <w:rFonts w:ascii="Arial" w:cs="Arial" w:eastAsia="Arial" w:hAnsi="Arial"/>
                <w:sz w:val="18"/>
                <w:szCs w:val="18"/>
                <w:color w:val="auto"/>
              </w:rPr>
              <w:t>F-1</w:t>
            </w:r>
          </w:p>
        </w:tc>
        <w:tc>
          <w:tcPr>
            <w:tcW w:w="3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GasLog Ltd. and its Subsidiaries</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06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As of December 31, 2020 and March 31, 2021</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December 31,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6060" w:type="dxa"/>
            <w:vAlign w:val="bottom"/>
          </w:tcPr>
          <w:p>
            <w:pPr>
              <w:spacing w:after="0"/>
              <w:rPr>
                <w:sz w:val="20"/>
                <w:szCs w:val="20"/>
                <w:color w:val="auto"/>
              </w:rPr>
            </w:pP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606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shd w:val="clear" w:color="auto" w:fill="CCFFFF"/>
          </w:tcPr>
          <w:p>
            <w:pPr>
              <w:spacing w:after="0"/>
              <w:rPr>
                <w:sz w:val="18"/>
                <w:szCs w:val="18"/>
                <w:color w:val="auto"/>
              </w:rPr>
            </w:pPr>
          </w:p>
        </w:tc>
        <w:tc>
          <w:tcPr>
            <w:tcW w:w="320" w:type="dxa"/>
            <w:vAlign w:val="bottom"/>
            <w:tcBorders>
              <w:top w:val="single" w:sz="8" w:color="CCFFFF"/>
            </w:tcBorders>
            <w:shd w:val="clear" w:color="auto" w:fill="CCFFFF"/>
          </w:tcPr>
          <w:p>
            <w:pPr>
              <w:spacing w:after="0"/>
              <w:rPr>
                <w:sz w:val="18"/>
                <w:szCs w:val="18"/>
                <w:color w:val="auto"/>
              </w:rPr>
            </w:pPr>
          </w:p>
        </w:tc>
        <w:tc>
          <w:tcPr>
            <w:tcW w:w="1120" w:type="dxa"/>
            <w:vAlign w:val="bottom"/>
            <w:tcBorders>
              <w:top w:val="single" w:sz="8" w:color="auto"/>
            </w:tcBorders>
            <w:shd w:val="clear" w:color="auto" w:fill="CCFFFF"/>
          </w:tcPr>
          <w:p>
            <w:pPr>
              <w:spacing w:after="0"/>
              <w:rPr>
                <w:sz w:val="18"/>
                <w:szCs w:val="18"/>
                <w:color w:val="auto"/>
              </w:rPr>
            </w:pPr>
          </w:p>
        </w:tc>
        <w:tc>
          <w:tcPr>
            <w:tcW w:w="300" w:type="dxa"/>
            <w:vAlign w:val="bottom"/>
            <w:tcBorders>
              <w:top w:val="single" w:sz="8" w:color="CCFFFF"/>
            </w:tcBorders>
            <w:shd w:val="clear" w:color="auto" w:fill="CCFFFF"/>
          </w:tcPr>
          <w:p>
            <w:pPr>
              <w:spacing w:after="0"/>
              <w:rPr>
                <w:sz w:val="18"/>
                <w:szCs w:val="18"/>
                <w:color w:val="auto"/>
              </w:rPr>
            </w:pPr>
          </w:p>
        </w:tc>
        <w:tc>
          <w:tcPr>
            <w:tcW w:w="1100" w:type="dxa"/>
            <w:vAlign w:val="bottom"/>
            <w:tcBorders>
              <w:top w:val="single" w:sz="8" w:color="auto"/>
            </w:tcBorders>
            <w:shd w:val="clear" w:color="auto" w:fill="CCFFFF"/>
          </w:tcPr>
          <w:p>
            <w:pPr>
              <w:spacing w:after="0"/>
              <w:rPr>
                <w:sz w:val="18"/>
                <w:szCs w:val="18"/>
                <w:color w:val="auto"/>
              </w:rPr>
            </w:pPr>
          </w:p>
        </w:tc>
        <w:tc>
          <w:tcPr>
            <w:tcW w:w="80" w:type="dxa"/>
            <w:vAlign w:val="bottom"/>
            <w:tcBorders>
              <w:top w:val="single" w:sz="8" w:color="CCFFFF"/>
            </w:tcBorders>
            <w:shd w:val="clear" w:color="auto" w:fill="CCFF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Goodwill</w:t>
            </w:r>
          </w:p>
        </w:tc>
        <w:tc>
          <w:tcPr>
            <w:tcW w:w="112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9,511</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9,511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Investment in associates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3</w:t>
            </w: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21,759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22,326</w:t>
            </w: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Deferred financing costs</w:t>
            </w:r>
          </w:p>
        </w:tc>
        <w:tc>
          <w:tcPr>
            <w:tcW w:w="112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5,150</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5,915</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6</w:t>
            </w: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12,463</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6,186</w:t>
            </w: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Derivative financial instruments, non-current portion</w:t>
            </w:r>
          </w:p>
        </w:tc>
        <w:tc>
          <w:tcPr>
            <w:tcW w:w="1120" w:type="dxa"/>
            <w:vAlign w:val="bottom"/>
            <w:shd w:val="clear" w:color="auto" w:fill="CCFFFF"/>
          </w:tcPr>
          <w:p>
            <w:pPr>
              <w:jc w:val="center"/>
              <w:ind w:left="50"/>
              <w:spacing w:after="0"/>
              <w:rPr>
                <w:sz w:val="20"/>
                <w:szCs w:val="20"/>
                <w:color w:val="auto"/>
              </w:rPr>
            </w:pPr>
            <w:r>
              <w:rPr>
                <w:rFonts w:ascii="Arial" w:cs="Arial" w:eastAsia="Arial" w:hAnsi="Arial"/>
                <w:sz w:val="18"/>
                <w:szCs w:val="18"/>
                <w:color w:val="auto"/>
                <w:w w:val="89"/>
              </w:rPr>
              <w:t>15</w:t>
            </w: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5,561</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5,835</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Tangible fixed assets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4</w:t>
            </w: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5,028,509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5,171,173</w:t>
            </w: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Vessels under construction</w:t>
            </w:r>
          </w:p>
        </w:tc>
        <w:tc>
          <w:tcPr>
            <w:tcW w:w="1120" w:type="dxa"/>
            <w:vAlign w:val="bottom"/>
            <w:shd w:val="clear" w:color="auto" w:fill="CCFFFF"/>
          </w:tcPr>
          <w:p>
            <w:pPr>
              <w:jc w:val="center"/>
              <w:ind w:left="30"/>
              <w:spacing w:after="0"/>
              <w:rPr>
                <w:sz w:val="20"/>
                <w:szCs w:val="20"/>
                <w:color w:val="auto"/>
              </w:rPr>
            </w:pPr>
            <w:r>
              <w:rPr>
                <w:rFonts w:ascii="Arial" w:cs="Arial" w:eastAsia="Arial" w:hAnsi="Arial"/>
                <w:sz w:val="18"/>
                <w:szCs w:val="18"/>
                <w:color w:val="auto"/>
                <w:w w:val="79"/>
              </w:rPr>
              <w:t>4</w:t>
            </w: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132,839</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105,643</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Right-of-use assets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5</w:t>
            </w:r>
          </w:p>
        </w:tc>
        <w:tc>
          <w:tcPr>
            <w:tcW w:w="32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203,437</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202,294</w:t>
            </w:r>
          </w:p>
        </w:tc>
      </w:tr>
      <w:tr>
        <w:trPr>
          <w:trHeight w:val="209"/>
        </w:trPr>
        <w:tc>
          <w:tcPr>
            <w:tcW w:w="606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Total non-current assets</w:t>
            </w:r>
          </w:p>
        </w:tc>
        <w:tc>
          <w:tcPr>
            <w:tcW w:w="1120" w:type="dxa"/>
            <w:vAlign w:val="bottom"/>
            <w:tcBorders>
              <w:top w:val="single" w:sz="8" w:color="CCFFFF"/>
            </w:tcBorders>
            <w:shd w:val="clear" w:color="auto" w:fill="CCFFFF"/>
          </w:tcPr>
          <w:p>
            <w:pPr>
              <w:spacing w:after="0"/>
              <w:rPr>
                <w:sz w:val="18"/>
                <w:szCs w:val="18"/>
                <w:color w:val="auto"/>
              </w:rPr>
            </w:pPr>
          </w:p>
        </w:tc>
        <w:tc>
          <w:tcPr>
            <w:tcW w:w="320" w:type="dxa"/>
            <w:vAlign w:val="bottom"/>
            <w:tcBorders>
              <w:top w:val="single" w:sz="8" w:color="CCFFFF"/>
            </w:tcBorders>
            <w:shd w:val="clear" w:color="auto" w:fill="CCFFFF"/>
          </w:tcPr>
          <w:p>
            <w:pPr>
              <w:spacing w:after="0"/>
              <w:rPr>
                <w:sz w:val="18"/>
                <w:szCs w:val="18"/>
                <w:color w:val="auto"/>
              </w:rPr>
            </w:pPr>
          </w:p>
        </w:tc>
        <w:tc>
          <w:tcPr>
            <w:tcW w:w="11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5,419,229</w:t>
            </w:r>
          </w:p>
        </w:tc>
        <w:tc>
          <w:tcPr>
            <w:tcW w:w="300" w:type="dxa"/>
            <w:vAlign w:val="bottom"/>
            <w:tcBorders>
              <w:top w:val="single" w:sz="8" w:color="CCFFFF"/>
            </w:tcBorders>
            <w:shd w:val="clear" w:color="auto" w:fill="CCFFFF"/>
          </w:tcPr>
          <w:p>
            <w:pPr>
              <w:spacing w:after="0"/>
              <w:rPr>
                <w:sz w:val="18"/>
                <w:szCs w:val="18"/>
                <w:color w:val="auto"/>
              </w:rPr>
            </w:pPr>
          </w:p>
        </w:tc>
        <w:tc>
          <w:tcPr>
            <w:tcW w:w="110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5,528,883</w:t>
            </w:r>
          </w:p>
        </w:tc>
        <w:tc>
          <w:tcPr>
            <w:tcW w:w="80" w:type="dxa"/>
            <w:vAlign w:val="bottom"/>
            <w:tcBorders>
              <w:top w:val="single" w:sz="8" w:color="CCFFFF"/>
            </w:tcBorders>
            <w:shd w:val="clear" w:color="auto" w:fill="CCFFFF"/>
          </w:tcPr>
          <w:p>
            <w:pPr>
              <w:spacing w:after="0"/>
              <w:rPr>
                <w:sz w:val="18"/>
                <w:szCs w:val="18"/>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Trade and other receivables</w:t>
            </w:r>
          </w:p>
        </w:tc>
        <w:tc>
          <w:tcPr>
            <w:tcW w:w="112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36,223</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36,937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8</w:t>
            </w: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1,259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878</w:t>
            </w: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Derivative financial instruments, current portion</w:t>
            </w:r>
          </w:p>
        </w:tc>
        <w:tc>
          <w:tcPr>
            <w:tcW w:w="1120" w:type="dxa"/>
            <w:vAlign w:val="bottom"/>
            <w:shd w:val="clear" w:color="auto" w:fill="CCFFFF"/>
          </w:tcPr>
          <w:p>
            <w:pPr>
              <w:jc w:val="center"/>
              <w:ind w:left="50"/>
              <w:spacing w:after="0"/>
              <w:rPr>
                <w:sz w:val="20"/>
                <w:szCs w:val="20"/>
                <w:color w:val="auto"/>
              </w:rPr>
            </w:pPr>
            <w:r>
              <w:rPr>
                <w:rFonts w:ascii="Arial" w:cs="Arial" w:eastAsia="Arial" w:hAnsi="Arial"/>
                <w:sz w:val="18"/>
                <w:szCs w:val="18"/>
                <w:color w:val="auto"/>
                <w:w w:val="89"/>
              </w:rPr>
              <w:t>15</w:t>
            </w: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534</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337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Inventories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7,564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9,805</w:t>
            </w: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Prepayments and other current assets</w:t>
            </w:r>
          </w:p>
        </w:tc>
        <w:tc>
          <w:tcPr>
            <w:tcW w:w="1120" w:type="dxa"/>
            <w:vAlign w:val="bottom"/>
            <w:shd w:val="clear" w:color="auto" w:fill="CCFFFF"/>
          </w:tcPr>
          <w:p>
            <w:pPr>
              <w:jc w:val="center"/>
              <w:ind w:left="30"/>
              <w:spacing w:after="0"/>
              <w:rPr>
                <w:sz w:val="20"/>
                <w:szCs w:val="20"/>
                <w:color w:val="auto"/>
              </w:rPr>
            </w:pPr>
            <w:r>
              <w:rPr>
                <w:rFonts w:ascii="Arial" w:cs="Arial" w:eastAsia="Arial" w:hAnsi="Arial"/>
                <w:sz w:val="18"/>
                <w:szCs w:val="18"/>
                <w:color w:val="auto"/>
                <w:w w:val="79"/>
              </w:rPr>
              <w:t>6</w:t>
            </w: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24,685</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16,027</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367,269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233,904</w:t>
            </w:r>
          </w:p>
        </w:tc>
      </w:tr>
      <w:tr>
        <w:trPr>
          <w:trHeight w:val="209"/>
        </w:trPr>
        <w:tc>
          <w:tcPr>
            <w:tcW w:w="606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Total current assets</w:t>
            </w:r>
          </w:p>
        </w:tc>
        <w:tc>
          <w:tcPr>
            <w:tcW w:w="1120" w:type="dxa"/>
            <w:vAlign w:val="bottom"/>
            <w:tcBorders>
              <w:top w:val="single" w:sz="8" w:color="CCFFFF"/>
            </w:tcBorders>
            <w:shd w:val="clear" w:color="auto" w:fill="CCFFFF"/>
          </w:tcPr>
          <w:p>
            <w:pPr>
              <w:spacing w:after="0"/>
              <w:rPr>
                <w:sz w:val="18"/>
                <w:szCs w:val="18"/>
                <w:color w:val="auto"/>
              </w:rPr>
            </w:pPr>
          </w:p>
        </w:tc>
        <w:tc>
          <w:tcPr>
            <w:tcW w:w="320" w:type="dxa"/>
            <w:vAlign w:val="bottom"/>
            <w:tcBorders>
              <w:top w:val="single" w:sz="8" w:color="CCFFFF"/>
            </w:tcBorders>
            <w:shd w:val="clear" w:color="auto" w:fill="CCFFFF"/>
          </w:tcPr>
          <w:p>
            <w:pPr>
              <w:spacing w:after="0"/>
              <w:rPr>
                <w:sz w:val="18"/>
                <w:szCs w:val="18"/>
                <w:color w:val="auto"/>
              </w:rPr>
            </w:pPr>
          </w:p>
        </w:tc>
        <w:tc>
          <w:tcPr>
            <w:tcW w:w="11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437,534</w:t>
            </w:r>
          </w:p>
        </w:tc>
        <w:tc>
          <w:tcPr>
            <w:tcW w:w="300" w:type="dxa"/>
            <w:vAlign w:val="bottom"/>
            <w:tcBorders>
              <w:top w:val="single" w:sz="8" w:color="CCFFFF"/>
            </w:tcBorders>
            <w:shd w:val="clear" w:color="auto" w:fill="CCFFFF"/>
          </w:tcPr>
          <w:p>
            <w:pPr>
              <w:spacing w:after="0"/>
              <w:rPr>
                <w:sz w:val="18"/>
                <w:szCs w:val="18"/>
                <w:color w:val="auto"/>
              </w:rPr>
            </w:pPr>
          </w:p>
        </w:tc>
        <w:tc>
          <w:tcPr>
            <w:tcW w:w="110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297,888</w:t>
            </w:r>
          </w:p>
        </w:tc>
        <w:tc>
          <w:tcPr>
            <w:tcW w:w="80" w:type="dxa"/>
            <w:vAlign w:val="bottom"/>
            <w:tcBorders>
              <w:top w:val="single" w:sz="8" w:color="CCFFFF"/>
            </w:tcBorders>
            <w:shd w:val="clear" w:color="auto" w:fill="CCFFFF"/>
          </w:tcPr>
          <w:p>
            <w:pPr>
              <w:spacing w:after="0"/>
              <w:rPr>
                <w:sz w:val="18"/>
                <w:szCs w:val="18"/>
                <w:color w:val="auto"/>
              </w:rPr>
            </w:pPr>
          </w:p>
        </w:tc>
      </w:tr>
      <w:tr>
        <w:trPr>
          <w:trHeight w:val="263"/>
        </w:trPr>
        <w:tc>
          <w:tcPr>
            <w:tcW w:w="606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bottom w:val="single" w:sz="8" w:color="CCFFFF"/>
            </w:tcBorders>
          </w:tcPr>
          <w:p>
            <w:pPr>
              <w:spacing w:after="0"/>
              <w:rPr>
                <w:sz w:val="22"/>
                <w:szCs w:val="22"/>
                <w:color w:val="auto"/>
              </w:rPr>
            </w:pPr>
          </w:p>
        </w:tc>
        <w:tc>
          <w:tcPr>
            <w:tcW w:w="320" w:type="dxa"/>
            <w:vAlign w:val="bottom"/>
            <w:tcBorders>
              <w:bottom w:val="single" w:sz="8" w:color="CCFF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5,856,763</w:t>
            </w:r>
          </w:p>
        </w:tc>
        <w:tc>
          <w:tcPr>
            <w:tcW w:w="300" w:type="dxa"/>
            <w:vAlign w:val="bottom"/>
            <w:tcBorders>
              <w:bottom w:val="single" w:sz="8" w:color="CCFF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5,826,771</w:t>
            </w:r>
          </w:p>
        </w:tc>
        <w:tc>
          <w:tcPr>
            <w:tcW w:w="80" w:type="dxa"/>
            <w:vAlign w:val="bottom"/>
            <w:tcBorders>
              <w:bottom w:val="single" w:sz="8" w:color="CCFFFF"/>
            </w:tcBorders>
          </w:tcPr>
          <w:p>
            <w:pPr>
              <w:spacing w:after="0"/>
              <w:rPr>
                <w:sz w:val="22"/>
                <w:szCs w:val="22"/>
                <w:color w:val="auto"/>
              </w:rPr>
            </w:pPr>
          </w:p>
        </w:tc>
      </w:tr>
      <w:tr>
        <w:trPr>
          <w:trHeight w:val="197"/>
        </w:trPr>
        <w:tc>
          <w:tcPr>
            <w:tcW w:w="6060" w:type="dxa"/>
            <w:vAlign w:val="bottom"/>
            <w:shd w:val="clear" w:color="auto" w:fill="CCFF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1120" w:type="dxa"/>
            <w:vAlign w:val="bottom"/>
            <w:shd w:val="clear" w:color="auto" w:fill="CCFFFF"/>
          </w:tcPr>
          <w:p>
            <w:pPr>
              <w:spacing w:after="0"/>
              <w:rPr>
                <w:sz w:val="17"/>
                <w:szCs w:val="17"/>
                <w:color w:val="auto"/>
              </w:rPr>
            </w:pPr>
          </w:p>
        </w:tc>
        <w:tc>
          <w:tcPr>
            <w:tcW w:w="320" w:type="dxa"/>
            <w:vAlign w:val="bottom"/>
            <w:shd w:val="clear" w:color="auto" w:fill="CCFFFF"/>
          </w:tcPr>
          <w:p>
            <w:pPr>
              <w:spacing w:after="0"/>
              <w:rPr>
                <w:sz w:val="17"/>
                <w:szCs w:val="17"/>
                <w:color w:val="auto"/>
              </w:rPr>
            </w:pPr>
          </w:p>
        </w:tc>
        <w:tc>
          <w:tcPr>
            <w:tcW w:w="1120" w:type="dxa"/>
            <w:vAlign w:val="bottom"/>
            <w:shd w:val="clear" w:color="auto" w:fill="CCFFFF"/>
          </w:tcPr>
          <w:p>
            <w:pPr>
              <w:spacing w:after="0"/>
              <w:rPr>
                <w:sz w:val="17"/>
                <w:szCs w:val="17"/>
                <w:color w:val="auto"/>
              </w:rPr>
            </w:pPr>
          </w:p>
        </w:tc>
        <w:tc>
          <w:tcPr>
            <w:tcW w:w="300" w:type="dxa"/>
            <w:vAlign w:val="bottom"/>
            <w:shd w:val="clear" w:color="auto" w:fill="CCFFFF"/>
          </w:tcPr>
          <w:p>
            <w:pPr>
              <w:spacing w:after="0"/>
              <w:rPr>
                <w:sz w:val="17"/>
                <w:szCs w:val="17"/>
                <w:color w:val="auto"/>
              </w:rPr>
            </w:pPr>
          </w:p>
        </w:tc>
        <w:tc>
          <w:tcPr>
            <w:tcW w:w="1100" w:type="dxa"/>
            <w:vAlign w:val="bottom"/>
            <w:shd w:val="clear" w:color="auto" w:fill="CCFFFF"/>
          </w:tcPr>
          <w:p>
            <w:pPr>
              <w:spacing w:after="0"/>
              <w:rPr>
                <w:sz w:val="17"/>
                <w:szCs w:val="17"/>
                <w:color w:val="auto"/>
              </w:rPr>
            </w:pPr>
          </w:p>
        </w:tc>
        <w:tc>
          <w:tcPr>
            <w:tcW w:w="80" w:type="dxa"/>
            <w:vAlign w:val="bottom"/>
            <w:shd w:val="clear" w:color="auto" w:fill="CCFF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Preference shares</w:t>
            </w:r>
          </w:p>
        </w:tc>
        <w:tc>
          <w:tcPr>
            <w:tcW w:w="1120" w:type="dxa"/>
            <w:vAlign w:val="bottom"/>
            <w:shd w:val="clear" w:color="auto" w:fill="CCFFFF"/>
          </w:tcPr>
          <w:p>
            <w:pPr>
              <w:jc w:val="center"/>
              <w:ind w:left="50"/>
              <w:spacing w:after="0"/>
              <w:rPr>
                <w:sz w:val="20"/>
                <w:szCs w:val="20"/>
                <w:color w:val="auto"/>
              </w:rPr>
            </w:pPr>
            <w:r>
              <w:rPr>
                <w:rFonts w:ascii="Arial" w:cs="Arial" w:eastAsia="Arial" w:hAnsi="Arial"/>
                <w:sz w:val="18"/>
                <w:szCs w:val="18"/>
                <w:color w:val="auto"/>
                <w:w w:val="89"/>
              </w:rPr>
              <w:t>13</w:t>
            </w: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46</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46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Share capital</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13</w:t>
            </w: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954</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954</w:t>
            </w: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Contributed surplus</w:t>
            </w:r>
          </w:p>
        </w:tc>
        <w:tc>
          <w:tcPr>
            <w:tcW w:w="112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759,822</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752,547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Reserves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18,667</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18,213</w:t>
            </w: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Treasury shares</w:t>
            </w:r>
          </w:p>
        </w:tc>
        <w:tc>
          <w:tcPr>
            <w:tcW w:w="1120" w:type="dxa"/>
            <w:vAlign w:val="bottom"/>
            <w:shd w:val="clear" w:color="auto" w:fill="CCFFFF"/>
          </w:tcPr>
          <w:p>
            <w:pPr>
              <w:jc w:val="center"/>
              <w:ind w:left="50"/>
              <w:spacing w:after="0"/>
              <w:rPr>
                <w:sz w:val="20"/>
                <w:szCs w:val="20"/>
                <w:color w:val="auto"/>
              </w:rPr>
            </w:pPr>
            <w:r>
              <w:rPr>
                <w:rFonts w:ascii="Arial" w:cs="Arial" w:eastAsia="Arial" w:hAnsi="Arial"/>
                <w:sz w:val="18"/>
                <w:szCs w:val="18"/>
                <w:color w:val="auto"/>
                <w:w w:val="89"/>
              </w:rPr>
              <w:t>13</w:t>
            </w: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color w:val="auto"/>
              </w:rPr>
              <w:t>(1,340)</w:t>
            </w:r>
          </w:p>
        </w:tc>
        <w:tc>
          <w:tcPr>
            <w:tcW w:w="118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(1,241)</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Accumulated deficit</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(132,780)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(74,846)</w:t>
            </w:r>
          </w:p>
        </w:tc>
      </w:tr>
      <w:tr>
        <w:trPr>
          <w:trHeight w:val="210"/>
        </w:trPr>
        <w:tc>
          <w:tcPr>
            <w:tcW w:w="606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1120" w:type="dxa"/>
            <w:vAlign w:val="bottom"/>
            <w:tcBorders>
              <w:top w:val="single" w:sz="8" w:color="CCFFFF"/>
            </w:tcBorders>
            <w:shd w:val="clear" w:color="auto" w:fill="CCFFFF"/>
          </w:tcPr>
          <w:p>
            <w:pPr>
              <w:spacing w:after="0"/>
              <w:rPr>
                <w:sz w:val="18"/>
                <w:szCs w:val="18"/>
                <w:color w:val="auto"/>
              </w:rPr>
            </w:pPr>
          </w:p>
        </w:tc>
        <w:tc>
          <w:tcPr>
            <w:tcW w:w="320" w:type="dxa"/>
            <w:vAlign w:val="bottom"/>
            <w:tcBorders>
              <w:top w:val="single" w:sz="8" w:color="CCFFFF"/>
            </w:tcBorders>
            <w:shd w:val="clear" w:color="auto" w:fill="CCFFFF"/>
          </w:tcPr>
          <w:p>
            <w:pPr>
              <w:spacing w:after="0"/>
              <w:rPr>
                <w:sz w:val="18"/>
                <w:szCs w:val="18"/>
                <w:color w:val="auto"/>
              </w:rPr>
            </w:pPr>
          </w:p>
        </w:tc>
        <w:tc>
          <w:tcPr>
            <w:tcW w:w="11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645,369</w:t>
            </w:r>
          </w:p>
        </w:tc>
        <w:tc>
          <w:tcPr>
            <w:tcW w:w="300" w:type="dxa"/>
            <w:vAlign w:val="bottom"/>
            <w:tcBorders>
              <w:top w:val="single" w:sz="8" w:color="CCFFFF"/>
            </w:tcBorders>
            <w:shd w:val="clear" w:color="auto" w:fill="CCFFFF"/>
          </w:tcPr>
          <w:p>
            <w:pPr>
              <w:spacing w:after="0"/>
              <w:rPr>
                <w:sz w:val="18"/>
                <w:szCs w:val="18"/>
                <w:color w:val="auto"/>
              </w:rPr>
            </w:pPr>
          </w:p>
        </w:tc>
        <w:tc>
          <w:tcPr>
            <w:tcW w:w="110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695,673</w:t>
            </w:r>
          </w:p>
        </w:tc>
        <w:tc>
          <w:tcPr>
            <w:tcW w:w="80" w:type="dxa"/>
            <w:vAlign w:val="bottom"/>
            <w:tcBorders>
              <w:top w:val="single" w:sz="8" w:color="CCFFFF"/>
            </w:tcBorders>
            <w:shd w:val="clear" w:color="auto" w:fill="CCFFFF"/>
          </w:tcPr>
          <w:p>
            <w:pPr>
              <w:spacing w:after="0"/>
              <w:rPr>
                <w:sz w:val="18"/>
                <w:szCs w:val="18"/>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951,768</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970,169</w:t>
            </w:r>
          </w:p>
        </w:tc>
      </w:tr>
      <w:tr>
        <w:trPr>
          <w:trHeight w:val="210"/>
        </w:trPr>
        <w:tc>
          <w:tcPr>
            <w:tcW w:w="606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Total equity</w:t>
            </w:r>
          </w:p>
        </w:tc>
        <w:tc>
          <w:tcPr>
            <w:tcW w:w="1120" w:type="dxa"/>
            <w:vAlign w:val="bottom"/>
            <w:tcBorders>
              <w:top w:val="single" w:sz="8" w:color="CCFFFF"/>
            </w:tcBorders>
            <w:shd w:val="clear" w:color="auto" w:fill="CCFFFF"/>
          </w:tcPr>
          <w:p>
            <w:pPr>
              <w:spacing w:after="0"/>
              <w:rPr>
                <w:sz w:val="18"/>
                <w:szCs w:val="18"/>
                <w:color w:val="auto"/>
              </w:rPr>
            </w:pPr>
          </w:p>
        </w:tc>
        <w:tc>
          <w:tcPr>
            <w:tcW w:w="320" w:type="dxa"/>
            <w:vAlign w:val="bottom"/>
            <w:tcBorders>
              <w:top w:val="single" w:sz="8" w:color="CCFFFF"/>
            </w:tcBorders>
            <w:shd w:val="clear" w:color="auto" w:fill="CCFFFF"/>
          </w:tcPr>
          <w:p>
            <w:pPr>
              <w:spacing w:after="0"/>
              <w:rPr>
                <w:sz w:val="18"/>
                <w:szCs w:val="18"/>
                <w:color w:val="auto"/>
              </w:rPr>
            </w:pPr>
          </w:p>
        </w:tc>
        <w:tc>
          <w:tcPr>
            <w:tcW w:w="11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1,597,137</w:t>
            </w:r>
          </w:p>
        </w:tc>
        <w:tc>
          <w:tcPr>
            <w:tcW w:w="300" w:type="dxa"/>
            <w:vAlign w:val="bottom"/>
            <w:tcBorders>
              <w:top w:val="single" w:sz="8" w:color="CCFFFF"/>
            </w:tcBorders>
            <w:shd w:val="clear" w:color="auto" w:fill="CCFFFF"/>
          </w:tcPr>
          <w:p>
            <w:pPr>
              <w:spacing w:after="0"/>
              <w:rPr>
                <w:sz w:val="18"/>
                <w:szCs w:val="18"/>
                <w:color w:val="auto"/>
              </w:rPr>
            </w:pPr>
          </w:p>
        </w:tc>
        <w:tc>
          <w:tcPr>
            <w:tcW w:w="110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1,665,842</w:t>
            </w:r>
          </w:p>
        </w:tc>
        <w:tc>
          <w:tcPr>
            <w:tcW w:w="80" w:type="dxa"/>
            <w:vAlign w:val="bottom"/>
            <w:tcBorders>
              <w:top w:val="single" w:sz="8" w:color="CCFFFF"/>
            </w:tcBorders>
            <w:shd w:val="clear" w:color="auto" w:fill="CCFF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Trade accounts payable</w:t>
            </w:r>
          </w:p>
        </w:tc>
        <w:tc>
          <w:tcPr>
            <w:tcW w:w="112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25,046</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19,818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Ship management creditors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397</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Amounts due to related parties</w:t>
            </w:r>
          </w:p>
        </w:tc>
        <w:tc>
          <w:tcPr>
            <w:tcW w:w="1120" w:type="dxa"/>
            <w:vAlign w:val="bottom"/>
            <w:shd w:val="clear" w:color="auto" w:fill="CCFFFF"/>
          </w:tcPr>
          <w:p>
            <w:pPr>
              <w:jc w:val="center"/>
              <w:ind w:left="30"/>
              <w:spacing w:after="0"/>
              <w:rPr>
                <w:sz w:val="20"/>
                <w:szCs w:val="20"/>
                <w:color w:val="auto"/>
              </w:rPr>
            </w:pPr>
            <w:r>
              <w:rPr>
                <w:rFonts w:ascii="Arial" w:cs="Arial" w:eastAsia="Arial" w:hAnsi="Arial"/>
                <w:sz w:val="18"/>
                <w:szCs w:val="18"/>
                <w:color w:val="auto"/>
                <w:w w:val="79"/>
              </w:rPr>
              <w:t>8</w:t>
            </w: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164</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24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Derivative financial instruments, current portion</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15</w:t>
            </w: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35,415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35,028</w:t>
            </w: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Other payables and accruals</w:t>
            </w:r>
          </w:p>
        </w:tc>
        <w:tc>
          <w:tcPr>
            <w:tcW w:w="1120" w:type="dxa"/>
            <w:vAlign w:val="bottom"/>
            <w:shd w:val="clear" w:color="auto" w:fill="CCFFFF"/>
          </w:tcPr>
          <w:p>
            <w:pPr>
              <w:jc w:val="center"/>
              <w:ind w:left="50"/>
              <w:spacing w:after="0"/>
              <w:rPr>
                <w:sz w:val="20"/>
                <w:szCs w:val="20"/>
                <w:color w:val="auto"/>
              </w:rPr>
            </w:pPr>
            <w:r>
              <w:rPr>
                <w:rFonts w:ascii="Arial" w:cs="Arial" w:eastAsia="Arial" w:hAnsi="Arial"/>
                <w:sz w:val="18"/>
                <w:szCs w:val="18"/>
                <w:color w:val="auto"/>
                <w:w w:val="89"/>
              </w:rPr>
              <w:t>12</w:t>
            </w: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143,057</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125,607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7</w:t>
            </w: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245,626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547,417</w:t>
            </w:r>
          </w:p>
        </w:tc>
      </w:tr>
      <w:tr>
        <w:trPr>
          <w:trHeight w:val="230"/>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Lease liability, current portion</w:t>
            </w:r>
          </w:p>
        </w:tc>
        <w:tc>
          <w:tcPr>
            <w:tcW w:w="1120" w:type="dxa"/>
            <w:vAlign w:val="bottom"/>
            <w:shd w:val="clear" w:color="auto" w:fill="CCFFFF"/>
          </w:tcPr>
          <w:p>
            <w:pPr>
              <w:jc w:val="center"/>
              <w:ind w:left="30"/>
              <w:spacing w:after="0"/>
              <w:rPr>
                <w:sz w:val="20"/>
                <w:szCs w:val="20"/>
                <w:color w:val="auto"/>
              </w:rPr>
            </w:pPr>
            <w:r>
              <w:rPr>
                <w:rFonts w:ascii="Arial" w:cs="Arial" w:eastAsia="Arial" w:hAnsi="Arial"/>
                <w:sz w:val="18"/>
                <w:szCs w:val="18"/>
                <w:color w:val="auto"/>
                <w:w w:val="79"/>
              </w:rPr>
              <w:t>5</w:t>
            </w:r>
          </w:p>
        </w:tc>
        <w:tc>
          <w:tcPr>
            <w:tcW w:w="320" w:type="dxa"/>
            <w:vAlign w:val="bottom"/>
            <w:shd w:val="clear" w:color="auto" w:fill="CCFFFF"/>
          </w:tcPr>
          <w:p>
            <w:pPr>
              <w:spacing w:after="0"/>
              <w:rPr>
                <w:sz w:val="19"/>
                <w:szCs w:val="19"/>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9,644</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9,658</w:t>
            </w:r>
          </w:p>
        </w:tc>
      </w:tr>
      <w:tr>
        <w:trPr>
          <w:trHeight w:val="210"/>
        </w:trPr>
        <w:tc>
          <w:tcPr>
            <w:tcW w:w="606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120" w:type="dxa"/>
            <w:vAlign w:val="bottom"/>
            <w:tcBorders>
              <w:bottom w:val="single" w:sz="8" w:color="CCFFFF"/>
            </w:tcBorders>
          </w:tcPr>
          <w:p>
            <w:pPr>
              <w:spacing w:after="0"/>
              <w:rPr>
                <w:sz w:val="18"/>
                <w:szCs w:val="18"/>
                <w:color w:val="auto"/>
              </w:rPr>
            </w:pPr>
          </w:p>
        </w:tc>
        <w:tc>
          <w:tcPr>
            <w:tcW w:w="320" w:type="dxa"/>
            <w:vAlign w:val="bottom"/>
            <w:tcBorders>
              <w:bottom w:val="single" w:sz="8" w:color="CCFF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459,349</w:t>
            </w:r>
          </w:p>
        </w:tc>
        <w:tc>
          <w:tcPr>
            <w:tcW w:w="300" w:type="dxa"/>
            <w:vAlign w:val="bottom"/>
            <w:tcBorders>
              <w:bottom w:val="single" w:sz="8" w:color="CCFF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738,088</w:t>
            </w:r>
          </w:p>
        </w:tc>
        <w:tc>
          <w:tcPr>
            <w:tcW w:w="80" w:type="dxa"/>
            <w:vAlign w:val="bottom"/>
            <w:tcBorders>
              <w:bottom w:val="single" w:sz="8" w:color="CCFFFF"/>
            </w:tcBorders>
          </w:tcPr>
          <w:p>
            <w:pPr>
              <w:spacing w:after="0"/>
              <w:rPr>
                <w:sz w:val="18"/>
                <w:szCs w:val="18"/>
                <w:color w:val="auto"/>
              </w:rPr>
            </w:pPr>
          </w:p>
        </w:tc>
      </w:tr>
      <w:tr>
        <w:trPr>
          <w:trHeight w:val="209"/>
        </w:trPr>
        <w:tc>
          <w:tcPr>
            <w:tcW w:w="606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120" w:type="dxa"/>
            <w:vAlign w:val="bottom"/>
            <w:shd w:val="clear" w:color="auto" w:fill="CCFFFF"/>
          </w:tcPr>
          <w:p>
            <w:pPr>
              <w:spacing w:after="0"/>
              <w:rPr>
                <w:sz w:val="18"/>
                <w:szCs w:val="18"/>
                <w:color w:val="auto"/>
              </w:rPr>
            </w:pPr>
          </w:p>
        </w:tc>
        <w:tc>
          <w:tcPr>
            <w:tcW w:w="300" w:type="dxa"/>
            <w:vAlign w:val="bottom"/>
            <w:shd w:val="clear" w:color="auto" w:fill="CCFFFF"/>
          </w:tcPr>
          <w:p>
            <w:pPr>
              <w:spacing w:after="0"/>
              <w:rPr>
                <w:sz w:val="18"/>
                <w:szCs w:val="18"/>
                <w:color w:val="auto"/>
              </w:rPr>
            </w:pPr>
          </w:p>
        </w:tc>
        <w:tc>
          <w:tcPr>
            <w:tcW w:w="110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Derivative financial instruments, non-current portion</w:t>
            </w: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15</w:t>
            </w: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78,440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51,092</w:t>
            </w:r>
          </w:p>
        </w:tc>
      </w:tr>
      <w:tr>
        <w:trPr>
          <w:trHeight w:val="216"/>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Borrowings, non-current portion</w:t>
            </w:r>
          </w:p>
        </w:tc>
        <w:tc>
          <w:tcPr>
            <w:tcW w:w="1120" w:type="dxa"/>
            <w:vAlign w:val="bottom"/>
            <w:shd w:val="clear" w:color="auto" w:fill="CCFFFF"/>
          </w:tcPr>
          <w:p>
            <w:pPr>
              <w:jc w:val="center"/>
              <w:ind w:left="30"/>
              <w:spacing w:after="0"/>
              <w:rPr>
                <w:sz w:val="20"/>
                <w:szCs w:val="20"/>
                <w:color w:val="auto"/>
              </w:rPr>
            </w:pPr>
            <w:r>
              <w:rPr>
                <w:rFonts w:ascii="Arial" w:cs="Arial" w:eastAsia="Arial" w:hAnsi="Arial"/>
                <w:sz w:val="18"/>
                <w:szCs w:val="18"/>
                <w:color w:val="auto"/>
                <w:w w:val="79"/>
              </w:rPr>
              <w:t>7</w:t>
            </w:r>
          </w:p>
        </w:tc>
        <w:tc>
          <w:tcPr>
            <w:tcW w:w="320" w:type="dxa"/>
            <w:vAlign w:val="bottom"/>
            <w:shd w:val="clear" w:color="auto" w:fill="CCFFFF"/>
          </w:tcPr>
          <w:p>
            <w:pPr>
              <w:spacing w:after="0"/>
              <w:rPr>
                <w:sz w:val="18"/>
                <w:szCs w:val="18"/>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3,527,595</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3,178,959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Lease liability, non-current portion</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79"/>
              </w:rPr>
              <w:t>5</w:t>
            </w:r>
          </w:p>
        </w:tc>
        <w:tc>
          <w:tcPr>
            <w:tcW w:w="3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186,526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185,299</w:t>
            </w:r>
          </w:p>
        </w:tc>
      </w:tr>
      <w:tr>
        <w:trPr>
          <w:trHeight w:val="229"/>
        </w:trPr>
        <w:tc>
          <w:tcPr>
            <w:tcW w:w="6060" w:type="dxa"/>
            <w:vAlign w:val="bottom"/>
            <w:shd w:val="clear" w:color="auto" w:fill="CCFFFF"/>
          </w:tcPr>
          <w:p>
            <w:pPr>
              <w:spacing w:after="0"/>
              <w:rPr>
                <w:sz w:val="20"/>
                <w:szCs w:val="20"/>
                <w:color w:val="auto"/>
              </w:rPr>
            </w:pPr>
            <w:r>
              <w:rPr>
                <w:rFonts w:ascii="Arial" w:cs="Arial" w:eastAsia="Arial" w:hAnsi="Arial"/>
                <w:sz w:val="18"/>
                <w:szCs w:val="18"/>
                <w:color w:val="auto"/>
              </w:rPr>
              <w:t>Other non-current liabilities</w:t>
            </w:r>
          </w:p>
        </w:tc>
        <w:tc>
          <w:tcPr>
            <w:tcW w:w="112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1420" w:type="dxa"/>
            <w:vAlign w:val="bottom"/>
            <w:gridSpan w:val="2"/>
            <w:shd w:val="clear" w:color="auto" w:fill="CCFFFF"/>
          </w:tcPr>
          <w:p>
            <w:pPr>
              <w:jc w:val="right"/>
              <w:ind w:right="300"/>
              <w:spacing w:after="0"/>
              <w:rPr>
                <w:sz w:val="20"/>
                <w:szCs w:val="20"/>
                <w:color w:val="auto"/>
              </w:rPr>
            </w:pPr>
            <w:r>
              <w:rPr>
                <w:rFonts w:ascii="Arial" w:cs="Arial" w:eastAsia="Arial" w:hAnsi="Arial"/>
                <w:sz w:val="18"/>
                <w:szCs w:val="18"/>
                <w:color w:val="auto"/>
              </w:rPr>
              <w:t>7,716</w:t>
            </w:r>
          </w:p>
        </w:tc>
        <w:tc>
          <w:tcPr>
            <w:tcW w:w="1180" w:type="dxa"/>
            <w:vAlign w:val="bottom"/>
            <w:gridSpan w:val="2"/>
            <w:shd w:val="clear" w:color="auto" w:fill="CCFFFF"/>
          </w:tcPr>
          <w:p>
            <w:pPr>
              <w:jc w:val="right"/>
              <w:ind w:right="80"/>
              <w:spacing w:after="0"/>
              <w:rPr>
                <w:sz w:val="20"/>
                <w:szCs w:val="20"/>
                <w:color w:val="auto"/>
              </w:rPr>
            </w:pPr>
            <w:r>
              <w:rPr>
                <w:rFonts w:ascii="Arial" w:cs="Arial" w:eastAsia="Arial" w:hAnsi="Arial"/>
                <w:sz w:val="18"/>
                <w:szCs w:val="18"/>
                <w:color w:val="auto"/>
              </w:rPr>
              <w:t>7,491</w:t>
            </w:r>
          </w:p>
        </w:tc>
      </w:tr>
      <w:tr>
        <w:trPr>
          <w:trHeight w:val="210"/>
        </w:trPr>
        <w:tc>
          <w:tcPr>
            <w:tcW w:w="606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120" w:type="dxa"/>
            <w:vAlign w:val="bottom"/>
            <w:tcBorders>
              <w:bottom w:val="single" w:sz="8" w:color="CCFFFF"/>
            </w:tcBorders>
          </w:tcPr>
          <w:p>
            <w:pPr>
              <w:spacing w:after="0"/>
              <w:rPr>
                <w:sz w:val="18"/>
                <w:szCs w:val="18"/>
                <w:color w:val="auto"/>
              </w:rPr>
            </w:pPr>
          </w:p>
        </w:tc>
        <w:tc>
          <w:tcPr>
            <w:tcW w:w="320" w:type="dxa"/>
            <w:vAlign w:val="bottom"/>
            <w:tcBorders>
              <w:bottom w:val="single" w:sz="8" w:color="CCFF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3,800,277</w:t>
            </w:r>
          </w:p>
        </w:tc>
        <w:tc>
          <w:tcPr>
            <w:tcW w:w="300" w:type="dxa"/>
            <w:vAlign w:val="bottom"/>
            <w:tcBorders>
              <w:bottom w:val="single" w:sz="8" w:color="CCFF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3,422,841</w:t>
            </w:r>
          </w:p>
        </w:tc>
        <w:tc>
          <w:tcPr>
            <w:tcW w:w="80" w:type="dxa"/>
            <w:vAlign w:val="bottom"/>
            <w:tcBorders>
              <w:bottom w:val="single" w:sz="8" w:color="CCFFFF"/>
            </w:tcBorders>
          </w:tcPr>
          <w:p>
            <w:pPr>
              <w:spacing w:after="0"/>
              <w:rPr>
                <w:sz w:val="18"/>
                <w:szCs w:val="18"/>
                <w:color w:val="auto"/>
              </w:rPr>
            </w:pPr>
          </w:p>
        </w:tc>
      </w:tr>
      <w:tr>
        <w:trPr>
          <w:trHeight w:val="223"/>
        </w:trPr>
        <w:tc>
          <w:tcPr>
            <w:tcW w:w="6060" w:type="dxa"/>
            <w:vAlign w:val="bottom"/>
            <w:tcBorders>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Total equity and liabilities</w:t>
            </w:r>
          </w:p>
        </w:tc>
        <w:tc>
          <w:tcPr>
            <w:tcW w:w="1120" w:type="dxa"/>
            <w:vAlign w:val="bottom"/>
            <w:tcBorders>
              <w:bottom w:val="single" w:sz="8" w:color="CCFFFF"/>
            </w:tcBorders>
            <w:shd w:val="clear" w:color="auto" w:fill="CCFFFF"/>
          </w:tcPr>
          <w:p>
            <w:pPr>
              <w:spacing w:after="0"/>
              <w:rPr>
                <w:sz w:val="19"/>
                <w:szCs w:val="19"/>
                <w:color w:val="auto"/>
              </w:rPr>
            </w:pPr>
          </w:p>
        </w:tc>
        <w:tc>
          <w:tcPr>
            <w:tcW w:w="320" w:type="dxa"/>
            <w:vAlign w:val="bottom"/>
            <w:tcBorders>
              <w:bottom w:val="single" w:sz="8" w:color="CCFFFF"/>
            </w:tcBorders>
            <w:shd w:val="clear" w:color="auto" w:fill="CCFFFF"/>
          </w:tcPr>
          <w:p>
            <w:pPr>
              <w:spacing w:after="0"/>
              <w:rPr>
                <w:sz w:val="19"/>
                <w:szCs w:val="19"/>
                <w:color w:val="auto"/>
              </w:rPr>
            </w:pPr>
          </w:p>
        </w:tc>
        <w:tc>
          <w:tcPr>
            <w:tcW w:w="112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5,856,763</w:t>
            </w:r>
          </w:p>
        </w:tc>
        <w:tc>
          <w:tcPr>
            <w:tcW w:w="300" w:type="dxa"/>
            <w:vAlign w:val="bottom"/>
            <w:tcBorders>
              <w:bottom w:val="single" w:sz="8" w:color="CCFFFF"/>
            </w:tcBorders>
            <w:shd w:val="clear" w:color="auto" w:fill="CCFFFF"/>
          </w:tcPr>
          <w:p>
            <w:pPr>
              <w:spacing w:after="0"/>
              <w:rPr>
                <w:sz w:val="19"/>
                <w:szCs w:val="19"/>
                <w:color w:val="auto"/>
              </w:rPr>
            </w:pPr>
          </w:p>
        </w:tc>
        <w:tc>
          <w:tcPr>
            <w:tcW w:w="110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5,826,771</w:t>
            </w:r>
          </w:p>
        </w:tc>
        <w:tc>
          <w:tcPr>
            <w:tcW w:w="80" w:type="dxa"/>
            <w:vAlign w:val="bottom"/>
            <w:tcBorders>
              <w:bottom w:val="single" w:sz="8" w:color="CCFFFF"/>
            </w:tcBorders>
            <w:shd w:val="clear" w:color="auto" w:fill="CCFF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GasLog Ltd. and its Subsidiaries</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 2020 and 2021</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w w:val="91"/>
              </w:rPr>
              <w:t>(Amounts expressed in thousands of U.S. Dollars, except per share data)</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5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4"/>
          </w:tcPr>
          <w:p>
            <w:pPr>
              <w:jc w:val="right"/>
              <w:ind w:right="401"/>
              <w:spacing w:after="0"/>
              <w:rPr>
                <w:sz w:val="20"/>
                <w:szCs w:val="20"/>
                <w:color w:val="auto"/>
              </w:rPr>
            </w:pPr>
            <w:r>
              <w:rPr>
                <w:rFonts w:ascii="Arial" w:cs="Arial" w:eastAsia="Arial" w:hAnsi="Arial"/>
                <w:sz w:val="18"/>
                <w:szCs w:val="18"/>
                <w:b w:val="1"/>
                <w:bCs w:val="1"/>
                <w:color w:val="auto"/>
              </w:rPr>
              <w:t>For the three months ended</w:t>
            </w:r>
          </w:p>
        </w:tc>
      </w:tr>
      <w:tr>
        <w:trPr>
          <w:trHeight w:val="216"/>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521"/>
              <w:spacing w:after="0"/>
              <w:rPr>
                <w:sz w:val="20"/>
                <w:szCs w:val="20"/>
                <w:color w:val="auto"/>
              </w:rPr>
            </w:pPr>
            <w:r>
              <w:rPr>
                <w:rFonts w:ascii="Arial" w:cs="Arial" w:eastAsia="Arial" w:hAnsi="Arial"/>
                <w:sz w:val="18"/>
                <w:szCs w:val="18"/>
                <w:b w:val="1"/>
                <w:bCs w:val="1"/>
                <w:color w:val="auto"/>
              </w:rPr>
              <w:t>March 31,</w:t>
            </w:r>
          </w:p>
        </w:tc>
        <w:tc>
          <w:tcPr>
            <w:tcW w:w="138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Notes</w:t>
            </w: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546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FFFF"/>
          </w:tcPr>
          <w:p>
            <w:pPr>
              <w:spacing w:after="0"/>
              <w:rPr>
                <w:sz w:val="18"/>
                <w:szCs w:val="18"/>
                <w:color w:val="auto"/>
              </w:rPr>
            </w:pPr>
          </w:p>
        </w:tc>
        <w:tc>
          <w:tcPr>
            <w:tcW w:w="1060" w:type="dxa"/>
            <w:vAlign w:val="bottom"/>
            <w:tcBorders>
              <w:top w:val="single" w:sz="8" w:color="auto"/>
            </w:tcBorders>
            <w:shd w:val="clear" w:color="auto" w:fill="CCFFFF"/>
          </w:tcPr>
          <w:p>
            <w:pPr>
              <w:jc w:val="center"/>
              <w:ind w:right="50"/>
              <w:spacing w:after="0"/>
              <w:rPr>
                <w:sz w:val="20"/>
                <w:szCs w:val="20"/>
                <w:color w:val="auto"/>
              </w:rPr>
            </w:pPr>
            <w:r>
              <w:rPr>
                <w:rFonts w:ascii="Arial" w:cs="Arial" w:eastAsia="Arial" w:hAnsi="Arial"/>
                <w:sz w:val="18"/>
                <w:szCs w:val="18"/>
                <w:color w:val="auto"/>
                <w:w w:val="79"/>
              </w:rPr>
              <w:t>9</w:t>
            </w:r>
          </w:p>
        </w:tc>
        <w:tc>
          <w:tcPr>
            <w:tcW w:w="320" w:type="dxa"/>
            <w:vAlign w:val="bottom"/>
            <w:tcBorders>
              <w:top w:val="single" w:sz="8" w:color="CCFFFF"/>
            </w:tcBorders>
            <w:shd w:val="clear" w:color="auto" w:fill="CCFFFF"/>
          </w:tcPr>
          <w:p>
            <w:pPr>
              <w:spacing w:after="0"/>
              <w:rPr>
                <w:sz w:val="18"/>
                <w:szCs w:val="18"/>
                <w:color w:val="auto"/>
              </w:rPr>
            </w:pPr>
          </w:p>
        </w:tc>
        <w:tc>
          <w:tcPr>
            <w:tcW w:w="13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165,897</w:t>
            </w:r>
          </w:p>
        </w:tc>
        <w:tc>
          <w:tcPr>
            <w:tcW w:w="300" w:type="dxa"/>
            <w:vAlign w:val="bottom"/>
            <w:tcBorders>
              <w:top w:val="single" w:sz="8" w:color="CCFFFF"/>
            </w:tcBorders>
            <w:shd w:val="clear" w:color="auto" w:fill="CCFFFF"/>
          </w:tcPr>
          <w:p>
            <w:pPr>
              <w:spacing w:after="0"/>
              <w:rPr>
                <w:sz w:val="18"/>
                <w:szCs w:val="18"/>
                <w:color w:val="auto"/>
              </w:rPr>
            </w:pPr>
          </w:p>
        </w:tc>
        <w:tc>
          <w:tcPr>
            <w:tcW w:w="130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205,327</w:t>
            </w:r>
          </w:p>
        </w:tc>
        <w:tc>
          <w:tcPr>
            <w:tcW w:w="80" w:type="dxa"/>
            <w:vAlign w:val="bottom"/>
            <w:tcBorders>
              <w:top w:val="single" w:sz="8" w:color="CCFFFF"/>
            </w:tcBorders>
            <w:shd w:val="clear" w:color="auto" w:fill="CCFFFF"/>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Voyage expenses and commissions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161"/>
              <w:spacing w:after="0"/>
              <w:rPr>
                <w:sz w:val="20"/>
                <w:szCs w:val="20"/>
                <w:color w:val="auto"/>
              </w:rPr>
            </w:pPr>
            <w:r>
              <w:rPr>
                <w:rFonts w:ascii="Arial" w:cs="Arial" w:eastAsia="Arial" w:hAnsi="Arial"/>
                <w:sz w:val="18"/>
                <w:szCs w:val="18"/>
                <w:color w:val="auto"/>
              </w:rPr>
              <w:t>(7,473)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(3,912)</w:t>
            </w:r>
          </w:p>
        </w:tc>
      </w:tr>
      <w:tr>
        <w:trPr>
          <w:trHeight w:val="216"/>
        </w:trPr>
        <w:tc>
          <w:tcPr>
            <w:tcW w:w="5720" w:type="dxa"/>
            <w:vAlign w:val="bottom"/>
            <w:gridSpan w:val="2"/>
            <w:shd w:val="clear" w:color="auto" w:fill="CCFFFF"/>
          </w:tcPr>
          <w:p>
            <w:pPr>
              <w:spacing w:after="0"/>
              <w:rPr>
                <w:sz w:val="20"/>
                <w:szCs w:val="20"/>
                <w:color w:val="auto"/>
              </w:rPr>
            </w:pPr>
            <w:r>
              <w:rPr>
                <w:rFonts w:ascii="Arial" w:cs="Arial" w:eastAsia="Arial" w:hAnsi="Arial"/>
                <w:sz w:val="18"/>
                <w:szCs w:val="18"/>
                <w:color w:val="auto"/>
              </w:rPr>
              <w:t>Vessel operating and supervision costs</w:t>
            </w:r>
          </w:p>
        </w:tc>
        <w:tc>
          <w:tcPr>
            <w:tcW w:w="1060" w:type="dxa"/>
            <w:vAlign w:val="bottom"/>
            <w:shd w:val="clear" w:color="auto" w:fill="CCFFFF"/>
          </w:tcPr>
          <w:p>
            <w:pPr>
              <w:jc w:val="center"/>
              <w:ind w:right="50"/>
              <w:spacing w:after="0"/>
              <w:rPr>
                <w:sz w:val="20"/>
                <w:szCs w:val="20"/>
                <w:color w:val="auto"/>
              </w:rPr>
            </w:pPr>
            <w:r>
              <w:rPr>
                <w:rFonts w:ascii="Arial" w:cs="Arial" w:eastAsia="Arial" w:hAnsi="Arial"/>
                <w:sz w:val="18"/>
                <w:szCs w:val="18"/>
                <w:color w:val="auto"/>
                <w:w w:val="79"/>
              </w:rPr>
              <w:t>11</w:t>
            </w:r>
          </w:p>
        </w:tc>
        <w:tc>
          <w:tcPr>
            <w:tcW w:w="320" w:type="dxa"/>
            <w:vAlign w:val="bottom"/>
            <w:shd w:val="clear" w:color="auto" w:fill="CCFFFF"/>
          </w:tcPr>
          <w:p>
            <w:pPr>
              <w:spacing w:after="0"/>
              <w:rPr>
                <w:sz w:val="18"/>
                <w:szCs w:val="18"/>
                <w:color w:val="auto"/>
              </w:rPr>
            </w:pPr>
          </w:p>
        </w:tc>
        <w:tc>
          <w:tcPr>
            <w:tcW w:w="1620" w:type="dxa"/>
            <w:vAlign w:val="bottom"/>
            <w:gridSpan w:val="2"/>
            <w:shd w:val="clear" w:color="auto" w:fill="CCFFFF"/>
          </w:tcPr>
          <w:p>
            <w:pPr>
              <w:jc w:val="right"/>
              <w:ind w:right="161"/>
              <w:spacing w:after="0"/>
              <w:rPr>
                <w:sz w:val="20"/>
                <w:szCs w:val="20"/>
                <w:color w:val="auto"/>
              </w:rPr>
            </w:pPr>
            <w:r>
              <w:rPr>
                <w:rFonts w:ascii="Arial" w:cs="Arial" w:eastAsia="Arial" w:hAnsi="Arial"/>
                <w:sz w:val="18"/>
                <w:szCs w:val="18"/>
                <w:color w:val="auto"/>
              </w:rPr>
              <w:t>(35,052)</w:t>
            </w:r>
          </w:p>
        </w:tc>
        <w:tc>
          <w:tcPr>
            <w:tcW w:w="1380" w:type="dxa"/>
            <w:vAlign w:val="bottom"/>
            <w:gridSpan w:val="2"/>
            <w:shd w:val="clear" w:color="auto" w:fill="CCFFFF"/>
          </w:tcPr>
          <w:p>
            <w:pPr>
              <w:jc w:val="right"/>
              <w:spacing w:after="0"/>
              <w:rPr>
                <w:sz w:val="20"/>
                <w:szCs w:val="20"/>
                <w:color w:val="auto"/>
              </w:rPr>
            </w:pPr>
            <w:r>
              <w:rPr>
                <w:rFonts w:ascii="Arial" w:cs="Arial" w:eastAsia="Arial" w:hAnsi="Arial"/>
                <w:sz w:val="18"/>
                <w:szCs w:val="18"/>
                <w:color w:val="auto"/>
              </w:rPr>
              <w:t>(39,253)</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93"/>
              </w:rPr>
              <w:t>4, 5</w:t>
            </w:r>
          </w:p>
        </w:tc>
        <w:tc>
          <w:tcPr>
            <w:tcW w:w="320" w:type="dxa"/>
            <w:vAlign w:val="bottom"/>
          </w:tcPr>
          <w:p>
            <w:pPr>
              <w:spacing w:after="0"/>
              <w:rPr>
                <w:sz w:val="18"/>
                <w:szCs w:val="18"/>
                <w:color w:val="auto"/>
              </w:rPr>
            </w:pPr>
          </w:p>
        </w:tc>
        <w:tc>
          <w:tcPr>
            <w:tcW w:w="1620" w:type="dxa"/>
            <w:vAlign w:val="bottom"/>
            <w:gridSpan w:val="2"/>
          </w:tcPr>
          <w:p>
            <w:pPr>
              <w:jc w:val="right"/>
              <w:ind w:right="161"/>
              <w:spacing w:after="0"/>
              <w:rPr>
                <w:sz w:val="20"/>
                <w:szCs w:val="20"/>
                <w:color w:val="auto"/>
              </w:rPr>
            </w:pPr>
            <w:r>
              <w:rPr>
                <w:rFonts w:ascii="Arial" w:cs="Arial" w:eastAsia="Arial" w:hAnsi="Arial"/>
                <w:sz w:val="18"/>
                <w:szCs w:val="18"/>
                <w:color w:val="auto"/>
              </w:rPr>
              <w:t>(41,497)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(47,690)</w:t>
            </w:r>
          </w:p>
        </w:tc>
      </w:tr>
      <w:tr>
        <w:trPr>
          <w:trHeight w:val="229"/>
        </w:trPr>
        <w:tc>
          <w:tcPr>
            <w:tcW w:w="5720" w:type="dxa"/>
            <w:vAlign w:val="bottom"/>
            <w:gridSpan w:val="2"/>
            <w:shd w:val="clear" w:color="auto" w:fill="CCFFFF"/>
          </w:tcPr>
          <w:p>
            <w:pPr>
              <w:spacing w:after="0"/>
              <w:rPr>
                <w:sz w:val="20"/>
                <w:szCs w:val="20"/>
                <w:color w:val="auto"/>
              </w:rPr>
            </w:pPr>
            <w:r>
              <w:rPr>
                <w:rFonts w:ascii="Arial" w:cs="Arial" w:eastAsia="Arial" w:hAnsi="Arial"/>
                <w:sz w:val="18"/>
                <w:szCs w:val="18"/>
                <w:color w:val="auto"/>
              </w:rPr>
              <w:t>General and administrative expenses</w:t>
            </w:r>
          </w:p>
        </w:tc>
        <w:tc>
          <w:tcPr>
            <w:tcW w:w="1060" w:type="dxa"/>
            <w:vAlign w:val="bottom"/>
            <w:shd w:val="clear" w:color="auto" w:fill="CCFFFF"/>
          </w:tcPr>
          <w:p>
            <w:pPr>
              <w:jc w:val="center"/>
              <w:ind w:right="70"/>
              <w:spacing w:after="0"/>
              <w:rPr>
                <w:sz w:val="20"/>
                <w:szCs w:val="20"/>
                <w:color w:val="auto"/>
              </w:rPr>
            </w:pPr>
            <w:r>
              <w:rPr>
                <w:rFonts w:ascii="Arial" w:cs="Arial" w:eastAsia="Arial" w:hAnsi="Arial"/>
                <w:sz w:val="18"/>
                <w:szCs w:val="18"/>
                <w:color w:val="auto"/>
                <w:w w:val="89"/>
              </w:rPr>
              <w:t>10</w:t>
            </w:r>
          </w:p>
        </w:tc>
        <w:tc>
          <w:tcPr>
            <w:tcW w:w="320" w:type="dxa"/>
            <w:vAlign w:val="bottom"/>
            <w:shd w:val="clear" w:color="auto" w:fill="CCFFFF"/>
          </w:tcPr>
          <w:p>
            <w:pPr>
              <w:spacing w:after="0"/>
              <w:rPr>
                <w:sz w:val="19"/>
                <w:szCs w:val="19"/>
                <w:color w:val="auto"/>
              </w:rPr>
            </w:pPr>
          </w:p>
        </w:tc>
        <w:tc>
          <w:tcPr>
            <w:tcW w:w="1620" w:type="dxa"/>
            <w:vAlign w:val="bottom"/>
            <w:gridSpan w:val="2"/>
            <w:shd w:val="clear" w:color="auto" w:fill="CCFFFF"/>
          </w:tcPr>
          <w:p>
            <w:pPr>
              <w:jc w:val="right"/>
              <w:ind w:right="161"/>
              <w:spacing w:after="0"/>
              <w:rPr>
                <w:sz w:val="20"/>
                <w:szCs w:val="20"/>
                <w:color w:val="auto"/>
              </w:rPr>
            </w:pPr>
            <w:r>
              <w:rPr>
                <w:rFonts w:ascii="Arial" w:cs="Arial" w:eastAsia="Arial" w:hAnsi="Arial"/>
                <w:sz w:val="18"/>
                <w:szCs w:val="18"/>
                <w:color w:val="auto"/>
              </w:rPr>
              <w:t>(9,621)</w:t>
            </w:r>
          </w:p>
        </w:tc>
        <w:tc>
          <w:tcPr>
            <w:tcW w:w="1380" w:type="dxa"/>
            <w:vAlign w:val="bottom"/>
            <w:gridSpan w:val="2"/>
            <w:shd w:val="clear" w:color="auto" w:fill="CCFFFF"/>
          </w:tcPr>
          <w:p>
            <w:pPr>
              <w:jc w:val="right"/>
              <w:spacing w:after="0"/>
              <w:rPr>
                <w:sz w:val="20"/>
                <w:szCs w:val="20"/>
                <w:color w:val="auto"/>
              </w:rPr>
            </w:pPr>
            <w:r>
              <w:rPr>
                <w:rFonts w:ascii="Arial" w:cs="Arial" w:eastAsia="Arial" w:hAnsi="Arial"/>
                <w:sz w:val="18"/>
                <w:szCs w:val="18"/>
                <w:color w:val="auto"/>
              </w:rPr>
              <w:t>(11,742)</w:t>
            </w:r>
          </w:p>
        </w:tc>
      </w:tr>
      <w:tr>
        <w:trPr>
          <w:trHeight w:val="210"/>
        </w:trPr>
        <w:tc>
          <w:tcPr>
            <w:tcW w:w="5720" w:type="dxa"/>
            <w:vAlign w:val="bottom"/>
            <w:tcBorders>
              <w:bottom w:val="single" w:sz="8" w:color="CCFFFF"/>
            </w:tcBorders>
            <w:gridSpan w:val="2"/>
          </w:tcPr>
          <w:p>
            <w:pPr>
              <w:spacing w:after="0"/>
              <w:rPr>
                <w:sz w:val="20"/>
                <w:szCs w:val="20"/>
                <w:color w:val="auto"/>
              </w:rPr>
            </w:pPr>
            <w:r>
              <w:rPr>
                <w:rFonts w:ascii="Arial" w:cs="Arial" w:eastAsia="Arial" w:hAnsi="Arial"/>
                <w:sz w:val="18"/>
                <w:szCs w:val="18"/>
                <w:b w:val="1"/>
                <w:bCs w:val="1"/>
                <w:color w:val="auto"/>
              </w:rPr>
              <w:t>Profit from operations</w:t>
            </w:r>
          </w:p>
        </w:tc>
        <w:tc>
          <w:tcPr>
            <w:tcW w:w="1060" w:type="dxa"/>
            <w:vAlign w:val="bottom"/>
            <w:tcBorders>
              <w:bottom w:val="single" w:sz="8" w:color="CCFFFF"/>
            </w:tcBorders>
          </w:tcPr>
          <w:p>
            <w:pPr>
              <w:spacing w:after="0"/>
              <w:rPr>
                <w:sz w:val="18"/>
                <w:szCs w:val="18"/>
                <w:color w:val="auto"/>
              </w:rPr>
            </w:pPr>
          </w:p>
        </w:tc>
        <w:tc>
          <w:tcPr>
            <w:tcW w:w="320" w:type="dxa"/>
            <w:vAlign w:val="bottom"/>
            <w:tcBorders>
              <w:bottom w:val="single" w:sz="8" w:color="CCFF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72,254</w:t>
            </w:r>
          </w:p>
        </w:tc>
        <w:tc>
          <w:tcPr>
            <w:tcW w:w="300" w:type="dxa"/>
            <w:vAlign w:val="bottom"/>
            <w:tcBorders>
              <w:bottom w:val="single" w:sz="8" w:color="CCFF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102,730</w:t>
            </w:r>
          </w:p>
        </w:tc>
        <w:tc>
          <w:tcPr>
            <w:tcW w:w="80" w:type="dxa"/>
            <w:vAlign w:val="bottom"/>
            <w:tcBorders>
              <w:bottom w:val="single" w:sz="8" w:color="CCFFFF"/>
            </w:tcBorders>
          </w:tcPr>
          <w:p>
            <w:pPr>
              <w:spacing w:after="0"/>
              <w:rPr>
                <w:sz w:val="18"/>
                <w:szCs w:val="18"/>
                <w:color w:val="auto"/>
              </w:rPr>
            </w:pPr>
          </w:p>
        </w:tc>
      </w:tr>
      <w:tr>
        <w:trPr>
          <w:trHeight w:val="209"/>
        </w:trPr>
        <w:tc>
          <w:tcPr>
            <w:tcW w:w="5720" w:type="dxa"/>
            <w:vAlign w:val="bottom"/>
            <w:gridSpan w:val="2"/>
            <w:shd w:val="clear" w:color="auto" w:fill="CCFFFF"/>
          </w:tcPr>
          <w:p>
            <w:pPr>
              <w:spacing w:after="0"/>
              <w:rPr>
                <w:sz w:val="20"/>
                <w:szCs w:val="20"/>
                <w:color w:val="auto"/>
              </w:rPr>
            </w:pPr>
            <w:r>
              <w:rPr>
                <w:rFonts w:ascii="Arial" w:cs="Arial" w:eastAsia="Arial" w:hAnsi="Arial"/>
                <w:sz w:val="18"/>
                <w:szCs w:val="18"/>
                <w:color w:val="auto"/>
              </w:rPr>
              <w:t>Financial costs</w:t>
            </w:r>
          </w:p>
        </w:tc>
        <w:tc>
          <w:tcPr>
            <w:tcW w:w="1060" w:type="dxa"/>
            <w:vAlign w:val="bottom"/>
            <w:shd w:val="clear" w:color="auto" w:fill="CCFFFF"/>
          </w:tcPr>
          <w:p>
            <w:pPr>
              <w:jc w:val="center"/>
              <w:ind w:right="70"/>
              <w:spacing w:after="0"/>
              <w:rPr>
                <w:sz w:val="20"/>
                <w:szCs w:val="20"/>
                <w:color w:val="auto"/>
              </w:rPr>
            </w:pPr>
            <w:r>
              <w:rPr>
                <w:rFonts w:ascii="Arial" w:cs="Arial" w:eastAsia="Arial" w:hAnsi="Arial"/>
                <w:sz w:val="18"/>
                <w:szCs w:val="18"/>
                <w:color w:val="auto"/>
                <w:w w:val="89"/>
              </w:rPr>
              <w:t>16</w:t>
            </w:r>
          </w:p>
        </w:tc>
        <w:tc>
          <w:tcPr>
            <w:tcW w:w="320" w:type="dxa"/>
            <w:vAlign w:val="bottom"/>
            <w:shd w:val="clear" w:color="auto" w:fill="CCFFFF"/>
          </w:tcPr>
          <w:p>
            <w:pPr>
              <w:spacing w:after="0"/>
              <w:rPr>
                <w:sz w:val="18"/>
                <w:szCs w:val="18"/>
                <w:color w:val="auto"/>
              </w:rPr>
            </w:pPr>
          </w:p>
        </w:tc>
        <w:tc>
          <w:tcPr>
            <w:tcW w:w="13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(41,441)</w:t>
            </w:r>
          </w:p>
        </w:tc>
        <w:tc>
          <w:tcPr>
            <w:tcW w:w="300" w:type="dxa"/>
            <w:vAlign w:val="bottom"/>
            <w:shd w:val="clear" w:color="auto" w:fill="CCFFFF"/>
          </w:tcPr>
          <w:p>
            <w:pPr>
              <w:spacing w:after="0"/>
              <w:rPr>
                <w:sz w:val="18"/>
                <w:szCs w:val="18"/>
                <w:color w:val="auto"/>
              </w:rPr>
            </w:pPr>
          </w:p>
        </w:tc>
        <w:tc>
          <w:tcPr>
            <w:tcW w:w="130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(39,388)</w:t>
            </w:r>
          </w:p>
        </w:tc>
        <w:tc>
          <w:tcPr>
            <w:tcW w:w="80" w:type="dxa"/>
            <w:vAlign w:val="bottom"/>
            <w:shd w:val="clear" w:color="auto" w:fill="CCFFFF"/>
          </w:tcPr>
          <w:p>
            <w:pPr>
              <w:spacing w:after="0"/>
              <w:rPr>
                <w:sz w:val="18"/>
                <w:szCs w:val="18"/>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221"/>
              <w:spacing w:after="0"/>
              <w:rPr>
                <w:sz w:val="20"/>
                <w:szCs w:val="20"/>
                <w:color w:val="auto"/>
              </w:rPr>
            </w:pPr>
            <w:r>
              <w:rPr>
                <w:rFonts w:ascii="Arial" w:cs="Arial" w:eastAsia="Arial" w:hAnsi="Arial"/>
                <w:sz w:val="18"/>
                <w:szCs w:val="18"/>
                <w:color w:val="auto"/>
              </w:rPr>
              <w:t>468</w:t>
            </w:r>
          </w:p>
        </w:tc>
        <w:tc>
          <w:tcPr>
            <w:tcW w:w="1380" w:type="dxa"/>
            <w:vAlign w:val="bottom"/>
            <w:gridSpan w:val="2"/>
          </w:tcPr>
          <w:p>
            <w:pPr>
              <w:jc w:val="right"/>
              <w:ind w:right="1"/>
              <w:spacing w:after="0"/>
              <w:rPr>
                <w:sz w:val="20"/>
                <w:szCs w:val="20"/>
                <w:color w:val="auto"/>
              </w:rPr>
            </w:pPr>
            <w:r>
              <w:rPr>
                <w:rFonts w:ascii="Arial" w:cs="Arial" w:eastAsia="Arial" w:hAnsi="Arial"/>
                <w:sz w:val="18"/>
                <w:szCs w:val="18"/>
                <w:color w:val="auto"/>
              </w:rPr>
              <w:t>52</w:t>
            </w:r>
          </w:p>
        </w:tc>
      </w:tr>
      <w:tr>
        <w:trPr>
          <w:trHeight w:val="216"/>
        </w:trPr>
        <w:tc>
          <w:tcPr>
            <w:tcW w:w="5720" w:type="dxa"/>
            <w:vAlign w:val="bottom"/>
            <w:gridSpan w:val="2"/>
            <w:shd w:val="clear" w:color="auto" w:fill="CCFFFF"/>
          </w:tcPr>
          <w:p>
            <w:pPr>
              <w:spacing w:after="0"/>
              <w:rPr>
                <w:sz w:val="20"/>
                <w:szCs w:val="20"/>
                <w:color w:val="auto"/>
              </w:rPr>
            </w:pPr>
            <w:r>
              <w:rPr>
                <w:rFonts w:ascii="Arial" w:cs="Arial" w:eastAsia="Arial" w:hAnsi="Arial"/>
                <w:sz w:val="18"/>
                <w:szCs w:val="18"/>
                <w:color w:val="auto"/>
              </w:rPr>
              <w:t>(Loss)/gain on derivatives</w:t>
            </w:r>
          </w:p>
        </w:tc>
        <w:tc>
          <w:tcPr>
            <w:tcW w:w="1060" w:type="dxa"/>
            <w:vAlign w:val="bottom"/>
            <w:shd w:val="clear" w:color="auto" w:fill="CCFFFF"/>
          </w:tcPr>
          <w:p>
            <w:pPr>
              <w:jc w:val="center"/>
              <w:ind w:right="70"/>
              <w:spacing w:after="0"/>
              <w:rPr>
                <w:sz w:val="20"/>
                <w:szCs w:val="20"/>
                <w:color w:val="auto"/>
              </w:rPr>
            </w:pPr>
            <w:r>
              <w:rPr>
                <w:rFonts w:ascii="Arial" w:cs="Arial" w:eastAsia="Arial" w:hAnsi="Arial"/>
                <w:sz w:val="18"/>
                <w:szCs w:val="18"/>
                <w:color w:val="auto"/>
                <w:w w:val="89"/>
              </w:rPr>
              <w:t>16</w:t>
            </w:r>
          </w:p>
        </w:tc>
        <w:tc>
          <w:tcPr>
            <w:tcW w:w="320" w:type="dxa"/>
            <w:vAlign w:val="bottom"/>
            <w:shd w:val="clear" w:color="auto" w:fill="CCFFFF"/>
          </w:tcPr>
          <w:p>
            <w:pPr>
              <w:spacing w:after="0"/>
              <w:rPr>
                <w:sz w:val="18"/>
                <w:szCs w:val="18"/>
                <w:color w:val="auto"/>
              </w:rPr>
            </w:pPr>
          </w:p>
        </w:tc>
        <w:tc>
          <w:tcPr>
            <w:tcW w:w="1620" w:type="dxa"/>
            <w:vAlign w:val="bottom"/>
            <w:gridSpan w:val="2"/>
            <w:shd w:val="clear" w:color="auto" w:fill="CCFFFF"/>
          </w:tcPr>
          <w:p>
            <w:pPr>
              <w:jc w:val="right"/>
              <w:ind w:right="161"/>
              <w:spacing w:after="0"/>
              <w:rPr>
                <w:sz w:val="20"/>
                <w:szCs w:val="20"/>
                <w:color w:val="auto"/>
              </w:rPr>
            </w:pPr>
            <w:r>
              <w:rPr>
                <w:rFonts w:ascii="Arial" w:cs="Arial" w:eastAsia="Arial" w:hAnsi="Arial"/>
                <w:sz w:val="18"/>
                <w:szCs w:val="18"/>
                <w:color w:val="auto"/>
              </w:rPr>
              <w:t>(71,124)</w:t>
            </w:r>
          </w:p>
        </w:tc>
        <w:tc>
          <w:tcPr>
            <w:tcW w:w="1380" w:type="dxa"/>
            <w:vAlign w:val="bottom"/>
            <w:gridSpan w:val="2"/>
            <w:shd w:val="clear" w:color="auto" w:fill="CCFFFF"/>
          </w:tcPr>
          <w:p>
            <w:pPr>
              <w:jc w:val="right"/>
              <w:ind w:right="1"/>
              <w:spacing w:after="0"/>
              <w:rPr>
                <w:sz w:val="20"/>
                <w:szCs w:val="20"/>
                <w:color w:val="auto"/>
              </w:rPr>
            </w:pPr>
            <w:r>
              <w:rPr>
                <w:rFonts w:ascii="Arial" w:cs="Arial" w:eastAsia="Arial" w:hAnsi="Arial"/>
                <w:sz w:val="18"/>
                <w:szCs w:val="18"/>
                <w:color w:val="auto"/>
              </w:rPr>
              <w:t>20,283</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Share of profit of associates</w:t>
            </w: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79"/>
              </w:rPr>
              <w:t>3</w:t>
            </w:r>
          </w:p>
        </w:tc>
        <w:tc>
          <w:tcPr>
            <w:tcW w:w="320" w:type="dxa"/>
            <w:vAlign w:val="bottom"/>
          </w:tcPr>
          <w:p>
            <w:pPr>
              <w:spacing w:after="0"/>
              <w:rPr>
                <w:sz w:val="19"/>
                <w:szCs w:val="19"/>
                <w:color w:val="auto"/>
              </w:rPr>
            </w:pPr>
          </w:p>
        </w:tc>
        <w:tc>
          <w:tcPr>
            <w:tcW w:w="1620" w:type="dxa"/>
            <w:vAlign w:val="bottom"/>
            <w:gridSpan w:val="2"/>
          </w:tcPr>
          <w:p>
            <w:pPr>
              <w:jc w:val="right"/>
              <w:ind w:right="221"/>
              <w:spacing w:after="0"/>
              <w:rPr>
                <w:sz w:val="20"/>
                <w:szCs w:val="20"/>
                <w:color w:val="auto"/>
              </w:rPr>
            </w:pPr>
            <w:r>
              <w:rPr>
                <w:rFonts w:ascii="Arial" w:cs="Arial" w:eastAsia="Arial" w:hAnsi="Arial"/>
                <w:sz w:val="18"/>
                <w:szCs w:val="18"/>
                <w:color w:val="auto"/>
              </w:rPr>
              <w:t>406</w:t>
            </w:r>
          </w:p>
        </w:tc>
        <w:tc>
          <w:tcPr>
            <w:tcW w:w="1380" w:type="dxa"/>
            <w:vAlign w:val="bottom"/>
            <w:gridSpan w:val="2"/>
          </w:tcPr>
          <w:p>
            <w:pPr>
              <w:jc w:val="right"/>
              <w:ind w:right="1"/>
              <w:spacing w:after="0"/>
              <w:rPr>
                <w:sz w:val="20"/>
                <w:szCs w:val="20"/>
                <w:color w:val="auto"/>
              </w:rPr>
            </w:pPr>
            <w:r>
              <w:rPr>
                <w:rFonts w:ascii="Arial" w:cs="Arial" w:eastAsia="Arial" w:hAnsi="Arial"/>
                <w:sz w:val="18"/>
                <w:szCs w:val="18"/>
                <w:color w:val="auto"/>
              </w:rPr>
              <w:t>567</w:t>
            </w:r>
          </w:p>
        </w:tc>
      </w:tr>
      <w:tr>
        <w:trPr>
          <w:trHeight w:val="209"/>
        </w:trPr>
        <w:tc>
          <w:tcPr>
            <w:tcW w:w="5720" w:type="dxa"/>
            <w:vAlign w:val="bottom"/>
            <w:tcBorders>
              <w:top w:val="single" w:sz="8" w:color="CCFFFF"/>
            </w:tcBorders>
            <w:gridSpan w:val="2"/>
            <w:shd w:val="clear" w:color="auto" w:fill="CCFFFF"/>
          </w:tcPr>
          <w:p>
            <w:pPr>
              <w:spacing w:after="0"/>
              <w:rPr>
                <w:sz w:val="20"/>
                <w:szCs w:val="20"/>
                <w:color w:val="auto"/>
              </w:rPr>
            </w:pPr>
            <w:r>
              <w:rPr>
                <w:rFonts w:ascii="Arial" w:cs="Arial" w:eastAsia="Arial" w:hAnsi="Arial"/>
                <w:sz w:val="18"/>
                <w:szCs w:val="18"/>
                <w:b w:val="1"/>
                <w:bCs w:val="1"/>
                <w:color w:val="auto"/>
              </w:rPr>
              <w:t>Total other expenses, net</w:t>
            </w:r>
          </w:p>
        </w:tc>
        <w:tc>
          <w:tcPr>
            <w:tcW w:w="1060" w:type="dxa"/>
            <w:vAlign w:val="bottom"/>
            <w:tcBorders>
              <w:top w:val="single" w:sz="8" w:color="CCFFFF"/>
            </w:tcBorders>
            <w:shd w:val="clear" w:color="auto" w:fill="CCFFFF"/>
          </w:tcPr>
          <w:p>
            <w:pPr>
              <w:spacing w:after="0"/>
              <w:rPr>
                <w:sz w:val="18"/>
                <w:szCs w:val="18"/>
                <w:color w:val="auto"/>
              </w:rPr>
            </w:pPr>
          </w:p>
        </w:tc>
        <w:tc>
          <w:tcPr>
            <w:tcW w:w="320" w:type="dxa"/>
            <w:vAlign w:val="bottom"/>
            <w:tcBorders>
              <w:top w:val="single" w:sz="8" w:color="CCFFFF"/>
            </w:tcBorders>
            <w:shd w:val="clear" w:color="auto" w:fill="CCFFFF"/>
          </w:tcPr>
          <w:p>
            <w:pPr>
              <w:spacing w:after="0"/>
              <w:rPr>
                <w:sz w:val="18"/>
                <w:szCs w:val="18"/>
                <w:color w:val="auto"/>
              </w:rPr>
            </w:pPr>
          </w:p>
        </w:tc>
        <w:tc>
          <w:tcPr>
            <w:tcW w:w="13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(111,691</w:t>
            </w:r>
          </w:p>
        </w:tc>
        <w:tc>
          <w:tcPr>
            <w:tcW w:w="300" w:type="dxa"/>
            <w:vAlign w:val="bottom"/>
            <w:tcBorders>
              <w:top w:val="single" w:sz="8" w:color="CCFFFF"/>
            </w:tcBorders>
            <w:shd w:val="clear" w:color="auto" w:fill="CCFFFF"/>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30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(18,486</w:t>
            </w:r>
          </w:p>
        </w:tc>
        <w:tc>
          <w:tcPr>
            <w:tcW w:w="80" w:type="dxa"/>
            <w:vAlign w:val="bottom"/>
            <w:tcBorders>
              <w:top w:val="single" w:sz="8" w:color="CCFFFF"/>
            </w:tcBorders>
            <w:shd w:val="clear" w:color="auto" w:fill="CCFF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63"/>
        </w:trPr>
        <w:tc>
          <w:tcPr>
            <w:tcW w:w="5720" w:type="dxa"/>
            <w:vAlign w:val="bottom"/>
            <w:tcBorders>
              <w:bottom w:val="single" w:sz="8" w:color="CCFFFF"/>
            </w:tcBorders>
            <w:gridSpan w:val="2"/>
          </w:tcPr>
          <w:p>
            <w:pPr>
              <w:spacing w:after="0"/>
              <w:rPr>
                <w:sz w:val="20"/>
                <w:szCs w:val="20"/>
                <w:color w:val="auto"/>
              </w:rPr>
            </w:pPr>
            <w:r>
              <w:rPr>
                <w:rFonts w:ascii="Arial" w:cs="Arial" w:eastAsia="Arial" w:hAnsi="Arial"/>
                <w:sz w:val="18"/>
                <w:szCs w:val="18"/>
                <w:b w:val="1"/>
                <w:bCs w:val="1"/>
                <w:color w:val="auto"/>
              </w:rPr>
              <w:t>(Loss)/profit for the period</w:t>
            </w:r>
          </w:p>
        </w:tc>
        <w:tc>
          <w:tcPr>
            <w:tcW w:w="1060" w:type="dxa"/>
            <w:vAlign w:val="bottom"/>
            <w:tcBorders>
              <w:bottom w:val="single" w:sz="8" w:color="CCFFFF"/>
            </w:tcBorders>
          </w:tcPr>
          <w:p>
            <w:pPr>
              <w:spacing w:after="0"/>
              <w:rPr>
                <w:sz w:val="22"/>
                <w:szCs w:val="22"/>
                <w:color w:val="auto"/>
              </w:rPr>
            </w:pPr>
          </w:p>
        </w:tc>
        <w:tc>
          <w:tcPr>
            <w:tcW w:w="320" w:type="dxa"/>
            <w:vAlign w:val="bottom"/>
            <w:tcBorders>
              <w:bottom w:val="single" w:sz="8" w:color="CCFF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(39,437</w:t>
            </w:r>
          </w:p>
        </w:tc>
        <w:tc>
          <w:tcPr>
            <w:tcW w:w="300" w:type="dxa"/>
            <w:vAlign w:val="bottom"/>
            <w:tcBorders>
              <w:bottom w:val="single" w:sz="8" w:color="CCFFFF"/>
            </w:tcBorders>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84,244</w:t>
            </w:r>
          </w:p>
        </w:tc>
        <w:tc>
          <w:tcPr>
            <w:tcW w:w="80" w:type="dxa"/>
            <w:vAlign w:val="bottom"/>
            <w:tcBorders>
              <w:bottom w:val="single" w:sz="8" w:color="CCFFFF"/>
            </w:tcBorders>
          </w:tcPr>
          <w:p>
            <w:pPr>
              <w:spacing w:after="0"/>
              <w:rPr>
                <w:sz w:val="22"/>
                <w:szCs w:val="22"/>
                <w:color w:val="auto"/>
              </w:rPr>
            </w:pPr>
          </w:p>
        </w:tc>
      </w:tr>
      <w:tr>
        <w:trPr>
          <w:trHeight w:val="196"/>
        </w:trPr>
        <w:tc>
          <w:tcPr>
            <w:tcW w:w="5720" w:type="dxa"/>
            <w:vAlign w:val="bottom"/>
            <w:gridSpan w:val="2"/>
            <w:shd w:val="clear" w:color="auto" w:fill="CCFFFF"/>
          </w:tcPr>
          <w:p>
            <w:pPr>
              <w:spacing w:after="0" w:line="196" w:lineRule="exact"/>
              <w:rPr>
                <w:sz w:val="20"/>
                <w:szCs w:val="20"/>
                <w:color w:val="auto"/>
              </w:rPr>
            </w:pPr>
            <w:r>
              <w:rPr>
                <w:rFonts w:ascii="Arial" w:cs="Arial" w:eastAsia="Arial" w:hAnsi="Arial"/>
                <w:sz w:val="18"/>
                <w:szCs w:val="18"/>
                <w:color w:val="auto"/>
              </w:rPr>
              <w:t>Attributable to:</w:t>
            </w:r>
          </w:p>
        </w:tc>
        <w:tc>
          <w:tcPr>
            <w:tcW w:w="1060" w:type="dxa"/>
            <w:vAlign w:val="bottom"/>
            <w:shd w:val="clear" w:color="auto" w:fill="CCFFFF"/>
          </w:tcPr>
          <w:p>
            <w:pPr>
              <w:spacing w:after="0"/>
              <w:rPr>
                <w:sz w:val="17"/>
                <w:szCs w:val="17"/>
                <w:color w:val="auto"/>
              </w:rPr>
            </w:pPr>
          </w:p>
        </w:tc>
        <w:tc>
          <w:tcPr>
            <w:tcW w:w="320" w:type="dxa"/>
            <w:vAlign w:val="bottom"/>
            <w:shd w:val="clear" w:color="auto" w:fill="CCFFFF"/>
          </w:tcPr>
          <w:p>
            <w:pPr>
              <w:spacing w:after="0"/>
              <w:rPr>
                <w:sz w:val="17"/>
                <w:szCs w:val="17"/>
                <w:color w:val="auto"/>
              </w:rPr>
            </w:pPr>
          </w:p>
        </w:tc>
        <w:tc>
          <w:tcPr>
            <w:tcW w:w="1320" w:type="dxa"/>
            <w:vAlign w:val="bottom"/>
            <w:shd w:val="clear" w:color="auto" w:fill="CCFFFF"/>
          </w:tcPr>
          <w:p>
            <w:pPr>
              <w:spacing w:after="0"/>
              <w:rPr>
                <w:sz w:val="17"/>
                <w:szCs w:val="17"/>
                <w:color w:val="auto"/>
              </w:rPr>
            </w:pPr>
          </w:p>
        </w:tc>
        <w:tc>
          <w:tcPr>
            <w:tcW w:w="300" w:type="dxa"/>
            <w:vAlign w:val="bottom"/>
            <w:shd w:val="clear" w:color="auto" w:fill="CCFFFF"/>
          </w:tcPr>
          <w:p>
            <w:pPr>
              <w:spacing w:after="0"/>
              <w:rPr>
                <w:sz w:val="17"/>
                <w:szCs w:val="17"/>
                <w:color w:val="auto"/>
              </w:rPr>
            </w:pPr>
          </w:p>
        </w:tc>
        <w:tc>
          <w:tcPr>
            <w:tcW w:w="1300" w:type="dxa"/>
            <w:vAlign w:val="bottom"/>
            <w:shd w:val="clear" w:color="auto" w:fill="CCFFFF"/>
          </w:tcPr>
          <w:p>
            <w:pPr>
              <w:spacing w:after="0"/>
              <w:rPr>
                <w:sz w:val="17"/>
                <w:szCs w:val="17"/>
                <w:color w:val="auto"/>
              </w:rPr>
            </w:pPr>
          </w:p>
        </w:tc>
        <w:tc>
          <w:tcPr>
            <w:tcW w:w="80" w:type="dxa"/>
            <w:vAlign w:val="bottom"/>
            <w:shd w:val="clear" w:color="auto" w:fill="CCFFFF"/>
          </w:tcPr>
          <w:p>
            <w:pPr>
              <w:spacing w:after="0"/>
              <w:rPr>
                <w:sz w:val="17"/>
                <w:szCs w:val="17"/>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Owners of the Group</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161"/>
              <w:spacing w:after="0"/>
              <w:rPr>
                <w:sz w:val="20"/>
                <w:szCs w:val="20"/>
                <w:color w:val="auto"/>
              </w:rPr>
            </w:pPr>
            <w:r>
              <w:rPr>
                <w:rFonts w:ascii="Arial" w:cs="Arial" w:eastAsia="Arial" w:hAnsi="Arial"/>
                <w:sz w:val="18"/>
                <w:szCs w:val="18"/>
                <w:color w:val="auto"/>
              </w:rPr>
              <w:t>(51,479)</w:t>
            </w:r>
          </w:p>
        </w:tc>
        <w:tc>
          <w:tcPr>
            <w:tcW w:w="1380" w:type="dxa"/>
            <w:vAlign w:val="bottom"/>
            <w:gridSpan w:val="2"/>
          </w:tcPr>
          <w:p>
            <w:pPr>
              <w:jc w:val="right"/>
              <w:ind w:right="1"/>
              <w:spacing w:after="0"/>
              <w:rPr>
                <w:sz w:val="20"/>
                <w:szCs w:val="20"/>
                <w:color w:val="auto"/>
              </w:rPr>
            </w:pPr>
            <w:r>
              <w:rPr>
                <w:rFonts w:ascii="Arial" w:cs="Arial" w:eastAsia="Arial" w:hAnsi="Arial"/>
                <w:sz w:val="18"/>
                <w:szCs w:val="18"/>
                <w:color w:val="auto"/>
              </w:rPr>
              <w:t>57,934</w:t>
            </w:r>
          </w:p>
        </w:tc>
      </w:tr>
      <w:tr>
        <w:trPr>
          <w:trHeight w:val="229"/>
        </w:trPr>
        <w:tc>
          <w:tcPr>
            <w:tcW w:w="5720" w:type="dxa"/>
            <w:vAlign w:val="bottom"/>
            <w:gridSpan w:val="2"/>
            <w:shd w:val="clear" w:color="auto" w:fill="CCFFFF"/>
          </w:tcPr>
          <w:p>
            <w:pPr>
              <w:spacing w:after="0"/>
              <w:rPr>
                <w:sz w:val="20"/>
                <w:szCs w:val="20"/>
                <w:color w:val="auto"/>
              </w:rPr>
            </w:pPr>
            <w:r>
              <w:rPr>
                <w:rFonts w:ascii="Arial" w:cs="Arial" w:eastAsia="Arial" w:hAnsi="Arial"/>
                <w:sz w:val="18"/>
                <w:szCs w:val="18"/>
                <w:color w:val="auto"/>
              </w:rPr>
              <w:t>Non-controlling interests</w:t>
            </w:r>
          </w:p>
        </w:tc>
        <w:tc>
          <w:tcPr>
            <w:tcW w:w="106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1620" w:type="dxa"/>
            <w:vAlign w:val="bottom"/>
            <w:gridSpan w:val="2"/>
            <w:shd w:val="clear" w:color="auto" w:fill="CCFFFF"/>
          </w:tcPr>
          <w:p>
            <w:pPr>
              <w:jc w:val="right"/>
              <w:ind w:right="221"/>
              <w:spacing w:after="0"/>
              <w:rPr>
                <w:sz w:val="20"/>
                <w:szCs w:val="20"/>
                <w:color w:val="auto"/>
              </w:rPr>
            </w:pPr>
            <w:r>
              <w:rPr>
                <w:rFonts w:ascii="Arial" w:cs="Arial" w:eastAsia="Arial" w:hAnsi="Arial"/>
                <w:sz w:val="18"/>
                <w:szCs w:val="18"/>
                <w:color w:val="auto"/>
              </w:rPr>
              <w:t>12,042</w:t>
            </w:r>
          </w:p>
        </w:tc>
        <w:tc>
          <w:tcPr>
            <w:tcW w:w="1380" w:type="dxa"/>
            <w:vAlign w:val="bottom"/>
            <w:gridSpan w:val="2"/>
            <w:shd w:val="clear" w:color="auto" w:fill="CCFFFF"/>
          </w:tcPr>
          <w:p>
            <w:pPr>
              <w:jc w:val="right"/>
              <w:ind w:right="1"/>
              <w:spacing w:after="0"/>
              <w:rPr>
                <w:sz w:val="20"/>
                <w:szCs w:val="20"/>
                <w:color w:val="auto"/>
              </w:rPr>
            </w:pPr>
            <w:r>
              <w:rPr>
                <w:rFonts w:ascii="Arial" w:cs="Arial" w:eastAsia="Arial" w:hAnsi="Arial"/>
                <w:sz w:val="18"/>
                <w:szCs w:val="18"/>
                <w:color w:val="auto"/>
              </w:rPr>
              <w:t>26,310</w:t>
            </w:r>
          </w:p>
        </w:tc>
      </w:tr>
      <w:tr>
        <w:trPr>
          <w:trHeight w:val="263"/>
        </w:trPr>
        <w:tc>
          <w:tcPr>
            <w:tcW w:w="5460" w:type="dxa"/>
            <w:vAlign w:val="bottom"/>
            <w:tcBorders>
              <w:bottom w:val="single" w:sz="8" w:color="CCFFFF"/>
            </w:tcBorders>
          </w:tcPr>
          <w:p>
            <w:pPr>
              <w:spacing w:after="0"/>
              <w:rPr>
                <w:sz w:val="22"/>
                <w:szCs w:val="22"/>
                <w:color w:val="auto"/>
              </w:rPr>
            </w:pPr>
          </w:p>
        </w:tc>
        <w:tc>
          <w:tcPr>
            <w:tcW w:w="260" w:type="dxa"/>
            <w:vAlign w:val="bottom"/>
            <w:tcBorders>
              <w:bottom w:val="single" w:sz="8" w:color="CCFFFF"/>
            </w:tcBorders>
          </w:tcPr>
          <w:p>
            <w:pPr>
              <w:spacing w:after="0"/>
              <w:rPr>
                <w:sz w:val="22"/>
                <w:szCs w:val="22"/>
                <w:color w:val="auto"/>
              </w:rPr>
            </w:pPr>
          </w:p>
        </w:tc>
        <w:tc>
          <w:tcPr>
            <w:tcW w:w="1060" w:type="dxa"/>
            <w:vAlign w:val="bottom"/>
            <w:tcBorders>
              <w:bottom w:val="single" w:sz="8" w:color="CCFFFF"/>
            </w:tcBorders>
          </w:tcPr>
          <w:p>
            <w:pPr>
              <w:spacing w:after="0"/>
              <w:rPr>
                <w:sz w:val="22"/>
                <w:szCs w:val="22"/>
                <w:color w:val="auto"/>
              </w:rPr>
            </w:pPr>
          </w:p>
        </w:tc>
        <w:tc>
          <w:tcPr>
            <w:tcW w:w="320" w:type="dxa"/>
            <w:vAlign w:val="bottom"/>
            <w:tcBorders>
              <w:bottom w:val="single" w:sz="8" w:color="CCFFFF"/>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(39,437</w:t>
            </w:r>
          </w:p>
        </w:tc>
        <w:tc>
          <w:tcPr>
            <w:tcW w:w="300" w:type="dxa"/>
            <w:vAlign w:val="bottom"/>
            <w:tcBorders>
              <w:bottom w:val="single" w:sz="8" w:color="CCFFFF"/>
            </w:tcBorders>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84,244</w:t>
            </w:r>
          </w:p>
        </w:tc>
        <w:tc>
          <w:tcPr>
            <w:tcW w:w="80" w:type="dxa"/>
            <w:vAlign w:val="bottom"/>
            <w:tcBorders>
              <w:bottom w:val="single" w:sz="8" w:color="CCFFFF"/>
            </w:tcBorders>
          </w:tcPr>
          <w:p>
            <w:pPr>
              <w:spacing w:after="0"/>
              <w:rPr>
                <w:sz w:val="22"/>
                <w:szCs w:val="22"/>
                <w:color w:val="auto"/>
              </w:rPr>
            </w:pPr>
          </w:p>
        </w:tc>
      </w:tr>
      <w:tr>
        <w:trPr>
          <w:trHeight w:val="196"/>
        </w:trPr>
        <w:tc>
          <w:tcPr>
            <w:tcW w:w="5460" w:type="dxa"/>
            <w:vAlign w:val="bottom"/>
            <w:shd w:val="clear" w:color="auto" w:fill="CCFFFF"/>
          </w:tcPr>
          <w:p>
            <w:pPr>
              <w:spacing w:after="0"/>
              <w:rPr>
                <w:sz w:val="17"/>
                <w:szCs w:val="17"/>
                <w:color w:val="auto"/>
              </w:rPr>
            </w:pPr>
          </w:p>
        </w:tc>
        <w:tc>
          <w:tcPr>
            <w:tcW w:w="260" w:type="dxa"/>
            <w:vAlign w:val="bottom"/>
            <w:shd w:val="clear" w:color="auto" w:fill="CCFFFF"/>
          </w:tcPr>
          <w:p>
            <w:pPr>
              <w:spacing w:after="0"/>
              <w:rPr>
                <w:sz w:val="17"/>
                <w:szCs w:val="17"/>
                <w:color w:val="auto"/>
              </w:rPr>
            </w:pPr>
          </w:p>
        </w:tc>
        <w:tc>
          <w:tcPr>
            <w:tcW w:w="1060" w:type="dxa"/>
            <w:vAlign w:val="bottom"/>
            <w:shd w:val="clear" w:color="auto" w:fill="CCFFFF"/>
          </w:tcPr>
          <w:p>
            <w:pPr>
              <w:spacing w:after="0"/>
              <w:rPr>
                <w:sz w:val="17"/>
                <w:szCs w:val="17"/>
                <w:color w:val="auto"/>
              </w:rPr>
            </w:pPr>
          </w:p>
        </w:tc>
        <w:tc>
          <w:tcPr>
            <w:tcW w:w="320" w:type="dxa"/>
            <w:vAlign w:val="bottom"/>
            <w:shd w:val="clear" w:color="auto" w:fill="CCFFFF"/>
          </w:tcPr>
          <w:p>
            <w:pPr>
              <w:spacing w:after="0"/>
              <w:rPr>
                <w:sz w:val="17"/>
                <w:szCs w:val="17"/>
                <w:color w:val="auto"/>
              </w:rPr>
            </w:pPr>
          </w:p>
        </w:tc>
        <w:tc>
          <w:tcPr>
            <w:tcW w:w="1320" w:type="dxa"/>
            <w:vAlign w:val="bottom"/>
            <w:shd w:val="clear" w:color="auto" w:fill="CCFFFF"/>
          </w:tcPr>
          <w:p>
            <w:pPr>
              <w:spacing w:after="0"/>
              <w:rPr>
                <w:sz w:val="17"/>
                <w:szCs w:val="17"/>
                <w:color w:val="auto"/>
              </w:rPr>
            </w:pPr>
          </w:p>
        </w:tc>
        <w:tc>
          <w:tcPr>
            <w:tcW w:w="300" w:type="dxa"/>
            <w:vAlign w:val="bottom"/>
            <w:shd w:val="clear" w:color="auto" w:fill="CCFFFF"/>
          </w:tcPr>
          <w:p>
            <w:pPr>
              <w:spacing w:after="0"/>
              <w:rPr>
                <w:sz w:val="17"/>
                <w:szCs w:val="17"/>
                <w:color w:val="auto"/>
              </w:rPr>
            </w:pPr>
          </w:p>
        </w:tc>
        <w:tc>
          <w:tcPr>
            <w:tcW w:w="1300" w:type="dxa"/>
            <w:vAlign w:val="bottom"/>
            <w:shd w:val="clear" w:color="auto" w:fill="CCFFFF"/>
          </w:tcPr>
          <w:p>
            <w:pPr>
              <w:spacing w:after="0"/>
              <w:rPr>
                <w:sz w:val="17"/>
                <w:szCs w:val="17"/>
                <w:color w:val="auto"/>
              </w:rPr>
            </w:pPr>
          </w:p>
        </w:tc>
        <w:tc>
          <w:tcPr>
            <w:tcW w:w="80" w:type="dxa"/>
            <w:vAlign w:val="bottom"/>
            <w:shd w:val="clear" w:color="auto" w:fill="CCFFFF"/>
          </w:tcPr>
          <w:p>
            <w:pPr>
              <w:spacing w:after="0"/>
              <w:rPr>
                <w:sz w:val="17"/>
                <w:szCs w:val="17"/>
                <w:color w:val="auto"/>
              </w:rPr>
            </w:pPr>
          </w:p>
        </w:tc>
      </w:t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(Loss)/earnings per share – basic and diluted</w:t>
            </w: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89"/>
              </w:rPr>
              <w:t>18</w:t>
            </w:r>
          </w:p>
        </w:tc>
        <w:tc>
          <w:tcPr>
            <w:tcW w:w="320" w:type="dxa"/>
            <w:vAlign w:val="bottom"/>
          </w:tcPr>
          <w:p>
            <w:pPr>
              <w:spacing w:after="0"/>
              <w:rPr>
                <w:sz w:val="20"/>
                <w:szCs w:val="20"/>
                <w:color w:val="auto"/>
              </w:rPr>
            </w:pPr>
          </w:p>
        </w:tc>
        <w:tc>
          <w:tcPr>
            <w:tcW w:w="162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(0.67)</w:t>
            </w:r>
          </w:p>
        </w:tc>
        <w:tc>
          <w:tcPr>
            <w:tcW w:w="138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0.58</w:t>
            </w:r>
          </w:p>
        </w:tc>
      </w:tr>
    </w:tbl>
    <w:p>
      <w:pPr>
        <w:spacing w:after="0" w:line="18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Unaudited condensed consolidated statements of comprehensive income or loss For the three months ended March 31, 2020 and 2021 (Amounts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(Loss)/profit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41223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122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p>
      <w:pPr>
        <w:spacing w:after="0" w:line="9" w:lineRule="exact"/>
        <w:rPr>
          <w:sz w:val="20"/>
          <w:szCs w:val="20"/>
          <w:color w:val="auto"/>
        </w:rPr>
      </w:pPr>
    </w:p>
    <w:p>
      <w:pPr>
        <w:ind w:left="160" w:right="460" w:hanging="157"/>
        <w:spacing w:after="0" w:line="250" w:lineRule="auto"/>
        <w:rPr>
          <w:sz w:val="20"/>
          <w:szCs w:val="20"/>
          <w:color w:val="auto"/>
        </w:rPr>
      </w:pPr>
      <w:r>
        <w:rPr>
          <w:rFonts w:ascii="Arial" w:cs="Arial" w:eastAsia="Arial" w:hAnsi="Arial"/>
          <w:sz w:val="18"/>
          <w:szCs w:val="18"/>
          <w:color w:val="auto"/>
        </w:rPr>
        <w:t>Effective portion of changes in fair value of cash flow hedges, net of amounts recycled to profit or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4122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comprehensive (loss)/income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41223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Owners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1223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5"/>
          </w:tcPr>
          <w:p>
            <w:pPr>
              <w:jc w:val="right"/>
              <w:ind w:right="221"/>
              <w:spacing w:after="0"/>
              <w:rPr>
                <w:sz w:val="20"/>
                <w:szCs w:val="20"/>
                <w:color w:val="auto"/>
              </w:rPr>
            </w:pPr>
            <w:r>
              <w:rPr>
                <w:rFonts w:ascii="Arial" w:cs="Arial" w:eastAsia="Arial" w:hAnsi="Arial"/>
                <w:sz w:val="18"/>
                <w:szCs w:val="18"/>
                <w:b w:val="1"/>
                <w:bCs w:val="1"/>
                <w:color w:val="auto"/>
                <w:w w:val="96"/>
              </w:rPr>
              <w:t>For the three months ended</w:t>
            </w:r>
          </w:p>
        </w:tc>
      </w:tr>
      <w:tr>
        <w:trPr>
          <w:trHeight w:val="216"/>
        </w:trPr>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March 31,</w:t>
            </w:r>
          </w:p>
        </w:tc>
        <w:tc>
          <w:tcPr>
            <w:tcW w:w="116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1440" w:type="dxa"/>
            <w:vAlign w:val="bottom"/>
            <w:gridSpan w:val="2"/>
          </w:tcPr>
          <w:p>
            <w:pPr>
              <w:ind w:left="360"/>
              <w:spacing w:after="0"/>
              <w:rPr>
                <w:sz w:val="20"/>
                <w:szCs w:val="20"/>
                <w:color w:val="auto"/>
              </w:rPr>
            </w:pPr>
            <w:r>
              <w:rPr>
                <w:rFonts w:ascii="Arial" w:cs="Arial" w:eastAsia="Arial" w:hAnsi="Arial"/>
                <w:sz w:val="18"/>
                <w:szCs w:val="18"/>
                <w:b w:val="1"/>
                <w:bCs w:val="1"/>
                <w:color w:val="auto"/>
              </w:rPr>
              <w:t>Notes</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11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(39,437)</w:t>
            </w:r>
          </w:p>
        </w:tc>
        <w:tc>
          <w:tcPr>
            <w:tcW w:w="3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84,244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859"/>
        </w:trPr>
        <w:tc>
          <w:tcPr>
            <w:tcW w:w="112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1420" w:type="dxa"/>
            <w:vAlign w:val="bottom"/>
            <w:gridSpan w:val="2"/>
          </w:tcPr>
          <w:p>
            <w:pPr>
              <w:jc w:val="right"/>
              <w:ind w:right="161"/>
              <w:spacing w:after="0"/>
              <w:rPr>
                <w:sz w:val="20"/>
                <w:szCs w:val="20"/>
                <w:color w:val="auto"/>
              </w:rPr>
            </w:pPr>
            <w:r>
              <w:rPr>
                <w:rFonts w:ascii="Arial" w:cs="Arial" w:eastAsia="Arial" w:hAnsi="Arial"/>
                <w:sz w:val="18"/>
                <w:szCs w:val="18"/>
                <w:color w:val="auto"/>
              </w:rPr>
              <w:t>(4,110)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(1,098)</w:t>
            </w:r>
          </w:p>
        </w:tc>
      </w:tr>
      <w:tr>
        <w:trPr>
          <w:trHeight w:val="210"/>
        </w:trPr>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(4,110</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(1,098</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23"/>
        </w:trPr>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(43,547</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83,146</w:t>
            </w:r>
          </w:p>
        </w:tc>
        <w:tc>
          <w:tcPr>
            <w:tcW w:w="4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right"/>
              <w:ind w:right="161"/>
              <w:spacing w:after="0"/>
              <w:rPr>
                <w:sz w:val="20"/>
                <w:szCs w:val="20"/>
                <w:color w:val="auto"/>
              </w:rPr>
            </w:pPr>
            <w:r>
              <w:rPr>
                <w:rFonts w:ascii="Arial" w:cs="Arial" w:eastAsia="Arial" w:hAnsi="Arial"/>
                <w:sz w:val="18"/>
                <w:szCs w:val="18"/>
                <w:color w:val="auto"/>
              </w:rPr>
              <w:t>(55,589)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56,836</w:t>
            </w:r>
          </w:p>
        </w:tc>
        <w:tc>
          <w:tcPr>
            <w:tcW w:w="40" w:type="dxa"/>
            <w:vAlign w:val="bottom"/>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12,042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26,310</w:t>
            </w:r>
          </w:p>
        </w:tc>
        <w:tc>
          <w:tcPr>
            <w:tcW w:w="40" w:type="dxa"/>
            <w:vAlign w:val="bottom"/>
          </w:tcPr>
          <w:p>
            <w:pPr>
              <w:spacing w:after="0"/>
              <w:rPr>
                <w:sz w:val="20"/>
                <w:szCs w:val="20"/>
                <w:color w:val="auto"/>
              </w:rPr>
            </w:pPr>
          </w:p>
        </w:tc>
      </w:tr>
      <w:tr>
        <w:trPr>
          <w:trHeight w:val="223"/>
        </w:trPr>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(43,547</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83,146</w:t>
            </w:r>
          </w:p>
        </w:tc>
        <w:tc>
          <w:tcPr>
            <w:tcW w:w="4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0"/>
            <w:col w:w="4079"/>
          </w:cols>
          <w:pgMar w:left="320" w:top="904" w:right="1440" w:bottom="1440" w:gutter="0" w:footer="0" w:header="0"/>
        </w:sectPr>
      </w:pPr>
    </w:p>
    <w:p>
      <w:pPr>
        <w:spacing w:after="0" w:line="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2020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Preference</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jc w:val="center"/>
              <w:ind w:right="68"/>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Attributable</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Non -</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capital</w:t>
            </w:r>
          </w:p>
        </w:tc>
        <w:tc>
          <w:tcPr>
            <w:tcW w:w="1040" w:type="dxa"/>
            <w:vAlign w:val="bottom"/>
            <w:gridSpan w:val="2"/>
            <w:vMerge w:val="continue"/>
          </w:tcPr>
          <w:p>
            <w:pPr>
              <w:spacing w:after="0"/>
              <w:rPr>
                <w:sz w:val="12"/>
                <w:szCs w:val="12"/>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Contributed</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(Note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shares</w:t>
            </w:r>
          </w:p>
        </w:tc>
        <w:tc>
          <w:tcPr>
            <w:tcW w:w="104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Reserves</w:t>
            </w:r>
          </w:p>
        </w:tc>
        <w:tc>
          <w:tcPr>
            <w:tcW w:w="90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84"/>
              </w:rPr>
              <w:t>shares</w:t>
            </w:r>
          </w:p>
        </w:tc>
        <w:tc>
          <w:tcPr>
            <w:tcW w:w="112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to owners of</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13)</w:t>
            </w:r>
          </w:p>
        </w:tc>
        <w:tc>
          <w:tcPr>
            <w:tcW w:w="2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(Note 13)</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surplus</w:t>
            </w:r>
          </w:p>
        </w:tc>
        <w:tc>
          <w:tcPr>
            <w:tcW w:w="980" w:type="dxa"/>
            <w:vAlign w:val="bottom"/>
            <w:gridSpan w:val="2"/>
            <w:vMerge w:val="continue"/>
          </w:tcPr>
          <w:p>
            <w:pPr>
              <w:spacing w:after="0"/>
              <w:rPr>
                <w:sz w:val="14"/>
                <w:szCs w:val="14"/>
                <w:color w:val="auto"/>
              </w:rPr>
            </w:pPr>
          </w:p>
        </w:tc>
        <w:tc>
          <w:tcPr>
            <w:tcW w:w="9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3"/>
              </w:rPr>
              <w:t>(Note 13)</w:t>
            </w:r>
          </w:p>
        </w:tc>
        <w:tc>
          <w:tcPr>
            <w:tcW w:w="80" w:type="dxa"/>
            <w:vAlign w:val="bottom"/>
          </w:tcPr>
          <w:p>
            <w:pPr>
              <w:spacing w:after="0"/>
              <w:rPr>
                <w:sz w:val="14"/>
                <w:szCs w:val="14"/>
                <w:color w:val="auto"/>
              </w:rPr>
            </w:pPr>
          </w:p>
        </w:tc>
        <w:tc>
          <w:tcPr>
            <w:tcW w:w="104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deficit</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the Group</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Borders>
              <w:top w:val="single" w:sz="8" w:color="CCFFFF"/>
            </w:tcBorders>
            <w:shd w:val="clear" w:color="auto" w:fill="CCFFFF"/>
          </w:tcPr>
          <w:p>
            <w:pPr>
              <w:spacing w:after="0" w:line="142" w:lineRule="exact"/>
              <w:rPr>
                <w:sz w:val="20"/>
                <w:szCs w:val="20"/>
                <w:color w:val="auto"/>
              </w:rPr>
            </w:pPr>
            <w:r>
              <w:rPr>
                <w:rFonts w:ascii="Arial" w:cs="Arial" w:eastAsia="Arial" w:hAnsi="Arial"/>
                <w:sz w:val="14"/>
                <w:szCs w:val="14"/>
                <w:b w:val="1"/>
                <w:bCs w:val="1"/>
                <w:color w:val="auto"/>
              </w:rPr>
              <w:t>Balance as of December 31, 2019</w:t>
            </w:r>
          </w:p>
        </w:tc>
        <w:tc>
          <w:tcPr>
            <w:tcW w:w="800" w:type="dxa"/>
            <w:vAlign w:val="bottom"/>
            <w:tcBorders>
              <w:top w:val="single" w:sz="8" w:color="auto"/>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810</w:t>
            </w:r>
          </w:p>
        </w:tc>
        <w:tc>
          <w:tcPr>
            <w:tcW w:w="240" w:type="dxa"/>
            <w:vAlign w:val="bottom"/>
            <w:tcBorders>
              <w:top w:val="single" w:sz="8" w:color="CCFFFF"/>
            </w:tcBorders>
            <w:shd w:val="clear" w:color="auto" w:fill="CCFFFF"/>
          </w:tcPr>
          <w:p>
            <w:pPr>
              <w:spacing w:after="0"/>
              <w:rPr>
                <w:sz w:val="12"/>
                <w:szCs w:val="12"/>
                <w:color w:val="auto"/>
              </w:rPr>
            </w:pPr>
          </w:p>
        </w:tc>
        <w:tc>
          <w:tcPr>
            <w:tcW w:w="800" w:type="dxa"/>
            <w:vAlign w:val="bottom"/>
            <w:tcBorders>
              <w:top w:val="single" w:sz="8" w:color="auto"/>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240" w:type="dxa"/>
            <w:vAlign w:val="bottom"/>
            <w:tcBorders>
              <w:top w:val="single" w:sz="8" w:color="CCFFFF"/>
            </w:tcBorders>
            <w:shd w:val="clear" w:color="auto" w:fill="CCFFFF"/>
          </w:tcPr>
          <w:p>
            <w:pPr>
              <w:spacing w:after="0"/>
              <w:rPr>
                <w:sz w:val="12"/>
                <w:szCs w:val="12"/>
                <w:color w:val="auto"/>
              </w:rPr>
            </w:pPr>
          </w:p>
        </w:tc>
        <w:tc>
          <w:tcPr>
            <w:tcW w:w="800" w:type="dxa"/>
            <w:vAlign w:val="bottom"/>
            <w:tcBorders>
              <w:top w:val="single" w:sz="8" w:color="auto"/>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760,671</w:t>
            </w:r>
          </w:p>
        </w:tc>
        <w:tc>
          <w:tcPr>
            <w:tcW w:w="240" w:type="dxa"/>
            <w:vAlign w:val="bottom"/>
            <w:tcBorders>
              <w:top w:val="single" w:sz="8" w:color="CCFFFF"/>
            </w:tcBorders>
            <w:shd w:val="clear" w:color="auto" w:fill="CCFFFF"/>
          </w:tcPr>
          <w:p>
            <w:pPr>
              <w:spacing w:after="0"/>
              <w:rPr>
                <w:sz w:val="12"/>
                <w:szCs w:val="12"/>
                <w:color w:val="auto"/>
              </w:rPr>
            </w:pPr>
          </w:p>
        </w:tc>
        <w:tc>
          <w:tcPr>
            <w:tcW w:w="760" w:type="dxa"/>
            <w:vAlign w:val="bottom"/>
            <w:tcBorders>
              <w:top w:val="single" w:sz="8" w:color="auto"/>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16,799</w:t>
            </w:r>
          </w:p>
        </w:tc>
        <w:tc>
          <w:tcPr>
            <w:tcW w:w="220" w:type="dxa"/>
            <w:vAlign w:val="bottom"/>
            <w:tcBorders>
              <w:top w:val="single" w:sz="8" w:color="CCFFFF"/>
            </w:tcBorders>
            <w:shd w:val="clear" w:color="auto" w:fill="CCFFFF"/>
          </w:tcPr>
          <w:p>
            <w:pPr>
              <w:spacing w:after="0"/>
              <w:rPr>
                <w:sz w:val="12"/>
                <w:szCs w:val="12"/>
                <w:color w:val="auto"/>
              </w:rPr>
            </w:pPr>
          </w:p>
        </w:tc>
        <w:tc>
          <w:tcPr>
            <w:tcW w:w="760" w:type="dxa"/>
            <w:vAlign w:val="bottom"/>
            <w:tcBorders>
              <w:top w:val="single" w:sz="8" w:color="auto"/>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(2,159</w:t>
            </w:r>
          </w:p>
        </w:tc>
        <w:tc>
          <w:tcPr>
            <w:tcW w:w="140" w:type="dxa"/>
            <w:vAlign w:val="bottom"/>
            <w:tcBorders>
              <w:top w:val="single" w:sz="8" w:color="CCFFFF"/>
            </w:tcBorders>
            <w:shd w:val="clear" w:color="auto" w:fill="CCFFFF"/>
          </w:tcPr>
          <w:p>
            <w:pPr>
              <w:jc w:val="right"/>
              <w:ind w:right="8"/>
              <w:spacing w:after="0" w:line="142" w:lineRule="exact"/>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CCFFFF"/>
            </w:tcBorders>
            <w:shd w:val="clear" w:color="auto" w:fill="CCFFFF"/>
          </w:tcPr>
          <w:p>
            <w:pPr>
              <w:spacing w:after="0"/>
              <w:rPr>
                <w:sz w:val="12"/>
                <w:szCs w:val="12"/>
                <w:color w:val="auto"/>
              </w:rPr>
            </w:pPr>
          </w:p>
        </w:tc>
        <w:tc>
          <w:tcPr>
            <w:tcW w:w="820" w:type="dxa"/>
            <w:vAlign w:val="bottom"/>
            <w:tcBorders>
              <w:top w:val="single" w:sz="8" w:color="auto"/>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(87,832</w:t>
            </w:r>
          </w:p>
        </w:tc>
        <w:tc>
          <w:tcPr>
            <w:tcW w:w="220" w:type="dxa"/>
            <w:vAlign w:val="bottom"/>
            <w:tcBorders>
              <w:top w:val="single" w:sz="8" w:color="CCFFFF"/>
            </w:tcBorders>
            <w:shd w:val="clear" w:color="auto" w:fill="CCFF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760" w:type="dxa"/>
            <w:vAlign w:val="bottom"/>
            <w:tcBorders>
              <w:top w:val="single" w:sz="8" w:color="auto"/>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688,335</w:t>
            </w:r>
          </w:p>
        </w:tc>
        <w:tc>
          <w:tcPr>
            <w:tcW w:w="220" w:type="dxa"/>
            <w:vAlign w:val="bottom"/>
            <w:tcBorders>
              <w:top w:val="single" w:sz="8" w:color="CCFFFF"/>
            </w:tcBorders>
            <w:shd w:val="clear" w:color="auto" w:fill="CCFFFF"/>
          </w:tcPr>
          <w:p>
            <w:pPr>
              <w:spacing w:after="0"/>
              <w:rPr>
                <w:sz w:val="12"/>
                <w:szCs w:val="12"/>
                <w:color w:val="auto"/>
              </w:rPr>
            </w:pPr>
          </w:p>
        </w:tc>
        <w:tc>
          <w:tcPr>
            <w:tcW w:w="760" w:type="dxa"/>
            <w:vAlign w:val="bottom"/>
            <w:tcBorders>
              <w:top w:val="single" w:sz="8" w:color="auto"/>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961,518</w:t>
            </w:r>
          </w:p>
        </w:tc>
        <w:tc>
          <w:tcPr>
            <w:tcW w:w="220" w:type="dxa"/>
            <w:vAlign w:val="bottom"/>
            <w:tcBorders>
              <w:top w:val="single" w:sz="8" w:color="CCFFFF"/>
            </w:tcBorders>
            <w:shd w:val="clear" w:color="auto" w:fill="CCFFFF"/>
          </w:tcPr>
          <w:p>
            <w:pPr>
              <w:spacing w:after="0"/>
              <w:rPr>
                <w:sz w:val="12"/>
                <w:szCs w:val="12"/>
                <w:color w:val="auto"/>
              </w:rPr>
            </w:pPr>
          </w:p>
        </w:tc>
        <w:tc>
          <w:tcPr>
            <w:tcW w:w="780" w:type="dxa"/>
            <w:vAlign w:val="bottom"/>
            <w:tcBorders>
              <w:top w:val="single" w:sz="8" w:color="auto"/>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1,649,853</w:t>
            </w:r>
          </w:p>
        </w:tc>
        <w:tc>
          <w:tcPr>
            <w:tcW w:w="20" w:type="dxa"/>
            <w:vAlign w:val="bottom"/>
            <w:tcBorders>
              <w:top w:val="single" w:sz="8" w:color="CCFFFF"/>
            </w:tcBorders>
            <w:shd w:val="clear" w:color="auto" w:fill="CCFFFF"/>
          </w:tcPr>
          <w:p>
            <w:pPr>
              <w:spacing w:after="0"/>
              <w:rPr>
                <w:sz w:val="12"/>
                <w:szCs w:val="12"/>
                <w:color w:val="auto"/>
              </w:rPr>
            </w:pPr>
          </w:p>
        </w:tc>
        <w:tc>
          <w:tcPr>
            <w:tcW w:w="80" w:type="dxa"/>
            <w:vAlign w:val="bottom"/>
            <w:tcBorders>
              <w:top w:val="single" w:sz="8" w:color="CCFFFF"/>
            </w:tcBorders>
            <w:shd w:val="clear" w:color="auto" w:fill="CCFF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Arial" w:cs="Arial" w:eastAsia="Arial" w:hAnsi="Arial"/>
                <w:sz w:val="14"/>
                <w:szCs w:val="14"/>
                <w:color w:val="auto"/>
              </w:rPr>
              <w:t>Equity offering costs</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(5)</w:t>
            </w:r>
          </w:p>
        </w:tc>
        <w:tc>
          <w:tcPr>
            <w:tcW w:w="88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2280" w:type="dxa"/>
            <w:vAlign w:val="bottom"/>
            <w:shd w:val="clear" w:color="auto" w:fill="CCFFFF"/>
          </w:tcPr>
          <w:p>
            <w:pPr>
              <w:spacing w:after="0" w:line="130" w:lineRule="exact"/>
              <w:rPr>
                <w:sz w:val="20"/>
                <w:szCs w:val="20"/>
                <w:color w:val="auto"/>
              </w:rPr>
            </w:pPr>
            <w:r>
              <w:rPr>
                <w:rFonts w:ascii="Arial" w:cs="Arial" w:eastAsia="Arial" w:hAnsi="Arial"/>
                <w:sz w:val="14"/>
                <w:szCs w:val="14"/>
                <w:color w:val="auto"/>
              </w:rPr>
              <w:t>Dividend paid (common and</w:t>
            </w: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140" w:type="dxa"/>
            <w:vAlign w:val="bottom"/>
            <w:shd w:val="clear" w:color="auto" w:fill="CCFFFF"/>
          </w:tcPr>
          <w:p>
            <w:pPr>
              <w:spacing w:after="0"/>
              <w:rPr>
                <w:sz w:val="11"/>
                <w:szCs w:val="11"/>
                <w:color w:val="auto"/>
              </w:rPr>
            </w:pPr>
          </w:p>
        </w:tc>
        <w:tc>
          <w:tcPr>
            <w:tcW w:w="80" w:type="dxa"/>
            <w:vAlign w:val="bottom"/>
            <w:shd w:val="clear" w:color="auto" w:fill="CCFFFF"/>
          </w:tcPr>
          <w:p>
            <w:pPr>
              <w:spacing w:after="0"/>
              <w:rPr>
                <w:sz w:val="11"/>
                <w:szCs w:val="11"/>
                <w:color w:val="auto"/>
              </w:rPr>
            </w:pPr>
          </w:p>
        </w:tc>
        <w:tc>
          <w:tcPr>
            <w:tcW w:w="82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80" w:type="dxa"/>
            <w:vAlign w:val="bottom"/>
            <w:shd w:val="clear" w:color="auto" w:fill="CCFFFF"/>
          </w:tcPr>
          <w:p>
            <w:pPr>
              <w:spacing w:after="0"/>
              <w:rPr>
                <w:sz w:val="11"/>
                <w:szCs w:val="11"/>
                <w:color w:val="auto"/>
              </w:rPr>
            </w:pPr>
          </w:p>
        </w:tc>
        <w:tc>
          <w:tcPr>
            <w:tcW w:w="20" w:type="dxa"/>
            <w:vAlign w:val="bottom"/>
            <w:shd w:val="clear" w:color="auto" w:fill="CCFFFF"/>
          </w:tcPr>
          <w:p>
            <w:pPr>
              <w:spacing w:after="0"/>
              <w:rPr>
                <w:sz w:val="11"/>
                <w:szCs w:val="11"/>
                <w:color w:val="auto"/>
              </w:rPr>
            </w:pPr>
          </w:p>
        </w:tc>
        <w:tc>
          <w:tcPr>
            <w:tcW w:w="80" w:type="dxa"/>
            <w:vAlign w:val="bottom"/>
            <w:shd w:val="clear" w:color="auto" w:fill="CC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shd w:val="clear" w:color="auto" w:fill="CCFFFF"/>
          </w:tcPr>
          <w:p>
            <w:pPr>
              <w:spacing w:after="0"/>
              <w:rPr>
                <w:sz w:val="20"/>
                <w:szCs w:val="20"/>
                <w:color w:val="auto"/>
              </w:rPr>
            </w:pPr>
            <w:r>
              <w:rPr>
                <w:rFonts w:ascii="Arial" w:cs="Arial" w:eastAsia="Arial" w:hAnsi="Arial"/>
                <w:sz w:val="14"/>
                <w:szCs w:val="14"/>
                <w:color w:val="auto"/>
              </w:rPr>
              <w:t>preference shares)</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FF"/>
          </w:tcPr>
          <w:p>
            <w:pPr>
              <w:jc w:val="right"/>
              <w:ind w:right="200"/>
              <w:spacing w:after="0"/>
              <w:rPr>
                <w:sz w:val="20"/>
                <w:szCs w:val="20"/>
                <w:color w:val="auto"/>
              </w:rPr>
            </w:pPr>
            <w:r>
              <w:rPr>
                <w:rFonts w:ascii="Arial" w:cs="Arial" w:eastAsia="Arial" w:hAnsi="Arial"/>
                <w:sz w:val="14"/>
                <w:szCs w:val="14"/>
                <w:color w:val="auto"/>
              </w:rPr>
              <w:t>(14,598)</w:t>
            </w:r>
          </w:p>
        </w:tc>
        <w:tc>
          <w:tcPr>
            <w:tcW w:w="980" w:type="dxa"/>
            <w:vAlign w:val="bottom"/>
            <w:gridSpan w:val="2"/>
            <w:shd w:val="clear" w:color="auto" w:fill="CCFF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FF"/>
          </w:tcPr>
          <w:p>
            <w:pPr>
              <w:spacing w:after="0"/>
              <w:rPr>
                <w:sz w:val="14"/>
                <w:szCs w:val="14"/>
                <w:color w:val="auto"/>
              </w:rPr>
            </w:pPr>
          </w:p>
        </w:tc>
        <w:tc>
          <w:tcPr>
            <w:tcW w:w="1040" w:type="dxa"/>
            <w:vAlign w:val="bottom"/>
            <w:gridSpan w:val="2"/>
            <w:shd w:val="clear" w:color="auto" w:fill="CCFFFF"/>
          </w:tcPr>
          <w:p>
            <w:pPr>
              <w:jc w:val="right"/>
              <w:ind w:right="17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FF"/>
          </w:tcPr>
          <w:p>
            <w:pPr>
              <w:jc w:val="right"/>
              <w:ind w:right="180"/>
              <w:spacing w:after="0"/>
              <w:rPr>
                <w:sz w:val="20"/>
                <w:szCs w:val="20"/>
                <w:color w:val="auto"/>
              </w:rPr>
            </w:pPr>
            <w:r>
              <w:rPr>
                <w:rFonts w:ascii="Arial" w:cs="Arial" w:eastAsia="Arial" w:hAnsi="Arial"/>
                <w:sz w:val="14"/>
                <w:szCs w:val="14"/>
                <w:color w:val="auto"/>
              </w:rPr>
              <w:t>(14,598)</w:t>
            </w:r>
          </w:p>
        </w:tc>
        <w:tc>
          <w:tcPr>
            <w:tcW w:w="980" w:type="dxa"/>
            <w:vAlign w:val="bottom"/>
            <w:gridSpan w:val="2"/>
            <w:shd w:val="clear" w:color="auto" w:fill="CCFFFF"/>
          </w:tcPr>
          <w:p>
            <w:pPr>
              <w:jc w:val="right"/>
              <w:ind w:right="160"/>
              <w:spacing w:after="0"/>
              <w:rPr>
                <w:sz w:val="20"/>
                <w:szCs w:val="20"/>
                <w:color w:val="auto"/>
              </w:rPr>
            </w:pPr>
            <w:r>
              <w:rPr>
                <w:rFonts w:ascii="Arial" w:cs="Arial" w:eastAsia="Arial" w:hAnsi="Arial"/>
                <w:sz w:val="14"/>
                <w:szCs w:val="14"/>
                <w:color w:val="auto"/>
              </w:rPr>
              <w:t>(25,698)</w:t>
            </w:r>
          </w:p>
        </w:tc>
        <w:tc>
          <w:tcPr>
            <w:tcW w:w="880" w:type="dxa"/>
            <w:vAlign w:val="bottom"/>
            <w:gridSpan w:val="3"/>
            <w:shd w:val="clear" w:color="auto" w:fill="CCFFFF"/>
          </w:tcPr>
          <w:p>
            <w:pPr>
              <w:jc w:val="right"/>
              <w:ind w:right="60"/>
              <w:spacing w:after="0"/>
              <w:rPr>
                <w:sz w:val="20"/>
                <w:szCs w:val="20"/>
                <w:color w:val="auto"/>
              </w:rPr>
            </w:pPr>
            <w:r>
              <w:rPr>
                <w:rFonts w:ascii="Arial" w:cs="Arial" w:eastAsia="Arial" w:hAnsi="Arial"/>
                <w:sz w:val="14"/>
                <w:szCs w:val="14"/>
                <w:color w:val="auto"/>
              </w:rPr>
              <w:t>(40,296)</w:t>
            </w: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Share-based compensation, net of</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accrued dividend</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1,165</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1,165</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30"/>
        </w:trPr>
        <w:tc>
          <w:tcPr>
            <w:tcW w:w="2280" w:type="dxa"/>
            <w:vAlign w:val="bottom"/>
            <w:shd w:val="clear" w:color="auto" w:fill="CCFFFF"/>
          </w:tcPr>
          <w:p>
            <w:pPr>
              <w:spacing w:after="0" w:line="130" w:lineRule="exact"/>
              <w:rPr>
                <w:sz w:val="20"/>
                <w:szCs w:val="20"/>
                <w:color w:val="auto"/>
              </w:rPr>
            </w:pPr>
            <w:r>
              <w:rPr>
                <w:rFonts w:ascii="Arial" w:cs="Arial" w:eastAsia="Arial" w:hAnsi="Arial"/>
                <w:sz w:val="14"/>
                <w:szCs w:val="14"/>
                <w:color w:val="auto"/>
              </w:rPr>
              <w:t>Treasury shares, net or GasLog</w:t>
            </w: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140" w:type="dxa"/>
            <w:vAlign w:val="bottom"/>
            <w:shd w:val="clear" w:color="auto" w:fill="CCFFFF"/>
          </w:tcPr>
          <w:p>
            <w:pPr>
              <w:spacing w:after="0"/>
              <w:rPr>
                <w:sz w:val="11"/>
                <w:szCs w:val="11"/>
                <w:color w:val="auto"/>
              </w:rPr>
            </w:pPr>
          </w:p>
        </w:tc>
        <w:tc>
          <w:tcPr>
            <w:tcW w:w="80" w:type="dxa"/>
            <w:vAlign w:val="bottom"/>
            <w:shd w:val="clear" w:color="auto" w:fill="CCFFFF"/>
          </w:tcPr>
          <w:p>
            <w:pPr>
              <w:spacing w:after="0"/>
              <w:rPr>
                <w:sz w:val="11"/>
                <w:szCs w:val="11"/>
                <w:color w:val="auto"/>
              </w:rPr>
            </w:pPr>
          </w:p>
        </w:tc>
        <w:tc>
          <w:tcPr>
            <w:tcW w:w="82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80" w:type="dxa"/>
            <w:vAlign w:val="bottom"/>
            <w:shd w:val="clear" w:color="auto" w:fill="CCFFFF"/>
          </w:tcPr>
          <w:p>
            <w:pPr>
              <w:spacing w:after="0"/>
              <w:rPr>
                <w:sz w:val="11"/>
                <w:szCs w:val="11"/>
                <w:color w:val="auto"/>
              </w:rPr>
            </w:pPr>
          </w:p>
        </w:tc>
        <w:tc>
          <w:tcPr>
            <w:tcW w:w="20" w:type="dxa"/>
            <w:vAlign w:val="bottom"/>
            <w:shd w:val="clear" w:color="auto" w:fill="CCFFFF"/>
          </w:tcPr>
          <w:p>
            <w:pPr>
              <w:spacing w:after="0"/>
              <w:rPr>
                <w:sz w:val="11"/>
                <w:szCs w:val="11"/>
                <w:color w:val="auto"/>
              </w:rPr>
            </w:pPr>
          </w:p>
        </w:tc>
        <w:tc>
          <w:tcPr>
            <w:tcW w:w="80" w:type="dxa"/>
            <w:vAlign w:val="bottom"/>
            <w:shd w:val="clear" w:color="auto" w:fill="CC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shd w:val="clear" w:color="auto" w:fill="CCFFFF"/>
          </w:tcPr>
          <w:p>
            <w:pPr>
              <w:spacing w:after="0"/>
              <w:rPr>
                <w:sz w:val="20"/>
                <w:szCs w:val="20"/>
                <w:color w:val="auto"/>
              </w:rPr>
            </w:pPr>
            <w:r>
              <w:rPr>
                <w:rFonts w:ascii="Arial" w:cs="Arial" w:eastAsia="Arial" w:hAnsi="Arial"/>
                <w:sz w:val="14"/>
                <w:szCs w:val="14"/>
                <w:color w:val="auto"/>
              </w:rPr>
              <w:t>Partners’ common units</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FF"/>
          </w:tcPr>
          <w:p>
            <w:pPr>
              <w:jc w:val="right"/>
              <w:ind w:right="8"/>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FFFF"/>
          </w:tcPr>
          <w:p>
            <w:pPr>
              <w:spacing w:after="0"/>
              <w:rPr>
                <w:sz w:val="14"/>
                <w:szCs w:val="14"/>
                <w:color w:val="auto"/>
              </w:rPr>
            </w:pPr>
          </w:p>
        </w:tc>
        <w:tc>
          <w:tcPr>
            <w:tcW w:w="1040" w:type="dxa"/>
            <w:vAlign w:val="bottom"/>
            <w:gridSpan w:val="2"/>
            <w:shd w:val="clear" w:color="auto" w:fill="CCFFFF"/>
          </w:tcPr>
          <w:p>
            <w:pPr>
              <w:jc w:val="right"/>
              <w:ind w:right="17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FF"/>
          </w:tcPr>
          <w:p>
            <w:pPr>
              <w:jc w:val="right"/>
              <w:ind w:right="180"/>
              <w:spacing w:after="0"/>
              <w:rPr>
                <w:sz w:val="20"/>
                <w:szCs w:val="20"/>
                <w:color w:val="auto"/>
              </w:rPr>
            </w:pPr>
            <w:r>
              <w:rPr>
                <w:rFonts w:ascii="Arial" w:cs="Arial" w:eastAsia="Arial" w:hAnsi="Arial"/>
                <w:sz w:val="14"/>
                <w:szCs w:val="14"/>
                <w:color w:val="auto"/>
              </w:rPr>
              <w:t>(2,000)</w:t>
            </w:r>
          </w:p>
        </w:tc>
        <w:tc>
          <w:tcPr>
            <w:tcW w:w="980" w:type="dxa"/>
            <w:vAlign w:val="bottom"/>
            <w:gridSpan w:val="2"/>
            <w:shd w:val="clear" w:color="auto" w:fill="CCFFFF"/>
          </w:tcPr>
          <w:p>
            <w:pPr>
              <w:jc w:val="right"/>
              <w:ind w:right="160"/>
              <w:spacing w:after="0"/>
              <w:rPr>
                <w:sz w:val="20"/>
                <w:szCs w:val="20"/>
                <w:color w:val="auto"/>
              </w:rPr>
            </w:pPr>
            <w:r>
              <w:rPr>
                <w:rFonts w:ascii="Arial" w:cs="Arial" w:eastAsia="Arial" w:hAnsi="Arial"/>
                <w:sz w:val="14"/>
                <w:szCs w:val="14"/>
                <w:color w:val="auto"/>
              </w:rPr>
              <w:t>(996)</w:t>
            </w:r>
          </w:p>
        </w:tc>
        <w:tc>
          <w:tcPr>
            <w:tcW w:w="880" w:type="dxa"/>
            <w:vAlign w:val="bottom"/>
            <w:gridSpan w:val="3"/>
            <w:shd w:val="clear" w:color="auto" w:fill="CCFFFF"/>
          </w:tcPr>
          <w:p>
            <w:pPr>
              <w:jc w:val="right"/>
              <w:ind w:right="60"/>
              <w:spacing w:after="0"/>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Arial" w:cs="Arial" w:eastAsia="Arial" w:hAnsi="Arial"/>
                <w:sz w:val="14"/>
                <w:szCs w:val="14"/>
                <w:color w:val="auto"/>
              </w:rPr>
              <w:t>(Loss)/profit for the period</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(51,479)</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(51,479)</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12,042</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(39,437)</w:t>
            </w:r>
          </w:p>
        </w:tc>
        <w:tc>
          <w:tcPr>
            <w:tcW w:w="0" w:type="dxa"/>
            <w:vAlign w:val="bottom"/>
          </w:tcPr>
          <w:p>
            <w:pPr>
              <w:spacing w:after="0"/>
              <w:rPr>
                <w:sz w:val="1"/>
                <w:szCs w:val="1"/>
                <w:color w:val="auto"/>
              </w:rPr>
            </w:pPr>
          </w:p>
        </w:tc>
      </w:tr>
      <w:tr>
        <w:trPr>
          <w:trHeight w:val="130"/>
        </w:trPr>
        <w:tc>
          <w:tcPr>
            <w:tcW w:w="2280" w:type="dxa"/>
            <w:vAlign w:val="bottom"/>
            <w:shd w:val="clear" w:color="auto" w:fill="CCFFFF"/>
          </w:tcPr>
          <w:p>
            <w:pPr>
              <w:spacing w:after="0" w:line="130" w:lineRule="exact"/>
              <w:rPr>
                <w:sz w:val="20"/>
                <w:szCs w:val="20"/>
                <w:color w:val="auto"/>
              </w:rPr>
            </w:pPr>
            <w:r>
              <w:rPr>
                <w:rFonts w:ascii="Arial" w:cs="Arial" w:eastAsia="Arial" w:hAnsi="Arial"/>
                <w:sz w:val="14"/>
                <w:szCs w:val="14"/>
                <w:color w:val="auto"/>
              </w:rPr>
              <w:t>Other comprehensive loss for the</w:t>
            </w: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140" w:type="dxa"/>
            <w:vAlign w:val="bottom"/>
            <w:shd w:val="clear" w:color="auto" w:fill="CCFFFF"/>
          </w:tcPr>
          <w:p>
            <w:pPr>
              <w:spacing w:after="0"/>
              <w:rPr>
                <w:sz w:val="11"/>
                <w:szCs w:val="11"/>
                <w:color w:val="auto"/>
              </w:rPr>
            </w:pPr>
          </w:p>
        </w:tc>
        <w:tc>
          <w:tcPr>
            <w:tcW w:w="80" w:type="dxa"/>
            <w:vAlign w:val="bottom"/>
            <w:shd w:val="clear" w:color="auto" w:fill="CCFFFF"/>
          </w:tcPr>
          <w:p>
            <w:pPr>
              <w:spacing w:after="0"/>
              <w:rPr>
                <w:sz w:val="11"/>
                <w:szCs w:val="11"/>
                <w:color w:val="auto"/>
              </w:rPr>
            </w:pPr>
          </w:p>
        </w:tc>
        <w:tc>
          <w:tcPr>
            <w:tcW w:w="82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80" w:type="dxa"/>
            <w:vAlign w:val="bottom"/>
            <w:shd w:val="clear" w:color="auto" w:fill="CCFFFF"/>
          </w:tcPr>
          <w:p>
            <w:pPr>
              <w:spacing w:after="0"/>
              <w:rPr>
                <w:sz w:val="11"/>
                <w:szCs w:val="11"/>
                <w:color w:val="auto"/>
              </w:rPr>
            </w:pPr>
          </w:p>
        </w:tc>
        <w:tc>
          <w:tcPr>
            <w:tcW w:w="20" w:type="dxa"/>
            <w:vAlign w:val="bottom"/>
            <w:shd w:val="clear" w:color="auto" w:fill="CCFFFF"/>
          </w:tcPr>
          <w:p>
            <w:pPr>
              <w:spacing w:after="0"/>
              <w:rPr>
                <w:sz w:val="11"/>
                <w:szCs w:val="11"/>
                <w:color w:val="auto"/>
              </w:rPr>
            </w:pPr>
          </w:p>
        </w:tc>
        <w:tc>
          <w:tcPr>
            <w:tcW w:w="80" w:type="dxa"/>
            <w:vAlign w:val="bottom"/>
            <w:shd w:val="clear" w:color="auto" w:fill="CC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FFFF"/>
          </w:tcPr>
          <w:p>
            <w:pPr>
              <w:spacing w:after="0"/>
              <w:rPr>
                <w:sz w:val="20"/>
                <w:szCs w:val="20"/>
                <w:color w:val="auto"/>
              </w:rPr>
            </w:pPr>
            <w:r>
              <w:rPr>
                <w:rFonts w:ascii="Arial" w:cs="Arial" w:eastAsia="Arial" w:hAnsi="Arial"/>
                <w:sz w:val="14"/>
                <w:szCs w:val="14"/>
                <w:color w:val="auto"/>
              </w:rPr>
              <w:t>period</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FF"/>
          </w:tcPr>
          <w:p>
            <w:pPr>
              <w:jc w:val="right"/>
              <w:ind w:right="160"/>
              <w:spacing w:after="0"/>
              <w:rPr>
                <w:sz w:val="20"/>
                <w:szCs w:val="20"/>
                <w:color w:val="auto"/>
              </w:rPr>
            </w:pPr>
            <w:r>
              <w:rPr>
                <w:rFonts w:ascii="Arial" w:cs="Arial" w:eastAsia="Arial" w:hAnsi="Arial"/>
                <w:sz w:val="14"/>
                <w:szCs w:val="14"/>
                <w:color w:val="auto"/>
              </w:rPr>
              <w:t>(4,110)</w:t>
            </w:r>
          </w:p>
        </w:tc>
        <w:tc>
          <w:tcPr>
            <w:tcW w:w="900" w:type="dxa"/>
            <w:vAlign w:val="bottom"/>
            <w:gridSpan w:val="2"/>
            <w:shd w:val="clear" w:color="auto" w:fill="CCFF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FF"/>
          </w:tcPr>
          <w:p>
            <w:pPr>
              <w:spacing w:after="0"/>
              <w:rPr>
                <w:sz w:val="15"/>
                <w:szCs w:val="15"/>
                <w:color w:val="auto"/>
              </w:rPr>
            </w:pPr>
          </w:p>
        </w:tc>
        <w:tc>
          <w:tcPr>
            <w:tcW w:w="1040" w:type="dxa"/>
            <w:vAlign w:val="bottom"/>
            <w:gridSpan w:val="2"/>
            <w:shd w:val="clear" w:color="auto" w:fill="CCFFFF"/>
          </w:tcPr>
          <w:p>
            <w:pPr>
              <w:jc w:val="right"/>
              <w:ind w:right="17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FF"/>
          </w:tcPr>
          <w:p>
            <w:pPr>
              <w:jc w:val="right"/>
              <w:ind w:right="180"/>
              <w:spacing w:after="0"/>
              <w:rPr>
                <w:sz w:val="20"/>
                <w:szCs w:val="20"/>
                <w:color w:val="auto"/>
              </w:rPr>
            </w:pPr>
            <w:r>
              <w:rPr>
                <w:rFonts w:ascii="Arial" w:cs="Arial" w:eastAsia="Arial" w:hAnsi="Arial"/>
                <w:sz w:val="14"/>
                <w:szCs w:val="14"/>
                <w:color w:val="auto"/>
              </w:rPr>
              <w:t>(4,110)</w:t>
            </w:r>
          </w:p>
        </w:tc>
        <w:tc>
          <w:tcPr>
            <w:tcW w:w="980" w:type="dxa"/>
            <w:vAlign w:val="bottom"/>
            <w:gridSpan w:val="2"/>
            <w:shd w:val="clear" w:color="auto" w:fill="CCFF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FFFF"/>
          </w:tcPr>
          <w:p>
            <w:pPr>
              <w:jc w:val="right"/>
              <w:ind w:right="60"/>
              <w:spacing w:after="0"/>
              <w:rPr>
                <w:sz w:val="20"/>
                <w:szCs w:val="20"/>
                <w:color w:val="auto"/>
              </w:rPr>
            </w:pPr>
            <w:r>
              <w:rPr>
                <w:rFonts w:ascii="Arial" w:cs="Arial" w:eastAsia="Arial" w:hAnsi="Arial"/>
                <w:sz w:val="14"/>
                <w:szCs w:val="14"/>
                <w:color w:val="auto"/>
              </w:rPr>
              <w:t>(4,110)</w:t>
            </w:r>
          </w:p>
        </w:tc>
        <w:tc>
          <w:tcPr>
            <w:tcW w:w="0" w:type="dxa"/>
            <w:vAlign w:val="bottom"/>
          </w:tcPr>
          <w:p>
            <w:pPr>
              <w:spacing w:after="0"/>
              <w:rPr>
                <w:sz w:val="1"/>
                <w:szCs w:val="1"/>
                <w:color w:val="auto"/>
              </w:rPr>
            </w:pPr>
          </w:p>
        </w:tc>
      </w:tr>
      <w:tr>
        <w:trPr>
          <w:trHeight w:val="106"/>
        </w:trPr>
        <w:tc>
          <w:tcPr>
            <w:tcW w:w="2280" w:type="dxa"/>
            <w:vAlign w:val="bottom"/>
          </w:tcPr>
          <w:p>
            <w:pPr>
              <w:spacing w:after="0" w:line="106" w:lineRule="exact"/>
              <w:rPr>
                <w:sz w:val="20"/>
                <w:szCs w:val="20"/>
                <w:color w:val="auto"/>
              </w:rPr>
            </w:pPr>
            <w:r>
              <w:rPr>
                <w:rFonts w:ascii="Arial" w:cs="Arial" w:eastAsia="Arial" w:hAnsi="Arial"/>
                <w:sz w:val="12"/>
                <w:szCs w:val="12"/>
                <w:b w:val="1"/>
                <w:bCs w:val="1"/>
                <w:color w:val="auto"/>
              </w:rPr>
              <w:t>Total comprehensive (loss)/income</w:t>
            </w:r>
          </w:p>
        </w:tc>
        <w:tc>
          <w:tcPr>
            <w:tcW w:w="8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280" w:type="dxa"/>
            <w:vAlign w:val="bottom"/>
          </w:tcPr>
          <w:p>
            <w:pPr>
              <w:spacing w:after="0"/>
              <w:rPr>
                <w:sz w:val="20"/>
                <w:szCs w:val="20"/>
                <w:color w:val="auto"/>
              </w:rPr>
            </w:pPr>
            <w:r>
              <w:rPr>
                <w:rFonts w:ascii="Arial" w:cs="Arial" w:eastAsia="Arial" w:hAnsi="Arial"/>
                <w:sz w:val="14"/>
                <w:szCs w:val="14"/>
                <w:b w:val="1"/>
                <w:bCs w:val="1"/>
                <w:color w:val="auto"/>
              </w:rPr>
              <w:t>for the period</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(4,110)</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(51,479)</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(55,589)</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12,042</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(43,547)</w:t>
            </w:r>
          </w:p>
        </w:tc>
        <w:tc>
          <w:tcPr>
            <w:tcW w:w="0" w:type="dxa"/>
            <w:vAlign w:val="bottom"/>
          </w:tcPr>
          <w:p>
            <w:pPr>
              <w:spacing w:after="0"/>
              <w:rPr>
                <w:sz w:val="1"/>
                <w:szCs w:val="1"/>
                <w:color w:val="auto"/>
              </w:rPr>
            </w:pPr>
          </w:p>
        </w:tc>
      </w:tr>
      <w:tr>
        <w:trPr>
          <w:trHeight w:val="156"/>
        </w:trPr>
        <w:tc>
          <w:tcPr>
            <w:tcW w:w="2280" w:type="dxa"/>
            <w:vAlign w:val="bottom"/>
            <w:tcBorders>
              <w:top w:val="single" w:sz="8" w:color="CCFFFF"/>
              <w:bottom w:val="single" w:sz="8" w:color="CCFFFF"/>
            </w:tcBorders>
            <w:shd w:val="clear" w:color="auto" w:fill="CCFFFF"/>
          </w:tcPr>
          <w:p>
            <w:pPr>
              <w:spacing w:after="0" w:line="155" w:lineRule="exact"/>
              <w:rPr>
                <w:sz w:val="20"/>
                <w:szCs w:val="20"/>
                <w:color w:val="auto"/>
              </w:rPr>
            </w:pPr>
            <w:r>
              <w:rPr>
                <w:rFonts w:ascii="Arial" w:cs="Arial" w:eastAsia="Arial" w:hAnsi="Arial"/>
                <w:sz w:val="14"/>
                <w:szCs w:val="14"/>
                <w:b w:val="1"/>
                <w:bCs w:val="1"/>
                <w:color w:val="auto"/>
              </w:rPr>
              <w:t>Balance as of March 31, 2020</w:t>
            </w:r>
          </w:p>
        </w:tc>
        <w:tc>
          <w:tcPr>
            <w:tcW w:w="800" w:type="dxa"/>
            <w:vAlign w:val="bottom"/>
            <w:tcBorders>
              <w:top w:val="single" w:sz="8" w:color="auto"/>
              <w:bottom w:val="single" w:sz="8" w:color="auto"/>
            </w:tcBorders>
            <w:shd w:val="clear" w:color="auto" w:fill="CCFFFF"/>
          </w:tcPr>
          <w:p>
            <w:pPr>
              <w:jc w:val="right"/>
              <w:spacing w:after="0" w:line="155" w:lineRule="exact"/>
              <w:rPr>
                <w:sz w:val="20"/>
                <w:szCs w:val="20"/>
                <w:color w:val="auto"/>
              </w:rPr>
            </w:pPr>
            <w:r>
              <w:rPr>
                <w:rFonts w:ascii="Arial" w:cs="Arial" w:eastAsia="Arial" w:hAnsi="Arial"/>
                <w:sz w:val="14"/>
                <w:szCs w:val="14"/>
                <w:b w:val="1"/>
                <w:bCs w:val="1"/>
                <w:color w:val="auto"/>
              </w:rPr>
              <w:t>810</w:t>
            </w:r>
          </w:p>
        </w:tc>
        <w:tc>
          <w:tcPr>
            <w:tcW w:w="240" w:type="dxa"/>
            <w:vAlign w:val="bottom"/>
            <w:tcBorders>
              <w:top w:val="single" w:sz="8" w:color="CCFFFF"/>
              <w:bottom w:val="single" w:sz="8" w:color="CCFFFF"/>
            </w:tcBorders>
            <w:shd w:val="clear" w:color="auto" w:fill="CCFFFF"/>
          </w:tcPr>
          <w:p>
            <w:pPr>
              <w:spacing w:after="0"/>
              <w:rPr>
                <w:sz w:val="13"/>
                <w:szCs w:val="13"/>
                <w:color w:val="auto"/>
              </w:rPr>
            </w:pPr>
          </w:p>
        </w:tc>
        <w:tc>
          <w:tcPr>
            <w:tcW w:w="800" w:type="dxa"/>
            <w:vAlign w:val="bottom"/>
            <w:tcBorders>
              <w:top w:val="single" w:sz="8" w:color="auto"/>
              <w:bottom w:val="single" w:sz="8" w:color="auto"/>
            </w:tcBorders>
            <w:shd w:val="clear" w:color="auto" w:fill="CCFFFF"/>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240" w:type="dxa"/>
            <w:vAlign w:val="bottom"/>
            <w:tcBorders>
              <w:top w:val="single" w:sz="8" w:color="CCFFFF"/>
              <w:bottom w:val="single" w:sz="8" w:color="CCFFFF"/>
            </w:tcBorders>
            <w:shd w:val="clear" w:color="auto" w:fill="CCFFFF"/>
          </w:tcPr>
          <w:p>
            <w:pPr>
              <w:spacing w:after="0"/>
              <w:rPr>
                <w:sz w:val="13"/>
                <w:szCs w:val="13"/>
                <w:color w:val="auto"/>
              </w:rPr>
            </w:pPr>
          </w:p>
        </w:tc>
        <w:tc>
          <w:tcPr>
            <w:tcW w:w="800" w:type="dxa"/>
            <w:vAlign w:val="bottom"/>
            <w:tcBorders>
              <w:top w:val="single" w:sz="8" w:color="auto"/>
              <w:bottom w:val="single" w:sz="8" w:color="auto"/>
            </w:tcBorders>
            <w:shd w:val="clear" w:color="auto" w:fill="CCFFFF"/>
          </w:tcPr>
          <w:p>
            <w:pPr>
              <w:jc w:val="right"/>
              <w:spacing w:after="0" w:line="155" w:lineRule="exact"/>
              <w:rPr>
                <w:sz w:val="20"/>
                <w:szCs w:val="20"/>
                <w:color w:val="auto"/>
              </w:rPr>
            </w:pPr>
            <w:r>
              <w:rPr>
                <w:rFonts w:ascii="Arial" w:cs="Arial" w:eastAsia="Arial" w:hAnsi="Arial"/>
                <w:sz w:val="14"/>
                <w:szCs w:val="14"/>
                <w:b w:val="1"/>
                <w:bCs w:val="1"/>
                <w:color w:val="auto"/>
              </w:rPr>
              <w:t>746,073</w:t>
            </w:r>
          </w:p>
        </w:tc>
        <w:tc>
          <w:tcPr>
            <w:tcW w:w="240" w:type="dxa"/>
            <w:vAlign w:val="bottom"/>
            <w:tcBorders>
              <w:top w:val="single" w:sz="8" w:color="CCFFFF"/>
              <w:bottom w:val="single" w:sz="8" w:color="CCFFFF"/>
            </w:tcBorders>
            <w:shd w:val="clear" w:color="auto" w:fill="CCFFFF"/>
          </w:tcPr>
          <w:p>
            <w:pPr>
              <w:spacing w:after="0"/>
              <w:rPr>
                <w:sz w:val="13"/>
                <w:szCs w:val="13"/>
                <w:color w:val="auto"/>
              </w:rPr>
            </w:pPr>
          </w:p>
        </w:tc>
        <w:tc>
          <w:tcPr>
            <w:tcW w:w="760" w:type="dxa"/>
            <w:vAlign w:val="bottom"/>
            <w:tcBorders>
              <w:top w:val="single" w:sz="8" w:color="auto"/>
              <w:bottom w:val="single" w:sz="8" w:color="auto"/>
            </w:tcBorders>
            <w:shd w:val="clear" w:color="auto" w:fill="CCFFFF"/>
          </w:tcPr>
          <w:p>
            <w:pPr>
              <w:jc w:val="right"/>
              <w:spacing w:after="0" w:line="155" w:lineRule="exact"/>
              <w:rPr>
                <w:sz w:val="20"/>
                <w:szCs w:val="20"/>
                <w:color w:val="auto"/>
              </w:rPr>
            </w:pPr>
            <w:r>
              <w:rPr>
                <w:rFonts w:ascii="Arial" w:cs="Arial" w:eastAsia="Arial" w:hAnsi="Arial"/>
                <w:sz w:val="14"/>
                <w:szCs w:val="14"/>
                <w:b w:val="1"/>
                <w:bCs w:val="1"/>
                <w:color w:val="auto"/>
              </w:rPr>
              <w:t>13,854</w:t>
            </w:r>
          </w:p>
        </w:tc>
        <w:tc>
          <w:tcPr>
            <w:tcW w:w="220" w:type="dxa"/>
            <w:vAlign w:val="bottom"/>
            <w:tcBorders>
              <w:top w:val="single" w:sz="8" w:color="CCFFFF"/>
              <w:bottom w:val="single" w:sz="8" w:color="CCFFFF"/>
            </w:tcBorders>
            <w:shd w:val="clear" w:color="auto" w:fill="CCFFFF"/>
          </w:tcPr>
          <w:p>
            <w:pPr>
              <w:spacing w:after="0"/>
              <w:rPr>
                <w:sz w:val="13"/>
                <w:szCs w:val="13"/>
                <w:color w:val="auto"/>
              </w:rPr>
            </w:pPr>
          </w:p>
        </w:tc>
        <w:tc>
          <w:tcPr>
            <w:tcW w:w="760" w:type="dxa"/>
            <w:vAlign w:val="bottom"/>
            <w:tcBorders>
              <w:top w:val="single" w:sz="8" w:color="auto"/>
              <w:bottom w:val="single" w:sz="8" w:color="auto"/>
            </w:tcBorders>
            <w:shd w:val="clear" w:color="auto" w:fill="CCFFFF"/>
          </w:tcPr>
          <w:p>
            <w:pPr>
              <w:jc w:val="right"/>
              <w:spacing w:after="0" w:line="155" w:lineRule="exact"/>
              <w:rPr>
                <w:sz w:val="20"/>
                <w:szCs w:val="20"/>
                <w:color w:val="auto"/>
              </w:rPr>
            </w:pPr>
            <w:r>
              <w:rPr>
                <w:rFonts w:ascii="Arial" w:cs="Arial" w:eastAsia="Arial" w:hAnsi="Arial"/>
                <w:sz w:val="14"/>
                <w:szCs w:val="14"/>
                <w:b w:val="1"/>
                <w:bCs w:val="1"/>
                <w:color w:val="auto"/>
              </w:rPr>
              <w:t>(4,159</w:t>
            </w:r>
          </w:p>
        </w:tc>
        <w:tc>
          <w:tcPr>
            <w:tcW w:w="140" w:type="dxa"/>
            <w:vAlign w:val="bottom"/>
            <w:tcBorders>
              <w:top w:val="single" w:sz="8" w:color="CCFFFF"/>
              <w:bottom w:val="single" w:sz="8" w:color="CCFFFF"/>
            </w:tcBorders>
            <w:shd w:val="clear" w:color="auto" w:fill="CCFFFF"/>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CCFFFF"/>
              <w:bottom w:val="single" w:sz="8" w:color="CCFFFF"/>
            </w:tcBorders>
            <w:shd w:val="clear" w:color="auto" w:fill="CCFFFF"/>
          </w:tcPr>
          <w:p>
            <w:pPr>
              <w:spacing w:after="0"/>
              <w:rPr>
                <w:sz w:val="13"/>
                <w:szCs w:val="13"/>
                <w:color w:val="auto"/>
              </w:rPr>
            </w:pPr>
          </w:p>
        </w:tc>
        <w:tc>
          <w:tcPr>
            <w:tcW w:w="820" w:type="dxa"/>
            <w:vAlign w:val="bottom"/>
            <w:tcBorders>
              <w:top w:val="single" w:sz="8" w:color="auto"/>
              <w:bottom w:val="single" w:sz="8" w:color="auto"/>
            </w:tcBorders>
            <w:shd w:val="clear" w:color="auto" w:fill="CCFFFF"/>
          </w:tcPr>
          <w:p>
            <w:pPr>
              <w:jc w:val="right"/>
              <w:spacing w:after="0" w:line="155" w:lineRule="exact"/>
              <w:rPr>
                <w:sz w:val="20"/>
                <w:szCs w:val="20"/>
                <w:color w:val="auto"/>
              </w:rPr>
            </w:pPr>
            <w:r>
              <w:rPr>
                <w:rFonts w:ascii="Arial" w:cs="Arial" w:eastAsia="Arial" w:hAnsi="Arial"/>
                <w:sz w:val="14"/>
                <w:szCs w:val="14"/>
                <w:b w:val="1"/>
                <w:bCs w:val="1"/>
                <w:color w:val="auto"/>
              </w:rPr>
              <w:t>(139,311</w:t>
            </w:r>
          </w:p>
        </w:tc>
        <w:tc>
          <w:tcPr>
            <w:tcW w:w="220" w:type="dxa"/>
            <w:vAlign w:val="bottom"/>
            <w:tcBorders>
              <w:top w:val="single" w:sz="8" w:color="CCFFFF"/>
              <w:bottom w:val="single" w:sz="8" w:color="CCFFFF"/>
            </w:tcBorders>
            <w:shd w:val="clear" w:color="auto" w:fill="CCFF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760" w:type="dxa"/>
            <w:vAlign w:val="bottom"/>
            <w:tcBorders>
              <w:top w:val="single" w:sz="8" w:color="auto"/>
              <w:bottom w:val="single" w:sz="8" w:color="auto"/>
            </w:tcBorders>
            <w:shd w:val="clear" w:color="auto" w:fill="CCFFFF"/>
          </w:tcPr>
          <w:p>
            <w:pPr>
              <w:jc w:val="right"/>
              <w:spacing w:after="0" w:line="155" w:lineRule="exact"/>
              <w:rPr>
                <w:sz w:val="20"/>
                <w:szCs w:val="20"/>
                <w:color w:val="auto"/>
              </w:rPr>
            </w:pPr>
            <w:r>
              <w:rPr>
                <w:rFonts w:ascii="Arial" w:cs="Arial" w:eastAsia="Arial" w:hAnsi="Arial"/>
                <w:sz w:val="14"/>
                <w:szCs w:val="14"/>
                <w:b w:val="1"/>
                <w:bCs w:val="1"/>
                <w:color w:val="auto"/>
              </w:rPr>
              <w:t>617,313</w:t>
            </w:r>
          </w:p>
        </w:tc>
        <w:tc>
          <w:tcPr>
            <w:tcW w:w="220" w:type="dxa"/>
            <w:vAlign w:val="bottom"/>
            <w:tcBorders>
              <w:top w:val="single" w:sz="8" w:color="CCFFFF"/>
              <w:bottom w:val="single" w:sz="8" w:color="CCFFFF"/>
            </w:tcBorders>
            <w:shd w:val="clear" w:color="auto" w:fill="CCFFFF"/>
          </w:tcPr>
          <w:p>
            <w:pPr>
              <w:spacing w:after="0"/>
              <w:rPr>
                <w:sz w:val="13"/>
                <w:szCs w:val="13"/>
                <w:color w:val="auto"/>
              </w:rPr>
            </w:pPr>
          </w:p>
        </w:tc>
        <w:tc>
          <w:tcPr>
            <w:tcW w:w="760" w:type="dxa"/>
            <w:vAlign w:val="bottom"/>
            <w:tcBorders>
              <w:top w:val="single" w:sz="8" w:color="auto"/>
              <w:bottom w:val="single" w:sz="8" w:color="auto"/>
            </w:tcBorders>
            <w:shd w:val="clear" w:color="auto" w:fill="CCFFFF"/>
          </w:tcPr>
          <w:p>
            <w:pPr>
              <w:jc w:val="right"/>
              <w:spacing w:after="0" w:line="155" w:lineRule="exact"/>
              <w:rPr>
                <w:sz w:val="20"/>
                <w:szCs w:val="20"/>
                <w:color w:val="auto"/>
              </w:rPr>
            </w:pPr>
            <w:r>
              <w:rPr>
                <w:rFonts w:ascii="Arial" w:cs="Arial" w:eastAsia="Arial" w:hAnsi="Arial"/>
                <w:sz w:val="14"/>
                <w:szCs w:val="14"/>
                <w:b w:val="1"/>
                <w:bCs w:val="1"/>
                <w:color w:val="auto"/>
              </w:rPr>
              <w:t>946,861</w:t>
            </w:r>
          </w:p>
        </w:tc>
        <w:tc>
          <w:tcPr>
            <w:tcW w:w="220" w:type="dxa"/>
            <w:vAlign w:val="bottom"/>
            <w:tcBorders>
              <w:top w:val="single" w:sz="8" w:color="CCFFFF"/>
              <w:bottom w:val="single" w:sz="8" w:color="CCFFFF"/>
            </w:tcBorders>
            <w:shd w:val="clear" w:color="auto" w:fill="CCFFFF"/>
          </w:tcPr>
          <w:p>
            <w:pPr>
              <w:spacing w:after="0"/>
              <w:rPr>
                <w:sz w:val="13"/>
                <w:szCs w:val="13"/>
                <w:color w:val="auto"/>
              </w:rPr>
            </w:pPr>
          </w:p>
        </w:tc>
        <w:tc>
          <w:tcPr>
            <w:tcW w:w="780" w:type="dxa"/>
            <w:vAlign w:val="bottom"/>
            <w:tcBorders>
              <w:top w:val="single" w:sz="8" w:color="auto"/>
              <w:bottom w:val="single" w:sz="8" w:color="auto"/>
            </w:tcBorders>
            <w:shd w:val="clear" w:color="auto" w:fill="CCFFFF"/>
          </w:tcPr>
          <w:p>
            <w:pPr>
              <w:jc w:val="right"/>
              <w:spacing w:after="0" w:line="155" w:lineRule="exact"/>
              <w:rPr>
                <w:sz w:val="20"/>
                <w:szCs w:val="20"/>
                <w:color w:val="auto"/>
              </w:rPr>
            </w:pPr>
            <w:r>
              <w:rPr>
                <w:rFonts w:ascii="Arial" w:cs="Arial" w:eastAsia="Arial" w:hAnsi="Arial"/>
                <w:sz w:val="14"/>
                <w:szCs w:val="14"/>
                <w:b w:val="1"/>
                <w:bCs w:val="1"/>
                <w:color w:val="auto"/>
              </w:rPr>
              <w:t>1,564,174</w:t>
            </w:r>
          </w:p>
        </w:tc>
        <w:tc>
          <w:tcPr>
            <w:tcW w:w="20" w:type="dxa"/>
            <w:vAlign w:val="bottom"/>
            <w:tcBorders>
              <w:top w:val="single" w:sz="8" w:color="CCFFFF"/>
              <w:bottom w:val="single" w:sz="8" w:color="CCFFFF"/>
            </w:tcBorders>
            <w:shd w:val="clear" w:color="auto" w:fill="CCFFFF"/>
          </w:tcPr>
          <w:p>
            <w:pPr>
              <w:spacing w:after="0"/>
              <w:rPr>
                <w:sz w:val="13"/>
                <w:szCs w:val="13"/>
                <w:color w:val="auto"/>
              </w:rPr>
            </w:pPr>
          </w:p>
        </w:tc>
        <w:tc>
          <w:tcPr>
            <w:tcW w:w="80" w:type="dxa"/>
            <w:vAlign w:val="bottom"/>
            <w:tcBorders>
              <w:top w:val="single" w:sz="8" w:color="CCFFFF"/>
              <w:bottom w:val="single" w:sz="8" w:color="CCFFFF"/>
            </w:tcBorders>
            <w:shd w:val="clear" w:color="auto" w:fill="CCFF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80" w:type="dxa"/>
            <w:vAlign w:val="bottom"/>
            <w:tcBorders>
              <w:bottom w:val="single" w:sz="8" w:color="CCFF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CCFF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CCFF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CCFF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CCFF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CCFFFF"/>
            </w:tcBorders>
          </w:tcPr>
          <w:p>
            <w:pPr>
              <w:spacing w:after="0"/>
              <w:rPr>
                <w:sz w:val="11"/>
                <w:szCs w:val="11"/>
                <w:color w:val="auto"/>
              </w:rPr>
            </w:pPr>
          </w:p>
        </w:tc>
        <w:tc>
          <w:tcPr>
            <w:tcW w:w="80" w:type="dxa"/>
            <w:vAlign w:val="bottom"/>
            <w:tcBorders>
              <w:bottom w:val="single" w:sz="8" w:color="CCFF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Borders>
              <w:bottom w:val="single" w:sz="8" w:color="CCFF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CCFF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CCFF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CCFFFF"/>
            </w:tcBorders>
          </w:tcPr>
          <w:p>
            <w:pPr>
              <w:spacing w:after="0"/>
              <w:rPr>
                <w:sz w:val="11"/>
                <w:szCs w:val="11"/>
                <w:color w:val="auto"/>
              </w:rPr>
            </w:pPr>
          </w:p>
        </w:tc>
        <w:tc>
          <w:tcPr>
            <w:tcW w:w="80" w:type="dxa"/>
            <w:vAlign w:val="bottom"/>
            <w:tcBorders>
              <w:bottom w:val="single" w:sz="8" w:color="CCFF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FFFF"/>
          </w:tcPr>
          <w:p>
            <w:pPr>
              <w:spacing w:after="0" w:line="142" w:lineRule="exact"/>
              <w:rPr>
                <w:sz w:val="20"/>
                <w:szCs w:val="20"/>
                <w:color w:val="auto"/>
              </w:rPr>
            </w:pPr>
            <w:r>
              <w:rPr>
                <w:rFonts w:ascii="Arial" w:cs="Arial" w:eastAsia="Arial" w:hAnsi="Arial"/>
                <w:sz w:val="14"/>
                <w:szCs w:val="14"/>
                <w:b w:val="1"/>
                <w:bCs w:val="1"/>
                <w:color w:val="auto"/>
              </w:rPr>
              <w:t>Balance as of December 31, 2020</w:t>
            </w:r>
          </w:p>
        </w:tc>
        <w:tc>
          <w:tcPr>
            <w:tcW w:w="800" w:type="dxa"/>
            <w:vAlign w:val="bottom"/>
            <w:tcBorders>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954</w:t>
            </w:r>
          </w:p>
        </w:tc>
        <w:tc>
          <w:tcPr>
            <w:tcW w:w="240" w:type="dxa"/>
            <w:vAlign w:val="bottom"/>
            <w:shd w:val="clear" w:color="auto" w:fill="CCFFFF"/>
          </w:tcPr>
          <w:p>
            <w:pPr>
              <w:spacing w:after="0"/>
              <w:rPr>
                <w:sz w:val="12"/>
                <w:szCs w:val="12"/>
                <w:color w:val="auto"/>
              </w:rPr>
            </w:pPr>
          </w:p>
        </w:tc>
        <w:tc>
          <w:tcPr>
            <w:tcW w:w="800" w:type="dxa"/>
            <w:vAlign w:val="bottom"/>
            <w:tcBorders>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240" w:type="dxa"/>
            <w:vAlign w:val="bottom"/>
            <w:shd w:val="clear" w:color="auto" w:fill="CCFFFF"/>
          </w:tcPr>
          <w:p>
            <w:pPr>
              <w:spacing w:after="0"/>
              <w:rPr>
                <w:sz w:val="12"/>
                <w:szCs w:val="12"/>
                <w:color w:val="auto"/>
              </w:rPr>
            </w:pPr>
          </w:p>
        </w:tc>
        <w:tc>
          <w:tcPr>
            <w:tcW w:w="800" w:type="dxa"/>
            <w:vAlign w:val="bottom"/>
            <w:tcBorders>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759,822</w:t>
            </w:r>
          </w:p>
        </w:tc>
        <w:tc>
          <w:tcPr>
            <w:tcW w:w="240" w:type="dxa"/>
            <w:vAlign w:val="bottom"/>
            <w:shd w:val="clear" w:color="auto" w:fill="CCFFFF"/>
          </w:tcPr>
          <w:p>
            <w:pPr>
              <w:spacing w:after="0"/>
              <w:rPr>
                <w:sz w:val="12"/>
                <w:szCs w:val="12"/>
                <w:color w:val="auto"/>
              </w:rPr>
            </w:pPr>
          </w:p>
        </w:tc>
        <w:tc>
          <w:tcPr>
            <w:tcW w:w="760" w:type="dxa"/>
            <w:vAlign w:val="bottom"/>
            <w:tcBorders>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18,667</w:t>
            </w:r>
          </w:p>
        </w:tc>
        <w:tc>
          <w:tcPr>
            <w:tcW w:w="220" w:type="dxa"/>
            <w:vAlign w:val="bottom"/>
            <w:shd w:val="clear" w:color="auto" w:fill="CCFFFF"/>
          </w:tcPr>
          <w:p>
            <w:pPr>
              <w:spacing w:after="0"/>
              <w:rPr>
                <w:sz w:val="12"/>
                <w:szCs w:val="12"/>
                <w:color w:val="auto"/>
              </w:rPr>
            </w:pPr>
          </w:p>
        </w:tc>
        <w:tc>
          <w:tcPr>
            <w:tcW w:w="760" w:type="dxa"/>
            <w:vAlign w:val="bottom"/>
            <w:tcBorders>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(1,340</w:t>
            </w:r>
          </w:p>
        </w:tc>
        <w:tc>
          <w:tcPr>
            <w:tcW w:w="140" w:type="dxa"/>
            <w:vAlign w:val="bottom"/>
            <w:shd w:val="clear" w:color="auto" w:fill="CCFFFF"/>
          </w:tcPr>
          <w:p>
            <w:pPr>
              <w:jc w:val="right"/>
              <w:ind w:right="8"/>
              <w:spacing w:after="0" w:line="142" w:lineRule="exact"/>
              <w:rPr>
                <w:sz w:val="20"/>
                <w:szCs w:val="20"/>
                <w:color w:val="auto"/>
              </w:rPr>
            </w:pPr>
            <w:r>
              <w:rPr>
                <w:rFonts w:ascii="Arial" w:cs="Arial" w:eastAsia="Arial" w:hAnsi="Arial"/>
                <w:sz w:val="14"/>
                <w:szCs w:val="14"/>
                <w:b w:val="1"/>
                <w:bCs w:val="1"/>
                <w:color w:val="auto"/>
                <w:w w:val="84"/>
              </w:rPr>
              <w:t>)</w:t>
            </w:r>
          </w:p>
        </w:tc>
        <w:tc>
          <w:tcPr>
            <w:tcW w:w="80" w:type="dxa"/>
            <w:vAlign w:val="bottom"/>
            <w:shd w:val="clear" w:color="auto" w:fill="CCFFFF"/>
          </w:tcPr>
          <w:p>
            <w:pPr>
              <w:spacing w:after="0"/>
              <w:rPr>
                <w:sz w:val="12"/>
                <w:szCs w:val="12"/>
                <w:color w:val="auto"/>
              </w:rPr>
            </w:pPr>
          </w:p>
        </w:tc>
        <w:tc>
          <w:tcPr>
            <w:tcW w:w="820" w:type="dxa"/>
            <w:vAlign w:val="bottom"/>
            <w:tcBorders>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(132,780</w:t>
            </w:r>
          </w:p>
        </w:tc>
        <w:tc>
          <w:tcPr>
            <w:tcW w:w="220" w:type="dxa"/>
            <w:vAlign w:val="bottom"/>
            <w:shd w:val="clear" w:color="auto" w:fill="CCFF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760" w:type="dxa"/>
            <w:vAlign w:val="bottom"/>
            <w:tcBorders>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645,369</w:t>
            </w:r>
          </w:p>
        </w:tc>
        <w:tc>
          <w:tcPr>
            <w:tcW w:w="220" w:type="dxa"/>
            <w:vAlign w:val="bottom"/>
            <w:shd w:val="clear" w:color="auto" w:fill="CCFFFF"/>
          </w:tcPr>
          <w:p>
            <w:pPr>
              <w:spacing w:after="0"/>
              <w:rPr>
                <w:sz w:val="12"/>
                <w:szCs w:val="12"/>
                <w:color w:val="auto"/>
              </w:rPr>
            </w:pPr>
          </w:p>
        </w:tc>
        <w:tc>
          <w:tcPr>
            <w:tcW w:w="760" w:type="dxa"/>
            <w:vAlign w:val="bottom"/>
            <w:tcBorders>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951,768</w:t>
            </w:r>
          </w:p>
        </w:tc>
        <w:tc>
          <w:tcPr>
            <w:tcW w:w="220" w:type="dxa"/>
            <w:vAlign w:val="bottom"/>
            <w:shd w:val="clear" w:color="auto" w:fill="CCFFFF"/>
          </w:tcPr>
          <w:p>
            <w:pPr>
              <w:spacing w:after="0"/>
              <w:rPr>
                <w:sz w:val="12"/>
                <w:szCs w:val="12"/>
                <w:color w:val="auto"/>
              </w:rPr>
            </w:pPr>
          </w:p>
        </w:tc>
        <w:tc>
          <w:tcPr>
            <w:tcW w:w="780" w:type="dxa"/>
            <w:vAlign w:val="bottom"/>
            <w:tcBorders>
              <w:bottom w:val="single" w:sz="8" w:color="auto"/>
            </w:tcBorders>
            <w:shd w:val="clear" w:color="auto" w:fill="CCFFFF"/>
          </w:tcPr>
          <w:p>
            <w:pPr>
              <w:jc w:val="right"/>
              <w:spacing w:after="0" w:line="142" w:lineRule="exact"/>
              <w:rPr>
                <w:sz w:val="20"/>
                <w:szCs w:val="20"/>
                <w:color w:val="auto"/>
              </w:rPr>
            </w:pPr>
            <w:r>
              <w:rPr>
                <w:rFonts w:ascii="Arial" w:cs="Arial" w:eastAsia="Arial" w:hAnsi="Arial"/>
                <w:sz w:val="14"/>
                <w:szCs w:val="14"/>
                <w:b w:val="1"/>
                <w:bCs w:val="1"/>
                <w:color w:val="auto"/>
              </w:rPr>
              <w:t>1,597,137</w:t>
            </w:r>
          </w:p>
        </w:tc>
        <w:tc>
          <w:tcPr>
            <w:tcW w:w="20" w:type="dxa"/>
            <w:vAlign w:val="bottom"/>
            <w:shd w:val="clear" w:color="auto" w:fill="CCFFFF"/>
          </w:tcPr>
          <w:p>
            <w:pPr>
              <w:spacing w:after="0"/>
              <w:rPr>
                <w:sz w:val="12"/>
                <w:szCs w:val="12"/>
                <w:color w:val="auto"/>
              </w:rPr>
            </w:pPr>
          </w:p>
        </w:tc>
        <w:tc>
          <w:tcPr>
            <w:tcW w:w="80" w:type="dxa"/>
            <w:vAlign w:val="bottom"/>
            <w:shd w:val="clear" w:color="auto" w:fill="CCFF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280" w:type="dxa"/>
            <w:vAlign w:val="bottom"/>
          </w:tcPr>
          <w:p>
            <w:pPr>
              <w:spacing w:after="0" w:line="110" w:lineRule="exact"/>
              <w:rPr>
                <w:sz w:val="20"/>
                <w:szCs w:val="20"/>
                <w:color w:val="auto"/>
              </w:rPr>
            </w:pPr>
            <w:r>
              <w:rPr>
                <w:rFonts w:ascii="Arial" w:cs="Arial" w:eastAsia="Arial" w:hAnsi="Arial"/>
                <w:sz w:val="12"/>
                <w:szCs w:val="12"/>
                <w:color w:val="auto"/>
              </w:rPr>
              <w:t>Dividend paid (common and</w:t>
            </w: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preference shares) (Note 13)</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(7,275)</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(7,275)</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(7,909)</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(15,184)</w:t>
            </w:r>
          </w:p>
        </w:tc>
        <w:tc>
          <w:tcPr>
            <w:tcW w:w="0" w:type="dxa"/>
            <w:vAlign w:val="bottom"/>
          </w:tcPr>
          <w:p>
            <w:pPr>
              <w:spacing w:after="0"/>
              <w:rPr>
                <w:sz w:val="1"/>
                <w:szCs w:val="1"/>
                <w:color w:val="auto"/>
              </w:rPr>
            </w:pPr>
          </w:p>
        </w:tc>
      </w:tr>
      <w:tr>
        <w:trPr>
          <w:trHeight w:val="130"/>
        </w:trPr>
        <w:tc>
          <w:tcPr>
            <w:tcW w:w="2280" w:type="dxa"/>
            <w:vAlign w:val="bottom"/>
            <w:shd w:val="clear" w:color="auto" w:fill="CCFFFF"/>
          </w:tcPr>
          <w:p>
            <w:pPr>
              <w:spacing w:after="0" w:line="130" w:lineRule="exact"/>
              <w:rPr>
                <w:sz w:val="20"/>
                <w:szCs w:val="20"/>
                <w:color w:val="auto"/>
              </w:rPr>
            </w:pPr>
            <w:r>
              <w:rPr>
                <w:rFonts w:ascii="Arial" w:cs="Arial" w:eastAsia="Arial" w:hAnsi="Arial"/>
                <w:sz w:val="14"/>
                <w:szCs w:val="14"/>
                <w:color w:val="auto"/>
              </w:rPr>
              <w:t>Share-based compensation, net of</w:t>
            </w: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800" w:type="dxa"/>
            <w:vAlign w:val="bottom"/>
            <w:shd w:val="clear" w:color="auto" w:fill="CCFFFF"/>
          </w:tcPr>
          <w:p>
            <w:pPr>
              <w:spacing w:after="0"/>
              <w:rPr>
                <w:sz w:val="11"/>
                <w:szCs w:val="11"/>
                <w:color w:val="auto"/>
              </w:rPr>
            </w:pPr>
          </w:p>
        </w:tc>
        <w:tc>
          <w:tcPr>
            <w:tcW w:w="24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140" w:type="dxa"/>
            <w:vAlign w:val="bottom"/>
            <w:shd w:val="clear" w:color="auto" w:fill="CCFFFF"/>
          </w:tcPr>
          <w:p>
            <w:pPr>
              <w:spacing w:after="0"/>
              <w:rPr>
                <w:sz w:val="11"/>
                <w:szCs w:val="11"/>
                <w:color w:val="auto"/>
              </w:rPr>
            </w:pPr>
          </w:p>
        </w:tc>
        <w:tc>
          <w:tcPr>
            <w:tcW w:w="80" w:type="dxa"/>
            <w:vAlign w:val="bottom"/>
            <w:shd w:val="clear" w:color="auto" w:fill="CCFFFF"/>
          </w:tcPr>
          <w:p>
            <w:pPr>
              <w:spacing w:after="0"/>
              <w:rPr>
                <w:sz w:val="11"/>
                <w:szCs w:val="11"/>
                <w:color w:val="auto"/>
              </w:rPr>
            </w:pPr>
          </w:p>
        </w:tc>
        <w:tc>
          <w:tcPr>
            <w:tcW w:w="82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60" w:type="dxa"/>
            <w:vAlign w:val="bottom"/>
            <w:shd w:val="clear" w:color="auto" w:fill="CCFFFF"/>
          </w:tcPr>
          <w:p>
            <w:pPr>
              <w:spacing w:after="0"/>
              <w:rPr>
                <w:sz w:val="11"/>
                <w:szCs w:val="11"/>
                <w:color w:val="auto"/>
              </w:rPr>
            </w:pPr>
          </w:p>
        </w:tc>
        <w:tc>
          <w:tcPr>
            <w:tcW w:w="220" w:type="dxa"/>
            <w:vAlign w:val="bottom"/>
            <w:shd w:val="clear" w:color="auto" w:fill="CCFFFF"/>
          </w:tcPr>
          <w:p>
            <w:pPr>
              <w:spacing w:after="0"/>
              <w:rPr>
                <w:sz w:val="11"/>
                <w:szCs w:val="11"/>
                <w:color w:val="auto"/>
              </w:rPr>
            </w:pPr>
          </w:p>
        </w:tc>
        <w:tc>
          <w:tcPr>
            <w:tcW w:w="780" w:type="dxa"/>
            <w:vAlign w:val="bottom"/>
            <w:shd w:val="clear" w:color="auto" w:fill="CCFFFF"/>
          </w:tcPr>
          <w:p>
            <w:pPr>
              <w:spacing w:after="0"/>
              <w:rPr>
                <w:sz w:val="11"/>
                <w:szCs w:val="11"/>
                <w:color w:val="auto"/>
              </w:rPr>
            </w:pPr>
          </w:p>
        </w:tc>
        <w:tc>
          <w:tcPr>
            <w:tcW w:w="20" w:type="dxa"/>
            <w:vAlign w:val="bottom"/>
            <w:shd w:val="clear" w:color="auto" w:fill="CCFFFF"/>
          </w:tcPr>
          <w:p>
            <w:pPr>
              <w:spacing w:after="0"/>
              <w:rPr>
                <w:sz w:val="11"/>
                <w:szCs w:val="11"/>
                <w:color w:val="auto"/>
              </w:rPr>
            </w:pPr>
          </w:p>
        </w:tc>
        <w:tc>
          <w:tcPr>
            <w:tcW w:w="80" w:type="dxa"/>
            <w:vAlign w:val="bottom"/>
            <w:shd w:val="clear" w:color="auto" w:fill="CC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shd w:val="clear" w:color="auto" w:fill="CCFFFF"/>
          </w:tcPr>
          <w:p>
            <w:pPr>
              <w:spacing w:after="0"/>
              <w:rPr>
                <w:sz w:val="20"/>
                <w:szCs w:val="20"/>
                <w:color w:val="auto"/>
              </w:rPr>
            </w:pPr>
            <w:r>
              <w:rPr>
                <w:rFonts w:ascii="Arial" w:cs="Arial" w:eastAsia="Arial" w:hAnsi="Arial"/>
                <w:sz w:val="14"/>
                <w:szCs w:val="14"/>
                <w:color w:val="auto"/>
              </w:rPr>
              <w:t>accrued dividend</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FF"/>
          </w:tcPr>
          <w:p>
            <w:pPr>
              <w:jc w:val="right"/>
              <w:ind w:right="220"/>
              <w:spacing w:after="0"/>
              <w:rPr>
                <w:sz w:val="20"/>
                <w:szCs w:val="20"/>
                <w:color w:val="auto"/>
              </w:rPr>
            </w:pPr>
            <w:r>
              <w:rPr>
                <w:rFonts w:ascii="Arial" w:cs="Arial" w:eastAsia="Arial" w:hAnsi="Arial"/>
                <w:sz w:val="14"/>
                <w:szCs w:val="14"/>
                <w:color w:val="auto"/>
              </w:rPr>
              <w:t>743</w:t>
            </w:r>
          </w:p>
        </w:tc>
        <w:tc>
          <w:tcPr>
            <w:tcW w:w="900" w:type="dxa"/>
            <w:vAlign w:val="bottom"/>
            <w:gridSpan w:val="2"/>
            <w:shd w:val="clear" w:color="auto" w:fill="CCFF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FF"/>
          </w:tcPr>
          <w:p>
            <w:pPr>
              <w:spacing w:after="0"/>
              <w:rPr>
                <w:sz w:val="14"/>
                <w:szCs w:val="14"/>
                <w:color w:val="auto"/>
              </w:rPr>
            </w:pPr>
          </w:p>
        </w:tc>
        <w:tc>
          <w:tcPr>
            <w:tcW w:w="1040" w:type="dxa"/>
            <w:vAlign w:val="bottom"/>
            <w:gridSpan w:val="2"/>
            <w:shd w:val="clear" w:color="auto" w:fill="CCFFFF"/>
          </w:tcPr>
          <w:p>
            <w:pPr>
              <w:jc w:val="right"/>
              <w:ind w:right="17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FF"/>
          </w:tcPr>
          <w:p>
            <w:pPr>
              <w:jc w:val="right"/>
              <w:ind w:right="220"/>
              <w:spacing w:after="0"/>
              <w:rPr>
                <w:sz w:val="20"/>
                <w:szCs w:val="20"/>
                <w:color w:val="auto"/>
              </w:rPr>
            </w:pPr>
            <w:r>
              <w:rPr>
                <w:rFonts w:ascii="Arial" w:cs="Arial" w:eastAsia="Arial" w:hAnsi="Arial"/>
                <w:sz w:val="14"/>
                <w:szCs w:val="14"/>
                <w:color w:val="auto"/>
              </w:rPr>
              <w:t>743</w:t>
            </w:r>
          </w:p>
        </w:tc>
        <w:tc>
          <w:tcPr>
            <w:tcW w:w="980" w:type="dxa"/>
            <w:vAlign w:val="bottom"/>
            <w:gridSpan w:val="2"/>
            <w:shd w:val="clear" w:color="auto" w:fill="CCFF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FF"/>
          </w:tcPr>
          <w:p>
            <w:pPr>
              <w:jc w:val="right"/>
              <w:ind w:right="20"/>
              <w:spacing w:after="0"/>
              <w:rPr>
                <w:sz w:val="20"/>
                <w:szCs w:val="20"/>
                <w:color w:val="auto"/>
              </w:rPr>
            </w:pPr>
            <w:r>
              <w:rPr>
                <w:rFonts w:ascii="Arial" w:cs="Arial" w:eastAsia="Arial" w:hAnsi="Arial"/>
                <w:sz w:val="14"/>
                <w:szCs w:val="14"/>
                <w:color w:val="auto"/>
              </w:rPr>
              <w:t>743</w:t>
            </w:r>
          </w:p>
        </w:tc>
        <w:tc>
          <w:tcPr>
            <w:tcW w:w="80" w:type="dxa"/>
            <w:vAlign w:val="bottom"/>
            <w:shd w:val="clear" w:color="auto" w:fill="CC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Settlement of share-based</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(99)</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4"/>
                <w:szCs w:val="14"/>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shd w:val="clear" w:color="auto" w:fill="CCFFFF"/>
          </w:tcPr>
          <w:p>
            <w:pPr>
              <w:spacing w:after="0" w:line="149" w:lineRule="exact"/>
              <w:rPr>
                <w:sz w:val="20"/>
                <w:szCs w:val="20"/>
                <w:color w:val="auto"/>
              </w:rPr>
            </w:pPr>
            <w:r>
              <w:rPr>
                <w:rFonts w:ascii="Arial" w:cs="Arial" w:eastAsia="Arial" w:hAnsi="Arial"/>
                <w:sz w:val="14"/>
                <w:szCs w:val="14"/>
                <w:color w:val="auto"/>
              </w:rPr>
              <w:t>Profit for the period</w:t>
            </w:r>
          </w:p>
        </w:tc>
        <w:tc>
          <w:tcPr>
            <w:tcW w:w="1040" w:type="dxa"/>
            <w:vAlign w:val="bottom"/>
            <w:gridSpan w:val="2"/>
            <w:shd w:val="clear" w:color="auto" w:fill="CCFF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FFFF"/>
          </w:tcPr>
          <w:p>
            <w:pPr>
              <w:jc w:val="right"/>
              <w:ind w:right="179"/>
              <w:spacing w:after="0" w:line="149" w:lineRule="exact"/>
              <w:rPr>
                <w:sz w:val="20"/>
                <w:szCs w:val="20"/>
                <w:color w:val="auto"/>
              </w:rPr>
            </w:pPr>
            <w:r>
              <w:rPr>
                <w:rFonts w:ascii="Arial" w:cs="Arial" w:eastAsia="Arial" w:hAnsi="Arial"/>
                <w:sz w:val="14"/>
                <w:szCs w:val="14"/>
                <w:color w:val="auto"/>
              </w:rPr>
              <w:t>57,934</w:t>
            </w:r>
          </w:p>
        </w:tc>
        <w:tc>
          <w:tcPr>
            <w:tcW w:w="980" w:type="dxa"/>
            <w:vAlign w:val="bottom"/>
            <w:gridSpan w:val="2"/>
            <w:shd w:val="clear" w:color="auto" w:fill="CCFFFF"/>
          </w:tcPr>
          <w:p>
            <w:pPr>
              <w:jc w:val="right"/>
              <w:ind w:right="220"/>
              <w:spacing w:after="0" w:line="149" w:lineRule="exact"/>
              <w:rPr>
                <w:sz w:val="20"/>
                <w:szCs w:val="20"/>
                <w:color w:val="auto"/>
              </w:rPr>
            </w:pPr>
            <w:r>
              <w:rPr>
                <w:rFonts w:ascii="Arial" w:cs="Arial" w:eastAsia="Arial" w:hAnsi="Arial"/>
                <w:sz w:val="14"/>
                <w:szCs w:val="14"/>
                <w:color w:val="auto"/>
              </w:rPr>
              <w:t>57,934</w:t>
            </w:r>
          </w:p>
        </w:tc>
        <w:tc>
          <w:tcPr>
            <w:tcW w:w="980" w:type="dxa"/>
            <w:vAlign w:val="bottom"/>
            <w:gridSpan w:val="2"/>
            <w:shd w:val="clear" w:color="auto" w:fill="CCFFFF"/>
          </w:tcPr>
          <w:p>
            <w:pPr>
              <w:jc w:val="right"/>
              <w:ind w:right="220"/>
              <w:spacing w:after="0" w:line="149" w:lineRule="exact"/>
              <w:rPr>
                <w:sz w:val="20"/>
                <w:szCs w:val="20"/>
                <w:color w:val="auto"/>
              </w:rPr>
            </w:pPr>
            <w:r>
              <w:rPr>
                <w:rFonts w:ascii="Arial" w:cs="Arial" w:eastAsia="Arial" w:hAnsi="Arial"/>
                <w:sz w:val="14"/>
                <w:szCs w:val="14"/>
                <w:color w:val="auto"/>
              </w:rPr>
              <w:t>26,310</w:t>
            </w:r>
          </w:p>
        </w:tc>
        <w:tc>
          <w:tcPr>
            <w:tcW w:w="880" w:type="dxa"/>
            <w:vAlign w:val="bottom"/>
            <w:gridSpan w:val="3"/>
            <w:shd w:val="clear" w:color="auto" w:fill="CCFFFF"/>
          </w:tcPr>
          <w:p>
            <w:pPr>
              <w:jc w:val="right"/>
              <w:ind w:right="100"/>
              <w:spacing w:after="0" w:line="149" w:lineRule="exact"/>
              <w:rPr>
                <w:sz w:val="20"/>
                <w:szCs w:val="20"/>
                <w:color w:val="auto"/>
              </w:rPr>
            </w:pPr>
            <w:r>
              <w:rPr>
                <w:rFonts w:ascii="Arial" w:cs="Arial" w:eastAsia="Arial" w:hAnsi="Arial"/>
                <w:sz w:val="14"/>
                <w:szCs w:val="14"/>
                <w:color w:val="auto"/>
              </w:rPr>
              <w:t>84,244</w:t>
            </w: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4"/>
                <w:szCs w:val="14"/>
                <w:color w:val="auto"/>
              </w:rPr>
              <w:t>Other comprehensive loss for the</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280" w:type="dxa"/>
            <w:vAlign w:val="bottom"/>
          </w:tcPr>
          <w:p>
            <w:pPr>
              <w:spacing w:after="0"/>
              <w:rPr>
                <w:sz w:val="20"/>
                <w:szCs w:val="20"/>
                <w:color w:val="auto"/>
              </w:rPr>
            </w:pPr>
            <w:r>
              <w:rPr>
                <w:rFonts w:ascii="Arial" w:cs="Arial" w:eastAsia="Arial" w:hAnsi="Arial"/>
                <w:sz w:val="14"/>
                <w:szCs w:val="14"/>
                <w:color w:val="auto"/>
              </w:rPr>
              <w:t>period</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(1,098)</w:t>
            </w: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(1,098)</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06"/>
        </w:trPr>
        <w:tc>
          <w:tcPr>
            <w:tcW w:w="2280" w:type="dxa"/>
            <w:vAlign w:val="bottom"/>
            <w:tcBorders>
              <w:top w:val="single" w:sz="8" w:color="CCFFFF"/>
            </w:tcBorders>
            <w:shd w:val="clear" w:color="auto" w:fill="CCFFFF"/>
          </w:tcPr>
          <w:p>
            <w:pPr>
              <w:spacing w:after="0" w:line="106" w:lineRule="exact"/>
              <w:rPr>
                <w:sz w:val="20"/>
                <w:szCs w:val="20"/>
                <w:color w:val="auto"/>
              </w:rPr>
            </w:pPr>
            <w:r>
              <w:rPr>
                <w:rFonts w:ascii="Arial" w:cs="Arial" w:eastAsia="Arial" w:hAnsi="Arial"/>
                <w:sz w:val="12"/>
                <w:szCs w:val="12"/>
                <w:b w:val="1"/>
                <w:bCs w:val="1"/>
                <w:color w:val="auto"/>
              </w:rPr>
              <w:t>Total comprehensive (loss)/income</w:t>
            </w:r>
          </w:p>
        </w:tc>
        <w:tc>
          <w:tcPr>
            <w:tcW w:w="800" w:type="dxa"/>
            <w:vAlign w:val="bottom"/>
            <w:tcBorders>
              <w:top w:val="single" w:sz="8" w:color="auto"/>
            </w:tcBorders>
            <w:shd w:val="clear" w:color="auto" w:fill="CCFFFF"/>
          </w:tcPr>
          <w:p>
            <w:pPr>
              <w:spacing w:after="0"/>
              <w:rPr>
                <w:sz w:val="9"/>
                <w:szCs w:val="9"/>
                <w:color w:val="auto"/>
              </w:rPr>
            </w:pPr>
          </w:p>
        </w:tc>
        <w:tc>
          <w:tcPr>
            <w:tcW w:w="240" w:type="dxa"/>
            <w:vAlign w:val="bottom"/>
            <w:tcBorders>
              <w:top w:val="single" w:sz="8" w:color="CCFFFF"/>
            </w:tcBorders>
            <w:shd w:val="clear" w:color="auto" w:fill="CCFFFF"/>
          </w:tcPr>
          <w:p>
            <w:pPr>
              <w:spacing w:after="0"/>
              <w:rPr>
                <w:sz w:val="9"/>
                <w:szCs w:val="9"/>
                <w:color w:val="auto"/>
              </w:rPr>
            </w:pPr>
          </w:p>
        </w:tc>
        <w:tc>
          <w:tcPr>
            <w:tcW w:w="800" w:type="dxa"/>
            <w:vAlign w:val="bottom"/>
            <w:tcBorders>
              <w:top w:val="single" w:sz="8" w:color="auto"/>
            </w:tcBorders>
            <w:shd w:val="clear" w:color="auto" w:fill="CCFFFF"/>
          </w:tcPr>
          <w:p>
            <w:pPr>
              <w:spacing w:after="0"/>
              <w:rPr>
                <w:sz w:val="9"/>
                <w:szCs w:val="9"/>
                <w:color w:val="auto"/>
              </w:rPr>
            </w:pPr>
          </w:p>
        </w:tc>
        <w:tc>
          <w:tcPr>
            <w:tcW w:w="240" w:type="dxa"/>
            <w:vAlign w:val="bottom"/>
            <w:tcBorders>
              <w:top w:val="single" w:sz="8" w:color="CCFFFF"/>
            </w:tcBorders>
            <w:shd w:val="clear" w:color="auto" w:fill="CCFFFF"/>
          </w:tcPr>
          <w:p>
            <w:pPr>
              <w:spacing w:after="0"/>
              <w:rPr>
                <w:sz w:val="9"/>
                <w:szCs w:val="9"/>
                <w:color w:val="auto"/>
              </w:rPr>
            </w:pPr>
          </w:p>
        </w:tc>
        <w:tc>
          <w:tcPr>
            <w:tcW w:w="800" w:type="dxa"/>
            <w:vAlign w:val="bottom"/>
            <w:tcBorders>
              <w:top w:val="single" w:sz="8" w:color="auto"/>
            </w:tcBorders>
            <w:shd w:val="clear" w:color="auto" w:fill="CCFFFF"/>
          </w:tcPr>
          <w:p>
            <w:pPr>
              <w:spacing w:after="0"/>
              <w:rPr>
                <w:sz w:val="9"/>
                <w:szCs w:val="9"/>
                <w:color w:val="auto"/>
              </w:rPr>
            </w:pPr>
          </w:p>
        </w:tc>
        <w:tc>
          <w:tcPr>
            <w:tcW w:w="240" w:type="dxa"/>
            <w:vAlign w:val="bottom"/>
            <w:tcBorders>
              <w:top w:val="single" w:sz="8" w:color="CCFFFF"/>
            </w:tcBorders>
            <w:shd w:val="clear" w:color="auto" w:fill="CCFFFF"/>
          </w:tcPr>
          <w:p>
            <w:pPr>
              <w:spacing w:after="0"/>
              <w:rPr>
                <w:sz w:val="9"/>
                <w:szCs w:val="9"/>
                <w:color w:val="auto"/>
              </w:rPr>
            </w:pPr>
          </w:p>
        </w:tc>
        <w:tc>
          <w:tcPr>
            <w:tcW w:w="760" w:type="dxa"/>
            <w:vAlign w:val="bottom"/>
            <w:tcBorders>
              <w:top w:val="single" w:sz="8" w:color="auto"/>
            </w:tcBorders>
            <w:shd w:val="clear" w:color="auto" w:fill="CCFFFF"/>
          </w:tcPr>
          <w:p>
            <w:pPr>
              <w:spacing w:after="0"/>
              <w:rPr>
                <w:sz w:val="9"/>
                <w:szCs w:val="9"/>
                <w:color w:val="auto"/>
              </w:rPr>
            </w:pPr>
          </w:p>
        </w:tc>
        <w:tc>
          <w:tcPr>
            <w:tcW w:w="220" w:type="dxa"/>
            <w:vAlign w:val="bottom"/>
            <w:tcBorders>
              <w:top w:val="single" w:sz="8" w:color="CCFFFF"/>
            </w:tcBorders>
            <w:shd w:val="clear" w:color="auto" w:fill="CCFFFF"/>
          </w:tcPr>
          <w:p>
            <w:pPr>
              <w:spacing w:after="0"/>
              <w:rPr>
                <w:sz w:val="9"/>
                <w:szCs w:val="9"/>
                <w:color w:val="auto"/>
              </w:rPr>
            </w:pPr>
          </w:p>
        </w:tc>
        <w:tc>
          <w:tcPr>
            <w:tcW w:w="760" w:type="dxa"/>
            <w:vAlign w:val="bottom"/>
            <w:tcBorders>
              <w:top w:val="single" w:sz="8" w:color="auto"/>
            </w:tcBorders>
            <w:shd w:val="clear" w:color="auto" w:fill="CCFFFF"/>
          </w:tcPr>
          <w:p>
            <w:pPr>
              <w:spacing w:after="0"/>
              <w:rPr>
                <w:sz w:val="9"/>
                <w:szCs w:val="9"/>
                <w:color w:val="auto"/>
              </w:rPr>
            </w:pPr>
          </w:p>
        </w:tc>
        <w:tc>
          <w:tcPr>
            <w:tcW w:w="140" w:type="dxa"/>
            <w:vAlign w:val="bottom"/>
            <w:tcBorders>
              <w:top w:val="single" w:sz="8" w:color="CCFFFF"/>
            </w:tcBorders>
            <w:shd w:val="clear" w:color="auto" w:fill="CCFFFF"/>
          </w:tcPr>
          <w:p>
            <w:pPr>
              <w:spacing w:after="0"/>
              <w:rPr>
                <w:sz w:val="9"/>
                <w:szCs w:val="9"/>
                <w:color w:val="auto"/>
              </w:rPr>
            </w:pPr>
          </w:p>
        </w:tc>
        <w:tc>
          <w:tcPr>
            <w:tcW w:w="80" w:type="dxa"/>
            <w:vAlign w:val="bottom"/>
            <w:tcBorders>
              <w:top w:val="single" w:sz="8" w:color="CCFFFF"/>
            </w:tcBorders>
            <w:shd w:val="clear" w:color="auto" w:fill="CCFFFF"/>
          </w:tcPr>
          <w:p>
            <w:pPr>
              <w:spacing w:after="0"/>
              <w:rPr>
                <w:sz w:val="9"/>
                <w:szCs w:val="9"/>
                <w:color w:val="auto"/>
              </w:rPr>
            </w:pPr>
          </w:p>
        </w:tc>
        <w:tc>
          <w:tcPr>
            <w:tcW w:w="820" w:type="dxa"/>
            <w:vAlign w:val="bottom"/>
            <w:tcBorders>
              <w:top w:val="single" w:sz="8" w:color="auto"/>
            </w:tcBorders>
            <w:shd w:val="clear" w:color="auto" w:fill="CCFFFF"/>
          </w:tcPr>
          <w:p>
            <w:pPr>
              <w:spacing w:after="0"/>
              <w:rPr>
                <w:sz w:val="9"/>
                <w:szCs w:val="9"/>
                <w:color w:val="auto"/>
              </w:rPr>
            </w:pPr>
          </w:p>
        </w:tc>
        <w:tc>
          <w:tcPr>
            <w:tcW w:w="220" w:type="dxa"/>
            <w:vAlign w:val="bottom"/>
            <w:tcBorders>
              <w:top w:val="single" w:sz="8" w:color="CCFFFF"/>
            </w:tcBorders>
            <w:shd w:val="clear" w:color="auto" w:fill="CCFFFF"/>
          </w:tcPr>
          <w:p>
            <w:pPr>
              <w:spacing w:after="0"/>
              <w:rPr>
                <w:sz w:val="9"/>
                <w:szCs w:val="9"/>
                <w:color w:val="auto"/>
              </w:rPr>
            </w:pPr>
          </w:p>
        </w:tc>
        <w:tc>
          <w:tcPr>
            <w:tcW w:w="760" w:type="dxa"/>
            <w:vAlign w:val="bottom"/>
            <w:tcBorders>
              <w:top w:val="single" w:sz="8" w:color="auto"/>
            </w:tcBorders>
            <w:shd w:val="clear" w:color="auto" w:fill="CCFFFF"/>
          </w:tcPr>
          <w:p>
            <w:pPr>
              <w:spacing w:after="0"/>
              <w:rPr>
                <w:sz w:val="9"/>
                <w:szCs w:val="9"/>
                <w:color w:val="auto"/>
              </w:rPr>
            </w:pPr>
          </w:p>
        </w:tc>
        <w:tc>
          <w:tcPr>
            <w:tcW w:w="220" w:type="dxa"/>
            <w:vAlign w:val="bottom"/>
            <w:tcBorders>
              <w:top w:val="single" w:sz="8" w:color="CCFFFF"/>
            </w:tcBorders>
            <w:shd w:val="clear" w:color="auto" w:fill="CCFFFF"/>
          </w:tcPr>
          <w:p>
            <w:pPr>
              <w:spacing w:after="0"/>
              <w:rPr>
                <w:sz w:val="9"/>
                <w:szCs w:val="9"/>
                <w:color w:val="auto"/>
              </w:rPr>
            </w:pPr>
          </w:p>
        </w:tc>
        <w:tc>
          <w:tcPr>
            <w:tcW w:w="760" w:type="dxa"/>
            <w:vAlign w:val="bottom"/>
            <w:tcBorders>
              <w:top w:val="single" w:sz="8" w:color="auto"/>
            </w:tcBorders>
            <w:shd w:val="clear" w:color="auto" w:fill="CCFFFF"/>
          </w:tcPr>
          <w:p>
            <w:pPr>
              <w:spacing w:after="0"/>
              <w:rPr>
                <w:sz w:val="9"/>
                <w:szCs w:val="9"/>
                <w:color w:val="auto"/>
              </w:rPr>
            </w:pPr>
          </w:p>
        </w:tc>
        <w:tc>
          <w:tcPr>
            <w:tcW w:w="220" w:type="dxa"/>
            <w:vAlign w:val="bottom"/>
            <w:tcBorders>
              <w:top w:val="single" w:sz="8" w:color="CCFFFF"/>
            </w:tcBorders>
            <w:shd w:val="clear" w:color="auto" w:fill="CCFFFF"/>
          </w:tcPr>
          <w:p>
            <w:pPr>
              <w:spacing w:after="0"/>
              <w:rPr>
                <w:sz w:val="9"/>
                <w:szCs w:val="9"/>
                <w:color w:val="auto"/>
              </w:rPr>
            </w:pPr>
          </w:p>
        </w:tc>
        <w:tc>
          <w:tcPr>
            <w:tcW w:w="780" w:type="dxa"/>
            <w:vAlign w:val="bottom"/>
            <w:tcBorders>
              <w:top w:val="single" w:sz="8" w:color="auto"/>
            </w:tcBorders>
            <w:shd w:val="clear" w:color="auto" w:fill="CCFFFF"/>
          </w:tcPr>
          <w:p>
            <w:pPr>
              <w:spacing w:after="0"/>
              <w:rPr>
                <w:sz w:val="9"/>
                <w:szCs w:val="9"/>
                <w:color w:val="auto"/>
              </w:rPr>
            </w:pPr>
          </w:p>
        </w:tc>
        <w:tc>
          <w:tcPr>
            <w:tcW w:w="20" w:type="dxa"/>
            <w:vAlign w:val="bottom"/>
            <w:tcBorders>
              <w:top w:val="single" w:sz="8" w:color="CCFFFF"/>
            </w:tcBorders>
            <w:shd w:val="clear" w:color="auto" w:fill="CCFFFF"/>
          </w:tcPr>
          <w:p>
            <w:pPr>
              <w:spacing w:after="0"/>
              <w:rPr>
                <w:sz w:val="9"/>
                <w:szCs w:val="9"/>
                <w:color w:val="auto"/>
              </w:rPr>
            </w:pPr>
          </w:p>
        </w:tc>
        <w:tc>
          <w:tcPr>
            <w:tcW w:w="80" w:type="dxa"/>
            <w:vAlign w:val="bottom"/>
            <w:tcBorders>
              <w:top w:val="single" w:sz="8" w:color="CCFFFF"/>
            </w:tcBorders>
            <w:shd w:val="clear" w:color="auto" w:fill="CCFF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280" w:type="dxa"/>
            <w:vAlign w:val="bottom"/>
            <w:shd w:val="clear" w:color="auto" w:fill="CCFFFF"/>
          </w:tcPr>
          <w:p>
            <w:pPr>
              <w:spacing w:after="0"/>
              <w:rPr>
                <w:sz w:val="20"/>
                <w:szCs w:val="20"/>
                <w:color w:val="auto"/>
              </w:rPr>
            </w:pPr>
            <w:r>
              <w:rPr>
                <w:rFonts w:ascii="Arial" w:cs="Arial" w:eastAsia="Arial" w:hAnsi="Arial"/>
                <w:sz w:val="14"/>
                <w:szCs w:val="14"/>
                <w:b w:val="1"/>
                <w:bCs w:val="1"/>
                <w:color w:val="auto"/>
              </w:rPr>
              <w:t>for the period</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FFFF"/>
          </w:tcPr>
          <w:p>
            <w:pPr>
              <w:jc w:val="right"/>
              <w:ind w:right="24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FFFF"/>
          </w:tcPr>
          <w:p>
            <w:pPr>
              <w:jc w:val="right"/>
              <w:ind w:right="160"/>
              <w:spacing w:after="0"/>
              <w:rPr>
                <w:sz w:val="20"/>
                <w:szCs w:val="20"/>
                <w:color w:val="auto"/>
              </w:rPr>
            </w:pPr>
            <w:r>
              <w:rPr>
                <w:rFonts w:ascii="Arial" w:cs="Arial" w:eastAsia="Arial" w:hAnsi="Arial"/>
                <w:sz w:val="14"/>
                <w:szCs w:val="14"/>
                <w:b w:val="1"/>
                <w:bCs w:val="1"/>
                <w:color w:val="auto"/>
              </w:rPr>
              <w:t>(1,098)</w:t>
            </w:r>
          </w:p>
        </w:tc>
        <w:tc>
          <w:tcPr>
            <w:tcW w:w="900" w:type="dxa"/>
            <w:vAlign w:val="bottom"/>
            <w:gridSpan w:val="2"/>
            <w:shd w:val="clear" w:color="auto" w:fill="CCFFFF"/>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shd w:val="clear" w:color="auto" w:fill="CCFFFF"/>
          </w:tcPr>
          <w:p>
            <w:pPr>
              <w:jc w:val="right"/>
              <w:ind w:right="179"/>
              <w:spacing w:after="0"/>
              <w:rPr>
                <w:sz w:val="20"/>
                <w:szCs w:val="20"/>
                <w:color w:val="auto"/>
              </w:rPr>
            </w:pPr>
            <w:r>
              <w:rPr>
                <w:rFonts w:ascii="Arial" w:cs="Arial" w:eastAsia="Arial" w:hAnsi="Arial"/>
                <w:sz w:val="14"/>
                <w:szCs w:val="14"/>
                <w:b w:val="1"/>
                <w:bCs w:val="1"/>
                <w:color w:val="auto"/>
              </w:rPr>
              <w:t>57,934</w:t>
            </w:r>
          </w:p>
        </w:tc>
        <w:tc>
          <w:tcPr>
            <w:tcW w:w="980" w:type="dxa"/>
            <w:vAlign w:val="bottom"/>
            <w:gridSpan w:val="2"/>
            <w:shd w:val="clear" w:color="auto" w:fill="CCFFFF"/>
          </w:tcPr>
          <w:p>
            <w:pPr>
              <w:jc w:val="right"/>
              <w:ind w:right="220"/>
              <w:spacing w:after="0"/>
              <w:rPr>
                <w:sz w:val="20"/>
                <w:szCs w:val="20"/>
                <w:color w:val="auto"/>
              </w:rPr>
            </w:pPr>
            <w:r>
              <w:rPr>
                <w:rFonts w:ascii="Arial" w:cs="Arial" w:eastAsia="Arial" w:hAnsi="Arial"/>
                <w:sz w:val="14"/>
                <w:szCs w:val="14"/>
                <w:b w:val="1"/>
                <w:bCs w:val="1"/>
                <w:color w:val="auto"/>
              </w:rPr>
              <w:t>56,836</w:t>
            </w:r>
          </w:p>
        </w:tc>
        <w:tc>
          <w:tcPr>
            <w:tcW w:w="980" w:type="dxa"/>
            <w:vAlign w:val="bottom"/>
            <w:gridSpan w:val="2"/>
            <w:shd w:val="clear" w:color="auto" w:fill="CCFFFF"/>
          </w:tcPr>
          <w:p>
            <w:pPr>
              <w:jc w:val="right"/>
              <w:ind w:right="220"/>
              <w:spacing w:after="0"/>
              <w:rPr>
                <w:sz w:val="20"/>
                <w:szCs w:val="20"/>
                <w:color w:val="auto"/>
              </w:rPr>
            </w:pPr>
            <w:r>
              <w:rPr>
                <w:rFonts w:ascii="Arial" w:cs="Arial" w:eastAsia="Arial" w:hAnsi="Arial"/>
                <w:sz w:val="14"/>
                <w:szCs w:val="14"/>
                <w:b w:val="1"/>
                <w:bCs w:val="1"/>
                <w:color w:val="auto"/>
              </w:rPr>
              <w:t>26,310</w:t>
            </w:r>
          </w:p>
        </w:tc>
        <w:tc>
          <w:tcPr>
            <w:tcW w:w="880" w:type="dxa"/>
            <w:vAlign w:val="bottom"/>
            <w:gridSpan w:val="3"/>
            <w:shd w:val="clear" w:color="auto" w:fill="CCFFFF"/>
          </w:tcPr>
          <w:p>
            <w:pPr>
              <w:jc w:val="right"/>
              <w:ind w:right="100"/>
              <w:spacing w:after="0"/>
              <w:rPr>
                <w:sz w:val="20"/>
                <w:szCs w:val="20"/>
                <w:color w:val="auto"/>
              </w:rPr>
            </w:pPr>
            <w:r>
              <w:rPr>
                <w:rFonts w:ascii="Arial" w:cs="Arial" w:eastAsia="Arial" w:hAnsi="Arial"/>
                <w:sz w:val="14"/>
                <w:szCs w:val="14"/>
                <w:b w:val="1"/>
                <w:bCs w:val="1"/>
                <w:color w:val="auto"/>
              </w:rPr>
              <w:t>83,146</w:t>
            </w:r>
          </w:p>
        </w:tc>
        <w:tc>
          <w:tcPr>
            <w:tcW w:w="0" w:type="dxa"/>
            <w:vAlign w:val="bottom"/>
          </w:tcPr>
          <w:p>
            <w:pPr>
              <w:spacing w:after="0"/>
              <w:rPr>
                <w:sz w:val="1"/>
                <w:szCs w:val="1"/>
                <w:color w:val="auto"/>
              </w:rPr>
            </w:pPr>
          </w:p>
        </w:tc>
      </w:tr>
      <w:tr>
        <w:trPr>
          <w:trHeight w:val="155"/>
        </w:trPr>
        <w:tc>
          <w:tcPr>
            <w:tcW w:w="2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March 31, 2021</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954</w:t>
            </w:r>
          </w:p>
        </w:tc>
        <w:tc>
          <w:tcPr>
            <w:tcW w:w="2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2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752,547</w:t>
            </w:r>
          </w:p>
        </w:tc>
        <w:tc>
          <w:tcPr>
            <w:tcW w:w="2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18,213</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(1,241</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(74,846</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695,673</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970,169</w:t>
            </w:r>
          </w:p>
        </w:tc>
        <w:tc>
          <w:tcPr>
            <w:tcW w:w="2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1,665,842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2020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680" w:type="dxa"/>
            <w:vAlign w:val="bottom"/>
            <w:gridSpan w:val="4"/>
            <w:shd w:val="clear" w:color="auto" w:fill="E5FFFF"/>
          </w:tcPr>
          <w:p>
            <w:pPr>
              <w:jc w:val="right"/>
              <w:ind w:right="320"/>
              <w:spacing w:after="0"/>
              <w:rPr>
                <w:sz w:val="20"/>
                <w:szCs w:val="20"/>
                <w:color w:val="auto"/>
              </w:rPr>
            </w:pPr>
            <w:r>
              <w:rPr>
                <w:rFonts w:ascii="Arial" w:cs="Arial" w:eastAsia="Arial" w:hAnsi="Arial"/>
                <w:sz w:val="18"/>
                <w:szCs w:val="18"/>
                <w:b w:val="1"/>
                <w:bCs w:val="1"/>
                <w:color w:val="auto"/>
                <w:w w:val="98"/>
              </w:rPr>
              <w:t>For the three months ended</w:t>
            </w:r>
          </w:p>
        </w:tc>
      </w:tr>
      <w:tr>
        <w:trPr>
          <w:trHeight w:val="234"/>
        </w:trPr>
        <w:tc>
          <w:tcPr>
            <w:tcW w:w="7200" w:type="dxa"/>
            <w:vAlign w:val="bottom"/>
            <w:shd w:val="clear" w:color="auto" w:fill="E5FFFF"/>
          </w:tcPr>
          <w:p>
            <w:pPr>
              <w:spacing w:after="0"/>
              <w:rPr>
                <w:sz w:val="20"/>
                <w:szCs w:val="20"/>
                <w:color w:val="auto"/>
              </w:rPr>
            </w:pPr>
          </w:p>
        </w:tc>
        <w:tc>
          <w:tcPr>
            <w:tcW w:w="1360" w:type="dxa"/>
            <w:vAlign w:val="bottom"/>
            <w:gridSpan w:val="2"/>
            <w:shd w:val="clear" w:color="auto" w:fill="E5FFFF"/>
          </w:tcPr>
          <w:p>
            <w:pPr>
              <w:ind w:left="460"/>
              <w:spacing w:after="0"/>
              <w:rPr>
                <w:sz w:val="20"/>
                <w:szCs w:val="20"/>
                <w:color w:val="auto"/>
              </w:rPr>
            </w:pPr>
            <w:r>
              <w:rPr>
                <w:rFonts w:ascii="Arial" w:cs="Arial" w:eastAsia="Arial" w:hAnsi="Arial"/>
                <w:sz w:val="18"/>
                <w:szCs w:val="18"/>
                <w:b w:val="1"/>
                <w:bCs w:val="1"/>
                <w:color w:val="auto"/>
              </w:rPr>
              <w:t>Note</w:t>
            </w:r>
          </w:p>
        </w:tc>
        <w:tc>
          <w:tcPr>
            <w:tcW w:w="13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w w:val="93"/>
              </w:rPr>
              <w:t>March 31, 2020</w:t>
            </w:r>
          </w:p>
        </w:tc>
        <w:tc>
          <w:tcPr>
            <w:tcW w:w="134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w w:val="93"/>
              </w:rPr>
              <w:t>March 31, 2021</w:t>
            </w:r>
          </w:p>
        </w:tc>
      </w:tr>
      <w:tr>
        <w:trPr>
          <w:trHeight w:val="250"/>
        </w:trPr>
        <w:tc>
          <w:tcPr>
            <w:tcW w:w="7200" w:type="dxa"/>
            <w:vAlign w:val="bottom"/>
            <w:tcBorders>
              <w:top w:val="single" w:sz="8" w:color="E5FFFF"/>
              <w:bottom w:val="single" w:sz="8" w:color="CCFFFF"/>
            </w:tcBorders>
            <w:shd w:val="clear" w:color="auto" w:fill="E5FFFF"/>
          </w:tcPr>
          <w:p>
            <w:pPr>
              <w:spacing w:after="0"/>
              <w:rPr>
                <w:sz w:val="21"/>
                <w:szCs w:val="21"/>
                <w:color w:val="auto"/>
              </w:rPr>
            </w:pPr>
          </w:p>
        </w:tc>
        <w:tc>
          <w:tcPr>
            <w:tcW w:w="1260" w:type="dxa"/>
            <w:vAlign w:val="bottom"/>
            <w:tcBorders>
              <w:top w:val="single" w:sz="8" w:color="auto"/>
              <w:bottom w:val="single" w:sz="8" w:color="CCFFFF"/>
            </w:tcBorders>
            <w:shd w:val="clear" w:color="auto" w:fill="E5FFFF"/>
          </w:tcPr>
          <w:p>
            <w:pPr>
              <w:spacing w:after="0"/>
              <w:rPr>
                <w:sz w:val="21"/>
                <w:szCs w:val="21"/>
                <w:color w:val="auto"/>
              </w:rPr>
            </w:pPr>
          </w:p>
        </w:tc>
        <w:tc>
          <w:tcPr>
            <w:tcW w:w="100" w:type="dxa"/>
            <w:vAlign w:val="bottom"/>
            <w:tcBorders>
              <w:top w:val="single" w:sz="8" w:color="E5FFFF"/>
              <w:bottom w:val="single" w:sz="8" w:color="CCFFFF"/>
            </w:tcBorders>
            <w:shd w:val="clear" w:color="auto" w:fill="E5FFFF"/>
          </w:tcPr>
          <w:p>
            <w:pPr>
              <w:spacing w:after="0"/>
              <w:rPr>
                <w:sz w:val="21"/>
                <w:szCs w:val="21"/>
                <w:color w:val="auto"/>
              </w:rPr>
            </w:pPr>
          </w:p>
        </w:tc>
        <w:tc>
          <w:tcPr>
            <w:tcW w:w="1240" w:type="dxa"/>
            <w:vAlign w:val="bottom"/>
            <w:tcBorders>
              <w:top w:val="single" w:sz="8" w:color="auto"/>
              <w:bottom w:val="single" w:sz="8" w:color="auto"/>
            </w:tcBorders>
            <w:shd w:val="clear" w:color="auto" w:fill="E5FFFF"/>
          </w:tcPr>
          <w:p>
            <w:pPr>
              <w:jc w:val="right"/>
              <w:ind w:right="90"/>
              <w:spacing w:after="0" w:line="250" w:lineRule="exact"/>
              <w:rPr>
                <w:sz w:val="20"/>
                <w:szCs w:val="20"/>
                <w:color w:val="auto"/>
              </w:rPr>
            </w:pPr>
            <w:r>
              <w:rPr>
                <w:rFonts w:ascii="Arial" w:cs="Arial" w:eastAsia="Arial" w:hAnsi="Arial"/>
                <w:sz w:val="17"/>
                <w:szCs w:val="17"/>
                <w:i w:val="1"/>
                <w:iCs w:val="1"/>
                <w:color w:val="auto"/>
              </w:rPr>
              <w:t>(restated)</w:t>
            </w:r>
            <w:r>
              <w:rPr>
                <w:rFonts w:ascii="Arial" w:cs="Arial" w:eastAsia="Arial" w:hAnsi="Arial"/>
                <w:sz w:val="28"/>
                <w:szCs w:val="28"/>
                <w:i w:val="1"/>
                <w:iCs w:val="1"/>
                <w:color w:val="auto"/>
                <w:vertAlign w:val="superscript"/>
              </w:rPr>
              <w:t>(1)</w:t>
            </w:r>
          </w:p>
        </w:tc>
        <w:tc>
          <w:tcPr>
            <w:tcW w:w="100" w:type="dxa"/>
            <w:vAlign w:val="bottom"/>
            <w:tcBorders>
              <w:top w:val="single" w:sz="8" w:color="E5FFFF"/>
              <w:bottom w:val="single" w:sz="8" w:color="CCFFFF"/>
            </w:tcBorders>
            <w:shd w:val="clear" w:color="auto" w:fill="E5FFFF"/>
          </w:tcPr>
          <w:p>
            <w:pPr>
              <w:spacing w:after="0"/>
              <w:rPr>
                <w:sz w:val="21"/>
                <w:szCs w:val="21"/>
                <w:color w:val="auto"/>
              </w:rPr>
            </w:pPr>
          </w:p>
        </w:tc>
        <w:tc>
          <w:tcPr>
            <w:tcW w:w="1240" w:type="dxa"/>
            <w:vAlign w:val="bottom"/>
            <w:tcBorders>
              <w:top w:val="single" w:sz="8" w:color="auto"/>
              <w:bottom w:val="single" w:sz="8" w:color="auto"/>
            </w:tcBorders>
            <w:shd w:val="clear" w:color="auto" w:fill="E5FFFF"/>
          </w:tcPr>
          <w:p>
            <w:pPr>
              <w:spacing w:after="0"/>
              <w:rPr>
                <w:sz w:val="21"/>
                <w:szCs w:val="21"/>
                <w:color w:val="auto"/>
              </w:rPr>
            </w:pPr>
          </w:p>
        </w:tc>
        <w:tc>
          <w:tcPr>
            <w:tcW w:w="100" w:type="dxa"/>
            <w:vAlign w:val="bottom"/>
            <w:tcBorders>
              <w:top w:val="single" w:sz="8" w:color="E5FFFF"/>
              <w:bottom w:val="single" w:sz="8" w:color="CCFFFF"/>
            </w:tcBorders>
            <w:shd w:val="clear" w:color="auto" w:fill="E5FFFF"/>
          </w:tcPr>
          <w:p>
            <w:pPr>
              <w:spacing w:after="0"/>
              <w:rPr>
                <w:sz w:val="21"/>
                <w:szCs w:val="21"/>
                <w:color w:val="auto"/>
              </w:rPr>
            </w:pPr>
          </w:p>
        </w:tc>
      </w:tr>
      <w:tr>
        <w:trPr>
          <w:trHeight w:val="209"/>
        </w:trPr>
        <w:tc>
          <w:tcPr>
            <w:tcW w:w="720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(Loss)/profit for the period</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(39,437)</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84,244</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Adjustments for:</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Depreciation</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41,497</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47,690</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Share of profit of associates</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(406)</w:t>
            </w: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(567)</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(468)</w:t>
            </w: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Financial costs</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41,441</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39,388</w:t>
            </w:r>
          </w:p>
        </w:tc>
      </w:tr>
      <w:tr>
        <w:trPr>
          <w:trHeight w:val="202"/>
        </w:trPr>
        <w:tc>
          <w:tcPr>
            <w:tcW w:w="72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6"/>
              </w:rPr>
              <w:t>Loss/(gain) on derivatives (excluding realized loss on forward foreign exchange contracts held</w:t>
            </w: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0"/>
        </w:trPr>
        <w:tc>
          <w:tcPr>
            <w:tcW w:w="72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for trading)</w:t>
            </w:r>
          </w:p>
        </w:tc>
        <w:tc>
          <w:tcPr>
            <w:tcW w:w="1260" w:type="dxa"/>
            <w:vAlign w:val="bottom"/>
            <w:shd w:val="clear" w:color="auto" w:fill="E5FFFF"/>
          </w:tcPr>
          <w:p>
            <w:pPr>
              <w:jc w:val="right"/>
              <w:ind w:right="39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E5FFFF"/>
          </w:tcPr>
          <w:p>
            <w:pPr>
              <w:spacing w:after="0"/>
              <w:rPr>
                <w:sz w:val="20"/>
                <w:szCs w:val="20"/>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70,918</w:t>
            </w: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(20,333)</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Share-based compensation</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1,346</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802</w:t>
            </w:r>
          </w:p>
        </w:tc>
      </w:tr>
      <w:tr>
        <w:trPr>
          <w:trHeight w:val="209"/>
        </w:trPr>
        <w:tc>
          <w:tcPr>
            <w:tcW w:w="7200" w:type="dxa"/>
            <w:vAlign w:val="bottom"/>
            <w:tcBorders>
              <w:top w:val="single" w:sz="8" w:color="E5FFFF"/>
              <w:bottom w:val="single" w:sz="8" w:color="CCFFFF"/>
            </w:tcBorders>
            <w:shd w:val="clear" w:color="auto" w:fill="E5FFFF"/>
          </w:tcPr>
          <w:p>
            <w:pPr>
              <w:spacing w:after="0"/>
              <w:rPr>
                <w:sz w:val="18"/>
                <w:szCs w:val="18"/>
                <w:color w:val="auto"/>
              </w:rPr>
            </w:pPr>
          </w:p>
        </w:tc>
        <w:tc>
          <w:tcPr>
            <w:tcW w:w="1260" w:type="dxa"/>
            <w:vAlign w:val="bottom"/>
            <w:tcBorders>
              <w:top w:val="single" w:sz="8" w:color="E5FFFF"/>
              <w:bottom w:val="single" w:sz="8" w:color="CCFFFF"/>
            </w:tcBorders>
            <w:shd w:val="clear" w:color="auto" w:fill="E5FFFF"/>
          </w:tcPr>
          <w:p>
            <w:pPr>
              <w:spacing w:after="0"/>
              <w:rPr>
                <w:sz w:val="18"/>
                <w:szCs w:val="18"/>
                <w:color w:val="auto"/>
              </w:rPr>
            </w:pPr>
          </w:p>
        </w:tc>
        <w:tc>
          <w:tcPr>
            <w:tcW w:w="100" w:type="dxa"/>
            <w:vAlign w:val="bottom"/>
            <w:tcBorders>
              <w:top w:val="single" w:sz="8" w:color="E5FFFF"/>
              <w:bottom w:val="single" w:sz="8" w:color="CC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114,891</w:t>
            </w:r>
          </w:p>
        </w:tc>
        <w:tc>
          <w:tcPr>
            <w:tcW w:w="100" w:type="dxa"/>
            <w:vAlign w:val="bottom"/>
            <w:tcBorders>
              <w:top w:val="single" w:sz="8" w:color="E5FFFF"/>
              <w:bottom w:val="single" w:sz="8" w:color="CC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151,172</w:t>
            </w:r>
          </w:p>
        </w:tc>
        <w:tc>
          <w:tcPr>
            <w:tcW w:w="100" w:type="dxa"/>
            <w:vAlign w:val="bottom"/>
            <w:tcBorders>
              <w:top w:val="single" w:sz="8" w:color="E5FFFF"/>
              <w:bottom w:val="single" w:sz="8" w:color="CCFFFF"/>
            </w:tcBorders>
            <w:shd w:val="clear" w:color="auto" w:fill="E5FFFF"/>
          </w:tcPr>
          <w:p>
            <w:pPr>
              <w:spacing w:after="0"/>
              <w:rPr>
                <w:sz w:val="18"/>
                <w:szCs w:val="18"/>
                <w:color w:val="auto"/>
              </w:rPr>
            </w:pPr>
          </w:p>
        </w:tc>
      </w:tr>
      <w:tr>
        <w:trPr>
          <w:trHeight w:val="209"/>
        </w:trPr>
        <w:tc>
          <w:tcPr>
            <w:tcW w:w="7200" w:type="dxa"/>
            <w:vAlign w:val="bottom"/>
            <w:tcBorders>
              <w:bottom w:val="single" w:sz="8" w:color="E5FFFF"/>
            </w:tcBorders>
            <w:shd w:val="clear" w:color="auto" w:fill="CCFFFF"/>
          </w:tcPr>
          <w:p>
            <w:pPr>
              <w:spacing w:after="0"/>
              <w:rPr>
                <w:sz w:val="20"/>
                <w:szCs w:val="20"/>
                <w:color w:val="auto"/>
              </w:rPr>
            </w:pPr>
            <w:r>
              <w:rPr>
                <w:rFonts w:ascii="Arial" w:cs="Arial" w:eastAsia="Arial" w:hAnsi="Arial"/>
                <w:sz w:val="18"/>
                <w:szCs w:val="18"/>
                <w:color w:val="auto"/>
              </w:rPr>
              <w:t>Movements in working capital</w:t>
            </w:r>
          </w:p>
        </w:tc>
        <w:tc>
          <w:tcPr>
            <w:tcW w:w="1260" w:type="dxa"/>
            <w:vAlign w:val="bottom"/>
            <w:tcBorders>
              <w:bottom w:val="single" w:sz="8" w:color="E5FFFF"/>
            </w:tcBorders>
            <w:shd w:val="clear" w:color="auto" w:fill="CCFFFF"/>
          </w:tcPr>
          <w:p>
            <w:pPr>
              <w:spacing w:after="0"/>
              <w:rPr>
                <w:sz w:val="18"/>
                <w:szCs w:val="18"/>
                <w:color w:val="auto"/>
              </w:rPr>
            </w:pPr>
          </w:p>
        </w:tc>
        <w:tc>
          <w:tcPr>
            <w:tcW w:w="100" w:type="dxa"/>
            <w:vAlign w:val="bottom"/>
            <w:tcBorders>
              <w:bottom w:val="single" w:sz="8" w:color="E5FFFF"/>
            </w:tcBorders>
            <w:shd w:val="clear" w:color="auto" w:fill="CCFFFF"/>
          </w:tcPr>
          <w:p>
            <w:pPr>
              <w:spacing w:after="0"/>
              <w:rPr>
                <w:sz w:val="18"/>
                <w:szCs w:val="18"/>
                <w:color w:val="auto"/>
              </w:rPr>
            </w:pPr>
          </w:p>
        </w:tc>
        <w:tc>
          <w:tcPr>
            <w:tcW w:w="12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(28,547)</w:t>
            </w:r>
          </w:p>
        </w:tc>
        <w:tc>
          <w:tcPr>
            <w:tcW w:w="100" w:type="dxa"/>
            <w:vAlign w:val="bottom"/>
            <w:tcBorders>
              <w:bottom w:val="single" w:sz="8" w:color="E5FFFF"/>
            </w:tcBorders>
            <w:shd w:val="clear" w:color="auto" w:fill="CCFFFF"/>
          </w:tcPr>
          <w:p>
            <w:pPr>
              <w:spacing w:after="0"/>
              <w:rPr>
                <w:sz w:val="18"/>
                <w:szCs w:val="18"/>
                <w:color w:val="auto"/>
              </w:rPr>
            </w:pPr>
          </w:p>
        </w:tc>
        <w:tc>
          <w:tcPr>
            <w:tcW w:w="12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E5FFFF"/>
            </w:tcBorders>
            <w:shd w:val="clear" w:color="auto" w:fill="CCFFFF"/>
          </w:tcPr>
          <w:p>
            <w:pPr>
              <w:spacing w:after="0"/>
              <w:rPr>
                <w:sz w:val="18"/>
                <w:szCs w:val="18"/>
                <w:color w:val="auto"/>
              </w:rPr>
            </w:pPr>
          </w:p>
        </w:tc>
      </w:tr>
      <w:tr>
        <w:trPr>
          <w:trHeight w:val="210"/>
        </w:trPr>
        <w:tc>
          <w:tcPr>
            <w:tcW w:w="7200" w:type="dxa"/>
            <w:vAlign w:val="bottom"/>
            <w:tcBorders>
              <w:bottom w:val="single" w:sz="8" w:color="CC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60" w:type="dxa"/>
            <w:vAlign w:val="bottom"/>
            <w:tcBorders>
              <w:bottom w:val="single" w:sz="8" w:color="CCFFFF"/>
            </w:tcBorders>
            <w:shd w:val="clear" w:color="auto" w:fill="E5FFFF"/>
          </w:tcPr>
          <w:p>
            <w:pPr>
              <w:spacing w:after="0"/>
              <w:rPr>
                <w:sz w:val="18"/>
                <w:szCs w:val="18"/>
                <w:color w:val="auto"/>
              </w:rPr>
            </w:pPr>
          </w:p>
        </w:tc>
        <w:tc>
          <w:tcPr>
            <w:tcW w:w="100" w:type="dxa"/>
            <w:vAlign w:val="bottom"/>
            <w:tcBorders>
              <w:bottom w:val="single" w:sz="8" w:color="CC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86,344</w:t>
            </w:r>
          </w:p>
        </w:tc>
        <w:tc>
          <w:tcPr>
            <w:tcW w:w="100" w:type="dxa"/>
            <w:vAlign w:val="bottom"/>
            <w:tcBorders>
              <w:bottom w:val="single" w:sz="8" w:color="CC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142,540</w:t>
            </w:r>
          </w:p>
        </w:tc>
        <w:tc>
          <w:tcPr>
            <w:tcW w:w="100" w:type="dxa"/>
            <w:vAlign w:val="bottom"/>
            <w:tcBorders>
              <w:bottom w:val="single" w:sz="8" w:color="CCFFFF"/>
            </w:tcBorders>
            <w:shd w:val="clear" w:color="auto" w:fill="E5FFFF"/>
          </w:tcPr>
          <w:p>
            <w:pPr>
              <w:spacing w:after="0"/>
              <w:rPr>
                <w:sz w:val="18"/>
                <w:szCs w:val="18"/>
                <w:color w:val="auto"/>
              </w:rPr>
            </w:pPr>
          </w:p>
        </w:tc>
      </w:tr>
      <w:tr>
        <w:trPr>
          <w:trHeight w:val="209"/>
        </w:trPr>
        <w:tc>
          <w:tcPr>
            <w:tcW w:w="720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(59,685)</w:t>
            </w: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(164,287)</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Payments for right-of-use assets</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(980)</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received from associate</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450</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Maturity of short-term investments</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4,500</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 received</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572</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52</w:t>
            </w:r>
          </w:p>
        </w:tc>
      </w:tr>
      <w:tr>
        <w:trPr>
          <w:trHeight w:val="210"/>
        </w:trPr>
        <w:tc>
          <w:tcPr>
            <w:tcW w:w="7200" w:type="dxa"/>
            <w:vAlign w:val="bottom"/>
            <w:tcBorders>
              <w:top w:val="single" w:sz="8" w:color="CCFFFF"/>
              <w:bottom w:val="single" w:sz="8" w:color="E5FFFF"/>
            </w:tcBorders>
            <w:shd w:val="clear" w:color="auto" w:fill="CCFF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60" w:type="dxa"/>
            <w:vAlign w:val="bottom"/>
            <w:tcBorders>
              <w:top w:val="single" w:sz="8" w:color="CCFFFF"/>
              <w:bottom w:val="single" w:sz="8" w:color="E5FFFF"/>
            </w:tcBorders>
            <w:shd w:val="clear" w:color="auto" w:fill="CCFFFF"/>
          </w:tcPr>
          <w:p>
            <w:pPr>
              <w:spacing w:after="0"/>
              <w:rPr>
                <w:sz w:val="18"/>
                <w:szCs w:val="18"/>
                <w:color w:val="auto"/>
              </w:rPr>
            </w:pPr>
          </w:p>
        </w:tc>
        <w:tc>
          <w:tcPr>
            <w:tcW w:w="100" w:type="dxa"/>
            <w:vAlign w:val="bottom"/>
            <w:tcBorders>
              <w:top w:val="single" w:sz="8" w:color="CCFFFF"/>
              <w:bottom w:val="single" w:sz="8" w:color="E5FFFF"/>
            </w:tcBorders>
            <w:shd w:val="clear" w:color="auto" w:fill="CCFFFF"/>
          </w:tcPr>
          <w:p>
            <w:pPr>
              <w:spacing w:after="0"/>
              <w:rPr>
                <w:sz w:val="18"/>
                <w:szCs w:val="18"/>
                <w:color w:val="auto"/>
              </w:rPr>
            </w:pP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(55,143)</w:t>
            </w:r>
          </w:p>
        </w:tc>
        <w:tc>
          <w:tcPr>
            <w:tcW w:w="100" w:type="dxa"/>
            <w:vAlign w:val="bottom"/>
            <w:tcBorders>
              <w:top w:val="single" w:sz="8" w:color="CCFFFF"/>
              <w:bottom w:val="single" w:sz="8" w:color="E5FFFF"/>
            </w:tcBorders>
            <w:shd w:val="clear" w:color="auto" w:fill="CCFFFF"/>
          </w:tcPr>
          <w:p>
            <w:pPr>
              <w:spacing w:after="0"/>
              <w:rPr>
                <w:sz w:val="18"/>
                <w:szCs w:val="18"/>
                <w:color w:val="auto"/>
              </w:rPr>
            </w:pP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(163,835)</w:t>
            </w:r>
          </w:p>
        </w:tc>
        <w:tc>
          <w:tcPr>
            <w:tcW w:w="100" w:type="dxa"/>
            <w:vAlign w:val="bottom"/>
            <w:tcBorders>
              <w:top w:val="single" w:sz="8" w:color="CCFFFF"/>
              <w:bottom w:val="single" w:sz="8" w:color="E5FFFF"/>
            </w:tcBorders>
            <w:shd w:val="clear" w:color="auto" w:fill="CCFFFF"/>
          </w:tcPr>
          <w:p>
            <w:pPr>
              <w:spacing w:after="0"/>
              <w:rPr>
                <w:sz w:val="18"/>
                <w:szCs w:val="18"/>
                <w:color w:val="auto"/>
              </w:rPr>
            </w:pPr>
          </w:p>
        </w:tc>
      </w:tr>
      <w:tr>
        <w:trPr>
          <w:trHeight w:val="210"/>
        </w:trPr>
        <w:tc>
          <w:tcPr>
            <w:tcW w:w="72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Proceeds from loans</w:t>
            </w:r>
          </w:p>
        </w:tc>
        <w:tc>
          <w:tcPr>
            <w:tcW w:w="1260" w:type="dxa"/>
            <w:vAlign w:val="bottom"/>
            <w:shd w:val="clear" w:color="auto" w:fill="CCFFFF"/>
          </w:tcPr>
          <w:p>
            <w:pPr>
              <w:jc w:val="right"/>
              <w:ind w:right="39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252,525</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165,958</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Loan and bond repayments</w:t>
            </w:r>
          </w:p>
        </w:tc>
        <w:tc>
          <w:tcPr>
            <w:tcW w:w="1260" w:type="dxa"/>
            <w:vAlign w:val="bottom"/>
            <w:shd w:val="clear" w:color="auto" w:fill="E5FFFF"/>
          </w:tcPr>
          <w:p>
            <w:pPr>
              <w:jc w:val="right"/>
              <w:ind w:right="39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(124,116)</w:t>
            </w: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(217,873)</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Payment for bond repurchase at a premium</w:t>
            </w:r>
          </w:p>
        </w:tc>
        <w:tc>
          <w:tcPr>
            <w:tcW w:w="1260" w:type="dxa"/>
            <w:vAlign w:val="bottom"/>
            <w:shd w:val="clear" w:color="auto" w:fill="CCFFFF"/>
          </w:tcPr>
          <w:p>
            <w:pPr>
              <w:jc w:val="right"/>
              <w:ind w:right="39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(1,937)</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(57,549)</w:t>
            </w: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(52,020)</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Payment of cash collaterals for swaps</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(70,280)</w:t>
            </w: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(1,030)</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Release of cash collaterals for swaps</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11,300</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15,367</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Payment of loan and bond issuance costs</w:t>
            </w:r>
          </w:p>
        </w:tc>
        <w:tc>
          <w:tcPr>
            <w:tcW w:w="1260" w:type="dxa"/>
            <w:vAlign w:val="bottom"/>
            <w:shd w:val="clear" w:color="auto" w:fill="CCFFFF"/>
          </w:tcPr>
          <w:p>
            <w:pPr>
              <w:jc w:val="right"/>
              <w:ind w:right="39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(3,188)</w:t>
            </w: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(2,463)</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Loan issuance costs received</w:t>
            </w:r>
          </w:p>
        </w:tc>
        <w:tc>
          <w:tcPr>
            <w:tcW w:w="1260" w:type="dxa"/>
            <w:vAlign w:val="bottom"/>
            <w:shd w:val="clear" w:color="auto" w:fill="E5FFFF"/>
          </w:tcPr>
          <w:p>
            <w:pPr>
              <w:jc w:val="right"/>
              <w:ind w:right="39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Dividends paid</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(37,780)</w:t>
            </w: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(17,700)</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Payment for cross currency swaps’ (“CCS”) termination/modification</w:t>
            </w:r>
          </w:p>
        </w:tc>
        <w:tc>
          <w:tcPr>
            <w:tcW w:w="1260" w:type="dxa"/>
            <w:vAlign w:val="bottom"/>
            <w:shd w:val="clear" w:color="auto" w:fill="E5FFFF"/>
          </w:tcPr>
          <w:p>
            <w:pPr>
              <w:jc w:val="right"/>
              <w:ind w:right="39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(4,051)</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Purchase of treasury shares or GasLog Partners’ common units</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(2,996)</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Payments for lease liability</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(2,508)</w:t>
            </w:r>
          </w:p>
        </w:tc>
        <w:tc>
          <w:tcPr>
            <w:tcW w:w="13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(2,740)</w:t>
            </w:r>
          </w:p>
        </w:tc>
      </w:tr>
      <w:tr>
        <w:trPr>
          <w:trHeight w:val="210"/>
        </w:trPr>
        <w:tc>
          <w:tcPr>
            <w:tcW w:w="7200" w:type="dxa"/>
            <w:vAlign w:val="bottom"/>
            <w:tcBorders>
              <w:top w:val="single" w:sz="8" w:color="CCFFFF"/>
              <w:bottom w:val="single" w:sz="8" w:color="E5FFFF"/>
            </w:tcBorders>
            <w:shd w:val="clear" w:color="auto" w:fill="CCFF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260" w:type="dxa"/>
            <w:vAlign w:val="bottom"/>
            <w:tcBorders>
              <w:top w:val="single" w:sz="8" w:color="CCFFFF"/>
              <w:bottom w:val="single" w:sz="8" w:color="E5FFFF"/>
            </w:tcBorders>
            <w:shd w:val="clear" w:color="auto" w:fill="CCFFFF"/>
          </w:tcPr>
          <w:p>
            <w:pPr>
              <w:spacing w:after="0"/>
              <w:rPr>
                <w:sz w:val="18"/>
                <w:szCs w:val="18"/>
                <w:color w:val="auto"/>
              </w:rPr>
            </w:pPr>
          </w:p>
        </w:tc>
        <w:tc>
          <w:tcPr>
            <w:tcW w:w="100" w:type="dxa"/>
            <w:vAlign w:val="bottom"/>
            <w:tcBorders>
              <w:top w:val="single" w:sz="8" w:color="CCFFFF"/>
              <w:bottom w:val="single" w:sz="8" w:color="E5FFFF"/>
            </w:tcBorders>
            <w:shd w:val="clear" w:color="auto" w:fill="CCFFFF"/>
          </w:tcPr>
          <w:p>
            <w:pPr>
              <w:spacing w:after="0"/>
              <w:rPr>
                <w:sz w:val="18"/>
                <w:szCs w:val="18"/>
                <w:color w:val="auto"/>
              </w:rPr>
            </w:pP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(40,580)</w:t>
            </w:r>
          </w:p>
        </w:tc>
        <w:tc>
          <w:tcPr>
            <w:tcW w:w="100" w:type="dxa"/>
            <w:vAlign w:val="bottom"/>
            <w:tcBorders>
              <w:top w:val="single" w:sz="8" w:color="CCFFFF"/>
              <w:bottom w:val="single" w:sz="8" w:color="E5FFFF"/>
            </w:tcBorders>
            <w:shd w:val="clear" w:color="auto" w:fill="CCFFFF"/>
          </w:tcPr>
          <w:p>
            <w:pPr>
              <w:spacing w:after="0"/>
              <w:rPr>
                <w:sz w:val="18"/>
                <w:szCs w:val="18"/>
                <w:color w:val="auto"/>
              </w:rPr>
            </w:pP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(112,122)</w:t>
            </w:r>
          </w:p>
        </w:tc>
        <w:tc>
          <w:tcPr>
            <w:tcW w:w="100" w:type="dxa"/>
            <w:vAlign w:val="bottom"/>
            <w:tcBorders>
              <w:top w:val="single" w:sz="8" w:color="CCFFFF"/>
              <w:bottom w:val="single" w:sz="8" w:color="E5FFFF"/>
            </w:tcBorders>
            <w:shd w:val="clear" w:color="auto" w:fill="CCFFFF"/>
          </w:tcPr>
          <w:p>
            <w:pPr>
              <w:spacing w:after="0"/>
              <w:rPr>
                <w:sz w:val="18"/>
                <w:szCs w:val="18"/>
                <w:color w:val="auto"/>
              </w:rPr>
            </w:pPr>
          </w:p>
        </w:tc>
      </w:tr>
      <w:tr>
        <w:trPr>
          <w:trHeight w:val="209"/>
        </w:trPr>
        <w:tc>
          <w:tcPr>
            <w:tcW w:w="7200" w:type="dxa"/>
            <w:vAlign w:val="bottom"/>
            <w:tcBorders>
              <w:bottom w:val="single" w:sz="8" w:color="CCFFFF"/>
            </w:tcBorders>
            <w:shd w:val="clear" w:color="auto" w:fill="E5FF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260" w:type="dxa"/>
            <w:vAlign w:val="bottom"/>
            <w:tcBorders>
              <w:bottom w:val="single" w:sz="8" w:color="CCFFFF"/>
            </w:tcBorders>
            <w:shd w:val="clear" w:color="auto" w:fill="E5FFFF"/>
          </w:tcPr>
          <w:p>
            <w:pPr>
              <w:spacing w:after="0"/>
              <w:rPr>
                <w:sz w:val="18"/>
                <w:szCs w:val="18"/>
                <w:color w:val="auto"/>
              </w:rPr>
            </w:pPr>
          </w:p>
        </w:tc>
        <w:tc>
          <w:tcPr>
            <w:tcW w:w="100" w:type="dxa"/>
            <w:vAlign w:val="bottom"/>
            <w:tcBorders>
              <w:bottom w:val="single" w:sz="8" w:color="CC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FFFF"/>
            </w:tcBorders>
            <w:shd w:val="clear" w:color="auto" w:fill="E5FFFF"/>
          </w:tcPr>
          <w:p>
            <w:pPr>
              <w:spacing w:after="0"/>
              <w:rPr>
                <w:sz w:val="18"/>
                <w:szCs w:val="18"/>
                <w:color w:val="auto"/>
              </w:rPr>
            </w:pPr>
          </w:p>
        </w:tc>
      </w:tr>
      <w:tr>
        <w:trPr>
          <w:trHeight w:val="210"/>
        </w:trPr>
        <w:tc>
          <w:tcPr>
            <w:tcW w:w="7200" w:type="dxa"/>
            <w:vAlign w:val="bottom"/>
            <w:tcBorders>
              <w:bottom w:val="single" w:sz="8" w:color="E5FFFF"/>
            </w:tcBorders>
            <w:shd w:val="clear" w:color="auto" w:fill="CCFF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1260" w:type="dxa"/>
            <w:vAlign w:val="bottom"/>
            <w:tcBorders>
              <w:bottom w:val="single" w:sz="8" w:color="E5FFFF"/>
            </w:tcBorders>
            <w:shd w:val="clear" w:color="auto" w:fill="CCFFFF"/>
          </w:tcPr>
          <w:p>
            <w:pPr>
              <w:spacing w:after="0"/>
              <w:rPr>
                <w:sz w:val="18"/>
                <w:szCs w:val="18"/>
                <w:color w:val="auto"/>
              </w:rPr>
            </w:pPr>
          </w:p>
        </w:tc>
        <w:tc>
          <w:tcPr>
            <w:tcW w:w="100" w:type="dxa"/>
            <w:vAlign w:val="bottom"/>
            <w:tcBorders>
              <w:bottom w:val="single" w:sz="8" w:color="E5FFFF"/>
            </w:tcBorders>
            <w:shd w:val="clear" w:color="auto" w:fill="CCFFFF"/>
          </w:tcPr>
          <w:p>
            <w:pPr>
              <w:spacing w:after="0"/>
              <w:rPr>
                <w:sz w:val="18"/>
                <w:szCs w:val="18"/>
                <w:color w:val="auto"/>
              </w:rPr>
            </w:pPr>
          </w:p>
        </w:tc>
        <w:tc>
          <w:tcPr>
            <w:tcW w:w="12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(11,602)</w:t>
            </w:r>
          </w:p>
        </w:tc>
        <w:tc>
          <w:tcPr>
            <w:tcW w:w="100" w:type="dxa"/>
            <w:vAlign w:val="bottom"/>
            <w:tcBorders>
              <w:bottom w:val="single" w:sz="8" w:color="E5FFFF"/>
            </w:tcBorders>
            <w:shd w:val="clear" w:color="auto" w:fill="CCFFFF"/>
          </w:tcPr>
          <w:p>
            <w:pPr>
              <w:spacing w:after="0"/>
              <w:rPr>
                <w:sz w:val="18"/>
                <w:szCs w:val="18"/>
                <w:color w:val="auto"/>
              </w:rPr>
            </w:pPr>
          </w:p>
        </w:tc>
        <w:tc>
          <w:tcPr>
            <w:tcW w:w="12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(133,365)</w:t>
            </w:r>
          </w:p>
        </w:tc>
        <w:tc>
          <w:tcPr>
            <w:tcW w:w="100" w:type="dxa"/>
            <w:vAlign w:val="bottom"/>
            <w:tcBorders>
              <w:bottom w:val="single" w:sz="8" w:color="E5FFFF"/>
            </w:tcBorders>
            <w:shd w:val="clear" w:color="auto" w:fill="CCFFFF"/>
          </w:tcPr>
          <w:p>
            <w:pPr>
              <w:spacing w:after="0"/>
              <w:rPr>
                <w:sz w:val="18"/>
                <w:szCs w:val="18"/>
                <w:color w:val="auto"/>
              </w:rPr>
            </w:pPr>
          </w:p>
        </w:tc>
      </w:tr>
      <w:tr>
        <w:trPr>
          <w:trHeight w:val="210"/>
        </w:trPr>
        <w:tc>
          <w:tcPr>
            <w:tcW w:w="7200" w:type="dxa"/>
            <w:vAlign w:val="bottom"/>
            <w:tcBorders>
              <w:bottom w:val="single" w:sz="8" w:color="CCFFFF"/>
            </w:tcBorders>
            <w:shd w:val="clear" w:color="auto" w:fill="E5FF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260" w:type="dxa"/>
            <w:vAlign w:val="bottom"/>
            <w:tcBorders>
              <w:bottom w:val="single" w:sz="8" w:color="CCFFFF"/>
            </w:tcBorders>
            <w:shd w:val="clear" w:color="auto" w:fill="E5FFFF"/>
          </w:tcPr>
          <w:p>
            <w:pPr>
              <w:spacing w:after="0"/>
              <w:rPr>
                <w:sz w:val="18"/>
                <w:szCs w:val="18"/>
                <w:color w:val="auto"/>
              </w:rPr>
            </w:pPr>
          </w:p>
        </w:tc>
        <w:tc>
          <w:tcPr>
            <w:tcW w:w="100" w:type="dxa"/>
            <w:vAlign w:val="bottom"/>
            <w:tcBorders>
              <w:bottom w:val="single" w:sz="8" w:color="CC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263,747</w:t>
            </w:r>
          </w:p>
        </w:tc>
        <w:tc>
          <w:tcPr>
            <w:tcW w:w="100" w:type="dxa"/>
            <w:vAlign w:val="bottom"/>
            <w:tcBorders>
              <w:bottom w:val="single" w:sz="8" w:color="CC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367,269</w:t>
            </w:r>
          </w:p>
        </w:tc>
        <w:tc>
          <w:tcPr>
            <w:tcW w:w="100" w:type="dxa"/>
            <w:vAlign w:val="bottom"/>
            <w:tcBorders>
              <w:bottom w:val="single" w:sz="8" w:color="CCFFFF"/>
            </w:tcBorders>
            <w:shd w:val="clear" w:color="auto" w:fill="E5FFFF"/>
          </w:tcPr>
          <w:p>
            <w:pPr>
              <w:spacing w:after="0"/>
              <w:rPr>
                <w:sz w:val="18"/>
                <w:szCs w:val="18"/>
                <w:color w:val="auto"/>
              </w:rPr>
            </w:pPr>
          </w:p>
        </w:tc>
      </w:tr>
      <w:tr>
        <w:trPr>
          <w:trHeight w:val="255"/>
        </w:trPr>
        <w:tc>
          <w:tcPr>
            <w:tcW w:w="7200" w:type="dxa"/>
            <w:vAlign w:val="bottom"/>
            <w:tcBorders>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260" w:type="dxa"/>
            <w:vAlign w:val="bottom"/>
            <w:tcBorders>
              <w:bottom w:val="single" w:sz="8" w:color="CCFFFF"/>
            </w:tcBorders>
            <w:shd w:val="clear" w:color="auto" w:fill="CCFFFF"/>
          </w:tcPr>
          <w:p>
            <w:pPr>
              <w:spacing w:after="0"/>
              <w:rPr>
                <w:sz w:val="21"/>
                <w:szCs w:val="21"/>
                <w:color w:val="auto"/>
              </w:rPr>
            </w:pPr>
          </w:p>
        </w:tc>
        <w:tc>
          <w:tcPr>
            <w:tcW w:w="100" w:type="dxa"/>
            <w:vAlign w:val="bottom"/>
            <w:tcBorders>
              <w:bottom w:val="single" w:sz="8" w:color="CCFFFF"/>
            </w:tcBorders>
            <w:shd w:val="clear" w:color="auto" w:fill="CCFFFF"/>
          </w:tcPr>
          <w:p>
            <w:pPr>
              <w:spacing w:after="0"/>
              <w:rPr>
                <w:sz w:val="21"/>
                <w:szCs w:val="21"/>
                <w:color w:val="auto"/>
              </w:rPr>
            </w:pPr>
          </w:p>
        </w:tc>
        <w:tc>
          <w:tcPr>
            <w:tcW w:w="12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252,145</w:t>
            </w:r>
          </w:p>
        </w:tc>
        <w:tc>
          <w:tcPr>
            <w:tcW w:w="100" w:type="dxa"/>
            <w:vAlign w:val="bottom"/>
            <w:tcBorders>
              <w:bottom w:val="single" w:sz="8" w:color="CCFFFF"/>
            </w:tcBorders>
            <w:shd w:val="clear" w:color="auto" w:fill="CCFFFF"/>
          </w:tcPr>
          <w:p>
            <w:pPr>
              <w:spacing w:after="0"/>
              <w:rPr>
                <w:sz w:val="21"/>
                <w:szCs w:val="21"/>
                <w:color w:val="auto"/>
              </w:rPr>
            </w:pPr>
          </w:p>
        </w:tc>
        <w:tc>
          <w:tcPr>
            <w:tcW w:w="124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233,904</w:t>
            </w:r>
          </w:p>
        </w:tc>
        <w:tc>
          <w:tcPr>
            <w:tcW w:w="100" w:type="dxa"/>
            <w:vAlign w:val="bottom"/>
            <w:tcBorders>
              <w:bottom w:val="single" w:sz="8" w:color="CCFFFF"/>
            </w:tcBorders>
            <w:shd w:val="clear" w:color="auto" w:fill="CCFFFF"/>
          </w:tcPr>
          <w:p>
            <w:pPr>
              <w:spacing w:after="0"/>
              <w:rPr>
                <w:sz w:val="21"/>
                <w:szCs w:val="21"/>
                <w:color w:val="auto"/>
              </w:rPr>
            </w:pPr>
          </w:p>
        </w:tc>
      </w:tr>
      <w:tr>
        <w:trPr>
          <w:trHeight w:val="196"/>
        </w:trPr>
        <w:tc>
          <w:tcPr>
            <w:tcW w:w="720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Capital expenditures included in liabilities at the end of the period</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22,007</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11,474</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Capital expenditures included in liabilities at the end of the period – Right-of-use assets</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1,157</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Equity raising costs included in liabilities at the end of the period</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Loan issuance costs included in liabilities at the end of the period</w:t>
            </w:r>
          </w:p>
        </w:tc>
        <w:tc>
          <w:tcPr>
            <w:tcW w:w="1260" w:type="dxa"/>
            <w:vAlign w:val="bottom"/>
            <w:shd w:val="clear" w:color="auto" w:fill="CCFFFF"/>
          </w:tcPr>
          <w:p>
            <w:pPr>
              <w:jc w:val="right"/>
              <w:ind w:right="39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1,409</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914</w:t>
            </w:r>
          </w:p>
        </w:tc>
      </w:tr>
      <w:tr>
        <w:trPr>
          <w:trHeight w:val="216"/>
        </w:trPr>
        <w:tc>
          <w:tcPr>
            <w:tcW w:w="7200" w:type="dxa"/>
            <w:vAlign w:val="bottom"/>
            <w:shd w:val="clear" w:color="auto" w:fill="E5FFFF"/>
          </w:tcPr>
          <w:p>
            <w:pPr>
              <w:spacing w:after="0"/>
              <w:rPr>
                <w:sz w:val="20"/>
                <w:szCs w:val="20"/>
                <w:color w:val="auto"/>
              </w:rPr>
            </w:pPr>
            <w:r>
              <w:rPr>
                <w:rFonts w:ascii="Arial" w:cs="Arial" w:eastAsia="Arial" w:hAnsi="Arial"/>
                <w:sz w:val="18"/>
                <w:szCs w:val="18"/>
                <w:color w:val="auto"/>
              </w:rPr>
              <w:t>Dividend declared included in liabilities at the end of the period</w:t>
            </w: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2,516</w:t>
            </w:r>
          </w:p>
        </w:tc>
        <w:tc>
          <w:tcPr>
            <w:tcW w:w="13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Liabilities related to leases at the end of the period</w:t>
            </w:r>
          </w:p>
        </w:tc>
        <w:tc>
          <w:tcPr>
            <w:tcW w:w="12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354</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-6291580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-6017260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-5742940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-5468620</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-5057140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-4765675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-4474210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-4199890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-3642360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-3359785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-2536825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-2262505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2" w:lineRule="exact"/>
        <w:rPr>
          <w:sz w:val="20"/>
          <w:szCs w:val="20"/>
          <w:color w:val="auto"/>
        </w:rPr>
      </w:pPr>
    </w:p>
    <w:p>
      <w:pPr>
        <w:ind w:left="660" w:right="480" w:hanging="328"/>
        <w:spacing w:after="0" w:line="194" w:lineRule="auto"/>
        <w:tabs>
          <w:tab w:leader="none" w:pos="6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Restated so as to reflect a change in accounting policy introduced on January 1, 2021, with respect to the reclassification of interest paid and movements of cash collaterals for swaps (Note 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2020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and Singapore. The registered office of GasLog is Clarendon House, 2 Church Street, Hamilton HM 11, Bermuda. GasLog’s chairman, Peter G. Livanos, is GasLog’s largest shareholder through his ownership of Ceres Shipping Ltd. (“Ceres Shipping”), which controls Blenheim Holdings Ltd. (‘‘Blenheim Holdings’’). As of March 31, 2021, entities controlled by members of the Livanos family, including GasLog’s chairman, are deemed to beneficially own approximately 41.4% of GasLog’s issued and outstanding common shares. As a result of his ownership of GasLog’s common shares, Mr. Livanos can effectively control the outcome of most matters on which GasLog’s shareholders are entitled to vote.</w:t>
      </w:r>
    </w:p>
    <w:p>
      <w:pPr>
        <w:spacing w:after="0" w:line="18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On February 21, 2021 GasLog entered into an agreement and plan of merger (the ‘‘Merger Agreement’’) with BlackRock’s Global Energy &amp; Power Infrastructure Team (collectively, ‘‘GEPIF’’), pursuant to which GEPIF will acquire all of the outstanding common shares of GasLog Ltd. that are not held by certain existing shareholders of GasLog Ltd. for a purchase price of $5.80 in cash per share (the ‘‘Transaction’’). Following the consummation of the Transaction, certain existing shareholders, including Blenheim Holdings, which is wholly owned by the Livanos family, and a wholly owned affiliate of the Onassis Foundation, will continue to hold approximately 55% of the outstanding common shares of GasLog Ltd. and GEPIF will hold approximately 45%.</w:t>
      </w:r>
    </w:p>
    <w:p>
      <w:pPr>
        <w:spacing w:after="0" w:line="16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of March 31, 2021, GasLog held a 35.3% ownership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financial statements of GasLog and its subsidiaries. All subsidiaries included in the unaudited condensed consolidated financial statements are 100% held (either directly or indirectly) by GasLog, except for GasLog Partners and its subsidiaries. In comparison to the Group’s structure for the year ended December 31, 2020, no new subsidiaries were established or acquired in the three months ended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These unaudited condensed consolidated financial statements have been prepared in accordance with International Accounting Standard (“IAS”) 34 </w:t>
      </w:r>
      <w:r>
        <w:rPr>
          <w:rFonts w:ascii="Arial" w:cs="Arial" w:eastAsia="Arial" w:hAnsi="Arial"/>
          <w:sz w:val="18"/>
          <w:szCs w:val="18"/>
          <w:i w:val="1"/>
          <w:iCs w:val="1"/>
          <w:color w:val="auto"/>
        </w:rPr>
        <w:t xml:space="preserve">Interim Financial Reporting </w:t>
      </w:r>
      <w:r>
        <w:rPr>
          <w:rFonts w:ascii="Arial" w:cs="Arial" w:eastAsia="Arial" w:hAnsi="Arial"/>
          <w:sz w:val="18"/>
          <w:szCs w:val="18"/>
          <w:color w:val="auto"/>
        </w:rPr>
        <w:t>as issued by the International Accounting Standards Board (“IASB”). Certain information and footnote disclosures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IFRS for a complete set of annual financial statements have been omitted, and, therefore, these unaudited condensed consolidated financial statements should be read in conjunction with the Group’s annual consolidated financial statements as of and for the year ended December 31, 2020 filed with the SEC on March 5, 2021.</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critical accounting judgments and key sources of estimation uncertainty were disclosed in the Company’s annual consolidated financial statements for the year ended December 31, 2020 and remain unchanged.</w:t>
      </w:r>
    </w:p>
    <w:p>
      <w:pPr>
        <w:spacing w:after="0" w:line="17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2020.</w:t>
      </w:r>
    </w:p>
    <w:p>
      <w:pPr>
        <w:spacing w:after="0" w:line="18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 xml:space="preserve">Until December 31, 2020, interest paid and movements of cash collaterals for swaps were presented in the consolidated statement of cash flows under cash provided by operating activities. IAS 7 </w:t>
      </w:r>
      <w:r>
        <w:rPr>
          <w:rFonts w:ascii="Arial" w:cs="Arial" w:eastAsia="Arial" w:hAnsi="Arial"/>
          <w:sz w:val="16"/>
          <w:szCs w:val="16"/>
          <w:i w:val="1"/>
          <w:iCs w:val="1"/>
          <w:color w:val="auto"/>
        </w:rPr>
        <w:t>Cash Flow Statement</w:t>
      </w:r>
      <w:r>
        <w:rPr>
          <w:rFonts w:ascii="Arial" w:cs="Arial" w:eastAsia="Arial" w:hAnsi="Arial"/>
          <w:sz w:val="16"/>
          <w:szCs w:val="16"/>
          <w:color w:val="auto"/>
        </w:rPr>
        <w:t xml:space="preserve"> does not dictate how interest cash flows should be classified, but rather allows an entity to determine the classification appropriate to its business. The standard permits entities to present payments for interest under either operating or financing activities, provided that the elected presentation is applied consistently from period to period. In 2021, management, after reviewing the Exposure Draft </w:t>
      </w:r>
      <w:r>
        <w:rPr>
          <w:rFonts w:ascii="Arial" w:cs="Arial" w:eastAsia="Arial" w:hAnsi="Arial"/>
          <w:sz w:val="16"/>
          <w:szCs w:val="16"/>
          <w:i w:val="1"/>
          <w:iCs w:val="1"/>
          <w:color w:val="auto"/>
        </w:rPr>
        <w:t xml:space="preserve">General Presentation and Disclosures </w:t>
      </w:r>
      <w:r>
        <w:rPr>
          <w:rFonts w:ascii="Arial" w:cs="Arial" w:eastAsia="Arial" w:hAnsi="Arial"/>
          <w:sz w:val="16"/>
          <w:szCs w:val="16"/>
          <w:color w:val="auto"/>
        </w:rPr>
        <w:t>issued by the IASB in December 2019, elected to reclassify interest paid including cash paid for interest rate swaps</w:t>
      </w:r>
      <w:r>
        <w:rPr>
          <w:rFonts w:ascii="Arial" w:cs="Arial" w:eastAsia="Arial" w:hAnsi="Arial"/>
          <w:sz w:val="16"/>
          <w:szCs w:val="16"/>
          <w:i w:val="1"/>
          <w:iCs w:val="1"/>
          <w:color w:val="auto"/>
        </w:rPr>
        <w:t xml:space="preserve"> </w:t>
      </w:r>
      <w:r>
        <w:rPr>
          <w:rFonts w:ascii="Arial" w:cs="Arial" w:eastAsia="Arial" w:hAnsi="Arial"/>
          <w:sz w:val="16"/>
          <w:szCs w:val="16"/>
          <w:color w:val="auto"/>
        </w:rPr>
        <w:t>held for trading and the movements of cash collaterals related to the Group’s swaps under cash used in financing activities, in conformity with the proposal of the Exposure Draft to reduce presentation alternatives and classify interest paid as a cash flow arising from financing activities. Management believes that the revised classification provides more relevant information to users, as it better reflects management’s view of the financing nature of these transactions. Comparative figures have been retrospectively adjusted to reflect this change in policy in the statement of cash flows, as follows: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300" w:type="dxa"/>
            <w:vAlign w:val="bottom"/>
            <w:gridSpan w:val="5"/>
          </w:tcPr>
          <w:p>
            <w:pPr>
              <w:jc w:val="center"/>
              <w:ind w:left="1270"/>
              <w:spacing w:after="0"/>
              <w:rPr>
                <w:sz w:val="20"/>
                <w:szCs w:val="20"/>
                <w:color w:val="auto"/>
              </w:rPr>
            </w:pPr>
            <w:r>
              <w:rPr>
                <w:rFonts w:ascii="Arial" w:cs="Arial" w:eastAsia="Arial" w:hAnsi="Arial"/>
                <w:sz w:val="18"/>
                <w:szCs w:val="18"/>
                <w:b w:val="1"/>
                <w:bCs w:val="1"/>
                <w:color w:val="auto"/>
                <w:w w:val="90"/>
              </w:rPr>
              <w:t>Three months ended March 31, 2020</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96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As previously</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1960" w:type="dxa"/>
            <w:vAlign w:val="bottom"/>
            <w:gridSpan w:val="2"/>
          </w:tcPr>
          <w:p>
            <w:pPr>
              <w:jc w:val="right"/>
              <w:ind w:right="681"/>
              <w:spacing w:after="0"/>
              <w:rPr>
                <w:sz w:val="20"/>
                <w:szCs w:val="20"/>
                <w:color w:val="auto"/>
              </w:rPr>
            </w:pPr>
            <w:r>
              <w:rPr>
                <w:rFonts w:ascii="Arial" w:cs="Arial" w:eastAsia="Arial" w:hAnsi="Arial"/>
                <w:sz w:val="18"/>
                <w:szCs w:val="18"/>
                <w:b w:val="1"/>
                <w:bCs w:val="1"/>
                <w:color w:val="auto"/>
              </w:rPr>
              <w:t>reported</w:t>
            </w:r>
          </w:p>
        </w:tc>
        <w:tc>
          <w:tcPr>
            <w:tcW w:w="23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9"/>
              </w:rPr>
              <w:t>Adjustments</w:t>
            </w:r>
          </w:p>
        </w:tc>
        <w:tc>
          <w:tcPr>
            <w:tcW w:w="146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w w:val="91"/>
              </w:rPr>
              <w:t>As restated</w:t>
            </w:r>
          </w:p>
        </w:tc>
      </w:tr>
      <w:tr>
        <w:trPr>
          <w:trHeight w:val="209"/>
        </w:trPr>
        <w:tc>
          <w:tcPr>
            <w:tcW w:w="512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Net cash (used in)/provided by operating activities</w:t>
            </w:r>
          </w:p>
        </w:tc>
        <w:tc>
          <w:tcPr>
            <w:tcW w:w="174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(30,185)</w:t>
            </w:r>
          </w:p>
        </w:tc>
        <w:tc>
          <w:tcPr>
            <w:tcW w:w="220" w:type="dxa"/>
            <w:vAlign w:val="bottom"/>
            <w:tcBorders>
              <w:top w:val="single" w:sz="8" w:color="CCFFFF"/>
            </w:tcBorders>
            <w:shd w:val="clear" w:color="auto" w:fill="CCFFFF"/>
          </w:tcPr>
          <w:p>
            <w:pPr>
              <w:spacing w:after="0"/>
              <w:rPr>
                <w:sz w:val="18"/>
                <w:szCs w:val="18"/>
                <w:color w:val="auto"/>
              </w:rPr>
            </w:pPr>
          </w:p>
        </w:tc>
        <w:tc>
          <w:tcPr>
            <w:tcW w:w="174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116,529</w:t>
            </w:r>
          </w:p>
        </w:tc>
        <w:tc>
          <w:tcPr>
            <w:tcW w:w="220" w:type="dxa"/>
            <w:vAlign w:val="bottom"/>
            <w:tcBorders>
              <w:top w:val="single" w:sz="8" w:color="CCFFFF"/>
            </w:tcBorders>
            <w:shd w:val="clear" w:color="auto" w:fill="CCFFFF"/>
          </w:tcPr>
          <w:p>
            <w:pPr>
              <w:spacing w:after="0"/>
              <w:rPr>
                <w:sz w:val="18"/>
                <w:szCs w:val="18"/>
                <w:color w:val="auto"/>
              </w:rPr>
            </w:pPr>
          </w:p>
        </w:tc>
        <w:tc>
          <w:tcPr>
            <w:tcW w:w="380" w:type="dxa"/>
            <w:vAlign w:val="bottom"/>
            <w:tcBorders>
              <w:top w:val="single" w:sz="8" w:color="auto"/>
            </w:tcBorders>
            <w:shd w:val="clear" w:color="auto" w:fill="CCFFFF"/>
          </w:tcPr>
          <w:p>
            <w:pPr>
              <w:spacing w:after="0"/>
              <w:rPr>
                <w:sz w:val="18"/>
                <w:szCs w:val="18"/>
                <w:color w:val="auto"/>
              </w:rPr>
            </w:pPr>
          </w:p>
        </w:tc>
        <w:tc>
          <w:tcPr>
            <w:tcW w:w="136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86,344</w:t>
            </w:r>
          </w:p>
        </w:tc>
        <w:tc>
          <w:tcPr>
            <w:tcW w:w="100" w:type="dxa"/>
            <w:vAlign w:val="bottom"/>
            <w:tcBorders>
              <w:top w:val="single" w:sz="8" w:color="CCFFFF"/>
            </w:tcBorders>
            <w:shd w:val="clear" w:color="auto" w:fill="CCFF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60" w:type="dxa"/>
            <w:vAlign w:val="bottom"/>
            <w:gridSpan w:val="2"/>
          </w:tcPr>
          <w:p>
            <w:pPr>
              <w:jc w:val="right"/>
              <w:ind w:right="81"/>
              <w:spacing w:after="0"/>
              <w:rPr>
                <w:sz w:val="20"/>
                <w:szCs w:val="20"/>
                <w:color w:val="auto"/>
              </w:rPr>
            </w:pPr>
            <w:r>
              <w:rPr>
                <w:rFonts w:ascii="Arial" w:cs="Arial" w:eastAsia="Arial" w:hAnsi="Arial"/>
                <w:sz w:val="18"/>
                <w:szCs w:val="18"/>
                <w:color w:val="auto"/>
              </w:rPr>
              <w:t>(55,143)</w:t>
            </w:r>
          </w:p>
        </w:tc>
        <w:tc>
          <w:tcPr>
            <w:tcW w:w="23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(55,143)</w:t>
            </w:r>
          </w:p>
        </w:tc>
      </w:tr>
      <w:tr>
        <w:trPr>
          <w:trHeight w:val="216"/>
        </w:trPr>
        <w:tc>
          <w:tcPr>
            <w:tcW w:w="5120" w:type="dxa"/>
            <w:vAlign w:val="bottom"/>
            <w:shd w:val="clear" w:color="auto" w:fill="CCFFFF"/>
          </w:tcPr>
          <w:p>
            <w:pPr>
              <w:spacing w:after="0"/>
              <w:rPr>
                <w:sz w:val="20"/>
                <w:szCs w:val="20"/>
                <w:color w:val="auto"/>
              </w:rPr>
            </w:pPr>
            <w:r>
              <w:rPr>
                <w:rFonts w:ascii="Arial" w:cs="Arial" w:eastAsia="Arial" w:hAnsi="Arial"/>
                <w:sz w:val="18"/>
                <w:szCs w:val="18"/>
                <w:color w:val="auto"/>
              </w:rPr>
              <w:t>Net cash provided by/(used in) financing activities</w:t>
            </w:r>
          </w:p>
        </w:tc>
        <w:tc>
          <w:tcPr>
            <w:tcW w:w="196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75,949</w:t>
            </w:r>
          </w:p>
        </w:tc>
        <w:tc>
          <w:tcPr>
            <w:tcW w:w="1960" w:type="dxa"/>
            <w:vAlign w:val="bottom"/>
            <w:gridSpan w:val="2"/>
            <w:shd w:val="clear" w:color="auto" w:fill="CCFFFF"/>
          </w:tcPr>
          <w:p>
            <w:pPr>
              <w:jc w:val="right"/>
              <w:ind w:right="160"/>
              <w:spacing w:after="0"/>
              <w:rPr>
                <w:sz w:val="20"/>
                <w:szCs w:val="20"/>
                <w:color w:val="auto"/>
              </w:rPr>
            </w:pPr>
            <w:r>
              <w:rPr>
                <w:rFonts w:ascii="Arial" w:cs="Arial" w:eastAsia="Arial" w:hAnsi="Arial"/>
                <w:sz w:val="18"/>
                <w:szCs w:val="18"/>
                <w:color w:val="auto"/>
              </w:rPr>
              <w:t>(116,529)</w:t>
            </w:r>
          </w:p>
        </w:tc>
        <w:tc>
          <w:tcPr>
            <w:tcW w:w="380" w:type="dxa"/>
            <w:vAlign w:val="bottom"/>
            <w:shd w:val="clear" w:color="auto" w:fill="CCFFFF"/>
          </w:tcPr>
          <w:p>
            <w:pPr>
              <w:spacing w:after="0"/>
              <w:rPr>
                <w:sz w:val="18"/>
                <w:szCs w:val="18"/>
                <w:color w:val="auto"/>
              </w:rPr>
            </w:pPr>
          </w:p>
        </w:tc>
        <w:tc>
          <w:tcPr>
            <w:tcW w:w="1460" w:type="dxa"/>
            <w:vAlign w:val="bottom"/>
            <w:gridSpan w:val="2"/>
            <w:shd w:val="clear" w:color="auto" w:fill="CCFFFF"/>
          </w:tcPr>
          <w:p>
            <w:pPr>
              <w:jc w:val="right"/>
              <w:spacing w:after="0"/>
              <w:rPr>
                <w:sz w:val="20"/>
                <w:szCs w:val="20"/>
                <w:color w:val="auto"/>
              </w:rPr>
            </w:pPr>
            <w:r>
              <w:rPr>
                <w:rFonts w:ascii="Arial" w:cs="Arial" w:eastAsia="Arial" w:hAnsi="Arial"/>
                <w:sz w:val="18"/>
                <w:szCs w:val="18"/>
                <w:color w:val="auto"/>
              </w:rPr>
              <w:t>(40,580)</w:t>
            </w: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960" w:type="dxa"/>
            <w:vAlign w:val="bottom"/>
            <w:gridSpan w:val="2"/>
          </w:tcPr>
          <w:p>
            <w:pPr>
              <w:jc w:val="right"/>
              <w:ind w:right="81"/>
              <w:spacing w:after="0"/>
              <w:rPr>
                <w:sz w:val="20"/>
                <w:szCs w:val="20"/>
                <w:color w:val="auto"/>
              </w:rPr>
            </w:pPr>
            <w:r>
              <w:rPr>
                <w:rFonts w:ascii="Arial" w:cs="Arial" w:eastAsia="Arial" w:hAnsi="Arial"/>
                <w:sz w:val="18"/>
                <w:szCs w:val="18"/>
                <w:color w:val="auto"/>
              </w:rPr>
              <w:t>(2,223)</w:t>
            </w:r>
          </w:p>
        </w:tc>
        <w:tc>
          <w:tcPr>
            <w:tcW w:w="23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(2,223)</w:t>
            </w:r>
          </w:p>
        </w:tc>
      </w:tr>
      <w:tr>
        <w:trPr>
          <w:trHeight w:val="209"/>
        </w:trPr>
        <w:tc>
          <w:tcPr>
            <w:tcW w:w="512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17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(11,602</w:t>
            </w:r>
          </w:p>
        </w:tc>
        <w:tc>
          <w:tcPr>
            <w:tcW w:w="220" w:type="dxa"/>
            <w:vAlign w:val="bottom"/>
            <w:tcBorders>
              <w:top w:val="single" w:sz="8" w:color="CCFFFF"/>
            </w:tcBorders>
            <w:shd w:val="clear" w:color="auto" w:fill="CCFF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7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FFFF"/>
            </w:tcBorders>
            <w:shd w:val="clear" w:color="auto" w:fill="CCFFFF"/>
          </w:tcPr>
          <w:p>
            <w:pPr>
              <w:spacing w:after="0"/>
              <w:rPr>
                <w:sz w:val="18"/>
                <w:szCs w:val="18"/>
                <w:color w:val="auto"/>
              </w:rPr>
            </w:pPr>
          </w:p>
        </w:tc>
        <w:tc>
          <w:tcPr>
            <w:tcW w:w="380" w:type="dxa"/>
            <w:vAlign w:val="bottom"/>
            <w:tcBorders>
              <w:top w:val="single" w:sz="8" w:color="auto"/>
              <w:bottom w:val="single" w:sz="8" w:color="auto"/>
            </w:tcBorders>
            <w:shd w:val="clear" w:color="auto" w:fill="CCFFFF"/>
          </w:tcPr>
          <w:p>
            <w:pPr>
              <w:spacing w:after="0"/>
              <w:rPr>
                <w:sz w:val="18"/>
                <w:szCs w:val="18"/>
                <w:color w:val="auto"/>
              </w:rPr>
            </w:pPr>
          </w:p>
        </w:tc>
        <w:tc>
          <w:tcPr>
            <w:tcW w:w="136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(11,602</w:t>
            </w:r>
          </w:p>
        </w:tc>
        <w:tc>
          <w:tcPr>
            <w:tcW w:w="100" w:type="dxa"/>
            <w:vAlign w:val="bottom"/>
            <w:tcBorders>
              <w:top w:val="single" w:sz="8" w:color="CCFFFF"/>
            </w:tcBorders>
            <w:shd w:val="clear" w:color="auto" w:fill="CCFFFF"/>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2021, GasLog’s board of directors authorized the unaudited condensed consolidated financial statements for issuance.</w:t>
      </w:r>
    </w:p>
    <w:p>
      <w:pPr>
        <w:spacing w:after="0" w:line="225"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As of March 31, 2021, GasLog’s current assets totaled $297,888, while current liabilities totaled $738,088, resulting in a negative working capital position of $440,200. Current liabilities include $315,000 relating to the 8.875% senior unsecured notes due in 2022 (the “8.875% Senior Notes”) which will mature on March 22, 2022 (and we plan to refinance in due course) and $48,279 of unearned revenue in relation to hires received in advance of March 31, 2021 (which represents a non-cash liability that will be recognized as revenue in April as the services are rendered).</w:t>
      </w:r>
    </w:p>
    <w:p>
      <w:pPr>
        <w:spacing w:after="0" w:line="15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Considering the volatile commercial and financial market conditions experienced throughout 2020, management anticipates that our primary sources of funds for at least twelve months from the date of this report will be available cash, cash from operations and existing borrowings as well as the sale and leaseback transaction we concluded in January 2021 that released incremental liquidity of $34,840. Management believes that these anticipated sources of funds will be sufficient for the Company to meet its liquidity needs and to comply with its banking covenants for at least twelve months from the date of this report and therefore it is appropriate to prepare the financial statements on a going concern basis. In addition to the 8.875% Senior Notes that mature on March 22, 2022 and the Company will need to refinance, the Company may enter into new debt facilities in the future, as well as equity or debt instruments, although there can be no assurance that the Company will be able to obtain additional debt or equity financing on terms acceptable to the Company, which will also depend on financial, commercial and other factors, as well as a significant recovery in capital market conditions and sustainable improvement of the LNG charter market, that are beyond the Company’s control. The Company’s long-term ability to repay its debts and maintain compliance with its debt covenants for at least twelve months from the date of this report without reliance on additional sources of finance is also dependent on a sustainable longer-term recovery in the LNG charter market from the market disruption observed in 2020 as a result of the COVID-19 outbreak.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Standards and interpretations adopted in the current period</w:t>
      </w:r>
    </w:p>
    <w:p>
      <w:pPr>
        <w:spacing w:after="0" w:line="229"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 xml:space="preserve">In August 2020, the IASB issued the Phase 2 amendments to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IFRS 4 and IFRS 16 in connection with the Phase 2 of the interest rate benchmark reform. The amendments address the issues arising from the implementation of the reforms, including the replacement of one benchmark with an alternative one. The amendment is effective for annual periods beginning on or after January 1, 2021. Management anticipates that this amendment will not have a material impact on the Group’s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Standards and amendments in issue not yet adopted</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In January 2020, the IASB issued a narrow-scope amendment to IAS 1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Arial" w:cs="Arial" w:eastAsia="Arial" w:hAnsi="Arial"/>
          <w:sz w:val="18"/>
          <w:szCs w:val="18"/>
          <w:i w:val="1"/>
          <w:iCs w:val="1"/>
          <w:color w:val="auto"/>
        </w:rPr>
        <w:t>Accounting Policies, Changes in</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Estimates and Errors</w:t>
      </w:r>
      <w:r>
        <w:rPr>
          <w:rFonts w:ascii="Arial" w:cs="Arial" w:eastAsia="Arial" w:hAnsi="Arial"/>
          <w:sz w:val="18"/>
          <w:szCs w:val="18"/>
          <w:color w:val="auto"/>
        </w:rPr>
        <w:t>. Earlier application is permitted. Management anticipates that this amendment will not have a material impact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Group’s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Associates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movements in investment in associates are reported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900" w:type="dxa"/>
            <w:vAlign w:val="bottom"/>
            <w:gridSpan w:val="2"/>
          </w:tcPr>
          <w:p>
            <w:pPr>
              <w:ind w:left="300"/>
              <w:spacing w:after="0"/>
              <w:rPr>
                <w:sz w:val="20"/>
                <w:szCs w:val="20"/>
                <w:color w:val="auto"/>
              </w:rPr>
            </w:pPr>
            <w:r>
              <w:rPr>
                <w:rFonts w:ascii="Arial" w:cs="Arial" w:eastAsia="Arial" w:hAnsi="Arial"/>
                <w:sz w:val="18"/>
                <w:szCs w:val="18"/>
                <w:b w:val="1"/>
                <w:bCs w:val="1"/>
                <w:color w:val="auto"/>
              </w:rPr>
              <w:t>March 31, 2021</w:t>
            </w:r>
          </w:p>
        </w:tc>
      </w:tr>
      <w:tr>
        <w:trPr>
          <w:trHeight w:val="209"/>
        </w:trPr>
        <w:tc>
          <w:tcPr>
            <w:tcW w:w="376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As of January 1, 2021</w:t>
            </w:r>
          </w:p>
        </w:tc>
        <w:tc>
          <w:tcPr>
            <w:tcW w:w="5580" w:type="dxa"/>
            <w:vAlign w:val="bottom"/>
            <w:tcBorders>
              <w:top w:val="single" w:sz="8" w:color="CCFFFF"/>
            </w:tcBorders>
            <w:shd w:val="clear" w:color="auto" w:fill="CCFFFF"/>
          </w:tcPr>
          <w:p>
            <w:pPr>
              <w:spacing w:after="0"/>
              <w:rPr>
                <w:sz w:val="18"/>
                <w:szCs w:val="18"/>
                <w:color w:val="auto"/>
              </w:rPr>
            </w:pPr>
          </w:p>
        </w:tc>
        <w:tc>
          <w:tcPr>
            <w:tcW w:w="180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21,759</w:t>
            </w:r>
          </w:p>
        </w:tc>
        <w:tc>
          <w:tcPr>
            <w:tcW w:w="100" w:type="dxa"/>
            <w:vAlign w:val="bottom"/>
            <w:tcBorders>
              <w:top w:val="single" w:sz="8" w:color="CCFFFF"/>
            </w:tcBorders>
            <w:shd w:val="clear" w:color="auto" w:fill="CCFF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Share of profit of associates</w:t>
            </w:r>
          </w:p>
        </w:tc>
        <w:tc>
          <w:tcPr>
            <w:tcW w:w="7480" w:type="dxa"/>
            <w:vAlign w:val="bottom"/>
            <w:gridSpan w:val="3"/>
          </w:tcPr>
          <w:p>
            <w:pPr>
              <w:jc w:val="right"/>
              <w:ind w:right="100"/>
              <w:spacing w:after="0"/>
              <w:rPr>
                <w:sz w:val="20"/>
                <w:szCs w:val="20"/>
                <w:color w:val="auto"/>
              </w:rPr>
            </w:pPr>
            <w:r>
              <w:rPr>
                <w:rFonts w:ascii="Arial" w:cs="Arial" w:eastAsia="Arial" w:hAnsi="Arial"/>
                <w:sz w:val="18"/>
                <w:szCs w:val="18"/>
                <w:color w:val="auto"/>
              </w:rPr>
              <w:t>567</w:t>
            </w:r>
          </w:p>
        </w:tc>
      </w:tr>
      <w:tr>
        <w:trPr>
          <w:trHeight w:val="223"/>
        </w:trPr>
        <w:tc>
          <w:tcPr>
            <w:tcW w:w="3760" w:type="dxa"/>
            <w:vAlign w:val="bottom"/>
            <w:tcBorders>
              <w:top w:val="single" w:sz="8" w:color="CCFFFF"/>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As of March 31, 2021</w:t>
            </w:r>
          </w:p>
        </w:tc>
        <w:tc>
          <w:tcPr>
            <w:tcW w:w="5580" w:type="dxa"/>
            <w:vAlign w:val="bottom"/>
            <w:tcBorders>
              <w:top w:val="single" w:sz="8" w:color="CCFFFF"/>
              <w:bottom w:val="single" w:sz="8" w:color="CCFFFF"/>
            </w:tcBorders>
            <w:shd w:val="clear" w:color="auto" w:fill="CCFFFF"/>
          </w:tcPr>
          <w:p>
            <w:pPr>
              <w:spacing w:after="0"/>
              <w:rPr>
                <w:sz w:val="19"/>
                <w:szCs w:val="19"/>
                <w:color w:val="auto"/>
              </w:rPr>
            </w:pPr>
          </w:p>
        </w:tc>
        <w:tc>
          <w:tcPr>
            <w:tcW w:w="180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22,326</w:t>
            </w:r>
          </w:p>
        </w:tc>
        <w:tc>
          <w:tcPr>
            <w:tcW w:w="100" w:type="dxa"/>
            <w:vAlign w:val="bottom"/>
            <w:tcBorders>
              <w:top w:val="single" w:sz="8" w:color="CCFFFF"/>
              <w:bottom w:val="single" w:sz="8" w:color="CCFFFF"/>
            </w:tcBorders>
            <w:shd w:val="clear" w:color="auto" w:fill="CCFF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7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gridSpan w:val="3"/>
          </w:tcPr>
          <w:p>
            <w:pPr>
              <w:ind w:left="1740"/>
              <w:spacing w:after="0"/>
              <w:rPr>
                <w:sz w:val="20"/>
                <w:szCs w:val="20"/>
                <w:color w:val="auto"/>
              </w:rPr>
            </w:pPr>
            <w:r>
              <w:rPr>
                <w:rFonts w:ascii="Arial" w:cs="Arial" w:eastAsia="Arial" w:hAnsi="Arial"/>
                <w:sz w:val="18"/>
                <w:szCs w:val="18"/>
                <w:color w:val="auto"/>
              </w:rPr>
              <w:t>F-8</w:t>
            </w:r>
          </w:p>
        </w:tc>
      </w:tr>
    </w:tbl>
    <w:p>
      <w:pPr>
        <w:sectPr>
          <w:pgSz w:w="11900" w:h="16838" w:orient="portrait"/>
          <w:cols w:equalWidth="0" w:num="1">
            <w:col w:w="11240"/>
          </w:cols>
          <w:pgMar w:left="320" w:top="904"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4"/>
          </w:tcPr>
          <w:p>
            <w:pPr>
              <w:spacing w:after="0"/>
              <w:rPr>
                <w:sz w:val="20"/>
                <w:szCs w:val="20"/>
                <w:color w:val="auto"/>
              </w:rPr>
            </w:pPr>
            <w:r>
              <w:rPr>
                <w:rFonts w:ascii="Arial" w:cs="Arial" w:eastAsia="Arial" w:hAnsi="Arial"/>
                <w:sz w:val="18"/>
                <w:szCs w:val="18"/>
                <w:b w:val="1"/>
                <w:bCs w:val="1"/>
                <w:color w:val="auto"/>
              </w:rPr>
              <w:t>4. Tangible Fixed Assets and Vessels Under Construction</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60" w:type="dxa"/>
            <w:vAlign w:val="bottom"/>
            <w:gridSpan w:val="8"/>
          </w:tcPr>
          <w:p>
            <w:pPr>
              <w:ind w:left="340"/>
              <w:spacing w:after="0"/>
              <w:rPr>
                <w:sz w:val="20"/>
                <w:szCs w:val="20"/>
                <w:color w:val="auto"/>
              </w:rPr>
            </w:pPr>
            <w:r>
              <w:rPr>
                <w:rFonts w:ascii="Arial" w:cs="Arial" w:eastAsia="Arial" w:hAnsi="Arial"/>
                <w:sz w:val="18"/>
                <w:szCs w:val="18"/>
                <w:color w:val="auto"/>
                <w:w w:val="95"/>
              </w:rPr>
              <w:t>The movements in tangible fixed assets and vessels under construction are reported in the following table:</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Office property</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and other</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tangible fixed</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Vessels under</w:t>
            </w:r>
          </w:p>
        </w:tc>
      </w:tr>
      <w:tr>
        <w:trPr>
          <w:trHeight w:val="234"/>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Vessels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tangible assets</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8"/>
              </w:rPr>
              <w:t>assets</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9"/>
              </w:rPr>
              <w:t>construction</w:t>
            </w:r>
          </w:p>
        </w:tc>
      </w:tr>
      <w:tr>
        <w:trPr>
          <w:trHeight w:val="189"/>
        </w:trPr>
        <w:tc>
          <w:tcPr>
            <w:tcW w:w="360" w:type="dxa"/>
            <w:vAlign w:val="bottom"/>
            <w:tcBorders>
              <w:top w:val="single" w:sz="8" w:color="CCFFFF"/>
              <w:bottom w:val="single" w:sz="8" w:color="auto"/>
            </w:tcBorders>
            <w:shd w:val="clear" w:color="auto" w:fill="CCFFFF"/>
          </w:tcPr>
          <w:p>
            <w:pPr>
              <w:spacing w:after="0" w:line="169" w:lineRule="exact"/>
              <w:rPr>
                <w:sz w:val="20"/>
                <w:szCs w:val="20"/>
                <w:color w:val="auto"/>
              </w:rPr>
            </w:pPr>
            <w:r>
              <w:rPr>
                <w:rFonts w:ascii="Arial" w:cs="Arial" w:eastAsia="Arial" w:hAnsi="Arial"/>
                <w:sz w:val="18"/>
                <w:szCs w:val="18"/>
                <w:b w:val="1"/>
                <w:bCs w:val="1"/>
                <w:color w:val="auto"/>
                <w:w w:val="84"/>
              </w:rPr>
              <w:t>Cost</w:t>
            </w:r>
          </w:p>
        </w:tc>
        <w:tc>
          <w:tcPr>
            <w:tcW w:w="5160" w:type="dxa"/>
            <w:vAlign w:val="bottom"/>
            <w:tcBorders>
              <w:top w:val="single" w:sz="8" w:color="CCFFFF"/>
              <w:bottom w:val="single" w:sz="8" w:color="CCFFFF"/>
            </w:tcBorders>
            <w:gridSpan w:val="3"/>
            <w:shd w:val="clear" w:color="auto" w:fill="CCFFFF"/>
          </w:tcPr>
          <w:p>
            <w:pPr>
              <w:spacing w:after="0"/>
              <w:rPr>
                <w:sz w:val="16"/>
                <w:szCs w:val="16"/>
                <w:color w:val="auto"/>
              </w:rPr>
            </w:pPr>
          </w:p>
        </w:tc>
        <w:tc>
          <w:tcPr>
            <w:tcW w:w="1260" w:type="dxa"/>
            <w:vAlign w:val="bottom"/>
            <w:tcBorders>
              <w:top w:val="single" w:sz="8" w:color="auto"/>
              <w:bottom w:val="single" w:sz="8" w:color="CCFFFF"/>
            </w:tcBorders>
            <w:shd w:val="clear" w:color="auto" w:fill="CCFFFF"/>
          </w:tcPr>
          <w:p>
            <w:pPr>
              <w:spacing w:after="0"/>
              <w:rPr>
                <w:sz w:val="16"/>
                <w:szCs w:val="16"/>
                <w:color w:val="auto"/>
              </w:rPr>
            </w:pPr>
          </w:p>
        </w:tc>
        <w:tc>
          <w:tcPr>
            <w:tcW w:w="240" w:type="dxa"/>
            <w:vAlign w:val="bottom"/>
            <w:tcBorders>
              <w:top w:val="single" w:sz="8" w:color="CCFFFF"/>
              <w:bottom w:val="single" w:sz="8" w:color="CCFFFF"/>
            </w:tcBorders>
            <w:shd w:val="clear" w:color="auto" w:fill="CCFFFF"/>
          </w:tcPr>
          <w:p>
            <w:pPr>
              <w:spacing w:after="0"/>
              <w:rPr>
                <w:sz w:val="16"/>
                <w:szCs w:val="16"/>
                <w:color w:val="auto"/>
              </w:rPr>
            </w:pPr>
          </w:p>
        </w:tc>
        <w:tc>
          <w:tcPr>
            <w:tcW w:w="1220" w:type="dxa"/>
            <w:vAlign w:val="bottom"/>
            <w:tcBorders>
              <w:top w:val="single" w:sz="8" w:color="auto"/>
              <w:bottom w:val="single" w:sz="8" w:color="CCFFFF"/>
            </w:tcBorders>
            <w:shd w:val="clear" w:color="auto" w:fill="CCFFFF"/>
          </w:tcPr>
          <w:p>
            <w:pPr>
              <w:spacing w:after="0"/>
              <w:rPr>
                <w:sz w:val="16"/>
                <w:szCs w:val="16"/>
                <w:color w:val="auto"/>
              </w:rPr>
            </w:pPr>
          </w:p>
        </w:tc>
        <w:tc>
          <w:tcPr>
            <w:tcW w:w="220" w:type="dxa"/>
            <w:vAlign w:val="bottom"/>
            <w:tcBorders>
              <w:top w:val="single" w:sz="8" w:color="CCFFFF"/>
              <w:bottom w:val="single" w:sz="8" w:color="CCFFFF"/>
            </w:tcBorders>
            <w:shd w:val="clear" w:color="auto" w:fill="CCFFFF"/>
          </w:tcPr>
          <w:p>
            <w:pPr>
              <w:spacing w:after="0"/>
              <w:rPr>
                <w:sz w:val="16"/>
                <w:szCs w:val="16"/>
                <w:color w:val="auto"/>
              </w:rPr>
            </w:pPr>
          </w:p>
        </w:tc>
        <w:tc>
          <w:tcPr>
            <w:tcW w:w="1220" w:type="dxa"/>
            <w:vAlign w:val="bottom"/>
            <w:tcBorders>
              <w:top w:val="single" w:sz="8" w:color="auto"/>
              <w:bottom w:val="single" w:sz="8" w:color="CCFFFF"/>
            </w:tcBorders>
            <w:shd w:val="clear" w:color="auto" w:fill="CCFFFF"/>
          </w:tcPr>
          <w:p>
            <w:pPr>
              <w:spacing w:after="0"/>
              <w:rPr>
                <w:sz w:val="16"/>
                <w:szCs w:val="16"/>
                <w:color w:val="auto"/>
              </w:rPr>
            </w:pPr>
          </w:p>
        </w:tc>
        <w:tc>
          <w:tcPr>
            <w:tcW w:w="220" w:type="dxa"/>
            <w:vAlign w:val="bottom"/>
            <w:tcBorders>
              <w:top w:val="single" w:sz="8" w:color="CCFFFF"/>
              <w:bottom w:val="single" w:sz="8" w:color="CCFFFF"/>
            </w:tcBorders>
            <w:shd w:val="clear" w:color="auto" w:fill="CCFFFF"/>
          </w:tcPr>
          <w:p>
            <w:pPr>
              <w:spacing w:after="0"/>
              <w:rPr>
                <w:sz w:val="16"/>
                <w:szCs w:val="16"/>
                <w:color w:val="auto"/>
              </w:rPr>
            </w:pPr>
          </w:p>
        </w:tc>
        <w:tc>
          <w:tcPr>
            <w:tcW w:w="1240" w:type="dxa"/>
            <w:vAlign w:val="bottom"/>
            <w:tcBorders>
              <w:top w:val="single" w:sz="8" w:color="auto"/>
              <w:bottom w:val="single" w:sz="8" w:color="CCFFFF"/>
            </w:tcBorders>
            <w:shd w:val="clear" w:color="auto" w:fill="CCFFFF"/>
          </w:tcPr>
          <w:p>
            <w:pPr>
              <w:spacing w:after="0"/>
              <w:rPr>
                <w:sz w:val="16"/>
                <w:szCs w:val="16"/>
                <w:color w:val="auto"/>
              </w:rPr>
            </w:pPr>
          </w:p>
        </w:tc>
        <w:tc>
          <w:tcPr>
            <w:tcW w:w="20" w:type="dxa"/>
            <w:vAlign w:val="bottom"/>
            <w:tcBorders>
              <w:top w:val="single" w:sz="8" w:color="CCFFFF"/>
              <w:bottom w:val="single" w:sz="8" w:color="CCFFFF"/>
            </w:tcBorders>
            <w:shd w:val="clear" w:color="auto" w:fill="CCFFFF"/>
          </w:tcPr>
          <w:p>
            <w:pPr>
              <w:spacing w:after="0"/>
              <w:rPr>
                <w:sz w:val="16"/>
                <w:szCs w:val="16"/>
                <w:color w:val="auto"/>
              </w:rPr>
            </w:pPr>
          </w:p>
        </w:tc>
        <w:tc>
          <w:tcPr>
            <w:tcW w:w="80" w:type="dxa"/>
            <w:vAlign w:val="bottom"/>
            <w:tcBorders>
              <w:top w:val="single" w:sz="8" w:color="CCFFFF"/>
              <w:bottom w:val="single" w:sz="8" w:color="CCFFFF"/>
            </w:tcBorders>
            <w:shd w:val="clear" w:color="auto" w:fill="CCFFFF"/>
          </w:tcPr>
          <w:p>
            <w:pPr>
              <w:spacing w:after="0"/>
              <w:rPr>
                <w:sz w:val="16"/>
                <w:szCs w:val="16"/>
                <w:color w:val="auto"/>
              </w:rPr>
            </w:pPr>
          </w:p>
        </w:tc>
      </w:tr>
      <w:tr>
        <w:trPr>
          <w:trHeight w:val="216"/>
        </w:trPr>
        <w:tc>
          <w:tcPr>
            <w:tcW w:w="5520" w:type="dxa"/>
            <w:vAlign w:val="bottom"/>
            <w:gridSpan w:val="4"/>
          </w:tcPr>
          <w:p>
            <w:pPr>
              <w:spacing w:after="0"/>
              <w:rPr>
                <w:sz w:val="20"/>
                <w:szCs w:val="20"/>
                <w:color w:val="auto"/>
              </w:rPr>
            </w:pPr>
            <w:r>
              <w:rPr>
                <w:rFonts w:ascii="Arial" w:cs="Arial" w:eastAsia="Arial" w:hAnsi="Arial"/>
                <w:sz w:val="18"/>
                <w:szCs w:val="18"/>
                <w:color w:val="auto"/>
              </w:rPr>
              <w:t>As of January 1, 2021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6,078,041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33,380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6,111,421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132,839</w:t>
            </w:r>
          </w:p>
        </w:tc>
        <w:tc>
          <w:tcPr>
            <w:tcW w:w="80" w:type="dxa"/>
            <w:vAlign w:val="bottom"/>
          </w:tcPr>
          <w:p>
            <w:pPr>
              <w:spacing w:after="0"/>
              <w:rPr>
                <w:sz w:val="18"/>
                <w:szCs w:val="18"/>
                <w:color w:val="auto"/>
              </w:rPr>
            </w:pPr>
          </w:p>
        </w:tc>
      </w:tr>
      <w:tr>
        <w:trPr>
          <w:trHeight w:val="216"/>
        </w:trPr>
        <w:tc>
          <w:tcPr>
            <w:tcW w:w="5520" w:type="dxa"/>
            <w:vAlign w:val="bottom"/>
            <w:gridSpan w:val="4"/>
            <w:shd w:val="clear" w:color="auto" w:fill="CCFFFF"/>
          </w:tcPr>
          <w:p>
            <w:pPr>
              <w:spacing w:after="0"/>
              <w:rPr>
                <w:sz w:val="20"/>
                <w:szCs w:val="20"/>
                <w:color w:val="auto"/>
              </w:rPr>
            </w:pPr>
            <w:r>
              <w:rPr>
                <w:rFonts w:ascii="Arial" w:cs="Arial" w:eastAsia="Arial" w:hAnsi="Arial"/>
                <w:sz w:val="18"/>
                <w:szCs w:val="18"/>
                <w:color w:val="auto"/>
              </w:rPr>
              <w:t>Additions</w:t>
            </w:r>
          </w:p>
        </w:tc>
        <w:tc>
          <w:tcPr>
            <w:tcW w:w="150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color w:val="auto"/>
              </w:rPr>
              <w:t>2,122</w:t>
            </w:r>
          </w:p>
        </w:tc>
        <w:tc>
          <w:tcPr>
            <w:tcW w:w="1440" w:type="dxa"/>
            <w:vAlign w:val="bottom"/>
            <w:gridSpan w:val="2"/>
            <w:shd w:val="clear" w:color="auto" w:fill="CCFFFF"/>
          </w:tcPr>
          <w:p>
            <w:pPr>
              <w:jc w:val="right"/>
              <w:ind w:right="220"/>
              <w:spacing w:after="0"/>
              <w:rPr>
                <w:sz w:val="20"/>
                <w:szCs w:val="20"/>
                <w:color w:val="auto"/>
              </w:rPr>
            </w:pPr>
            <w:r>
              <w:rPr>
                <w:rFonts w:ascii="Arial" w:cs="Arial" w:eastAsia="Arial" w:hAnsi="Arial"/>
                <w:sz w:val="18"/>
                <w:szCs w:val="18"/>
                <w:color w:val="auto"/>
              </w:rPr>
              <w:t>1,275</w:t>
            </w:r>
          </w:p>
        </w:tc>
        <w:tc>
          <w:tcPr>
            <w:tcW w:w="1440" w:type="dxa"/>
            <w:vAlign w:val="bottom"/>
            <w:gridSpan w:val="2"/>
            <w:shd w:val="clear" w:color="auto" w:fill="CCFFFF"/>
          </w:tcPr>
          <w:p>
            <w:pPr>
              <w:jc w:val="right"/>
              <w:ind w:right="220"/>
              <w:spacing w:after="0"/>
              <w:rPr>
                <w:sz w:val="20"/>
                <w:szCs w:val="20"/>
                <w:color w:val="auto"/>
              </w:rPr>
            </w:pPr>
            <w:r>
              <w:rPr>
                <w:rFonts w:ascii="Arial" w:cs="Arial" w:eastAsia="Arial" w:hAnsi="Arial"/>
                <w:sz w:val="18"/>
                <w:szCs w:val="18"/>
                <w:color w:val="auto"/>
              </w:rPr>
              <w:t>3,397</w:t>
            </w:r>
          </w:p>
        </w:tc>
        <w:tc>
          <w:tcPr>
            <w:tcW w:w="126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157,091</w:t>
            </w:r>
          </w:p>
        </w:tc>
        <w:tc>
          <w:tcPr>
            <w:tcW w:w="80" w:type="dxa"/>
            <w:vAlign w:val="bottom"/>
            <w:shd w:val="clear" w:color="auto" w:fill="CCFFFF"/>
          </w:tcPr>
          <w:p>
            <w:pPr>
              <w:spacing w:after="0"/>
              <w:rPr>
                <w:sz w:val="18"/>
                <w:szCs w:val="18"/>
                <w:color w:val="auto"/>
              </w:rPr>
            </w:pPr>
          </w:p>
        </w:tc>
      </w:tr>
      <w:tr>
        <w:trPr>
          <w:trHeight w:val="216"/>
        </w:trPr>
        <w:tc>
          <w:tcPr>
            <w:tcW w:w="5520" w:type="dxa"/>
            <w:vAlign w:val="bottom"/>
            <w:gridSpan w:val="4"/>
          </w:tcPr>
          <w:p>
            <w:pPr>
              <w:spacing w:after="0"/>
              <w:rPr>
                <w:sz w:val="20"/>
                <w:szCs w:val="20"/>
                <w:color w:val="auto"/>
              </w:rPr>
            </w:pPr>
            <w:r>
              <w:rPr>
                <w:rFonts w:ascii="Arial" w:cs="Arial" w:eastAsia="Arial" w:hAnsi="Arial"/>
                <w:sz w:val="18"/>
                <w:szCs w:val="18"/>
                <w:color w:val="auto"/>
              </w:rPr>
              <w:t>Transfer from vessels under construction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184,287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184,287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(184,287)</w:t>
            </w:r>
          </w:p>
        </w:tc>
      </w:tr>
      <w:tr>
        <w:trPr>
          <w:trHeight w:val="229"/>
        </w:trPr>
        <w:tc>
          <w:tcPr>
            <w:tcW w:w="5520" w:type="dxa"/>
            <w:vAlign w:val="bottom"/>
            <w:gridSpan w:val="4"/>
            <w:shd w:val="clear" w:color="auto" w:fill="CCFFFF"/>
          </w:tcPr>
          <w:p>
            <w:pPr>
              <w:spacing w:after="0"/>
              <w:rPr>
                <w:sz w:val="20"/>
                <w:szCs w:val="20"/>
                <w:color w:val="auto"/>
              </w:rPr>
            </w:pPr>
            <w:r>
              <w:rPr>
                <w:rFonts w:ascii="Arial" w:cs="Arial" w:eastAsia="Arial" w:hAnsi="Arial"/>
                <w:sz w:val="18"/>
                <w:szCs w:val="18"/>
                <w:color w:val="auto"/>
              </w:rPr>
              <w:t>Fully amortized fixed assets</w:t>
            </w:r>
          </w:p>
        </w:tc>
        <w:tc>
          <w:tcPr>
            <w:tcW w:w="1500" w:type="dxa"/>
            <w:vAlign w:val="bottom"/>
            <w:gridSpan w:val="2"/>
            <w:shd w:val="clear" w:color="auto" w:fill="CCFFFF"/>
          </w:tcPr>
          <w:p>
            <w:pPr>
              <w:jc w:val="right"/>
              <w:ind w:right="180"/>
              <w:spacing w:after="0"/>
              <w:rPr>
                <w:sz w:val="20"/>
                <w:szCs w:val="20"/>
                <w:color w:val="auto"/>
              </w:rPr>
            </w:pPr>
            <w:r>
              <w:rPr>
                <w:rFonts w:ascii="Arial" w:cs="Arial" w:eastAsia="Arial" w:hAnsi="Arial"/>
                <w:sz w:val="18"/>
                <w:szCs w:val="18"/>
                <w:color w:val="auto"/>
              </w:rPr>
              <w:t>(2,740)</w:t>
            </w:r>
          </w:p>
        </w:tc>
        <w:tc>
          <w:tcPr>
            <w:tcW w:w="1440" w:type="dxa"/>
            <w:vAlign w:val="bottom"/>
            <w:gridSpan w:val="2"/>
            <w:shd w:val="clear" w:color="auto" w:fill="CCFF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FF"/>
          </w:tcPr>
          <w:p>
            <w:pPr>
              <w:jc w:val="right"/>
              <w:ind w:right="160"/>
              <w:spacing w:after="0"/>
              <w:rPr>
                <w:sz w:val="20"/>
                <w:szCs w:val="20"/>
                <w:color w:val="auto"/>
              </w:rPr>
            </w:pPr>
            <w:r>
              <w:rPr>
                <w:rFonts w:ascii="Arial" w:cs="Arial" w:eastAsia="Arial" w:hAnsi="Arial"/>
                <w:sz w:val="18"/>
                <w:szCs w:val="18"/>
                <w:color w:val="auto"/>
              </w:rPr>
              <w:t>(2,740)</w:t>
            </w:r>
          </w:p>
        </w:tc>
        <w:tc>
          <w:tcPr>
            <w:tcW w:w="1340" w:type="dxa"/>
            <w:vAlign w:val="bottom"/>
            <w:gridSpan w:val="3"/>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520" w:type="dxa"/>
            <w:vAlign w:val="bottom"/>
            <w:tcBorders>
              <w:bottom w:val="single" w:sz="8" w:color="CCFFFF"/>
            </w:tcBorders>
            <w:gridSpan w:val="4"/>
          </w:tcPr>
          <w:p>
            <w:pPr>
              <w:spacing w:after="0"/>
              <w:rPr>
                <w:sz w:val="20"/>
                <w:szCs w:val="20"/>
                <w:color w:val="auto"/>
              </w:rPr>
            </w:pPr>
            <w:r>
              <w:rPr>
                <w:rFonts w:ascii="Arial" w:cs="Arial" w:eastAsia="Arial" w:hAnsi="Arial"/>
                <w:sz w:val="18"/>
                <w:szCs w:val="18"/>
                <w:b w:val="1"/>
                <w:bCs w:val="1"/>
                <w:color w:val="auto"/>
              </w:rPr>
              <w:t>As of March 31,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6,261,710</w:t>
            </w:r>
          </w:p>
        </w:tc>
        <w:tc>
          <w:tcPr>
            <w:tcW w:w="240" w:type="dxa"/>
            <w:vAlign w:val="bottom"/>
            <w:tcBorders>
              <w:bottom w:val="single" w:sz="8" w:color="CCFF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34,655</w:t>
            </w:r>
          </w:p>
        </w:tc>
        <w:tc>
          <w:tcPr>
            <w:tcW w:w="220" w:type="dxa"/>
            <w:vAlign w:val="bottom"/>
            <w:tcBorders>
              <w:bottom w:val="single" w:sz="8" w:color="CCFF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6,296,365</w:t>
            </w:r>
          </w:p>
        </w:tc>
        <w:tc>
          <w:tcPr>
            <w:tcW w:w="220" w:type="dxa"/>
            <w:vAlign w:val="bottom"/>
            <w:tcBorders>
              <w:bottom w:val="single" w:sz="8" w:color="CC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105,643</w:t>
            </w:r>
          </w:p>
        </w:tc>
        <w:tc>
          <w:tcPr>
            <w:tcW w:w="20" w:type="dxa"/>
            <w:vAlign w:val="bottom"/>
            <w:tcBorders>
              <w:bottom w:val="single" w:sz="8" w:color="CCFFFF"/>
            </w:tcBorders>
          </w:tcPr>
          <w:p>
            <w:pPr>
              <w:spacing w:after="0"/>
              <w:rPr>
                <w:sz w:val="18"/>
                <w:szCs w:val="18"/>
                <w:color w:val="auto"/>
              </w:rPr>
            </w:pPr>
          </w:p>
        </w:tc>
        <w:tc>
          <w:tcPr>
            <w:tcW w:w="80" w:type="dxa"/>
            <w:vAlign w:val="bottom"/>
            <w:tcBorders>
              <w:bottom w:val="single" w:sz="8" w:color="CCFFFF"/>
            </w:tcBorders>
          </w:tcPr>
          <w:p>
            <w:pPr>
              <w:spacing w:after="0"/>
              <w:rPr>
                <w:sz w:val="18"/>
                <w:szCs w:val="18"/>
                <w:color w:val="auto"/>
              </w:rPr>
            </w:pPr>
          </w:p>
        </w:tc>
      </w:tr>
      <w:tr>
        <w:trPr>
          <w:trHeight w:val="210"/>
        </w:trPr>
        <w:tc>
          <w:tcPr>
            <w:tcW w:w="360" w:type="dxa"/>
            <w:vAlign w:val="bottom"/>
            <w:shd w:val="clear" w:color="auto" w:fill="CCFFFF"/>
          </w:tcPr>
          <w:p>
            <w:pPr>
              <w:spacing w:after="0"/>
              <w:rPr>
                <w:sz w:val="18"/>
                <w:szCs w:val="18"/>
                <w:color w:val="auto"/>
              </w:rPr>
            </w:pPr>
          </w:p>
        </w:tc>
        <w:tc>
          <w:tcPr>
            <w:tcW w:w="800" w:type="dxa"/>
            <w:vAlign w:val="bottom"/>
            <w:shd w:val="clear" w:color="auto" w:fill="CCFFFF"/>
          </w:tcPr>
          <w:p>
            <w:pPr>
              <w:spacing w:after="0"/>
              <w:rPr>
                <w:sz w:val="18"/>
                <w:szCs w:val="18"/>
                <w:color w:val="auto"/>
              </w:rPr>
            </w:pPr>
          </w:p>
        </w:tc>
        <w:tc>
          <w:tcPr>
            <w:tcW w:w="860" w:type="dxa"/>
            <w:vAlign w:val="bottom"/>
            <w:shd w:val="clear" w:color="auto" w:fill="CCFFFF"/>
          </w:tcPr>
          <w:p>
            <w:pPr>
              <w:spacing w:after="0"/>
              <w:rPr>
                <w:sz w:val="18"/>
                <w:szCs w:val="18"/>
                <w:color w:val="auto"/>
              </w:rPr>
            </w:pPr>
          </w:p>
        </w:tc>
        <w:tc>
          <w:tcPr>
            <w:tcW w:w="3500" w:type="dxa"/>
            <w:vAlign w:val="bottom"/>
            <w:shd w:val="clear" w:color="auto" w:fill="CCFFFF"/>
          </w:tcPr>
          <w:p>
            <w:pPr>
              <w:spacing w:after="0"/>
              <w:rPr>
                <w:sz w:val="18"/>
                <w:szCs w:val="18"/>
                <w:color w:val="auto"/>
              </w:rPr>
            </w:pPr>
          </w:p>
        </w:tc>
        <w:tc>
          <w:tcPr>
            <w:tcW w:w="1260" w:type="dxa"/>
            <w:vAlign w:val="bottom"/>
            <w:shd w:val="clear" w:color="auto" w:fill="CCFFFF"/>
          </w:tcPr>
          <w:p>
            <w:pPr>
              <w:spacing w:after="0"/>
              <w:rPr>
                <w:sz w:val="18"/>
                <w:szCs w:val="18"/>
                <w:color w:val="auto"/>
              </w:rPr>
            </w:pPr>
          </w:p>
        </w:tc>
        <w:tc>
          <w:tcPr>
            <w:tcW w:w="24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r>
      <w:tr>
        <w:trPr>
          <w:trHeight w:val="175"/>
        </w:trPr>
        <w:tc>
          <w:tcPr>
            <w:tcW w:w="55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Accumulated depreciation</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520" w:type="dxa"/>
            <w:vAlign w:val="bottom"/>
            <w:gridSpan w:val="4"/>
            <w:shd w:val="clear" w:color="auto" w:fill="CCFFFF"/>
          </w:tcPr>
          <w:p>
            <w:pPr>
              <w:spacing w:after="0"/>
              <w:rPr>
                <w:sz w:val="20"/>
                <w:szCs w:val="20"/>
                <w:color w:val="auto"/>
              </w:rPr>
            </w:pPr>
            <w:r>
              <w:rPr>
                <w:rFonts w:ascii="Arial" w:cs="Arial" w:eastAsia="Arial" w:hAnsi="Arial"/>
                <w:sz w:val="18"/>
                <w:szCs w:val="18"/>
                <w:color w:val="auto"/>
              </w:rPr>
              <w:t>As of January 1, 2021</w:t>
            </w:r>
          </w:p>
        </w:tc>
        <w:tc>
          <w:tcPr>
            <w:tcW w:w="150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color w:val="auto"/>
              </w:rPr>
              <w:t>1,076,867</w:t>
            </w:r>
          </w:p>
        </w:tc>
        <w:tc>
          <w:tcPr>
            <w:tcW w:w="1440" w:type="dxa"/>
            <w:vAlign w:val="bottom"/>
            <w:gridSpan w:val="2"/>
            <w:shd w:val="clear" w:color="auto" w:fill="CCFFFF"/>
          </w:tcPr>
          <w:p>
            <w:pPr>
              <w:jc w:val="right"/>
              <w:ind w:right="220"/>
              <w:spacing w:after="0"/>
              <w:rPr>
                <w:sz w:val="20"/>
                <w:szCs w:val="20"/>
                <w:color w:val="auto"/>
              </w:rPr>
            </w:pPr>
            <w:r>
              <w:rPr>
                <w:rFonts w:ascii="Arial" w:cs="Arial" w:eastAsia="Arial" w:hAnsi="Arial"/>
                <w:sz w:val="18"/>
                <w:szCs w:val="18"/>
                <w:color w:val="auto"/>
              </w:rPr>
              <w:t>6,045</w:t>
            </w:r>
          </w:p>
        </w:tc>
        <w:tc>
          <w:tcPr>
            <w:tcW w:w="1440" w:type="dxa"/>
            <w:vAlign w:val="bottom"/>
            <w:gridSpan w:val="2"/>
            <w:shd w:val="clear" w:color="auto" w:fill="CCFFFF"/>
          </w:tcPr>
          <w:p>
            <w:pPr>
              <w:jc w:val="right"/>
              <w:ind w:right="220"/>
              <w:spacing w:after="0"/>
              <w:rPr>
                <w:sz w:val="20"/>
                <w:szCs w:val="20"/>
                <w:color w:val="auto"/>
              </w:rPr>
            </w:pPr>
            <w:r>
              <w:rPr>
                <w:rFonts w:ascii="Arial" w:cs="Arial" w:eastAsia="Arial" w:hAnsi="Arial"/>
                <w:sz w:val="18"/>
                <w:szCs w:val="18"/>
                <w:color w:val="auto"/>
              </w:rPr>
              <w:t>1,082,912</w:t>
            </w:r>
          </w:p>
        </w:tc>
        <w:tc>
          <w:tcPr>
            <w:tcW w:w="1340" w:type="dxa"/>
            <w:vAlign w:val="bottom"/>
            <w:gridSpan w:val="3"/>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gridSpan w:val="4"/>
          </w:tcPr>
          <w:p>
            <w:pPr>
              <w:spacing w:after="0"/>
              <w:rPr>
                <w:sz w:val="20"/>
                <w:szCs w:val="20"/>
                <w:color w:val="auto"/>
              </w:rPr>
            </w:pPr>
            <w:r>
              <w:rPr>
                <w:rFonts w:ascii="Arial" w:cs="Arial" w:eastAsia="Arial" w:hAnsi="Arial"/>
                <w:sz w:val="18"/>
                <w:szCs w:val="18"/>
                <w:color w:val="auto"/>
              </w:rPr>
              <w:t>Depreciation expense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44,849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45,020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gridSpan w:val="4"/>
            <w:shd w:val="clear" w:color="auto" w:fill="CCFFFF"/>
          </w:tcPr>
          <w:p>
            <w:pPr>
              <w:spacing w:after="0"/>
              <w:rPr>
                <w:sz w:val="20"/>
                <w:szCs w:val="20"/>
                <w:color w:val="auto"/>
              </w:rPr>
            </w:pPr>
            <w:r>
              <w:rPr>
                <w:rFonts w:ascii="Arial" w:cs="Arial" w:eastAsia="Arial" w:hAnsi="Arial"/>
                <w:sz w:val="18"/>
                <w:szCs w:val="18"/>
                <w:color w:val="auto"/>
              </w:rPr>
              <w:t>Fully amortized fixed assets</w:t>
            </w:r>
          </w:p>
        </w:tc>
        <w:tc>
          <w:tcPr>
            <w:tcW w:w="1500" w:type="dxa"/>
            <w:vAlign w:val="bottom"/>
            <w:gridSpan w:val="2"/>
            <w:shd w:val="clear" w:color="auto" w:fill="CCFFFF"/>
          </w:tcPr>
          <w:p>
            <w:pPr>
              <w:jc w:val="right"/>
              <w:ind w:right="180"/>
              <w:spacing w:after="0"/>
              <w:rPr>
                <w:sz w:val="20"/>
                <w:szCs w:val="20"/>
                <w:color w:val="auto"/>
              </w:rPr>
            </w:pPr>
            <w:r>
              <w:rPr>
                <w:rFonts w:ascii="Arial" w:cs="Arial" w:eastAsia="Arial" w:hAnsi="Arial"/>
                <w:sz w:val="18"/>
                <w:szCs w:val="18"/>
                <w:color w:val="auto"/>
              </w:rPr>
              <w:t>(2,740)</w:t>
            </w:r>
          </w:p>
        </w:tc>
        <w:tc>
          <w:tcPr>
            <w:tcW w:w="1440" w:type="dxa"/>
            <w:vAlign w:val="bottom"/>
            <w:gridSpan w:val="2"/>
            <w:shd w:val="clear" w:color="auto" w:fill="CCFF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FF"/>
          </w:tcPr>
          <w:p>
            <w:pPr>
              <w:jc w:val="right"/>
              <w:ind w:right="160"/>
              <w:spacing w:after="0"/>
              <w:rPr>
                <w:sz w:val="20"/>
                <w:szCs w:val="20"/>
                <w:color w:val="auto"/>
              </w:rPr>
            </w:pPr>
            <w:r>
              <w:rPr>
                <w:rFonts w:ascii="Arial" w:cs="Arial" w:eastAsia="Arial" w:hAnsi="Arial"/>
                <w:sz w:val="18"/>
                <w:szCs w:val="18"/>
                <w:color w:val="auto"/>
              </w:rPr>
              <w:t>(2,740)</w:t>
            </w:r>
          </w:p>
        </w:tc>
        <w:tc>
          <w:tcPr>
            <w:tcW w:w="1340" w:type="dxa"/>
            <w:vAlign w:val="bottom"/>
            <w:gridSpan w:val="3"/>
            <w:shd w:val="clear" w:color="auto" w:fill="CCFF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520" w:type="dxa"/>
            <w:vAlign w:val="bottom"/>
            <w:tcBorders>
              <w:bottom w:val="single" w:sz="8" w:color="CCFFFF"/>
            </w:tcBorders>
            <w:gridSpan w:val="4"/>
          </w:tcPr>
          <w:p>
            <w:pPr>
              <w:spacing w:after="0"/>
              <w:rPr>
                <w:sz w:val="20"/>
                <w:szCs w:val="20"/>
                <w:color w:val="auto"/>
              </w:rPr>
            </w:pPr>
            <w:r>
              <w:rPr>
                <w:rFonts w:ascii="Arial" w:cs="Arial" w:eastAsia="Arial" w:hAnsi="Arial"/>
                <w:sz w:val="18"/>
                <w:szCs w:val="18"/>
                <w:b w:val="1"/>
                <w:bCs w:val="1"/>
                <w:color w:val="auto"/>
              </w:rPr>
              <w:t>As of March 31,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1,118,976</w:t>
            </w:r>
          </w:p>
        </w:tc>
        <w:tc>
          <w:tcPr>
            <w:tcW w:w="240" w:type="dxa"/>
            <w:vAlign w:val="bottom"/>
            <w:tcBorders>
              <w:bottom w:val="single" w:sz="8" w:color="CCFF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6,216</w:t>
            </w:r>
          </w:p>
        </w:tc>
        <w:tc>
          <w:tcPr>
            <w:tcW w:w="220" w:type="dxa"/>
            <w:vAlign w:val="bottom"/>
            <w:tcBorders>
              <w:bottom w:val="single" w:sz="8" w:color="CCFF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1,125,192</w:t>
            </w:r>
          </w:p>
        </w:tc>
        <w:tc>
          <w:tcPr>
            <w:tcW w:w="220" w:type="dxa"/>
            <w:vAlign w:val="bottom"/>
            <w:tcBorders>
              <w:bottom w:val="single" w:sz="8" w:color="CC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FFFF"/>
            </w:tcBorders>
            <w:gridSpan w:val="2"/>
          </w:tcPr>
          <w:p>
            <w:pPr>
              <w:spacing w:after="0"/>
              <w:rPr>
                <w:sz w:val="18"/>
                <w:szCs w:val="18"/>
                <w:color w:val="auto"/>
              </w:rPr>
            </w:pPr>
          </w:p>
        </w:tc>
      </w:tr>
      <w:tr>
        <w:trPr>
          <w:trHeight w:val="209"/>
        </w:trPr>
        <w:tc>
          <w:tcPr>
            <w:tcW w:w="360" w:type="dxa"/>
            <w:vAlign w:val="bottom"/>
            <w:shd w:val="clear" w:color="auto" w:fill="CCFFFF"/>
          </w:tcPr>
          <w:p>
            <w:pPr>
              <w:spacing w:after="0"/>
              <w:rPr>
                <w:sz w:val="18"/>
                <w:szCs w:val="18"/>
                <w:color w:val="auto"/>
              </w:rPr>
            </w:pPr>
          </w:p>
        </w:tc>
        <w:tc>
          <w:tcPr>
            <w:tcW w:w="800" w:type="dxa"/>
            <w:vAlign w:val="bottom"/>
            <w:shd w:val="clear" w:color="auto" w:fill="CCFFFF"/>
          </w:tcPr>
          <w:p>
            <w:pPr>
              <w:spacing w:after="0"/>
              <w:rPr>
                <w:sz w:val="18"/>
                <w:szCs w:val="18"/>
                <w:color w:val="auto"/>
              </w:rPr>
            </w:pPr>
          </w:p>
        </w:tc>
        <w:tc>
          <w:tcPr>
            <w:tcW w:w="860" w:type="dxa"/>
            <w:vAlign w:val="bottom"/>
            <w:shd w:val="clear" w:color="auto" w:fill="CCFFFF"/>
          </w:tcPr>
          <w:p>
            <w:pPr>
              <w:spacing w:after="0"/>
              <w:rPr>
                <w:sz w:val="18"/>
                <w:szCs w:val="18"/>
                <w:color w:val="auto"/>
              </w:rPr>
            </w:pPr>
          </w:p>
        </w:tc>
        <w:tc>
          <w:tcPr>
            <w:tcW w:w="3500" w:type="dxa"/>
            <w:vAlign w:val="bottom"/>
            <w:shd w:val="clear" w:color="auto" w:fill="CCFFFF"/>
          </w:tcPr>
          <w:p>
            <w:pPr>
              <w:spacing w:after="0"/>
              <w:rPr>
                <w:sz w:val="18"/>
                <w:szCs w:val="18"/>
                <w:color w:val="auto"/>
              </w:rPr>
            </w:pPr>
          </w:p>
        </w:tc>
        <w:tc>
          <w:tcPr>
            <w:tcW w:w="1260" w:type="dxa"/>
            <w:vAlign w:val="bottom"/>
            <w:shd w:val="clear" w:color="auto" w:fill="CCFFFF"/>
          </w:tcPr>
          <w:p>
            <w:pPr>
              <w:spacing w:after="0"/>
              <w:rPr>
                <w:sz w:val="18"/>
                <w:szCs w:val="18"/>
                <w:color w:val="auto"/>
              </w:rPr>
            </w:pPr>
          </w:p>
        </w:tc>
        <w:tc>
          <w:tcPr>
            <w:tcW w:w="24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r>
      <w:tr>
        <w:trPr>
          <w:trHeight w:val="176"/>
        </w:trPr>
        <w:tc>
          <w:tcPr>
            <w:tcW w:w="55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Net book value</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520" w:type="dxa"/>
            <w:vAlign w:val="bottom"/>
            <w:gridSpan w:val="4"/>
            <w:shd w:val="clear" w:color="auto" w:fill="CCFFFF"/>
          </w:tcPr>
          <w:p>
            <w:pPr>
              <w:spacing w:after="0"/>
              <w:rPr>
                <w:sz w:val="20"/>
                <w:szCs w:val="20"/>
                <w:color w:val="auto"/>
              </w:rPr>
            </w:pPr>
            <w:r>
              <w:rPr>
                <w:rFonts w:ascii="Arial" w:cs="Arial" w:eastAsia="Arial" w:hAnsi="Arial"/>
                <w:sz w:val="18"/>
                <w:szCs w:val="18"/>
                <w:b w:val="1"/>
                <w:bCs w:val="1"/>
                <w:color w:val="auto"/>
              </w:rPr>
              <w:t>As of December 31, 2020</w:t>
            </w:r>
          </w:p>
        </w:tc>
        <w:tc>
          <w:tcPr>
            <w:tcW w:w="1500" w:type="dxa"/>
            <w:vAlign w:val="bottom"/>
            <w:gridSpan w:val="2"/>
            <w:shd w:val="clear" w:color="auto" w:fill="CCFFFF"/>
          </w:tcPr>
          <w:p>
            <w:pPr>
              <w:jc w:val="right"/>
              <w:ind w:right="240"/>
              <w:spacing w:after="0"/>
              <w:rPr>
                <w:sz w:val="20"/>
                <w:szCs w:val="20"/>
                <w:color w:val="auto"/>
              </w:rPr>
            </w:pPr>
            <w:r>
              <w:rPr>
                <w:rFonts w:ascii="Arial" w:cs="Arial" w:eastAsia="Arial" w:hAnsi="Arial"/>
                <w:sz w:val="18"/>
                <w:szCs w:val="18"/>
                <w:b w:val="1"/>
                <w:bCs w:val="1"/>
                <w:color w:val="auto"/>
              </w:rPr>
              <w:t>5,001,174</w:t>
            </w:r>
          </w:p>
        </w:tc>
        <w:tc>
          <w:tcPr>
            <w:tcW w:w="1440" w:type="dxa"/>
            <w:vAlign w:val="bottom"/>
            <w:gridSpan w:val="2"/>
            <w:shd w:val="clear" w:color="auto" w:fill="CCFFFF"/>
          </w:tcPr>
          <w:p>
            <w:pPr>
              <w:jc w:val="right"/>
              <w:ind w:right="220"/>
              <w:spacing w:after="0"/>
              <w:rPr>
                <w:sz w:val="20"/>
                <w:szCs w:val="20"/>
                <w:color w:val="auto"/>
              </w:rPr>
            </w:pPr>
            <w:r>
              <w:rPr>
                <w:rFonts w:ascii="Arial" w:cs="Arial" w:eastAsia="Arial" w:hAnsi="Arial"/>
                <w:sz w:val="18"/>
                <w:szCs w:val="18"/>
                <w:b w:val="1"/>
                <w:bCs w:val="1"/>
                <w:color w:val="auto"/>
              </w:rPr>
              <w:t>27,335</w:t>
            </w:r>
          </w:p>
        </w:tc>
        <w:tc>
          <w:tcPr>
            <w:tcW w:w="1440" w:type="dxa"/>
            <w:vAlign w:val="bottom"/>
            <w:gridSpan w:val="2"/>
            <w:shd w:val="clear" w:color="auto" w:fill="CCFFFF"/>
          </w:tcPr>
          <w:p>
            <w:pPr>
              <w:jc w:val="right"/>
              <w:ind w:right="220"/>
              <w:spacing w:after="0"/>
              <w:rPr>
                <w:sz w:val="20"/>
                <w:szCs w:val="20"/>
                <w:color w:val="auto"/>
              </w:rPr>
            </w:pPr>
            <w:r>
              <w:rPr>
                <w:rFonts w:ascii="Arial" w:cs="Arial" w:eastAsia="Arial" w:hAnsi="Arial"/>
                <w:sz w:val="18"/>
                <w:szCs w:val="18"/>
                <w:b w:val="1"/>
                <w:bCs w:val="1"/>
                <w:color w:val="auto"/>
              </w:rPr>
              <w:t>5,028,509</w:t>
            </w:r>
          </w:p>
        </w:tc>
        <w:tc>
          <w:tcPr>
            <w:tcW w:w="126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b w:val="1"/>
                <w:bCs w:val="1"/>
                <w:color w:val="auto"/>
              </w:rPr>
              <w:t>132,839</w:t>
            </w:r>
          </w:p>
        </w:tc>
        <w:tc>
          <w:tcPr>
            <w:tcW w:w="80" w:type="dxa"/>
            <w:vAlign w:val="bottom"/>
            <w:shd w:val="clear" w:color="auto" w:fill="CCFFFF"/>
          </w:tcPr>
          <w:p>
            <w:pPr>
              <w:spacing w:after="0"/>
              <w:rPr>
                <w:sz w:val="19"/>
                <w:szCs w:val="19"/>
                <w:color w:val="auto"/>
              </w:rPr>
            </w:pPr>
          </w:p>
        </w:tc>
      </w:tr>
      <w:tr>
        <w:trPr>
          <w:trHeight w:val="223"/>
        </w:trPr>
        <w:tc>
          <w:tcPr>
            <w:tcW w:w="5520" w:type="dxa"/>
            <w:vAlign w:val="bottom"/>
            <w:gridSpan w:val="4"/>
          </w:tcPr>
          <w:p>
            <w:pPr>
              <w:spacing w:after="0"/>
              <w:rPr>
                <w:sz w:val="20"/>
                <w:szCs w:val="20"/>
                <w:color w:val="auto"/>
              </w:rPr>
            </w:pPr>
            <w:r>
              <w:rPr>
                <w:rFonts w:ascii="Arial" w:cs="Arial" w:eastAsia="Arial" w:hAnsi="Arial"/>
                <w:sz w:val="18"/>
                <w:szCs w:val="18"/>
                <w:b w:val="1"/>
                <w:bCs w:val="1"/>
                <w:color w:val="auto"/>
              </w:rPr>
              <w:t>As of March 31,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5,142,734</w:t>
            </w:r>
          </w:p>
        </w:tc>
        <w:tc>
          <w:tcPr>
            <w:tcW w:w="2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28,439</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5,171,173</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105,643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Vessels with an aggregate carrying amount of $5,142,734 as of March 31, 2021 (December 31, 2020: $5,001,174) have been pledged as collateral under the terms of the Group’s credit facilities.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March 31, 2021, the Company concluded that there were no events or circumstances triggering the existence of potential impairment or reversal of impairment of its vessels.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GasLog has the following newbuildings on order at Samsung Heavy Industries Co., Ltd. (“Samsung”):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Cargo Capacity</w:t>
            </w:r>
          </w:p>
        </w:tc>
      </w:tr>
      <w:tr>
        <w:trPr>
          <w:trHeight w:val="216"/>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Date of</w:t>
            </w:r>
          </w:p>
        </w:tc>
        <w:tc>
          <w:tcPr>
            <w:tcW w:w="2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Estimated</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6"/>
              </w:rPr>
              <w:t>cubic meters</w:t>
            </w:r>
          </w:p>
        </w:tc>
      </w:tr>
      <w:tr>
        <w:trPr>
          <w:trHeight w:val="234"/>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LNG Carrier</w:t>
            </w:r>
          </w:p>
        </w:tc>
        <w:tc>
          <w:tcPr>
            <w:tcW w:w="21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agreement</w:t>
            </w:r>
          </w:p>
        </w:tc>
        <w:tc>
          <w:tcPr>
            <w:tcW w:w="21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delivery</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5"/>
              </w:rPr>
              <w:t>(“cbm”)</w:t>
            </w:r>
          </w:p>
        </w:tc>
      </w:tr>
      <w:tr>
        <w:trPr>
          <w:trHeight w:val="210"/>
        </w:trPr>
        <w:tc>
          <w:tcPr>
            <w:tcW w:w="2160" w:type="dxa"/>
            <w:vAlign w:val="bottom"/>
            <w:tcBorders>
              <w:top w:val="single" w:sz="8" w:color="auto"/>
            </w:tcBorders>
            <w:shd w:val="clear" w:color="auto" w:fill="CCFFFF"/>
          </w:tcPr>
          <w:p>
            <w:pPr>
              <w:spacing w:after="0"/>
              <w:rPr>
                <w:sz w:val="20"/>
                <w:szCs w:val="20"/>
                <w:color w:val="auto"/>
              </w:rPr>
            </w:pPr>
            <w:r>
              <w:rPr>
                <w:rFonts w:ascii="Arial" w:cs="Arial" w:eastAsia="Arial" w:hAnsi="Arial"/>
                <w:sz w:val="18"/>
                <w:szCs w:val="18"/>
                <w:color w:val="auto"/>
              </w:rPr>
              <w:t>Hull No. 2311</w:t>
            </w:r>
          </w:p>
        </w:tc>
        <w:tc>
          <w:tcPr>
            <w:tcW w:w="80" w:type="dxa"/>
            <w:vAlign w:val="bottom"/>
            <w:tcBorders>
              <w:top w:val="single" w:sz="8" w:color="CCFFFF"/>
            </w:tcBorders>
            <w:shd w:val="clear" w:color="auto" w:fill="CCFFFF"/>
          </w:tcPr>
          <w:p>
            <w:pPr>
              <w:spacing w:after="0"/>
              <w:rPr>
                <w:sz w:val="18"/>
                <w:szCs w:val="18"/>
                <w:color w:val="auto"/>
              </w:rPr>
            </w:pPr>
          </w:p>
        </w:tc>
        <w:tc>
          <w:tcPr>
            <w:tcW w:w="2060" w:type="dxa"/>
            <w:vAlign w:val="bottom"/>
            <w:tcBorders>
              <w:top w:val="single" w:sz="8" w:color="auto"/>
            </w:tcBorders>
            <w:shd w:val="clear" w:color="auto" w:fill="CCFFFF"/>
          </w:tcPr>
          <w:p>
            <w:pPr>
              <w:jc w:val="center"/>
              <w:spacing w:after="0"/>
              <w:rPr>
                <w:sz w:val="20"/>
                <w:szCs w:val="20"/>
                <w:color w:val="auto"/>
              </w:rPr>
            </w:pPr>
            <w:r>
              <w:rPr>
                <w:rFonts w:ascii="Arial" w:cs="Arial" w:eastAsia="Arial" w:hAnsi="Arial"/>
                <w:sz w:val="18"/>
                <w:szCs w:val="18"/>
                <w:color w:val="auto"/>
                <w:w w:val="88"/>
              </w:rPr>
              <w:t>December 2018</w:t>
            </w:r>
          </w:p>
        </w:tc>
        <w:tc>
          <w:tcPr>
            <w:tcW w:w="80" w:type="dxa"/>
            <w:vAlign w:val="bottom"/>
            <w:tcBorders>
              <w:top w:val="single" w:sz="8" w:color="CCFFFF"/>
            </w:tcBorders>
            <w:shd w:val="clear" w:color="auto" w:fill="CCFFFF"/>
          </w:tcPr>
          <w:p>
            <w:pPr>
              <w:spacing w:after="0"/>
              <w:rPr>
                <w:sz w:val="18"/>
                <w:szCs w:val="18"/>
                <w:color w:val="auto"/>
              </w:rPr>
            </w:pPr>
          </w:p>
        </w:tc>
        <w:tc>
          <w:tcPr>
            <w:tcW w:w="2040" w:type="dxa"/>
            <w:vAlign w:val="bottom"/>
            <w:tcBorders>
              <w:top w:val="single" w:sz="8" w:color="auto"/>
            </w:tcBorders>
            <w:shd w:val="clear" w:color="auto" w:fill="CCFFFF"/>
          </w:tcPr>
          <w:p>
            <w:pPr>
              <w:jc w:val="center"/>
              <w:spacing w:after="0"/>
              <w:rPr>
                <w:sz w:val="20"/>
                <w:szCs w:val="20"/>
                <w:color w:val="auto"/>
              </w:rPr>
            </w:pPr>
            <w:r>
              <w:rPr>
                <w:rFonts w:ascii="Arial" w:cs="Arial" w:eastAsia="Arial" w:hAnsi="Arial"/>
                <w:sz w:val="18"/>
                <w:szCs w:val="18"/>
                <w:color w:val="auto"/>
                <w:w w:val="92"/>
              </w:rPr>
              <w:t>Q2 2021</w:t>
            </w:r>
          </w:p>
        </w:tc>
        <w:tc>
          <w:tcPr>
            <w:tcW w:w="80" w:type="dxa"/>
            <w:vAlign w:val="bottom"/>
            <w:tcBorders>
              <w:top w:val="single" w:sz="8" w:color="CCFFFF"/>
            </w:tcBorders>
            <w:shd w:val="clear" w:color="auto" w:fill="CCFFFF"/>
          </w:tcPr>
          <w:p>
            <w:pPr>
              <w:spacing w:after="0"/>
              <w:rPr>
                <w:sz w:val="18"/>
                <w:szCs w:val="18"/>
                <w:color w:val="auto"/>
              </w:rPr>
            </w:pPr>
          </w:p>
        </w:tc>
        <w:tc>
          <w:tcPr>
            <w:tcW w:w="2040" w:type="dxa"/>
            <w:vAlign w:val="bottom"/>
            <w:tcBorders>
              <w:top w:val="single" w:sz="8" w:color="auto"/>
            </w:tcBorders>
            <w:shd w:val="clear" w:color="auto" w:fill="CCFFFF"/>
          </w:tcPr>
          <w:p>
            <w:pPr>
              <w:jc w:val="center"/>
              <w:spacing w:after="0"/>
              <w:rPr>
                <w:sz w:val="20"/>
                <w:szCs w:val="20"/>
                <w:color w:val="auto"/>
              </w:rPr>
            </w:pPr>
            <w:r>
              <w:rPr>
                <w:rFonts w:ascii="Arial" w:cs="Arial" w:eastAsia="Arial" w:hAnsi="Arial"/>
                <w:sz w:val="18"/>
                <w:szCs w:val="18"/>
                <w:color w:val="auto"/>
                <w:w w:val="92"/>
              </w:rPr>
              <w:t>180,000</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Hull No. 2312</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December 2018</w:t>
            </w:r>
          </w:p>
        </w:tc>
        <w:tc>
          <w:tcPr>
            <w:tcW w:w="21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Q3 2021</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180,000</w:t>
            </w:r>
          </w:p>
        </w:tc>
      </w:tr>
    </w:tbl>
    <w:p>
      <w:pPr>
        <w:spacing w:after="0" w:line="18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March 31, 2021, the Group has paid to the shipyard $103,632 for the vessels that are under construction and expects to pay the remaining installments as they come due upon each vessel’s keel laying, launching and delivery (Note 14).</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vessels under construction costs as of December 31, 2020 and March 31, 2021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6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6"/>
              </w:rPr>
              <w:t>March 31, 2021</w:t>
            </w:r>
          </w:p>
        </w:tc>
        <w:tc>
          <w:tcPr>
            <w:tcW w:w="0" w:type="dxa"/>
            <w:vAlign w:val="bottom"/>
          </w:tcPr>
          <w:p>
            <w:pPr>
              <w:spacing w:after="0"/>
              <w:rPr>
                <w:sz w:val="1"/>
                <w:szCs w:val="1"/>
                <w:color w:val="auto"/>
              </w:rPr>
            </w:pPr>
          </w:p>
        </w:tc>
      </w:tr>
      <w:tr>
        <w:trPr>
          <w:trHeight w:val="209"/>
        </w:trPr>
        <w:tc>
          <w:tcPr>
            <w:tcW w:w="2620" w:type="dxa"/>
            <w:vAlign w:val="bottom"/>
            <w:tcBorders>
              <w:top w:val="single" w:sz="8" w:color="CCFFFF"/>
            </w:tcBorders>
            <w:gridSpan w:val="2"/>
            <w:shd w:val="clear" w:color="auto" w:fill="CCFFFF"/>
          </w:tcPr>
          <w:p>
            <w:pPr>
              <w:spacing w:after="0"/>
              <w:rPr>
                <w:sz w:val="20"/>
                <w:szCs w:val="20"/>
                <w:color w:val="auto"/>
              </w:rPr>
            </w:pPr>
            <w:r>
              <w:rPr>
                <w:rFonts w:ascii="Arial" w:cs="Arial" w:eastAsia="Arial" w:hAnsi="Arial"/>
                <w:sz w:val="18"/>
                <w:szCs w:val="18"/>
                <w:color w:val="auto"/>
              </w:rPr>
              <w:t>Progress shipyard installments</w:t>
            </w:r>
          </w:p>
        </w:tc>
        <w:tc>
          <w:tcPr>
            <w:tcW w:w="1460" w:type="dxa"/>
            <w:vAlign w:val="bottom"/>
            <w:tcBorders>
              <w:top w:val="single" w:sz="8" w:color="CCFFFF"/>
            </w:tcBorders>
            <w:shd w:val="clear" w:color="auto" w:fill="CCFFFF"/>
          </w:tcPr>
          <w:p>
            <w:pPr>
              <w:spacing w:after="0"/>
              <w:rPr>
                <w:sz w:val="18"/>
                <w:szCs w:val="18"/>
                <w:color w:val="auto"/>
              </w:rPr>
            </w:pPr>
          </w:p>
        </w:tc>
        <w:tc>
          <w:tcPr>
            <w:tcW w:w="240" w:type="dxa"/>
            <w:vAlign w:val="bottom"/>
            <w:tcBorders>
              <w:top w:val="single" w:sz="8" w:color="CCFFFF"/>
            </w:tcBorders>
            <w:shd w:val="clear" w:color="auto" w:fill="CCFFFF"/>
          </w:tcPr>
          <w:p>
            <w:pPr>
              <w:spacing w:after="0"/>
              <w:rPr>
                <w:sz w:val="18"/>
                <w:szCs w:val="18"/>
                <w:color w:val="auto"/>
              </w:rPr>
            </w:pPr>
          </w:p>
        </w:tc>
        <w:tc>
          <w:tcPr>
            <w:tcW w:w="1820" w:type="dxa"/>
            <w:vAlign w:val="bottom"/>
            <w:tcBorders>
              <w:top w:val="single" w:sz="8" w:color="CCFFFF"/>
            </w:tcBorders>
            <w:shd w:val="clear" w:color="auto" w:fill="CCFFFF"/>
          </w:tcPr>
          <w:p>
            <w:pPr>
              <w:spacing w:after="0"/>
              <w:rPr>
                <w:sz w:val="18"/>
                <w:szCs w:val="18"/>
                <w:color w:val="auto"/>
              </w:rPr>
            </w:pPr>
          </w:p>
        </w:tc>
        <w:tc>
          <w:tcPr>
            <w:tcW w:w="220" w:type="dxa"/>
            <w:vAlign w:val="bottom"/>
            <w:tcBorders>
              <w:top w:val="single" w:sz="8" w:color="CCFFFF"/>
            </w:tcBorders>
            <w:shd w:val="clear" w:color="auto" w:fill="CCFFFF"/>
          </w:tcPr>
          <w:p>
            <w:pPr>
              <w:spacing w:after="0"/>
              <w:rPr>
                <w:sz w:val="18"/>
                <w:szCs w:val="18"/>
                <w:color w:val="auto"/>
              </w:rPr>
            </w:pPr>
          </w:p>
        </w:tc>
        <w:tc>
          <w:tcPr>
            <w:tcW w:w="960" w:type="dxa"/>
            <w:vAlign w:val="bottom"/>
            <w:tcBorders>
              <w:top w:val="single" w:sz="8" w:color="CCFFFF"/>
            </w:tcBorders>
            <w:shd w:val="clear" w:color="auto" w:fill="CCFFFF"/>
          </w:tcPr>
          <w:p>
            <w:pPr>
              <w:spacing w:after="0"/>
              <w:rPr>
                <w:sz w:val="18"/>
                <w:szCs w:val="18"/>
                <w:color w:val="auto"/>
              </w:rPr>
            </w:pPr>
          </w:p>
        </w:tc>
        <w:tc>
          <w:tcPr>
            <w:tcW w:w="500" w:type="dxa"/>
            <w:vAlign w:val="bottom"/>
            <w:tcBorders>
              <w:top w:val="single" w:sz="8" w:color="auto"/>
            </w:tcBorders>
            <w:shd w:val="clear" w:color="auto" w:fill="CCFFFF"/>
          </w:tcPr>
          <w:p>
            <w:pPr>
              <w:spacing w:after="0"/>
              <w:rPr>
                <w:sz w:val="18"/>
                <w:szCs w:val="18"/>
                <w:color w:val="auto"/>
              </w:rPr>
            </w:pPr>
          </w:p>
        </w:tc>
        <w:tc>
          <w:tcPr>
            <w:tcW w:w="200" w:type="dxa"/>
            <w:vAlign w:val="bottom"/>
            <w:tcBorders>
              <w:top w:val="single" w:sz="8" w:color="auto"/>
            </w:tcBorders>
            <w:shd w:val="clear" w:color="auto" w:fill="CCFFFF"/>
          </w:tcPr>
          <w:p>
            <w:pPr>
              <w:spacing w:after="0"/>
              <w:rPr>
                <w:sz w:val="18"/>
                <w:szCs w:val="18"/>
                <w:color w:val="auto"/>
              </w:rPr>
            </w:pPr>
          </w:p>
        </w:tc>
        <w:tc>
          <w:tcPr>
            <w:tcW w:w="11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129,252</w:t>
            </w:r>
          </w:p>
        </w:tc>
        <w:tc>
          <w:tcPr>
            <w:tcW w:w="40" w:type="dxa"/>
            <w:vAlign w:val="bottom"/>
            <w:tcBorders>
              <w:top w:val="single" w:sz="8" w:color="CCFFFF"/>
            </w:tcBorders>
            <w:shd w:val="clear" w:color="auto" w:fill="CCFFFF"/>
          </w:tcPr>
          <w:p>
            <w:pPr>
              <w:spacing w:after="0"/>
              <w:rPr>
                <w:sz w:val="18"/>
                <w:szCs w:val="18"/>
                <w:color w:val="auto"/>
              </w:rPr>
            </w:pPr>
          </w:p>
        </w:tc>
        <w:tc>
          <w:tcPr>
            <w:tcW w:w="160" w:type="dxa"/>
            <w:vAlign w:val="bottom"/>
            <w:tcBorders>
              <w:top w:val="single" w:sz="8" w:color="CCFFFF"/>
            </w:tcBorders>
            <w:shd w:val="clear" w:color="auto" w:fill="CCFFFF"/>
          </w:tcPr>
          <w:p>
            <w:pPr>
              <w:spacing w:after="0"/>
              <w:rPr>
                <w:sz w:val="18"/>
                <w:szCs w:val="18"/>
                <w:color w:val="auto"/>
              </w:rPr>
            </w:pPr>
          </w:p>
        </w:tc>
        <w:tc>
          <w:tcPr>
            <w:tcW w:w="140" w:type="dxa"/>
            <w:vAlign w:val="bottom"/>
            <w:tcBorders>
              <w:top w:val="single" w:sz="8" w:color="auto"/>
            </w:tcBorders>
            <w:shd w:val="clear" w:color="auto" w:fill="CCFFFF"/>
          </w:tcPr>
          <w:p>
            <w:pPr>
              <w:spacing w:after="0"/>
              <w:rPr>
                <w:sz w:val="18"/>
                <w:szCs w:val="18"/>
                <w:color w:val="auto"/>
              </w:rPr>
            </w:pPr>
          </w:p>
        </w:tc>
        <w:tc>
          <w:tcPr>
            <w:tcW w:w="100" w:type="dxa"/>
            <w:vAlign w:val="bottom"/>
            <w:tcBorders>
              <w:top w:val="single" w:sz="8" w:color="auto"/>
            </w:tcBorders>
            <w:shd w:val="clear" w:color="auto" w:fill="CCFFFF"/>
          </w:tcPr>
          <w:p>
            <w:pPr>
              <w:spacing w:after="0"/>
              <w:rPr>
                <w:sz w:val="18"/>
                <w:szCs w:val="18"/>
                <w:color w:val="auto"/>
              </w:rPr>
            </w:pPr>
          </w:p>
        </w:tc>
        <w:tc>
          <w:tcPr>
            <w:tcW w:w="1560" w:type="dxa"/>
            <w:vAlign w:val="bottom"/>
            <w:tcBorders>
              <w:top w:val="single" w:sz="8" w:color="auto"/>
            </w:tcBorders>
            <w:gridSpan w:val="2"/>
            <w:shd w:val="clear" w:color="auto" w:fill="CCFFFF"/>
          </w:tcPr>
          <w:p>
            <w:pPr>
              <w:jc w:val="right"/>
              <w:spacing w:after="0"/>
              <w:rPr>
                <w:sz w:val="20"/>
                <w:szCs w:val="20"/>
                <w:color w:val="auto"/>
              </w:rPr>
            </w:pPr>
            <w:r>
              <w:rPr>
                <w:rFonts w:ascii="Arial" w:cs="Arial" w:eastAsia="Arial" w:hAnsi="Arial"/>
                <w:sz w:val="18"/>
                <w:szCs w:val="18"/>
                <w:color w:val="auto"/>
              </w:rPr>
              <w:t>103,632</w:t>
            </w:r>
          </w:p>
        </w:tc>
        <w:tc>
          <w:tcPr>
            <w:tcW w:w="100" w:type="dxa"/>
            <w:vAlign w:val="bottom"/>
            <w:tcBorders>
              <w:top w:val="single" w:sz="8" w:color="CCFFFF"/>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Onsite supervision costs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30"/>
        </w:trPr>
        <w:tc>
          <w:tcPr>
            <w:tcW w:w="6360" w:type="dxa"/>
            <w:vAlign w:val="bottom"/>
            <w:gridSpan w:val="6"/>
            <w:shd w:val="clear" w:color="auto" w:fill="CCFFFF"/>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960" w:type="dxa"/>
            <w:vAlign w:val="bottom"/>
            <w:shd w:val="clear" w:color="auto" w:fill="CCFFFF"/>
          </w:tcPr>
          <w:p>
            <w:pPr>
              <w:spacing w:after="0"/>
              <w:rPr>
                <w:sz w:val="19"/>
                <w:szCs w:val="19"/>
                <w:color w:val="auto"/>
              </w:rPr>
            </w:pPr>
          </w:p>
        </w:tc>
        <w:tc>
          <w:tcPr>
            <w:tcW w:w="500" w:type="dxa"/>
            <w:vAlign w:val="bottom"/>
            <w:shd w:val="clear" w:color="auto" w:fill="CCFFFF"/>
          </w:tcPr>
          <w:p>
            <w:pPr>
              <w:spacing w:after="0"/>
              <w:rPr>
                <w:sz w:val="19"/>
                <w:szCs w:val="19"/>
                <w:color w:val="auto"/>
              </w:rPr>
            </w:pPr>
          </w:p>
        </w:tc>
        <w:tc>
          <w:tcPr>
            <w:tcW w:w="200" w:type="dxa"/>
            <w:vAlign w:val="bottom"/>
            <w:shd w:val="clear" w:color="auto" w:fill="CCFFFF"/>
          </w:tcPr>
          <w:p>
            <w:pPr>
              <w:spacing w:after="0"/>
              <w:rPr>
                <w:sz w:val="19"/>
                <w:szCs w:val="19"/>
                <w:color w:val="auto"/>
              </w:rPr>
            </w:pPr>
          </w:p>
        </w:tc>
        <w:tc>
          <w:tcPr>
            <w:tcW w:w="116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1,886</w:t>
            </w:r>
          </w:p>
        </w:tc>
        <w:tc>
          <w:tcPr>
            <w:tcW w:w="160" w:type="dxa"/>
            <w:vAlign w:val="bottom"/>
            <w:shd w:val="clear" w:color="auto" w:fill="CCFFFF"/>
          </w:tcPr>
          <w:p>
            <w:pPr>
              <w:spacing w:after="0"/>
              <w:rPr>
                <w:sz w:val="19"/>
                <w:szCs w:val="19"/>
                <w:color w:val="auto"/>
              </w:rPr>
            </w:pPr>
          </w:p>
        </w:tc>
        <w:tc>
          <w:tcPr>
            <w:tcW w:w="140" w:type="dxa"/>
            <w:vAlign w:val="bottom"/>
            <w:shd w:val="clear" w:color="auto" w:fill="CCFFFF"/>
          </w:tcPr>
          <w:p>
            <w:pPr>
              <w:spacing w:after="0"/>
              <w:rPr>
                <w:sz w:val="19"/>
                <w:szCs w:val="19"/>
                <w:color w:val="auto"/>
              </w:rPr>
            </w:pPr>
          </w:p>
        </w:tc>
        <w:tc>
          <w:tcPr>
            <w:tcW w:w="100" w:type="dxa"/>
            <w:vAlign w:val="bottom"/>
            <w:shd w:val="clear" w:color="auto" w:fill="CCFFFF"/>
          </w:tcPr>
          <w:p>
            <w:pPr>
              <w:spacing w:after="0"/>
              <w:rPr>
                <w:sz w:val="19"/>
                <w:szCs w:val="19"/>
                <w:color w:val="auto"/>
              </w:rPr>
            </w:pPr>
          </w:p>
        </w:tc>
        <w:tc>
          <w:tcPr>
            <w:tcW w:w="1660" w:type="dxa"/>
            <w:vAlign w:val="bottom"/>
            <w:gridSpan w:val="3"/>
            <w:shd w:val="clear" w:color="auto" w:fill="CCFF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132,839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105,643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Leases</w:t>
            </w: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2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60" w:type="dxa"/>
            <w:vAlign w:val="bottom"/>
            <w:gridSpan w:val="6"/>
          </w:tcPr>
          <w:p>
            <w:pPr>
              <w:ind w:left="340"/>
              <w:spacing w:after="0"/>
              <w:rPr>
                <w:sz w:val="20"/>
                <w:szCs w:val="20"/>
                <w:color w:val="auto"/>
              </w:rPr>
            </w:pPr>
            <w:r>
              <w:rPr>
                <w:rFonts w:ascii="Arial" w:cs="Arial" w:eastAsia="Arial" w:hAnsi="Arial"/>
                <w:sz w:val="18"/>
                <w:szCs w:val="18"/>
                <w:color w:val="auto"/>
              </w:rPr>
              <w:t>The movements in right-of-use assets are reported in the following table:</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Right-of-Use Assets</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Vessels</w:t>
            </w:r>
          </w:p>
        </w:tc>
        <w:tc>
          <w:tcPr>
            <w:tcW w:w="2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Vessel Equipment</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Properties</w:t>
            </w:r>
          </w:p>
        </w:tc>
        <w:tc>
          <w:tcPr>
            <w:tcW w:w="1160" w:type="dxa"/>
            <w:vAlign w:val="bottom"/>
            <w:gridSpan w:val="2"/>
          </w:tcPr>
          <w:p>
            <w:pPr>
              <w:ind w:left="50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shd w:val="clear" w:color="auto" w:fill="CCFFFF"/>
          </w:tcPr>
          <w:p>
            <w:pPr>
              <w:spacing w:after="0"/>
              <w:rPr>
                <w:sz w:val="20"/>
                <w:szCs w:val="20"/>
                <w:color w:val="auto"/>
              </w:rPr>
            </w:pPr>
            <w:r>
              <w:rPr>
                <w:rFonts w:ascii="Arial" w:cs="Arial" w:eastAsia="Arial" w:hAnsi="Arial"/>
                <w:sz w:val="18"/>
                <w:szCs w:val="18"/>
                <w:color w:val="auto"/>
              </w:rPr>
              <w:t>As of January 1, 2021</w:t>
            </w:r>
          </w:p>
        </w:tc>
        <w:tc>
          <w:tcPr>
            <w:tcW w:w="120" w:type="dxa"/>
            <w:vAlign w:val="bottom"/>
            <w:tcBorders>
              <w:top w:val="single" w:sz="8" w:color="CCFFFF"/>
            </w:tcBorders>
            <w:shd w:val="clear" w:color="auto" w:fill="CCFFFF"/>
          </w:tcPr>
          <w:p>
            <w:pPr>
              <w:spacing w:after="0"/>
              <w:rPr>
                <w:sz w:val="18"/>
                <w:szCs w:val="18"/>
                <w:color w:val="auto"/>
              </w:rPr>
            </w:pPr>
          </w:p>
        </w:tc>
        <w:tc>
          <w:tcPr>
            <w:tcW w:w="146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197,668</w:t>
            </w:r>
          </w:p>
        </w:tc>
        <w:tc>
          <w:tcPr>
            <w:tcW w:w="240" w:type="dxa"/>
            <w:vAlign w:val="bottom"/>
            <w:tcBorders>
              <w:top w:val="single" w:sz="8" w:color="CCFFFF"/>
            </w:tcBorders>
            <w:shd w:val="clear" w:color="auto" w:fill="CCFFFF"/>
          </w:tcPr>
          <w:p>
            <w:pPr>
              <w:spacing w:after="0"/>
              <w:rPr>
                <w:sz w:val="18"/>
                <w:szCs w:val="18"/>
                <w:color w:val="auto"/>
              </w:rPr>
            </w:pPr>
          </w:p>
        </w:tc>
        <w:tc>
          <w:tcPr>
            <w:tcW w:w="18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1,437</w:t>
            </w:r>
          </w:p>
        </w:tc>
        <w:tc>
          <w:tcPr>
            <w:tcW w:w="220" w:type="dxa"/>
            <w:vAlign w:val="bottom"/>
            <w:tcBorders>
              <w:top w:val="single" w:sz="8" w:color="CCFFFF"/>
            </w:tcBorders>
            <w:shd w:val="clear" w:color="auto" w:fill="CCFFFF"/>
          </w:tcPr>
          <w:p>
            <w:pPr>
              <w:spacing w:after="0"/>
              <w:rPr>
                <w:sz w:val="18"/>
                <w:szCs w:val="18"/>
                <w:color w:val="auto"/>
              </w:rPr>
            </w:pPr>
          </w:p>
        </w:tc>
        <w:tc>
          <w:tcPr>
            <w:tcW w:w="1460" w:type="dxa"/>
            <w:vAlign w:val="bottom"/>
            <w:tcBorders>
              <w:top w:val="single" w:sz="8" w:color="auto"/>
            </w:tcBorders>
            <w:gridSpan w:val="2"/>
            <w:shd w:val="clear" w:color="auto" w:fill="CCFFFF"/>
          </w:tcPr>
          <w:p>
            <w:pPr>
              <w:jc w:val="right"/>
              <w:spacing w:after="0"/>
              <w:rPr>
                <w:sz w:val="20"/>
                <w:szCs w:val="20"/>
                <w:color w:val="auto"/>
              </w:rPr>
            </w:pPr>
            <w:r>
              <w:rPr>
                <w:rFonts w:ascii="Arial" w:cs="Arial" w:eastAsia="Arial" w:hAnsi="Arial"/>
                <w:sz w:val="18"/>
                <w:szCs w:val="18"/>
                <w:color w:val="auto"/>
              </w:rPr>
              <w:t>4,258</w:t>
            </w:r>
          </w:p>
        </w:tc>
        <w:tc>
          <w:tcPr>
            <w:tcW w:w="200" w:type="dxa"/>
            <w:vAlign w:val="bottom"/>
            <w:tcBorders>
              <w:top w:val="single" w:sz="8" w:color="CCFFFF"/>
            </w:tcBorders>
            <w:shd w:val="clear" w:color="auto" w:fill="CCFFFF"/>
          </w:tcPr>
          <w:p>
            <w:pPr>
              <w:spacing w:after="0"/>
              <w:rPr>
                <w:sz w:val="18"/>
                <w:szCs w:val="18"/>
                <w:color w:val="auto"/>
              </w:rPr>
            </w:pPr>
          </w:p>
        </w:tc>
        <w:tc>
          <w:tcPr>
            <w:tcW w:w="1120" w:type="dxa"/>
            <w:vAlign w:val="bottom"/>
            <w:tcBorders>
              <w:top w:val="single" w:sz="8" w:color="auto"/>
            </w:tcBorders>
            <w:shd w:val="clear" w:color="auto" w:fill="CCFFFF"/>
          </w:tcPr>
          <w:p>
            <w:pPr>
              <w:spacing w:after="0"/>
              <w:rPr>
                <w:sz w:val="18"/>
                <w:szCs w:val="18"/>
                <w:color w:val="auto"/>
              </w:rPr>
            </w:pPr>
          </w:p>
        </w:tc>
        <w:tc>
          <w:tcPr>
            <w:tcW w:w="40" w:type="dxa"/>
            <w:vAlign w:val="bottom"/>
            <w:tcBorders>
              <w:top w:val="single" w:sz="8" w:color="auto"/>
            </w:tcBorders>
            <w:shd w:val="clear" w:color="auto" w:fill="CCFFFF"/>
          </w:tcPr>
          <w:p>
            <w:pPr>
              <w:spacing w:after="0"/>
              <w:rPr>
                <w:sz w:val="18"/>
                <w:szCs w:val="18"/>
                <w:color w:val="auto"/>
              </w:rPr>
            </w:pPr>
          </w:p>
        </w:tc>
        <w:tc>
          <w:tcPr>
            <w:tcW w:w="300" w:type="dxa"/>
            <w:vAlign w:val="bottom"/>
            <w:tcBorders>
              <w:top w:val="single" w:sz="8" w:color="auto"/>
            </w:tcBorders>
            <w:gridSpan w:val="2"/>
            <w:shd w:val="clear" w:color="auto" w:fill="CCFF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FFFF"/>
            </w:tcBorders>
            <w:shd w:val="clear" w:color="auto" w:fill="CCFFFF"/>
          </w:tcPr>
          <w:p>
            <w:pPr>
              <w:spacing w:after="0"/>
              <w:rPr>
                <w:sz w:val="18"/>
                <w:szCs w:val="18"/>
                <w:color w:val="auto"/>
              </w:rPr>
            </w:pPr>
          </w:p>
        </w:tc>
        <w:tc>
          <w:tcPr>
            <w:tcW w:w="100" w:type="dxa"/>
            <w:vAlign w:val="bottom"/>
            <w:tcBorders>
              <w:top w:val="single" w:sz="8" w:color="CCFFFF"/>
            </w:tcBorders>
            <w:shd w:val="clear" w:color="auto" w:fill="CCFFFF"/>
          </w:tcPr>
          <w:p>
            <w:pPr>
              <w:spacing w:after="0"/>
              <w:rPr>
                <w:sz w:val="18"/>
                <w:szCs w:val="18"/>
                <w:color w:val="auto"/>
              </w:rPr>
            </w:pPr>
          </w:p>
        </w:tc>
        <w:tc>
          <w:tcPr>
            <w:tcW w:w="146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203,437</w:t>
            </w:r>
          </w:p>
        </w:tc>
        <w:tc>
          <w:tcPr>
            <w:tcW w:w="100" w:type="dxa"/>
            <w:vAlign w:val="bottom"/>
            <w:tcBorders>
              <w:top w:val="single" w:sz="8" w:color="CCFFFF"/>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1,325</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FFFF"/>
          </w:tcPr>
          <w:p>
            <w:pPr>
              <w:spacing w:after="0"/>
              <w:rPr>
                <w:sz w:val="20"/>
                <w:szCs w:val="20"/>
                <w:color w:val="auto"/>
              </w:rPr>
            </w:pPr>
            <w:r>
              <w:rPr>
                <w:rFonts w:ascii="Arial" w:cs="Arial" w:eastAsia="Arial" w:hAnsi="Arial"/>
                <w:sz w:val="18"/>
                <w:szCs w:val="18"/>
                <w:color w:val="auto"/>
              </w:rPr>
              <w:t>Depreciation expense</w:t>
            </w:r>
          </w:p>
        </w:tc>
        <w:tc>
          <w:tcPr>
            <w:tcW w:w="1700" w:type="dxa"/>
            <w:vAlign w:val="bottom"/>
            <w:gridSpan w:val="2"/>
            <w:shd w:val="clear" w:color="auto" w:fill="CCFFFF"/>
          </w:tcPr>
          <w:p>
            <w:pPr>
              <w:jc w:val="right"/>
              <w:ind w:right="180"/>
              <w:spacing w:after="0"/>
              <w:rPr>
                <w:sz w:val="20"/>
                <w:szCs w:val="20"/>
                <w:color w:val="auto"/>
              </w:rPr>
            </w:pPr>
            <w:r>
              <w:rPr>
                <w:rFonts w:ascii="Arial" w:cs="Arial" w:eastAsia="Arial" w:hAnsi="Arial"/>
                <w:sz w:val="18"/>
                <w:szCs w:val="18"/>
                <w:color w:val="auto"/>
              </w:rPr>
              <w:t>(2,043)</w:t>
            </w:r>
          </w:p>
        </w:tc>
        <w:tc>
          <w:tcPr>
            <w:tcW w:w="2040" w:type="dxa"/>
            <w:vAlign w:val="bottom"/>
            <w:gridSpan w:val="2"/>
            <w:shd w:val="clear" w:color="auto" w:fill="CCFFFF"/>
          </w:tcPr>
          <w:p>
            <w:pPr>
              <w:jc w:val="right"/>
              <w:ind w:right="160"/>
              <w:spacing w:after="0"/>
              <w:rPr>
                <w:sz w:val="20"/>
                <w:szCs w:val="20"/>
                <w:color w:val="auto"/>
              </w:rPr>
            </w:pPr>
            <w:r>
              <w:rPr>
                <w:rFonts w:ascii="Arial" w:cs="Arial" w:eastAsia="Arial" w:hAnsi="Arial"/>
                <w:sz w:val="18"/>
                <w:szCs w:val="18"/>
                <w:color w:val="auto"/>
              </w:rPr>
              <w:t>(339)</w:t>
            </w:r>
          </w:p>
        </w:tc>
        <w:tc>
          <w:tcPr>
            <w:tcW w:w="1660" w:type="dxa"/>
            <w:vAlign w:val="bottom"/>
            <w:gridSpan w:val="3"/>
            <w:shd w:val="clear" w:color="auto" w:fill="CCFFFF"/>
          </w:tcPr>
          <w:p>
            <w:pPr>
              <w:jc w:val="right"/>
              <w:ind w:right="140"/>
              <w:spacing w:after="0"/>
              <w:rPr>
                <w:sz w:val="20"/>
                <w:szCs w:val="20"/>
                <w:color w:val="auto"/>
              </w:rPr>
            </w:pPr>
            <w:r>
              <w:rPr>
                <w:rFonts w:ascii="Arial" w:cs="Arial" w:eastAsia="Arial" w:hAnsi="Arial"/>
                <w:sz w:val="18"/>
                <w:szCs w:val="18"/>
                <w:color w:val="auto"/>
              </w:rPr>
              <w:t>(277)</w:t>
            </w:r>
          </w:p>
        </w:tc>
        <w:tc>
          <w:tcPr>
            <w:tcW w:w="1120" w:type="dxa"/>
            <w:vAlign w:val="bottom"/>
            <w:shd w:val="clear" w:color="auto" w:fill="CCFFFF"/>
          </w:tcPr>
          <w:p>
            <w:pPr>
              <w:spacing w:after="0"/>
              <w:rPr>
                <w:sz w:val="19"/>
                <w:szCs w:val="19"/>
                <w:color w:val="auto"/>
              </w:rPr>
            </w:pPr>
          </w:p>
        </w:tc>
        <w:tc>
          <w:tcPr>
            <w:tcW w:w="40" w:type="dxa"/>
            <w:vAlign w:val="bottom"/>
            <w:shd w:val="clear" w:color="auto" w:fill="CCFFFF"/>
          </w:tcPr>
          <w:p>
            <w:pPr>
              <w:spacing w:after="0"/>
              <w:rPr>
                <w:sz w:val="19"/>
                <w:szCs w:val="19"/>
                <w:color w:val="auto"/>
              </w:rPr>
            </w:pPr>
          </w:p>
        </w:tc>
        <w:tc>
          <w:tcPr>
            <w:tcW w:w="400" w:type="dxa"/>
            <w:vAlign w:val="bottom"/>
            <w:gridSpan w:val="3"/>
            <w:shd w:val="clear" w:color="auto" w:fill="CCFFFF"/>
          </w:tcPr>
          <w:p>
            <w:pPr>
              <w:jc w:val="right"/>
              <w:ind w:right="40"/>
              <w:spacing w:after="0"/>
              <w:rPr>
                <w:sz w:val="20"/>
                <w:szCs w:val="20"/>
                <w:color w:val="auto"/>
              </w:rPr>
            </w:pPr>
            <w:r>
              <w:rPr>
                <w:rFonts w:ascii="Arial" w:cs="Arial" w:eastAsia="Arial" w:hAnsi="Arial"/>
                <w:sz w:val="18"/>
                <w:szCs w:val="18"/>
                <w:color w:val="auto"/>
              </w:rPr>
              <w:t>(11)</w:t>
            </w:r>
          </w:p>
        </w:tc>
        <w:tc>
          <w:tcPr>
            <w:tcW w:w="1660" w:type="dxa"/>
            <w:vAlign w:val="bottom"/>
            <w:gridSpan w:val="3"/>
            <w:shd w:val="clear" w:color="auto" w:fill="CCFFFF"/>
          </w:tcPr>
          <w:p>
            <w:pPr>
              <w:jc w:val="right"/>
              <w:ind w:right="4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As of March 31, 2021</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195,625</w:t>
            </w:r>
          </w:p>
        </w:tc>
        <w:tc>
          <w:tcPr>
            <w:tcW w:w="24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w:t>
            </w:r>
          </w:p>
        </w:tc>
        <w:tc>
          <w:tcPr>
            <w:tcW w:w="220" w:type="dxa"/>
            <w:vAlign w:val="bottom"/>
          </w:tcPr>
          <w:p>
            <w:pPr>
              <w:spacing w:after="0"/>
              <w:rPr>
                <w:sz w:val="19"/>
                <w:szCs w:val="19"/>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5,306</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F-9</w:t>
            </w: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108"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340"/>
              <w:spacing w:after="0"/>
              <w:rPr>
                <w:sz w:val="20"/>
                <w:szCs w:val="20"/>
                <w:color w:val="auto"/>
              </w:rPr>
            </w:pPr>
            <w:r>
              <w:rPr>
                <w:rFonts w:ascii="Arial" w:cs="Arial" w:eastAsia="Arial" w:hAnsi="Arial"/>
                <w:sz w:val="18"/>
                <w:szCs w:val="18"/>
                <w:color w:val="auto"/>
              </w:rPr>
              <w:t>An analysis of the lease liabilities is as follows:</w:t>
            </w: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Lease Liabilities</w:t>
            </w:r>
          </w:p>
        </w:tc>
        <w:tc>
          <w:tcPr>
            <w:tcW w:w="0" w:type="dxa"/>
            <w:vAlign w:val="bottom"/>
          </w:tcPr>
          <w:p>
            <w:pPr>
              <w:spacing w:after="0"/>
              <w:rPr>
                <w:sz w:val="1"/>
                <w:szCs w:val="1"/>
                <w:color w:val="auto"/>
              </w:rPr>
            </w:pPr>
          </w:p>
        </w:tc>
      </w:tr>
      <w:tr>
        <w:trPr>
          <w:trHeight w:val="209"/>
        </w:trPr>
        <w:tc>
          <w:tcPr>
            <w:tcW w:w="720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As of January 1, 2021</w:t>
            </w:r>
          </w:p>
        </w:tc>
        <w:tc>
          <w:tcPr>
            <w:tcW w:w="1820" w:type="dxa"/>
            <w:vAlign w:val="bottom"/>
            <w:tcBorders>
              <w:top w:val="single" w:sz="8" w:color="CCFFFF"/>
            </w:tcBorders>
            <w:shd w:val="clear" w:color="auto" w:fill="CCFFFF"/>
          </w:tcPr>
          <w:p>
            <w:pPr>
              <w:spacing w:after="0"/>
              <w:rPr>
                <w:sz w:val="18"/>
                <w:szCs w:val="18"/>
                <w:color w:val="auto"/>
              </w:rPr>
            </w:pPr>
          </w:p>
        </w:tc>
        <w:tc>
          <w:tcPr>
            <w:tcW w:w="320" w:type="dxa"/>
            <w:vAlign w:val="bottom"/>
            <w:tcBorders>
              <w:top w:val="single" w:sz="8" w:color="CCFFFF"/>
            </w:tcBorders>
            <w:shd w:val="clear" w:color="auto" w:fill="CCFFFF"/>
          </w:tcPr>
          <w:p>
            <w:pPr>
              <w:spacing w:after="0"/>
              <w:rPr>
                <w:sz w:val="18"/>
                <w:szCs w:val="18"/>
                <w:color w:val="auto"/>
              </w:rPr>
            </w:pPr>
          </w:p>
        </w:tc>
        <w:tc>
          <w:tcPr>
            <w:tcW w:w="540" w:type="dxa"/>
            <w:vAlign w:val="bottom"/>
            <w:tcBorders>
              <w:top w:val="single" w:sz="8" w:color="CCFFFF"/>
            </w:tcBorders>
            <w:shd w:val="clear" w:color="auto" w:fill="CCFFFF"/>
          </w:tcPr>
          <w:p>
            <w:pPr>
              <w:spacing w:after="0"/>
              <w:rPr>
                <w:sz w:val="18"/>
                <w:szCs w:val="18"/>
                <w:color w:val="auto"/>
              </w:rPr>
            </w:pPr>
          </w:p>
        </w:tc>
        <w:tc>
          <w:tcPr>
            <w:tcW w:w="126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196,170</w:t>
            </w:r>
          </w:p>
        </w:tc>
        <w:tc>
          <w:tcPr>
            <w:tcW w:w="20" w:type="dxa"/>
            <w:vAlign w:val="bottom"/>
            <w:tcBorders>
              <w:top w:val="single" w:sz="8" w:color="CCFFFF"/>
            </w:tcBorders>
            <w:shd w:val="clear" w:color="auto" w:fill="CCFFFF"/>
          </w:tcPr>
          <w:p>
            <w:pPr>
              <w:spacing w:after="0"/>
              <w:rPr>
                <w:sz w:val="18"/>
                <w:szCs w:val="18"/>
                <w:color w:val="auto"/>
              </w:rPr>
            </w:pPr>
          </w:p>
        </w:tc>
        <w:tc>
          <w:tcPr>
            <w:tcW w:w="80" w:type="dxa"/>
            <w:vAlign w:val="bottom"/>
            <w:tcBorders>
              <w:top w:val="single" w:sz="8" w:color="CCFFFF"/>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Additions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1,527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Lease charge (Note 16)</w:t>
            </w:r>
          </w:p>
        </w:tc>
        <w:tc>
          <w:tcPr>
            <w:tcW w:w="182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820" w:type="dxa"/>
            <w:vAlign w:val="bottom"/>
            <w:gridSpan w:val="3"/>
            <w:shd w:val="clear" w:color="auto" w:fill="CCFFFF"/>
          </w:tcPr>
          <w:p>
            <w:pPr>
              <w:jc w:val="right"/>
              <w:ind w:right="20"/>
              <w:spacing w:after="0"/>
              <w:rPr>
                <w:sz w:val="20"/>
                <w:szCs w:val="20"/>
                <w:color w:val="auto"/>
              </w:rPr>
            </w:pPr>
            <w:r>
              <w:rPr>
                <w:rFonts w:ascii="Arial" w:cs="Arial" w:eastAsia="Arial" w:hAnsi="Arial"/>
                <w:sz w:val="18"/>
                <w:szCs w:val="18"/>
                <w:color w:val="auto"/>
              </w:rPr>
              <w:t>2,414</w:t>
            </w:r>
          </w:p>
        </w:tc>
        <w:tc>
          <w:tcPr>
            <w:tcW w:w="8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Payments</w:t>
            </w: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4"/>
          </w:tcPr>
          <w:p>
            <w:pPr>
              <w:jc w:val="right"/>
              <w:ind w:right="40"/>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23"/>
        </w:trPr>
        <w:tc>
          <w:tcPr>
            <w:tcW w:w="7200" w:type="dxa"/>
            <w:vAlign w:val="bottom"/>
            <w:tcBorders>
              <w:top w:val="single" w:sz="8" w:color="CCFFFF"/>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As of March 31, 2021</w:t>
            </w:r>
          </w:p>
        </w:tc>
        <w:tc>
          <w:tcPr>
            <w:tcW w:w="1820" w:type="dxa"/>
            <w:vAlign w:val="bottom"/>
            <w:tcBorders>
              <w:top w:val="single" w:sz="8" w:color="CCFFFF"/>
              <w:bottom w:val="single" w:sz="8" w:color="CCFFFF"/>
            </w:tcBorders>
            <w:shd w:val="clear" w:color="auto" w:fill="CCFFFF"/>
          </w:tcPr>
          <w:p>
            <w:pPr>
              <w:spacing w:after="0"/>
              <w:rPr>
                <w:sz w:val="19"/>
                <w:szCs w:val="19"/>
                <w:color w:val="auto"/>
              </w:rPr>
            </w:pPr>
          </w:p>
        </w:tc>
        <w:tc>
          <w:tcPr>
            <w:tcW w:w="320" w:type="dxa"/>
            <w:vAlign w:val="bottom"/>
            <w:tcBorders>
              <w:top w:val="single" w:sz="8" w:color="CCFFFF"/>
              <w:bottom w:val="single" w:sz="8" w:color="CCFFFF"/>
            </w:tcBorders>
            <w:shd w:val="clear" w:color="auto" w:fill="CCFFFF"/>
          </w:tcPr>
          <w:p>
            <w:pPr>
              <w:spacing w:after="0"/>
              <w:rPr>
                <w:sz w:val="19"/>
                <w:szCs w:val="19"/>
                <w:color w:val="auto"/>
              </w:rPr>
            </w:pPr>
          </w:p>
        </w:tc>
        <w:tc>
          <w:tcPr>
            <w:tcW w:w="540" w:type="dxa"/>
            <w:vAlign w:val="bottom"/>
            <w:tcBorders>
              <w:top w:val="single" w:sz="8" w:color="CCFFFF"/>
              <w:bottom w:val="single" w:sz="8" w:color="CCFFFF"/>
            </w:tcBorders>
            <w:shd w:val="clear" w:color="auto" w:fill="CCFFFF"/>
          </w:tcPr>
          <w:p>
            <w:pPr>
              <w:spacing w:after="0"/>
              <w:rPr>
                <w:sz w:val="19"/>
                <w:szCs w:val="19"/>
                <w:color w:val="auto"/>
              </w:rPr>
            </w:pPr>
          </w:p>
        </w:tc>
        <w:tc>
          <w:tcPr>
            <w:tcW w:w="126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194,957</w:t>
            </w:r>
          </w:p>
        </w:tc>
        <w:tc>
          <w:tcPr>
            <w:tcW w:w="20" w:type="dxa"/>
            <w:vAlign w:val="bottom"/>
            <w:tcBorders>
              <w:top w:val="single" w:sz="8" w:color="CCFFFF"/>
              <w:bottom w:val="single" w:sz="8" w:color="CCFFFF"/>
            </w:tcBorders>
            <w:shd w:val="clear" w:color="auto" w:fill="CCFFFF"/>
          </w:tcPr>
          <w:p>
            <w:pPr>
              <w:spacing w:after="0"/>
              <w:rPr>
                <w:sz w:val="19"/>
                <w:szCs w:val="19"/>
                <w:color w:val="auto"/>
              </w:rPr>
            </w:pPr>
          </w:p>
        </w:tc>
        <w:tc>
          <w:tcPr>
            <w:tcW w:w="80" w:type="dxa"/>
            <w:vAlign w:val="bottom"/>
            <w:tcBorders>
              <w:top w:val="single" w:sz="8" w:color="CCFFFF"/>
              <w:bottom w:val="single" w:sz="8" w:color="CCFFFF"/>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Lease liability, current portion</w:t>
            </w: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9,658</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Lease liability, non-current portion</w:t>
            </w:r>
          </w:p>
        </w:tc>
        <w:tc>
          <w:tcPr>
            <w:tcW w:w="1820" w:type="dxa"/>
            <w:vAlign w:val="bottom"/>
            <w:shd w:val="clear" w:color="auto" w:fill="CCFFFF"/>
          </w:tcPr>
          <w:p>
            <w:pPr>
              <w:spacing w:after="0"/>
              <w:rPr>
                <w:sz w:val="19"/>
                <w:szCs w:val="19"/>
                <w:color w:val="auto"/>
              </w:rPr>
            </w:pPr>
          </w:p>
        </w:tc>
        <w:tc>
          <w:tcPr>
            <w:tcW w:w="320" w:type="dxa"/>
            <w:vAlign w:val="bottom"/>
            <w:shd w:val="clear" w:color="auto" w:fill="CCFFFF"/>
          </w:tcPr>
          <w:p>
            <w:pPr>
              <w:spacing w:after="0"/>
              <w:rPr>
                <w:sz w:val="19"/>
                <w:szCs w:val="19"/>
                <w:color w:val="auto"/>
              </w:rPr>
            </w:pPr>
          </w:p>
        </w:tc>
        <w:tc>
          <w:tcPr>
            <w:tcW w:w="1820" w:type="dxa"/>
            <w:vAlign w:val="bottom"/>
            <w:gridSpan w:val="3"/>
            <w:shd w:val="clear" w:color="auto" w:fill="CCFFFF"/>
          </w:tcPr>
          <w:p>
            <w:pPr>
              <w:jc w:val="right"/>
              <w:ind w:right="20"/>
              <w:spacing w:after="0"/>
              <w:rPr>
                <w:sz w:val="20"/>
                <w:szCs w:val="20"/>
                <w:color w:val="auto"/>
              </w:rPr>
            </w:pPr>
            <w:r>
              <w:rPr>
                <w:rFonts w:ascii="Arial" w:cs="Arial" w:eastAsia="Arial" w:hAnsi="Arial"/>
                <w:sz w:val="18"/>
                <w:szCs w:val="18"/>
                <w:color w:val="auto"/>
              </w:rPr>
              <w:t>185,299</w:t>
            </w:r>
          </w:p>
        </w:tc>
        <w:tc>
          <w:tcPr>
            <w:tcW w:w="8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194,957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6. Other Non-Current Assets</w:t>
            </w: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ind w:left="340"/>
              <w:spacing w:after="0"/>
              <w:rPr>
                <w:sz w:val="20"/>
                <w:szCs w:val="20"/>
                <w:color w:val="auto"/>
              </w:rPr>
            </w:pPr>
            <w:r>
              <w:rPr>
                <w:rFonts w:ascii="Arial" w:cs="Arial" w:eastAsia="Arial" w:hAnsi="Arial"/>
                <w:sz w:val="18"/>
                <w:szCs w:val="18"/>
                <w:color w:val="auto"/>
              </w:rPr>
              <w:t>Other non-current assets consist of the following:</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200" w:type="dxa"/>
            <w:vAlign w:val="bottom"/>
          </w:tcPr>
          <w:p>
            <w:pPr>
              <w:spacing w:after="0"/>
              <w:rPr>
                <w:sz w:val="24"/>
                <w:szCs w:val="24"/>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2020</w:t>
            </w:r>
          </w:p>
        </w:tc>
        <w:tc>
          <w:tcPr>
            <w:tcW w:w="19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10"/>
        </w:trPr>
        <w:tc>
          <w:tcPr>
            <w:tcW w:w="720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Various guarantees</w:t>
            </w:r>
          </w:p>
        </w:tc>
        <w:tc>
          <w:tcPr>
            <w:tcW w:w="18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Borders>
              <w:top w:val="single" w:sz="8" w:color="CCFFFF"/>
            </w:tcBorders>
            <w:shd w:val="clear" w:color="auto" w:fill="CCFFFF"/>
          </w:tcPr>
          <w:p>
            <w:pPr>
              <w:spacing w:after="0"/>
              <w:rPr>
                <w:sz w:val="18"/>
                <w:szCs w:val="18"/>
                <w:color w:val="auto"/>
              </w:rPr>
            </w:pPr>
          </w:p>
        </w:tc>
        <w:tc>
          <w:tcPr>
            <w:tcW w:w="1800" w:type="dxa"/>
            <w:vAlign w:val="bottom"/>
            <w:tcBorders>
              <w:top w:val="single" w:sz="8" w:color="auto"/>
            </w:tcBorders>
            <w:gridSpan w:val="2"/>
            <w:shd w:val="clear" w:color="auto" w:fill="CCFF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CFFFF"/>
            </w:tcBorders>
            <w:gridSpan w:val="2"/>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5,378</w:t>
            </w: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5,197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Cash collaterals on swaps</w:t>
            </w:r>
          </w:p>
        </w:tc>
        <w:tc>
          <w:tcPr>
            <w:tcW w:w="214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6,796</w:t>
            </w:r>
          </w:p>
        </w:tc>
        <w:tc>
          <w:tcPr>
            <w:tcW w:w="1900" w:type="dxa"/>
            <w:vAlign w:val="bottom"/>
            <w:gridSpan w:val="4"/>
            <w:shd w:val="clear" w:color="auto" w:fill="CCFF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12,463</w:t>
            </w:r>
          </w:p>
        </w:tc>
        <w:tc>
          <w:tcPr>
            <w:tcW w:w="320" w:type="dxa"/>
            <w:vAlign w:val="bottom"/>
          </w:tcPr>
          <w:p>
            <w:pPr>
              <w:spacing w:after="0"/>
              <w:rPr>
                <w:sz w:val="19"/>
                <w:szCs w:val="19"/>
                <w:color w:val="auto"/>
              </w:rPr>
            </w:pPr>
          </w:p>
        </w:tc>
        <w:tc>
          <w:tcPr>
            <w:tcW w:w="1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6,186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Cash collaterals on swaps represent cash deposited for the Group’s interest rate swaps and CCSs, being the difference between their fair value and an agreed threshold. An amount of $8,428 of cash collaterals has been included in Prepayments and other current assets (December 31, 2020: $16,671).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7. Borrowings</w:t>
            </w: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00" w:type="dxa"/>
            <w:vAlign w:val="bottom"/>
          </w:tcPr>
          <w:p>
            <w:pPr>
              <w:ind w:left="340"/>
              <w:spacing w:after="0"/>
              <w:rPr>
                <w:sz w:val="20"/>
                <w:szCs w:val="20"/>
                <w:color w:val="auto"/>
              </w:rPr>
            </w:pPr>
            <w:r>
              <w:rPr>
                <w:rFonts w:ascii="Arial" w:cs="Arial" w:eastAsia="Arial" w:hAnsi="Arial"/>
                <w:sz w:val="18"/>
                <w:szCs w:val="18"/>
                <w:color w:val="auto"/>
              </w:rPr>
              <w:t>An analysis of the borrowings is as follows: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200" w:type="dxa"/>
            <w:vAlign w:val="bottom"/>
          </w:tcPr>
          <w:p>
            <w:pPr>
              <w:spacing w:after="0"/>
              <w:rPr>
                <w:sz w:val="24"/>
                <w:szCs w:val="24"/>
                <w:color w:val="auto"/>
              </w:rPr>
            </w:pPr>
          </w:p>
        </w:tc>
        <w:tc>
          <w:tcPr>
            <w:tcW w:w="2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December 31, 2020</w:t>
            </w:r>
          </w:p>
        </w:tc>
        <w:tc>
          <w:tcPr>
            <w:tcW w:w="1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March 31, 2021</w:t>
            </w:r>
          </w:p>
        </w:tc>
      </w:tr>
      <w:tr>
        <w:trPr>
          <w:trHeight w:val="209"/>
        </w:trPr>
        <w:tc>
          <w:tcPr>
            <w:tcW w:w="720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Amounts due within one year</w:t>
            </w:r>
          </w:p>
        </w:tc>
        <w:tc>
          <w:tcPr>
            <w:tcW w:w="18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258,262</w:t>
            </w:r>
          </w:p>
        </w:tc>
        <w:tc>
          <w:tcPr>
            <w:tcW w:w="320" w:type="dxa"/>
            <w:vAlign w:val="bottom"/>
            <w:tcBorders>
              <w:top w:val="single" w:sz="8" w:color="CCFFFF"/>
            </w:tcBorders>
            <w:shd w:val="clear" w:color="auto" w:fill="CCFFFF"/>
          </w:tcPr>
          <w:p>
            <w:pPr>
              <w:spacing w:after="0"/>
              <w:rPr>
                <w:sz w:val="18"/>
                <w:szCs w:val="18"/>
                <w:color w:val="auto"/>
              </w:rPr>
            </w:pPr>
          </w:p>
        </w:tc>
        <w:tc>
          <w:tcPr>
            <w:tcW w:w="180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560,437</w:t>
            </w:r>
          </w:p>
        </w:tc>
        <w:tc>
          <w:tcPr>
            <w:tcW w:w="100" w:type="dxa"/>
            <w:vAlign w:val="bottom"/>
            <w:tcBorders>
              <w:top w:val="single" w:sz="8" w:color="CCFFFF"/>
            </w:tcBorders>
            <w:shd w:val="clear" w:color="auto" w:fill="CCFF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Less: unamortized premium</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r>
      <w:tr>
        <w:trPr>
          <w:trHeight w:val="230"/>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Less: unamortized deferred loan/bond issuance costs</w:t>
            </w:r>
          </w:p>
        </w:tc>
        <w:tc>
          <w:tcPr>
            <w:tcW w:w="2140" w:type="dxa"/>
            <w:vAlign w:val="bottom"/>
            <w:gridSpan w:val="2"/>
            <w:shd w:val="clear" w:color="auto" w:fill="CCFFFF"/>
          </w:tcPr>
          <w:p>
            <w:pPr>
              <w:jc w:val="right"/>
              <w:ind w:right="260"/>
              <w:spacing w:after="0"/>
              <w:rPr>
                <w:sz w:val="20"/>
                <w:szCs w:val="20"/>
                <w:color w:val="auto"/>
              </w:rPr>
            </w:pPr>
            <w:r>
              <w:rPr>
                <w:rFonts w:ascii="Arial" w:cs="Arial" w:eastAsia="Arial" w:hAnsi="Arial"/>
                <w:sz w:val="18"/>
                <w:szCs w:val="18"/>
                <w:color w:val="auto"/>
              </w:rPr>
              <w:t>(12,636)</w:t>
            </w:r>
          </w:p>
        </w:tc>
        <w:tc>
          <w:tcPr>
            <w:tcW w:w="190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(13,655)</w:t>
            </w:r>
          </w:p>
        </w:tc>
      </w:tr>
      <w:tr>
        <w:trPr>
          <w:trHeight w:val="209"/>
        </w:trPr>
        <w:tc>
          <w:tcPr>
            <w:tcW w:w="720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Borrowings, current portion</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245,626</w:t>
            </w:r>
          </w:p>
        </w:tc>
        <w:tc>
          <w:tcPr>
            <w:tcW w:w="320" w:type="dxa"/>
            <w:vAlign w:val="bottom"/>
            <w:tcBorders>
              <w:bottom w:val="single" w:sz="8" w:color="CCFFFF"/>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547,417</w:t>
            </w:r>
          </w:p>
        </w:tc>
        <w:tc>
          <w:tcPr>
            <w:tcW w:w="100" w:type="dxa"/>
            <w:vAlign w:val="bottom"/>
            <w:tcBorders>
              <w:bottom w:val="single" w:sz="8" w:color="CCFFFF"/>
            </w:tcBorders>
          </w:tcPr>
          <w:p>
            <w:pPr>
              <w:spacing w:after="0"/>
              <w:rPr>
                <w:sz w:val="18"/>
                <w:szCs w:val="18"/>
                <w:color w:val="auto"/>
              </w:rPr>
            </w:pPr>
          </w:p>
        </w:tc>
      </w:tr>
      <w:tr>
        <w:trPr>
          <w:trHeight w:val="210"/>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Amounts due after one year</w:t>
            </w:r>
          </w:p>
        </w:tc>
        <w:tc>
          <w:tcPr>
            <w:tcW w:w="18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3,583,447</w:t>
            </w:r>
          </w:p>
        </w:tc>
        <w:tc>
          <w:tcPr>
            <w:tcW w:w="320" w:type="dxa"/>
            <w:vAlign w:val="bottom"/>
            <w:shd w:val="clear" w:color="auto" w:fill="CCFFFF"/>
          </w:tcPr>
          <w:p>
            <w:pPr>
              <w:spacing w:after="0"/>
              <w:rPr>
                <w:sz w:val="18"/>
                <w:szCs w:val="18"/>
                <w:color w:val="auto"/>
              </w:rPr>
            </w:pPr>
          </w:p>
        </w:tc>
        <w:tc>
          <w:tcPr>
            <w:tcW w:w="1800" w:type="dxa"/>
            <w:vAlign w:val="bottom"/>
            <w:shd w:val="clear" w:color="auto" w:fill="CCFFFF"/>
          </w:tcPr>
          <w:p>
            <w:pPr>
              <w:jc w:val="right"/>
              <w:spacing w:after="0"/>
              <w:rPr>
                <w:sz w:val="20"/>
                <w:szCs w:val="20"/>
                <w:color w:val="auto"/>
              </w:rPr>
            </w:pPr>
            <w:r>
              <w:rPr>
                <w:rFonts w:ascii="Arial" w:cs="Arial" w:eastAsia="Arial" w:hAnsi="Arial"/>
                <w:sz w:val="18"/>
                <w:szCs w:val="18"/>
                <w:color w:val="auto"/>
              </w:rPr>
              <w:t>3,229,226</w:t>
            </w:r>
          </w:p>
        </w:tc>
        <w:tc>
          <w:tcPr>
            <w:tcW w:w="100" w:type="dxa"/>
            <w:vAlign w:val="bottom"/>
            <w:shd w:val="clear" w:color="auto" w:fill="CCFF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Less: unamortized premium</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797</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Less: unamortized deferred loan/bond issuance costs</w:t>
            </w:r>
          </w:p>
        </w:tc>
        <w:tc>
          <w:tcPr>
            <w:tcW w:w="2140" w:type="dxa"/>
            <w:vAlign w:val="bottom"/>
            <w:gridSpan w:val="2"/>
            <w:shd w:val="clear" w:color="auto" w:fill="CCFFFF"/>
          </w:tcPr>
          <w:p>
            <w:pPr>
              <w:jc w:val="right"/>
              <w:ind w:right="260"/>
              <w:spacing w:after="0"/>
              <w:rPr>
                <w:sz w:val="20"/>
                <w:szCs w:val="20"/>
                <w:color w:val="auto"/>
              </w:rPr>
            </w:pPr>
            <w:r>
              <w:rPr>
                <w:rFonts w:ascii="Arial" w:cs="Arial" w:eastAsia="Arial" w:hAnsi="Arial"/>
                <w:sz w:val="18"/>
                <w:szCs w:val="18"/>
                <w:color w:val="auto"/>
              </w:rPr>
              <w:t>(56,649)</w:t>
            </w:r>
          </w:p>
        </w:tc>
        <w:tc>
          <w:tcPr>
            <w:tcW w:w="1900" w:type="dxa"/>
            <w:vAlign w:val="bottom"/>
            <w:gridSpan w:val="2"/>
            <w:shd w:val="clear" w:color="auto" w:fill="CCFFFF"/>
          </w:tcPr>
          <w:p>
            <w:pPr>
              <w:jc w:val="right"/>
              <w:ind w:right="40"/>
              <w:spacing w:after="0"/>
              <w:rPr>
                <w:sz w:val="20"/>
                <w:szCs w:val="20"/>
                <w:color w:val="auto"/>
              </w:rPr>
            </w:pPr>
            <w:r>
              <w:rPr>
                <w:rFonts w:ascii="Arial" w:cs="Arial" w:eastAsia="Arial" w:hAnsi="Arial"/>
                <w:sz w:val="18"/>
                <w:szCs w:val="18"/>
                <w:color w:val="auto"/>
              </w:rPr>
              <w:t>(50,267)</w:t>
            </w:r>
          </w:p>
        </w:tc>
      </w:tr>
      <w:tr>
        <w:trPr>
          <w:trHeight w:val="210"/>
        </w:trPr>
        <w:tc>
          <w:tcPr>
            <w:tcW w:w="720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Borrowings, non-current portion</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3,527,595</w:t>
            </w:r>
          </w:p>
        </w:tc>
        <w:tc>
          <w:tcPr>
            <w:tcW w:w="320" w:type="dxa"/>
            <w:vAlign w:val="bottom"/>
            <w:tcBorders>
              <w:bottom w:val="single" w:sz="8" w:color="CCFFFF"/>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3,178,959</w:t>
            </w:r>
          </w:p>
        </w:tc>
        <w:tc>
          <w:tcPr>
            <w:tcW w:w="100" w:type="dxa"/>
            <w:vAlign w:val="bottom"/>
            <w:tcBorders>
              <w:bottom w:val="single" w:sz="8" w:color="CCFFFF"/>
            </w:tcBorders>
          </w:tcPr>
          <w:p>
            <w:pPr>
              <w:spacing w:after="0"/>
              <w:rPr>
                <w:sz w:val="18"/>
                <w:szCs w:val="18"/>
                <w:color w:val="auto"/>
              </w:rPr>
            </w:pPr>
          </w:p>
        </w:tc>
      </w:tr>
      <w:tr>
        <w:trPr>
          <w:trHeight w:val="223"/>
        </w:trPr>
        <w:tc>
          <w:tcPr>
            <w:tcW w:w="7200" w:type="dxa"/>
            <w:vAlign w:val="bottom"/>
            <w:tcBorders>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3,773,221</w:t>
            </w:r>
          </w:p>
        </w:tc>
        <w:tc>
          <w:tcPr>
            <w:tcW w:w="320" w:type="dxa"/>
            <w:vAlign w:val="bottom"/>
            <w:tcBorders>
              <w:bottom w:val="single" w:sz="8" w:color="CCFFFF"/>
            </w:tcBorders>
            <w:shd w:val="clear" w:color="auto" w:fill="CCFFFF"/>
          </w:tcPr>
          <w:p>
            <w:pPr>
              <w:spacing w:after="0"/>
              <w:rPr>
                <w:sz w:val="19"/>
                <w:szCs w:val="19"/>
                <w:color w:val="auto"/>
              </w:rPr>
            </w:pPr>
          </w:p>
        </w:tc>
        <w:tc>
          <w:tcPr>
            <w:tcW w:w="180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3,726,376</w:t>
            </w:r>
          </w:p>
        </w:tc>
        <w:tc>
          <w:tcPr>
            <w:tcW w:w="100" w:type="dxa"/>
            <w:vAlign w:val="bottom"/>
            <w:tcBorders>
              <w:bottom w:val="single" w:sz="8" w:color="CCFFFF"/>
            </w:tcBorders>
            <w:shd w:val="clear" w:color="auto" w:fill="CCFF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main terms of the Group’s loan facilities in existence as of December 31, 2020 have been disclosed in the annual audited consolidated financial statements for the year ended December 31, 2020. Refer to Note 13 “Borrowings”.</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On January 22, 2021, GasLog refinanced through a sale-and-leaseback transaction the </w:t>
      </w:r>
      <w:r>
        <w:rPr>
          <w:rFonts w:ascii="Arial" w:cs="Arial" w:eastAsia="Arial" w:hAnsi="Arial"/>
          <w:sz w:val="16"/>
          <w:szCs w:val="16"/>
          <w:i w:val="1"/>
          <w:iCs w:val="1"/>
          <w:color w:val="auto"/>
        </w:rPr>
        <w:t>GasLog Houston</w:t>
      </w:r>
      <w:r>
        <w:rPr>
          <w:rFonts w:ascii="Arial" w:cs="Arial" w:eastAsia="Arial" w:hAnsi="Arial"/>
          <w:sz w:val="16"/>
          <w:szCs w:val="16"/>
          <w:color w:val="auto"/>
        </w:rPr>
        <w:t>, a 174,000 cbm LNG carrier with X-DF propulsion built in 2018. GasLog sold the vessel to an indirectly owned subsidiary of ICBC Financial Leasing Co., Ltd. (“the GasLog Houston SLB”), raising $165,958 and leased it back under a bareboat charter for a period of up to eight years. At the end of the charter period, GasLog has the obligation to re-purchase the vessel for $99,575. GasLog has also the option to re-purchase the vessel on pre-agreed terms no earlier than the end of the first interest period, and no later than the end of year eight, of the bareboat charter. The amount drawn was used to refinance the outstanding indebtedness of GAS-twenty four Ltd., in the amount of $130,889. The amount drawn on January 22, 2021 is repayable in 32 quarterly installments of $2,074 each and a final balloon payment of $99,575 payable concurrently with the last quarterly installment in January 2029. Interest on the outstanding capital of the bareboat charter will be payable at a rate of the London Interbank Offered Rate (“LIBOR”) plus a margin. GasLog has the obligation to re-purchase the vessel and as a result under IFRS 15, the transfer of the vessel does not qualify as a sale and leaseback. The Company did not derecognize the respective vessel from its balance sheet and accounted for the amount received under the sale-and-leaseback transaction as a financial liability. The relevant tranches of the existing loan facility of the specified vessel were terminated and the respective unamortized loan fees of $3,528 were written off to profit or loss.</w:t>
      </w:r>
    </w:p>
    <w:p>
      <w:pPr>
        <w:spacing w:after="0" w:line="17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facility includes customary respective covenants, and among other restrictions the facility includes a fair market value covenant pursuant to which the lender may request additional security under the facility if the aggregate fair market value of the collateral vessel (without taking into account any charter arrangements) were to fall below 100% of the aggregate outstanding principal balance through December 31, 2022 (110% thereafter). The Group is in compliance with the required minimum security coverage as of March 31, 2021.</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three months ended March 31, 2021 the Group repaid $86,984 in accordance with the repayment terms under its loan facilities.</w:t>
      </w:r>
    </w:p>
    <w:p>
      <w:pPr>
        <w:spacing w:after="0" w:line="23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carrying amount of the Group’s credit facilities recognized in the unaudited condensed consolidated financial statements approximates its fair value after adjusting for the unamortized loan/bond issuance costs.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1"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Bonds</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main terms of the Group’s bonds have been disclosed in the annual audited consolidated financial statements for the year ended December 31, 2020. Refer to Note 13 “Borrowings”.</w:t>
      </w:r>
    </w:p>
    <w:p>
      <w:pPr>
        <w:spacing w:after="0" w:line="170"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The carrying amount under the NOK bond maturing in 2024 (the “NOK 2024 Bond”), net of unamortized financing costs and unamortized premium, as of March 31, 2021 is $103,957 (carrying amount under the NOK 2024 Bonds as of December 31, 2020: $104,017) while their fair value is $108,518 based on a USD/NOK exchange rate of 0.1169 as of March 31, 2021 (December 31, 2020: $96,581, based on a USD/NOK exchange rate of 0.1170).</w:t>
      </w:r>
    </w:p>
    <w:p>
      <w:pPr>
        <w:spacing w:after="0" w:line="149" w:lineRule="exact"/>
        <w:rPr>
          <w:sz w:val="20"/>
          <w:szCs w:val="20"/>
          <w:color w:val="auto"/>
        </w:rPr>
      </w:pPr>
    </w:p>
    <w:p>
      <w:pPr>
        <w:ind w:right="1060" w:firstLine="324"/>
        <w:spacing w:after="0" w:line="277" w:lineRule="auto"/>
        <w:rPr>
          <w:sz w:val="20"/>
          <w:szCs w:val="20"/>
          <w:color w:val="auto"/>
        </w:rPr>
      </w:pPr>
      <w:r>
        <w:rPr>
          <w:rFonts w:ascii="Arial" w:cs="Arial" w:eastAsia="Arial" w:hAnsi="Arial"/>
          <w:sz w:val="18"/>
          <w:szCs w:val="18"/>
          <w:color w:val="auto"/>
        </w:rPr>
        <w:t>The carrying amount under the 8.875% Senior Notes, net of unamortized financing costs and premium as of March 31, 2021 is $313,996 (December 31, 2020: $313,773).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Group was in compliance with its financial covenants as of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Group had the following balances with related parties which have been included in the unaudited condensed consolidated statements of financial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Current Assets</w:t>
            </w: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Dividends receivable and other amounts due from related parties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0" w:type="dxa"/>
            <w:vAlign w:val="bottom"/>
          </w:tcPr>
          <w:p>
            <w:pPr>
              <w:spacing w:after="0"/>
              <w:rPr>
                <w:sz w:val="24"/>
                <w:szCs w:val="2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7200" w:type="dxa"/>
            <w:vAlign w:val="bottom"/>
            <w:tcBorders>
              <w:bottom w:val="single" w:sz="8" w:color="CCFF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CCFF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FF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Dividends receivable from associate (Note 3)</w:t>
            </w:r>
          </w:p>
        </w:tc>
        <w:tc>
          <w:tcPr>
            <w:tcW w:w="18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1,250</w:t>
            </w:r>
          </w:p>
        </w:tc>
        <w:tc>
          <w:tcPr>
            <w:tcW w:w="320" w:type="dxa"/>
            <w:vAlign w:val="bottom"/>
            <w:shd w:val="clear" w:color="auto" w:fill="CCFFFF"/>
          </w:tcPr>
          <w:p>
            <w:pPr>
              <w:spacing w:after="0"/>
              <w:rPr>
                <w:sz w:val="18"/>
                <w:szCs w:val="18"/>
                <w:color w:val="auto"/>
              </w:rPr>
            </w:pPr>
          </w:p>
        </w:tc>
        <w:tc>
          <w:tcPr>
            <w:tcW w:w="1800" w:type="dxa"/>
            <w:vAlign w:val="bottom"/>
            <w:shd w:val="clear" w:color="auto" w:fill="CCFF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Other receivables</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7200" w:type="dxa"/>
            <w:vAlign w:val="bottom"/>
            <w:tcBorders>
              <w:top w:val="single" w:sz="8" w:color="CCFFFF"/>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1,259</w:t>
            </w:r>
          </w:p>
        </w:tc>
        <w:tc>
          <w:tcPr>
            <w:tcW w:w="320" w:type="dxa"/>
            <w:vAlign w:val="bottom"/>
            <w:tcBorders>
              <w:top w:val="single" w:sz="8" w:color="CCFFFF"/>
              <w:bottom w:val="single" w:sz="8" w:color="CCFFFF"/>
            </w:tcBorders>
            <w:shd w:val="clear" w:color="auto" w:fill="CCFFFF"/>
          </w:tcPr>
          <w:p>
            <w:pPr>
              <w:spacing w:after="0"/>
              <w:rPr>
                <w:sz w:val="19"/>
                <w:szCs w:val="19"/>
                <w:color w:val="auto"/>
              </w:rPr>
            </w:pPr>
          </w:p>
        </w:tc>
        <w:tc>
          <w:tcPr>
            <w:tcW w:w="180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878</w:t>
            </w:r>
          </w:p>
        </w:tc>
        <w:tc>
          <w:tcPr>
            <w:tcW w:w="100" w:type="dxa"/>
            <w:vAlign w:val="bottom"/>
            <w:tcBorders>
              <w:top w:val="single" w:sz="8" w:color="CCFFFF"/>
              <w:bottom w:val="single" w:sz="8" w:color="CCFFFF"/>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Amounts due to related parties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0" w:type="dxa"/>
            <w:vAlign w:val="bottom"/>
          </w:tcPr>
          <w:p>
            <w:pPr>
              <w:spacing w:after="0"/>
              <w:rPr>
                <w:sz w:val="24"/>
                <w:szCs w:val="2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7200" w:type="dxa"/>
            <w:vAlign w:val="bottom"/>
            <w:tcBorders>
              <w:bottom w:val="single" w:sz="8" w:color="CCFF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CCFF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Ship management creditors</w:t>
            </w:r>
          </w:p>
        </w:tc>
        <w:tc>
          <w:tcPr>
            <w:tcW w:w="18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FFFF"/>
          </w:tcPr>
          <w:p>
            <w:pPr>
              <w:spacing w:after="0"/>
              <w:rPr>
                <w:sz w:val="18"/>
                <w:szCs w:val="18"/>
                <w:color w:val="auto"/>
              </w:rPr>
            </w:pPr>
          </w:p>
        </w:tc>
        <w:tc>
          <w:tcPr>
            <w:tcW w:w="1800" w:type="dxa"/>
            <w:vAlign w:val="bottom"/>
            <w:shd w:val="clear" w:color="auto" w:fill="CCFF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164</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Ship management creditors’ liability comprises cash collected from Egypt LNG Shipping Ltd. to cover the obligations of its vessel under the Group’s management.</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Amounts due to related parties of $24 as of March 31, 2021 (December 31, 2020: $164) are expenses paid by a related party on behalf of the Group and payables to other related parties for the office lease and other operating expenses.</w:t>
      </w:r>
    </w:p>
    <w:p>
      <w:pPr>
        <w:sectPr>
          <w:pgSz w:w="11900" w:h="16838" w:orient="portrait"/>
          <w:cols w:equalWidth="0" w:num="1">
            <w:col w:w="11240"/>
          </w:cols>
          <w:pgMar w:left="320" w:top="908"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Revenues from Contracts with Customers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Group has recognized the following amounts relating to revenues: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Revenues from long-term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Revenues from spot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Revenues from vessel management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gridSpan w:val="2"/>
          </w:tcPr>
          <w:p>
            <w:pPr>
              <w:ind w:left="320"/>
              <w:spacing w:after="0"/>
              <w:rPr>
                <w:sz w:val="20"/>
                <w:szCs w:val="20"/>
                <w:color w:val="auto"/>
              </w:rPr>
            </w:pPr>
            <w:r>
              <w:rPr>
                <w:rFonts w:ascii="Arial" w:cs="Arial" w:eastAsia="Arial" w:hAnsi="Arial"/>
                <w:sz w:val="18"/>
                <w:szCs w:val="18"/>
                <w:b w:val="1"/>
                <w:bCs w:val="1"/>
                <w:color w:val="auto"/>
              </w:rPr>
              <w:t>March 31, 2020</w:t>
            </w:r>
          </w:p>
        </w:tc>
        <w:tc>
          <w:tcPr>
            <w:tcW w:w="1820" w:type="dxa"/>
            <w:vAlign w:val="bottom"/>
            <w:gridSpan w:val="2"/>
          </w:tcPr>
          <w:p>
            <w:pPr>
              <w:ind w:left="300"/>
              <w:spacing w:after="0"/>
              <w:rPr>
                <w:sz w:val="20"/>
                <w:szCs w:val="20"/>
                <w:color w:val="auto"/>
              </w:rPr>
            </w:pPr>
            <w:r>
              <w:rPr>
                <w:rFonts w:ascii="Arial" w:cs="Arial" w:eastAsia="Arial" w:hAnsi="Arial"/>
                <w:sz w:val="18"/>
                <w:szCs w:val="18"/>
                <w:b w:val="1"/>
                <w:bCs w:val="1"/>
                <w:color w:val="auto"/>
              </w:rPr>
              <w:t>March 31, 2021</w:t>
            </w:r>
          </w:p>
        </w:tc>
      </w:tr>
      <w:tr>
        <w:trPr>
          <w:trHeight w:val="195"/>
        </w:trPr>
        <w:tc>
          <w:tcPr>
            <w:tcW w:w="1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110,229</w:t>
            </w:r>
          </w:p>
        </w:tc>
        <w:tc>
          <w:tcPr>
            <w:tcW w:w="320" w:type="dxa"/>
            <w:vAlign w:val="bottom"/>
          </w:tcPr>
          <w:p>
            <w:pPr>
              <w:spacing w:after="0"/>
              <w:rPr>
                <w:sz w:val="16"/>
                <w:szCs w:val="16"/>
                <w:color w:val="auto"/>
              </w:rPr>
            </w:pPr>
          </w:p>
        </w:tc>
        <w:tc>
          <w:tcPr>
            <w:tcW w:w="1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118,159</w:t>
            </w:r>
          </w:p>
        </w:tc>
        <w:tc>
          <w:tcPr>
            <w:tcW w:w="20" w:type="dxa"/>
            <w:vAlign w:val="bottom"/>
          </w:tcPr>
          <w:p>
            <w:pPr>
              <w:spacing w:after="0"/>
              <w:rPr>
                <w:sz w:val="16"/>
                <w:szCs w:val="16"/>
                <w:color w:val="auto"/>
              </w:rPr>
            </w:pPr>
          </w:p>
        </w:tc>
      </w:tr>
      <w:tr>
        <w:trPr>
          <w:trHeight w:val="229"/>
        </w:trPr>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55,476</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86,963</w:t>
            </w:r>
          </w:p>
        </w:tc>
      </w:tr>
      <w:tr>
        <w:trPr>
          <w:trHeight w:val="230"/>
        </w:trPr>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192</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r>
      <w:tr>
        <w:trPr>
          <w:trHeight w:val="223"/>
        </w:trPr>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165,897</w:t>
            </w:r>
          </w:p>
        </w:tc>
        <w:tc>
          <w:tcPr>
            <w:tcW w:w="3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205,327</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80" w:space="720"/>
            <w:col w:w="4040"/>
          </w:cols>
          <w:pgMar w:left="320" w:top="908" w:right="339" w:bottom="1440" w:gutter="0" w:footer="0" w:header="0"/>
          <w:type w:val="continuous"/>
        </w:sectPr>
      </w:pPr>
    </w:p>
    <w:p>
      <w:pPr>
        <w:spacing w:after="0" w:line="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Management allocates vessel revenues to two categories: a) spot fleet and b) long-term fleet, which reflects its commercial strategy. Specifically, the spot fleet category contains all vessels that have contracts with initial duration of less than five years. The long-term fleet category contains all vessels that have charter party agreements with initial duration of more than five years. Both categories, exclude optional periods.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10. General and Administrative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analysis of general and administrative expenses is as follows: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Employee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40" w:type="dxa"/>
            <w:vAlign w:val="bottom"/>
            <w:gridSpan w:val="2"/>
          </w:tcPr>
          <w:p>
            <w:pPr>
              <w:ind w:left="320"/>
              <w:spacing w:after="0"/>
              <w:rPr>
                <w:sz w:val="20"/>
                <w:szCs w:val="20"/>
                <w:color w:val="auto"/>
              </w:rPr>
            </w:pPr>
            <w:r>
              <w:rPr>
                <w:rFonts w:ascii="Arial" w:cs="Arial" w:eastAsia="Arial" w:hAnsi="Arial"/>
                <w:sz w:val="18"/>
                <w:szCs w:val="18"/>
                <w:b w:val="1"/>
                <w:bCs w:val="1"/>
                <w:color w:val="auto"/>
              </w:rPr>
              <w:t>March 31, 2020</w:t>
            </w:r>
          </w:p>
        </w:tc>
        <w:tc>
          <w:tcPr>
            <w:tcW w:w="1840" w:type="dxa"/>
            <w:vAlign w:val="bottom"/>
            <w:gridSpan w:val="3"/>
          </w:tcPr>
          <w:p>
            <w:pPr>
              <w:ind w:left="300"/>
              <w:spacing w:after="0"/>
              <w:rPr>
                <w:sz w:val="20"/>
                <w:szCs w:val="20"/>
                <w:color w:val="auto"/>
              </w:rPr>
            </w:pPr>
            <w:r>
              <w:rPr>
                <w:rFonts w:ascii="Arial" w:cs="Arial" w:eastAsia="Arial" w:hAnsi="Arial"/>
                <w:sz w:val="18"/>
                <w:szCs w:val="18"/>
                <w:b w:val="1"/>
                <w:bCs w:val="1"/>
                <w:color w:val="auto"/>
              </w:rPr>
              <w:t>March 31, 2021</w:t>
            </w:r>
          </w:p>
        </w:tc>
      </w:tr>
      <w:tr>
        <w:trPr>
          <w:trHeight w:val="195"/>
        </w:trPr>
        <w:tc>
          <w:tcPr>
            <w:tcW w:w="1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5,434</w:t>
            </w:r>
          </w:p>
        </w:tc>
        <w:tc>
          <w:tcPr>
            <w:tcW w:w="320" w:type="dxa"/>
            <w:vAlign w:val="bottom"/>
          </w:tcPr>
          <w:p>
            <w:pPr>
              <w:spacing w:after="0"/>
              <w:rPr>
                <w:sz w:val="16"/>
                <w:szCs w:val="16"/>
                <w:color w:val="auto"/>
              </w:rPr>
            </w:pPr>
          </w:p>
        </w:tc>
        <w:tc>
          <w:tcPr>
            <w:tcW w:w="1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4,782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1,253</w:t>
            </w: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638</w:t>
            </w:r>
          </w:p>
        </w:tc>
      </w:tr>
      <w:tr>
        <w:trPr>
          <w:trHeight w:val="230"/>
        </w:trPr>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2,934</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6,322</w:t>
            </w:r>
          </w:p>
        </w:tc>
        <w:tc>
          <w:tcPr>
            <w:tcW w:w="20" w:type="dxa"/>
            <w:vAlign w:val="bottom"/>
          </w:tcPr>
          <w:p>
            <w:pPr>
              <w:spacing w:after="0"/>
              <w:rPr>
                <w:sz w:val="20"/>
                <w:szCs w:val="20"/>
                <w:color w:val="auto"/>
              </w:rPr>
            </w:pPr>
          </w:p>
        </w:tc>
      </w:tr>
      <w:tr>
        <w:trPr>
          <w:trHeight w:val="223"/>
        </w:trPr>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9,621</w:t>
            </w:r>
          </w:p>
        </w:tc>
        <w:tc>
          <w:tcPr>
            <w:tcW w:w="320" w:type="dxa"/>
            <w:vAlign w:val="bottom"/>
          </w:tcPr>
          <w:p>
            <w:pPr>
              <w:spacing w:after="0"/>
              <w:rPr>
                <w:sz w:val="19"/>
                <w:szCs w:val="19"/>
                <w:color w:val="auto"/>
              </w:rPr>
            </w:pPr>
          </w:p>
        </w:tc>
        <w:tc>
          <w:tcPr>
            <w:tcW w:w="1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11,742</w:t>
            </w:r>
          </w:p>
        </w:tc>
        <w:tc>
          <w:tcPr>
            <w:tcW w:w="20" w:type="dxa"/>
            <w:vAlign w:val="bottom"/>
            <w:tcBorders>
              <w:bottom w:val="single" w:sz="8" w:color="auto"/>
            </w:tcBorders>
          </w:tcPr>
          <w:p>
            <w:pPr>
              <w:spacing w:after="0"/>
              <w:rPr>
                <w:sz w:val="19"/>
                <w:szCs w:val="19"/>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80" w:space="720"/>
            <w:col w:w="4040"/>
          </w:cols>
          <w:pgMar w:left="320" w:top="904" w:right="339" w:bottom="0" w:gutter="0" w:footer="0" w:header="0"/>
        </w:sectPr>
      </w:pPr>
    </w:p>
    <w:p>
      <w:pPr>
        <w:spacing w:after="0" w:line="2"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General and administrative expenses include costs relating to the Transaction of $3,717 for the three months ended March 31, 2021 (nil for the three months ended March 31, 2020). In addition, general and administrative expenses include restructuring costs of $51 for the three months ended March 31, 2021 ($445 for the three months ended March 31, 2020) pursuant to management’s decision to relocate more of its employees including several members of senior management to the Piraeus, Greece office and to close the Stamford, Connecticut office.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11. Vessel Operating and Supervision Costs</w:t>
            </w: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0" w:type="dxa"/>
            <w:vAlign w:val="bottom"/>
          </w:tcPr>
          <w:p>
            <w:pPr>
              <w:ind w:left="340"/>
              <w:spacing w:after="0"/>
              <w:rPr>
                <w:sz w:val="20"/>
                <w:szCs w:val="20"/>
                <w:color w:val="auto"/>
              </w:rPr>
            </w:pPr>
            <w:r>
              <w:rPr>
                <w:rFonts w:ascii="Arial" w:cs="Arial" w:eastAsia="Arial" w:hAnsi="Arial"/>
                <w:sz w:val="18"/>
                <w:szCs w:val="18"/>
                <w:color w:val="auto"/>
              </w:rPr>
              <w:t>An analysis of vessel operating and supervision costs is as follows: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200" w:type="dxa"/>
            <w:vAlign w:val="bottom"/>
          </w:tcPr>
          <w:p>
            <w:pPr>
              <w:spacing w:after="0"/>
              <w:rPr>
                <w:sz w:val="24"/>
                <w:szCs w:val="24"/>
                <w:color w:val="auto"/>
              </w:rPr>
            </w:pPr>
          </w:p>
        </w:tc>
        <w:tc>
          <w:tcPr>
            <w:tcW w:w="4040" w:type="dxa"/>
            <w:vAlign w:val="bottom"/>
            <w:gridSpan w:val="5"/>
          </w:tcPr>
          <w:p>
            <w:pPr>
              <w:ind w:left="90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March 31, 2020</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March 31, 2021</w:t>
            </w:r>
          </w:p>
        </w:tc>
        <w:tc>
          <w:tcPr>
            <w:tcW w:w="0" w:type="dxa"/>
            <w:vAlign w:val="bottom"/>
          </w:tcPr>
          <w:p>
            <w:pPr>
              <w:spacing w:after="0"/>
              <w:rPr>
                <w:sz w:val="1"/>
                <w:szCs w:val="1"/>
                <w:color w:val="auto"/>
              </w:rPr>
            </w:pPr>
          </w:p>
        </w:tc>
      </w:tr>
      <w:tr>
        <w:trPr>
          <w:trHeight w:val="209"/>
        </w:trPr>
        <w:tc>
          <w:tcPr>
            <w:tcW w:w="720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Crew wages and vessel management employee costs</w:t>
            </w:r>
          </w:p>
        </w:tc>
        <w:tc>
          <w:tcPr>
            <w:tcW w:w="18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20,388</w:t>
            </w:r>
          </w:p>
        </w:tc>
        <w:tc>
          <w:tcPr>
            <w:tcW w:w="320" w:type="dxa"/>
            <w:vAlign w:val="bottom"/>
            <w:tcBorders>
              <w:top w:val="single" w:sz="8" w:color="CCFFFF"/>
            </w:tcBorders>
            <w:shd w:val="clear" w:color="auto" w:fill="CCFFFF"/>
          </w:tcPr>
          <w:p>
            <w:pPr>
              <w:spacing w:after="0"/>
              <w:rPr>
                <w:sz w:val="18"/>
                <w:szCs w:val="18"/>
                <w:color w:val="auto"/>
              </w:rPr>
            </w:pPr>
          </w:p>
        </w:tc>
        <w:tc>
          <w:tcPr>
            <w:tcW w:w="180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24,842</w:t>
            </w:r>
          </w:p>
        </w:tc>
        <w:tc>
          <w:tcPr>
            <w:tcW w:w="20" w:type="dxa"/>
            <w:vAlign w:val="bottom"/>
            <w:tcBorders>
              <w:top w:val="single" w:sz="8" w:color="CCFFFF"/>
            </w:tcBorders>
            <w:shd w:val="clear" w:color="auto" w:fill="CCFFFF"/>
          </w:tcPr>
          <w:p>
            <w:pPr>
              <w:spacing w:after="0"/>
              <w:rPr>
                <w:sz w:val="18"/>
                <w:szCs w:val="18"/>
                <w:color w:val="auto"/>
              </w:rPr>
            </w:pPr>
          </w:p>
        </w:tc>
        <w:tc>
          <w:tcPr>
            <w:tcW w:w="80" w:type="dxa"/>
            <w:vAlign w:val="bottom"/>
            <w:tcBorders>
              <w:top w:val="single" w:sz="8" w:color="CCFFFF"/>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Technical maintenance expenses</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9,721</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8,176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Other vessel operating expenses</w:t>
            </w:r>
          </w:p>
        </w:tc>
        <w:tc>
          <w:tcPr>
            <w:tcW w:w="214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4,943</w:t>
            </w:r>
          </w:p>
        </w:tc>
        <w:tc>
          <w:tcPr>
            <w:tcW w:w="182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6,235</w:t>
            </w:r>
          </w:p>
        </w:tc>
        <w:tc>
          <w:tcPr>
            <w:tcW w:w="80" w:type="dxa"/>
            <w:vAlign w:val="bottom"/>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35,052</w:t>
            </w:r>
          </w:p>
        </w:tc>
        <w:tc>
          <w:tcPr>
            <w:tcW w:w="3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b w:val="1"/>
                <w:bCs w:val="1"/>
                <w:color w:val="auto"/>
              </w:rPr>
              <w:t>12. Other Payables and Accruals</w:t>
            </w: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ind w:left="340"/>
              <w:spacing w:after="0"/>
              <w:rPr>
                <w:sz w:val="20"/>
                <w:szCs w:val="20"/>
                <w:color w:val="auto"/>
              </w:rPr>
            </w:pPr>
            <w:r>
              <w:rPr>
                <w:rFonts w:ascii="Arial" w:cs="Arial" w:eastAsia="Arial" w:hAnsi="Arial"/>
                <w:sz w:val="18"/>
                <w:szCs w:val="18"/>
                <w:color w:val="auto"/>
              </w:rPr>
              <w:t>An analysis of other payables and accruals is as follows: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00" w:type="dxa"/>
            <w:vAlign w:val="bottom"/>
          </w:tcPr>
          <w:p>
            <w:pPr>
              <w:spacing w:after="0"/>
              <w:rPr>
                <w:sz w:val="24"/>
                <w:szCs w:val="2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7200" w:type="dxa"/>
            <w:vAlign w:val="bottom"/>
            <w:tcBorders>
              <w:bottom w:val="single" w:sz="8" w:color="CCFF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CCFF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CCFFFF"/>
            </w:tcBorders>
          </w:tcPr>
          <w:p>
            <w:pPr>
              <w:spacing w:after="0"/>
              <w:rPr>
                <w:sz w:val="20"/>
                <w:szCs w:val="20"/>
                <w:color w:val="auto"/>
              </w:rPr>
            </w:pPr>
          </w:p>
        </w:tc>
        <w:tc>
          <w:tcPr>
            <w:tcW w:w="80" w:type="dxa"/>
            <w:vAlign w:val="bottom"/>
            <w:tcBorders>
              <w:bottom w:val="single" w:sz="8" w:color="CC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Unearned revenue</w:t>
            </w:r>
          </w:p>
        </w:tc>
        <w:tc>
          <w:tcPr>
            <w:tcW w:w="1820" w:type="dxa"/>
            <w:vAlign w:val="bottom"/>
            <w:shd w:val="clear" w:color="auto" w:fill="CCFFFF"/>
          </w:tcPr>
          <w:p>
            <w:pPr>
              <w:jc w:val="right"/>
              <w:spacing w:after="0"/>
              <w:rPr>
                <w:sz w:val="20"/>
                <w:szCs w:val="20"/>
                <w:color w:val="auto"/>
              </w:rPr>
            </w:pPr>
            <w:r>
              <w:rPr>
                <w:rFonts w:ascii="Arial" w:cs="Arial" w:eastAsia="Arial" w:hAnsi="Arial"/>
                <w:sz w:val="18"/>
                <w:szCs w:val="18"/>
                <w:color w:val="auto"/>
              </w:rPr>
              <w:t>59,612</w:t>
            </w:r>
          </w:p>
        </w:tc>
        <w:tc>
          <w:tcPr>
            <w:tcW w:w="320" w:type="dxa"/>
            <w:vAlign w:val="bottom"/>
            <w:shd w:val="clear" w:color="auto" w:fill="CCFFFF"/>
          </w:tcPr>
          <w:p>
            <w:pPr>
              <w:spacing w:after="0"/>
              <w:rPr>
                <w:sz w:val="18"/>
                <w:szCs w:val="18"/>
                <w:color w:val="auto"/>
              </w:rPr>
            </w:pPr>
          </w:p>
        </w:tc>
        <w:tc>
          <w:tcPr>
            <w:tcW w:w="1800" w:type="dxa"/>
            <w:vAlign w:val="bottom"/>
            <w:shd w:val="clear" w:color="auto" w:fill="CCFFFF"/>
          </w:tcPr>
          <w:p>
            <w:pPr>
              <w:jc w:val="right"/>
              <w:spacing w:after="0"/>
              <w:rPr>
                <w:sz w:val="20"/>
                <w:szCs w:val="20"/>
                <w:color w:val="auto"/>
              </w:rPr>
            </w:pPr>
            <w:r>
              <w:rPr>
                <w:rFonts w:ascii="Arial" w:cs="Arial" w:eastAsia="Arial" w:hAnsi="Arial"/>
                <w:sz w:val="18"/>
                <w:szCs w:val="18"/>
                <w:color w:val="auto"/>
              </w:rPr>
              <w:t>48,279</w:t>
            </w:r>
          </w:p>
        </w:tc>
        <w:tc>
          <w:tcPr>
            <w:tcW w:w="100" w:type="dxa"/>
            <w:vAlign w:val="bottom"/>
            <w:gridSpan w:val="2"/>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Accrued off-hire</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5,886</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Accrued purchases</w:t>
            </w:r>
          </w:p>
        </w:tc>
        <w:tc>
          <w:tcPr>
            <w:tcW w:w="214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9,867</w:t>
            </w:r>
          </w:p>
        </w:tc>
        <w:tc>
          <w:tcPr>
            <w:tcW w:w="182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8,887</w:t>
            </w:r>
          </w:p>
        </w:tc>
        <w:tc>
          <w:tcPr>
            <w:tcW w:w="8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Accrued interest</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33,600</w:t>
            </w: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29"/>
        </w:trPr>
        <w:tc>
          <w:tcPr>
            <w:tcW w:w="7200" w:type="dxa"/>
            <w:vAlign w:val="bottom"/>
            <w:shd w:val="clear" w:color="auto" w:fill="CCFFFF"/>
          </w:tcPr>
          <w:p>
            <w:pPr>
              <w:spacing w:after="0"/>
              <w:rPr>
                <w:sz w:val="20"/>
                <w:szCs w:val="20"/>
                <w:color w:val="auto"/>
              </w:rPr>
            </w:pPr>
            <w:r>
              <w:rPr>
                <w:rFonts w:ascii="Arial" w:cs="Arial" w:eastAsia="Arial" w:hAnsi="Arial"/>
                <w:sz w:val="18"/>
                <w:szCs w:val="18"/>
                <w:color w:val="auto"/>
              </w:rPr>
              <w:t>Other accruals</w:t>
            </w:r>
          </w:p>
        </w:tc>
        <w:tc>
          <w:tcPr>
            <w:tcW w:w="214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34,092</w:t>
            </w:r>
          </w:p>
        </w:tc>
        <w:tc>
          <w:tcPr>
            <w:tcW w:w="1900" w:type="dxa"/>
            <w:vAlign w:val="bottom"/>
            <w:gridSpan w:val="3"/>
            <w:shd w:val="clear" w:color="auto" w:fill="CCFFFF"/>
          </w:tcPr>
          <w:p>
            <w:pPr>
              <w:jc w:val="right"/>
              <w:ind w:right="100"/>
              <w:spacing w:after="0"/>
              <w:rPr>
                <w:sz w:val="20"/>
                <w:szCs w:val="20"/>
                <w:color w:val="auto"/>
              </w:rPr>
            </w:pPr>
            <w:r>
              <w:rPr>
                <w:rFonts w:ascii="Arial" w:cs="Arial" w:eastAsia="Arial" w:hAnsi="Arial"/>
                <w:sz w:val="18"/>
                <w:szCs w:val="18"/>
                <w:color w:val="auto"/>
              </w:rPr>
              <w:t>39,459</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143,057</w:t>
            </w:r>
          </w:p>
        </w:tc>
        <w:tc>
          <w:tcPr>
            <w:tcW w:w="3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Capital and Preference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GasLog’s authorized share capital consists of 500,000,000 shares with a par value of $0.01 per share.</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As of March 31, 2021, the share capital consisted of 95,192,812 issued and outstanding common shares, par value $0.01 per share, 200,314 treasury shares issued and held by GasLog and 4,600,000 preference shares issued and outstanding. The treasury shares were acquired by GasLog in relation to the share-based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GasLog’s dividend distributions for the period ending March 31, 2021 are presented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Declaration date</w:t>
            </w: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Type of shares</w:t>
            </w:r>
          </w:p>
        </w:tc>
        <w:tc>
          <w:tcPr>
            <w:tcW w:w="2240" w:type="dxa"/>
            <w:vAlign w:val="bottom"/>
            <w:gridSpan w:val="2"/>
          </w:tcPr>
          <w:p>
            <w:pPr>
              <w:ind w:left="220"/>
              <w:spacing w:after="0"/>
              <w:rPr>
                <w:sz w:val="20"/>
                <w:szCs w:val="20"/>
                <w:color w:val="auto"/>
              </w:rPr>
            </w:pPr>
            <w:r>
              <w:rPr>
                <w:rFonts w:ascii="Arial" w:cs="Arial" w:eastAsia="Arial" w:hAnsi="Arial"/>
                <w:sz w:val="18"/>
                <w:szCs w:val="18"/>
                <w:b w:val="1"/>
                <w:bCs w:val="1"/>
                <w:color w:val="auto"/>
              </w:rPr>
              <w:t>Dividend per share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Payment date</w:t>
            </w:r>
          </w:p>
        </w:tc>
        <w:tc>
          <w:tcPr>
            <w:tcW w:w="2020" w:type="dxa"/>
            <w:vAlign w:val="bottom"/>
            <w:gridSpan w:val="2"/>
          </w:tcPr>
          <w:p>
            <w:pPr>
              <w:ind w:left="460"/>
              <w:spacing w:after="0"/>
              <w:rPr>
                <w:sz w:val="20"/>
                <w:szCs w:val="20"/>
                <w:color w:val="auto"/>
              </w:rPr>
            </w:pPr>
            <w:r>
              <w:rPr>
                <w:rFonts w:ascii="Arial" w:cs="Arial" w:eastAsia="Arial" w:hAnsi="Arial"/>
                <w:sz w:val="18"/>
                <w:szCs w:val="18"/>
                <w:b w:val="1"/>
                <w:bCs w:val="1"/>
                <w:color w:val="auto"/>
              </w:rPr>
              <w:t>Amount paid</w:t>
            </w:r>
          </w:p>
        </w:tc>
      </w:tr>
      <w:tr>
        <w:trPr>
          <w:trHeight w:val="210"/>
        </w:trPr>
        <w:tc>
          <w:tcPr>
            <w:tcW w:w="2160" w:type="dxa"/>
            <w:vAlign w:val="bottom"/>
            <w:tcBorders>
              <w:top w:val="single" w:sz="8" w:color="auto"/>
            </w:tcBorders>
            <w:shd w:val="clear" w:color="auto" w:fill="CCFFFF"/>
          </w:tcPr>
          <w:p>
            <w:pPr>
              <w:spacing w:after="0"/>
              <w:rPr>
                <w:sz w:val="20"/>
                <w:szCs w:val="20"/>
                <w:color w:val="auto"/>
              </w:rPr>
            </w:pPr>
            <w:r>
              <w:rPr>
                <w:rFonts w:ascii="Arial" w:cs="Arial" w:eastAsia="Arial" w:hAnsi="Arial"/>
                <w:sz w:val="18"/>
                <w:szCs w:val="18"/>
                <w:color w:val="auto"/>
              </w:rPr>
              <w:t>February 21, 2021</w:t>
            </w:r>
          </w:p>
        </w:tc>
        <w:tc>
          <w:tcPr>
            <w:tcW w:w="220" w:type="dxa"/>
            <w:vAlign w:val="bottom"/>
            <w:tcBorders>
              <w:top w:val="single" w:sz="8" w:color="CCFFFF"/>
            </w:tcBorders>
            <w:shd w:val="clear" w:color="auto" w:fill="CCFFFF"/>
          </w:tcPr>
          <w:p>
            <w:pPr>
              <w:spacing w:after="0"/>
              <w:rPr>
                <w:sz w:val="18"/>
                <w:szCs w:val="18"/>
                <w:color w:val="auto"/>
              </w:rPr>
            </w:pPr>
          </w:p>
        </w:tc>
        <w:tc>
          <w:tcPr>
            <w:tcW w:w="2160" w:type="dxa"/>
            <w:vAlign w:val="bottom"/>
            <w:tcBorders>
              <w:top w:val="single" w:sz="8" w:color="auto"/>
            </w:tcBorders>
            <w:shd w:val="clear" w:color="auto" w:fill="CCFFFF"/>
          </w:tcPr>
          <w:p>
            <w:pPr>
              <w:jc w:val="center"/>
              <w:spacing w:after="0"/>
              <w:rPr>
                <w:sz w:val="20"/>
                <w:szCs w:val="20"/>
                <w:color w:val="auto"/>
              </w:rPr>
            </w:pPr>
            <w:r>
              <w:rPr>
                <w:rFonts w:ascii="Arial" w:cs="Arial" w:eastAsia="Arial" w:hAnsi="Arial"/>
                <w:sz w:val="18"/>
                <w:szCs w:val="18"/>
                <w:color w:val="auto"/>
                <w:w w:val="93"/>
              </w:rPr>
              <w:t>Common</w:t>
            </w:r>
          </w:p>
        </w:tc>
        <w:tc>
          <w:tcPr>
            <w:tcW w:w="220" w:type="dxa"/>
            <w:vAlign w:val="bottom"/>
            <w:tcBorders>
              <w:top w:val="single" w:sz="8" w:color="CCFFFF"/>
            </w:tcBorders>
            <w:shd w:val="clear" w:color="auto" w:fill="CCFFFF"/>
          </w:tcPr>
          <w:p>
            <w:pPr>
              <w:spacing w:after="0"/>
              <w:rPr>
                <w:sz w:val="18"/>
                <w:szCs w:val="18"/>
                <w:color w:val="auto"/>
              </w:rPr>
            </w:pPr>
          </w:p>
        </w:tc>
        <w:tc>
          <w:tcPr>
            <w:tcW w:w="1920" w:type="dxa"/>
            <w:vAlign w:val="bottom"/>
            <w:tcBorders>
              <w:top w:val="single" w:sz="8" w:color="auto"/>
            </w:tcBorders>
            <w:shd w:val="clear" w:color="auto" w:fill="CCFFFF"/>
          </w:tcPr>
          <w:p>
            <w:pPr>
              <w:jc w:val="right"/>
              <w:ind w:right="610"/>
              <w:spacing w:after="0"/>
              <w:rPr>
                <w:sz w:val="20"/>
                <w:szCs w:val="20"/>
                <w:color w:val="auto"/>
              </w:rPr>
            </w:pPr>
            <w:r>
              <w:rPr>
                <w:rFonts w:ascii="Arial" w:cs="Arial" w:eastAsia="Arial" w:hAnsi="Arial"/>
                <w:sz w:val="18"/>
                <w:szCs w:val="18"/>
                <w:color w:val="auto"/>
              </w:rPr>
              <w:t>$0.05</w:t>
            </w:r>
          </w:p>
        </w:tc>
        <w:tc>
          <w:tcPr>
            <w:tcW w:w="320" w:type="dxa"/>
            <w:vAlign w:val="bottom"/>
            <w:tcBorders>
              <w:top w:val="single" w:sz="8" w:color="CCFFFF"/>
            </w:tcBorders>
            <w:shd w:val="clear" w:color="auto" w:fill="CCFFFF"/>
          </w:tcPr>
          <w:p>
            <w:pPr>
              <w:spacing w:after="0"/>
              <w:rPr>
                <w:sz w:val="18"/>
                <w:szCs w:val="18"/>
                <w:color w:val="auto"/>
              </w:rPr>
            </w:pPr>
          </w:p>
        </w:tc>
        <w:tc>
          <w:tcPr>
            <w:tcW w:w="2020" w:type="dxa"/>
            <w:vAlign w:val="bottom"/>
            <w:tcBorders>
              <w:top w:val="single" w:sz="8" w:color="auto"/>
            </w:tcBorders>
            <w:shd w:val="clear" w:color="auto" w:fill="CCFFFF"/>
          </w:tcPr>
          <w:p>
            <w:pPr>
              <w:jc w:val="center"/>
              <w:spacing w:after="0"/>
              <w:rPr>
                <w:sz w:val="20"/>
                <w:szCs w:val="20"/>
                <w:color w:val="auto"/>
              </w:rPr>
            </w:pPr>
            <w:r>
              <w:rPr>
                <w:rFonts w:ascii="Arial" w:cs="Arial" w:eastAsia="Arial" w:hAnsi="Arial"/>
                <w:sz w:val="18"/>
                <w:szCs w:val="18"/>
                <w:color w:val="auto"/>
                <w:w w:val="91"/>
              </w:rPr>
              <w:t>March 11, 2021</w:t>
            </w:r>
          </w:p>
        </w:tc>
        <w:tc>
          <w:tcPr>
            <w:tcW w:w="200" w:type="dxa"/>
            <w:vAlign w:val="bottom"/>
            <w:tcBorders>
              <w:top w:val="single" w:sz="8" w:color="CCFFFF"/>
            </w:tcBorders>
            <w:shd w:val="clear" w:color="auto" w:fill="CCFFFF"/>
          </w:tcPr>
          <w:p>
            <w:pPr>
              <w:spacing w:after="0"/>
              <w:rPr>
                <w:sz w:val="18"/>
                <w:szCs w:val="18"/>
                <w:color w:val="auto"/>
              </w:rPr>
            </w:pPr>
          </w:p>
        </w:tc>
        <w:tc>
          <w:tcPr>
            <w:tcW w:w="1920" w:type="dxa"/>
            <w:vAlign w:val="bottom"/>
            <w:tcBorders>
              <w:top w:val="single" w:sz="8" w:color="auto"/>
            </w:tcBorders>
            <w:shd w:val="clear" w:color="auto" w:fill="CCFFFF"/>
          </w:tcPr>
          <w:p>
            <w:pPr>
              <w:jc w:val="right"/>
              <w:ind w:right="610"/>
              <w:spacing w:after="0"/>
              <w:rPr>
                <w:sz w:val="20"/>
                <w:szCs w:val="20"/>
                <w:color w:val="auto"/>
              </w:rPr>
            </w:pPr>
            <w:r>
              <w:rPr>
                <w:rFonts w:ascii="Arial" w:cs="Arial" w:eastAsia="Arial" w:hAnsi="Arial"/>
                <w:sz w:val="18"/>
                <w:szCs w:val="18"/>
                <w:color w:val="auto"/>
              </w:rPr>
              <w:t>4,759</w:t>
            </w:r>
          </w:p>
        </w:tc>
        <w:tc>
          <w:tcPr>
            <w:tcW w:w="100" w:type="dxa"/>
            <w:vAlign w:val="bottom"/>
            <w:tcBorders>
              <w:top w:val="single" w:sz="8" w:color="CCFFFF"/>
            </w:tcBorders>
            <w:shd w:val="clear" w:color="auto" w:fill="CCFFFF"/>
          </w:tcPr>
          <w:p>
            <w:pPr>
              <w:spacing w:after="0"/>
              <w:rPr>
                <w:sz w:val="18"/>
                <w:szCs w:val="18"/>
                <w:color w:val="auto"/>
              </w:rPr>
            </w:pPr>
          </w:p>
        </w:tc>
      </w:tr>
      <w:tr>
        <w:trPr>
          <w:trHeight w:val="230"/>
        </w:trPr>
        <w:tc>
          <w:tcPr>
            <w:tcW w:w="2380" w:type="dxa"/>
            <w:vAlign w:val="bottom"/>
            <w:tcBorders>
              <w:bottom w:val="single" w:sz="8" w:color="CCFFFF"/>
            </w:tcBorders>
            <w:gridSpan w:val="2"/>
          </w:tcPr>
          <w:p>
            <w:pPr>
              <w:spacing w:after="0"/>
              <w:rPr>
                <w:sz w:val="20"/>
                <w:szCs w:val="20"/>
                <w:color w:val="auto"/>
              </w:rPr>
            </w:pPr>
            <w:r>
              <w:rPr>
                <w:rFonts w:ascii="Arial" w:cs="Arial" w:eastAsia="Arial" w:hAnsi="Arial"/>
                <w:sz w:val="18"/>
                <w:szCs w:val="18"/>
                <w:color w:val="auto"/>
              </w:rPr>
              <w:t>March 11, 2021</w:t>
            </w:r>
          </w:p>
        </w:tc>
        <w:tc>
          <w:tcPr>
            <w:tcW w:w="2380" w:type="dxa"/>
            <w:vAlign w:val="bottom"/>
            <w:tcBorders>
              <w:bottom w:val="single" w:sz="8" w:color="CCFFFF"/>
            </w:tcBorders>
            <w:gridSpan w:val="2"/>
          </w:tcPr>
          <w:p>
            <w:pPr>
              <w:jc w:val="center"/>
              <w:ind w:right="220"/>
              <w:spacing w:after="0"/>
              <w:rPr>
                <w:sz w:val="20"/>
                <w:szCs w:val="20"/>
                <w:color w:val="auto"/>
              </w:rPr>
            </w:pPr>
            <w:r>
              <w:rPr>
                <w:rFonts w:ascii="Arial" w:cs="Arial" w:eastAsia="Arial" w:hAnsi="Arial"/>
                <w:sz w:val="18"/>
                <w:szCs w:val="18"/>
                <w:color w:val="auto"/>
                <w:w w:val="86"/>
              </w:rPr>
              <w:t>Preference</w:t>
            </w:r>
          </w:p>
        </w:tc>
        <w:tc>
          <w:tcPr>
            <w:tcW w:w="1920" w:type="dxa"/>
            <w:vAlign w:val="bottom"/>
            <w:tcBorders>
              <w:bottom w:val="single" w:sz="8" w:color="CCFFFF"/>
            </w:tcBorders>
          </w:tcPr>
          <w:p>
            <w:pPr>
              <w:jc w:val="right"/>
              <w:ind w:right="430"/>
              <w:spacing w:after="0"/>
              <w:rPr>
                <w:sz w:val="20"/>
                <w:szCs w:val="20"/>
                <w:color w:val="auto"/>
              </w:rPr>
            </w:pPr>
            <w:r>
              <w:rPr>
                <w:rFonts w:ascii="Arial" w:cs="Arial" w:eastAsia="Arial" w:hAnsi="Arial"/>
                <w:sz w:val="18"/>
                <w:szCs w:val="18"/>
                <w:color w:val="auto"/>
              </w:rPr>
              <w:t>$0.546875</w:t>
            </w:r>
          </w:p>
        </w:tc>
        <w:tc>
          <w:tcPr>
            <w:tcW w:w="320" w:type="dxa"/>
            <w:vAlign w:val="bottom"/>
            <w:tcBorders>
              <w:bottom w:val="single" w:sz="8" w:color="CCFFFF"/>
            </w:tcBorders>
          </w:tcPr>
          <w:p>
            <w:pPr>
              <w:spacing w:after="0"/>
              <w:rPr>
                <w:sz w:val="19"/>
                <w:szCs w:val="19"/>
                <w:color w:val="auto"/>
              </w:rPr>
            </w:pPr>
          </w:p>
        </w:tc>
        <w:tc>
          <w:tcPr>
            <w:tcW w:w="2220" w:type="dxa"/>
            <w:vAlign w:val="bottom"/>
            <w:tcBorders>
              <w:bottom w:val="single" w:sz="8" w:color="CCFFFF"/>
            </w:tcBorders>
            <w:gridSpan w:val="2"/>
          </w:tcPr>
          <w:p>
            <w:pPr>
              <w:jc w:val="center"/>
              <w:ind w:right="200"/>
              <w:spacing w:after="0"/>
              <w:rPr>
                <w:sz w:val="20"/>
                <w:szCs w:val="20"/>
                <w:color w:val="auto"/>
              </w:rPr>
            </w:pPr>
            <w:r>
              <w:rPr>
                <w:rFonts w:ascii="Arial" w:cs="Arial" w:eastAsia="Arial" w:hAnsi="Arial"/>
                <w:sz w:val="18"/>
                <w:szCs w:val="18"/>
                <w:color w:val="auto"/>
                <w:w w:val="91"/>
              </w:rPr>
              <w:t>March 31, 2021</w:t>
            </w:r>
          </w:p>
        </w:tc>
        <w:tc>
          <w:tcPr>
            <w:tcW w:w="19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2,516</w:t>
            </w:r>
          </w:p>
        </w:tc>
        <w:tc>
          <w:tcPr>
            <w:tcW w:w="100" w:type="dxa"/>
            <w:vAlign w:val="bottom"/>
            <w:tcBorders>
              <w:bottom w:val="single" w:sz="8" w:color="CCFFFF"/>
            </w:tcBorders>
          </w:tcPr>
          <w:p>
            <w:pPr>
              <w:spacing w:after="0"/>
              <w:rPr>
                <w:sz w:val="19"/>
                <w:szCs w:val="19"/>
                <w:color w:val="auto"/>
              </w:rPr>
            </w:pPr>
          </w:p>
        </w:tc>
      </w:tr>
      <w:tr>
        <w:trPr>
          <w:trHeight w:val="209"/>
        </w:trPr>
        <w:tc>
          <w:tcPr>
            <w:tcW w:w="2380" w:type="dxa"/>
            <w:vAlign w:val="bottom"/>
            <w:gridSpan w:val="2"/>
            <w:shd w:val="clear" w:color="auto" w:fill="CCFFFF"/>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92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202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1920" w:type="dxa"/>
            <w:vAlign w:val="bottom"/>
            <w:tcBorders>
              <w:bottom w:val="single" w:sz="8" w:color="auto"/>
            </w:tcBorders>
            <w:shd w:val="clear" w:color="auto" w:fill="CCFFFF"/>
          </w:tcPr>
          <w:p>
            <w:pPr>
              <w:jc w:val="right"/>
              <w:ind w:right="610"/>
              <w:spacing w:after="0"/>
              <w:rPr>
                <w:sz w:val="20"/>
                <w:szCs w:val="20"/>
                <w:color w:val="auto"/>
              </w:rPr>
            </w:pPr>
            <w:r>
              <w:rPr>
                <w:rFonts w:ascii="Arial" w:cs="Arial" w:eastAsia="Arial" w:hAnsi="Arial"/>
                <w:sz w:val="18"/>
                <w:szCs w:val="18"/>
                <w:b w:val="1"/>
                <w:bCs w:val="1"/>
                <w:color w:val="auto"/>
              </w:rPr>
              <w:t>7,275</w:t>
            </w:r>
          </w:p>
        </w:tc>
        <w:tc>
          <w:tcPr>
            <w:tcW w:w="100" w:type="dxa"/>
            <w:vAlign w:val="bottom"/>
            <w:shd w:val="clear" w:color="auto" w:fill="CCFF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Commitments relating to the vessels under construction (Note 4) as of March 31, 2021 payable to Samsung were as follows:</w:t>
      </w:r>
    </w:p>
    <w:p>
      <w:pPr>
        <w:sectPr>
          <w:pgSz w:w="11900" w:h="16838" w:orient="portrait"/>
          <w:cols w:equalWidth="0" w:num="1">
            <w:col w:w="11240"/>
          </w:cols>
          <w:pgMar w:left="320" w:top="904" w:right="339" w:bottom="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Not later than one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right"/>
        <w:ind w:right="120"/>
        <w:spacing w:after="0"/>
        <w:rPr>
          <w:sz w:val="20"/>
          <w:szCs w:val="20"/>
          <w:color w:val="auto"/>
        </w:rPr>
      </w:pPr>
      <w:r>
        <w:rPr>
          <w:rFonts w:ascii="Arial" w:cs="Arial" w:eastAsia="Arial" w:hAnsi="Arial"/>
          <w:sz w:val="16"/>
          <w:szCs w:val="16"/>
          <w:b w:val="1"/>
          <w:bCs w:val="1"/>
          <w:u w:val="single" w:color="auto"/>
          <w:color w:val="auto"/>
        </w:rPr>
        <w:t>March 31, 2021</w:t>
      </w:r>
    </w:p>
    <w:p>
      <w:pPr>
        <w:spacing w:after="0" w:line="27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311,660</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311,660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48895</wp:posOffset>
            </wp:positionV>
            <wp:extent cx="7797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0" w:space="720"/>
            <w:col w:w="1320"/>
          </w:cols>
          <w:pgMar w:left="320" w:top="904" w:right="339" w:bottom="0" w:gutter="0" w:footer="0" w:header="0"/>
          <w:type w:val="continuous"/>
        </w:sectPr>
      </w:pPr>
    </w:p>
    <w:p>
      <w:pPr>
        <w:spacing w:after="0" w:line="92" w:lineRule="exact"/>
        <w:rPr>
          <w:sz w:val="20"/>
          <w:szCs w:val="20"/>
          <w:color w:val="auto"/>
        </w:rPr>
      </w:pPr>
    </w:p>
    <w:p>
      <w:pPr>
        <w:ind w:right="120" w:firstLine="8"/>
        <w:spacing w:after="0" w:line="311"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Future gross minimum revenues receivable in relation to non-cancellable time charter agreements for vessels in operation, including a vessel under a lease (Note 5), as of March 31, 2021 are as follows (30 off-hire days are assumed when each vessel will undergo scheduled dry-docking; in addition, early delivery of the vessels by the charterers or any exercise of the charterers’ options to extend the terms of the charters are not accounted for):</w:t>
      </w:r>
    </w:p>
    <w:p>
      <w:pPr>
        <w:sectPr>
          <w:pgSz w:w="11900" w:h="16838" w:orient="portrait"/>
          <w:cols w:equalWidth="0" w:num="1">
            <w:col w:w="11240"/>
          </w:cols>
          <w:pgMar w:left="320" w:top="904" w:right="339" w:bottom="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2021</w:t>
            </w:r>
          </w:p>
        </w:tc>
      </w:tr>
      <w:tr>
        <w:trPr>
          <w:trHeight w:val="209"/>
        </w:trPr>
        <w:tc>
          <w:tcPr>
            <w:tcW w:w="990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i w:val="1"/>
                <w:iCs w:val="1"/>
                <w:color w:val="auto"/>
              </w:rPr>
              <w:t>Period</w:t>
            </w:r>
          </w:p>
        </w:tc>
        <w:tc>
          <w:tcPr>
            <w:tcW w:w="1240" w:type="dxa"/>
            <w:vAlign w:val="bottom"/>
            <w:tcBorders>
              <w:top w:val="single" w:sz="8" w:color="auto"/>
            </w:tcBorders>
            <w:shd w:val="clear" w:color="auto" w:fill="CCFFFF"/>
          </w:tcPr>
          <w:p>
            <w:pPr>
              <w:spacing w:after="0"/>
              <w:rPr>
                <w:sz w:val="18"/>
                <w:szCs w:val="18"/>
                <w:color w:val="auto"/>
              </w:rPr>
            </w:pPr>
          </w:p>
        </w:tc>
        <w:tc>
          <w:tcPr>
            <w:tcW w:w="20" w:type="dxa"/>
            <w:vAlign w:val="bottom"/>
            <w:tcBorders>
              <w:top w:val="single" w:sz="8" w:color="CCFFFF"/>
            </w:tcBorders>
            <w:shd w:val="clear" w:color="auto" w:fill="CCFFFF"/>
          </w:tcPr>
          <w:p>
            <w:pPr>
              <w:spacing w:after="0"/>
              <w:rPr>
                <w:sz w:val="18"/>
                <w:szCs w:val="18"/>
                <w:color w:val="auto"/>
              </w:rPr>
            </w:pPr>
          </w:p>
        </w:tc>
        <w:tc>
          <w:tcPr>
            <w:tcW w:w="80" w:type="dxa"/>
            <w:vAlign w:val="bottom"/>
            <w:tcBorders>
              <w:top w:val="single" w:sz="8" w:color="CCFFFF"/>
            </w:tcBorders>
            <w:shd w:val="clear" w:color="auto" w:fill="CCFF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412,944</w:t>
            </w:r>
          </w:p>
        </w:tc>
        <w:tc>
          <w:tcPr>
            <w:tcW w:w="80" w:type="dxa"/>
            <w:vAlign w:val="bottom"/>
          </w:tcPr>
          <w:p>
            <w:pPr>
              <w:spacing w:after="0"/>
              <w:rPr>
                <w:sz w:val="18"/>
                <w:szCs w:val="18"/>
                <w:color w:val="auto"/>
              </w:rPr>
            </w:pPr>
          </w:p>
        </w:tc>
      </w:tr>
      <w:tr>
        <w:trPr>
          <w:trHeight w:val="216"/>
        </w:trPr>
        <w:tc>
          <w:tcPr>
            <w:tcW w:w="9900" w:type="dxa"/>
            <w:vAlign w:val="bottom"/>
            <w:shd w:val="clear" w:color="auto" w:fill="CCFFFF"/>
          </w:tcPr>
          <w:p>
            <w:pPr>
              <w:spacing w:after="0"/>
              <w:rPr>
                <w:sz w:val="20"/>
                <w:szCs w:val="20"/>
                <w:color w:val="auto"/>
              </w:rPr>
            </w:pPr>
            <w:r>
              <w:rPr>
                <w:rFonts w:ascii="Arial" w:cs="Arial" w:eastAsia="Arial" w:hAnsi="Arial"/>
                <w:sz w:val="18"/>
                <w:szCs w:val="18"/>
                <w:color w:val="auto"/>
              </w:rPr>
              <w:t>Later than one year and not later than two years</w:t>
            </w:r>
          </w:p>
        </w:tc>
        <w:tc>
          <w:tcPr>
            <w:tcW w:w="126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392,718</w:t>
            </w:r>
          </w:p>
        </w:tc>
        <w:tc>
          <w:tcPr>
            <w:tcW w:w="80" w:type="dxa"/>
            <w:vAlign w:val="bottom"/>
            <w:shd w:val="clear" w:color="auto" w:fill="CCFF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Later than two years and not later than three years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362,124</w:t>
            </w:r>
          </w:p>
        </w:tc>
        <w:tc>
          <w:tcPr>
            <w:tcW w:w="80" w:type="dxa"/>
            <w:vAlign w:val="bottom"/>
          </w:tcPr>
          <w:p>
            <w:pPr>
              <w:spacing w:after="0"/>
              <w:rPr>
                <w:sz w:val="18"/>
                <w:szCs w:val="18"/>
                <w:color w:val="auto"/>
              </w:rPr>
            </w:pPr>
          </w:p>
        </w:tc>
      </w:tr>
      <w:tr>
        <w:trPr>
          <w:trHeight w:val="216"/>
        </w:trPr>
        <w:tc>
          <w:tcPr>
            <w:tcW w:w="9900" w:type="dxa"/>
            <w:vAlign w:val="bottom"/>
            <w:shd w:val="clear" w:color="auto" w:fill="CCFFFF"/>
          </w:tcPr>
          <w:p>
            <w:pPr>
              <w:spacing w:after="0"/>
              <w:rPr>
                <w:sz w:val="20"/>
                <w:szCs w:val="20"/>
                <w:color w:val="auto"/>
              </w:rPr>
            </w:pPr>
            <w:r>
              <w:rPr>
                <w:rFonts w:ascii="Arial" w:cs="Arial" w:eastAsia="Arial" w:hAnsi="Arial"/>
                <w:sz w:val="18"/>
                <w:szCs w:val="18"/>
                <w:color w:val="auto"/>
              </w:rPr>
              <w:t>Later than three years and not later than four years</w:t>
            </w:r>
          </w:p>
        </w:tc>
        <w:tc>
          <w:tcPr>
            <w:tcW w:w="126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309,890</w:t>
            </w:r>
          </w:p>
        </w:tc>
        <w:tc>
          <w:tcPr>
            <w:tcW w:w="80" w:type="dxa"/>
            <w:vAlign w:val="bottom"/>
            <w:shd w:val="clear" w:color="auto" w:fill="CCFF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Later than four years and not later than five years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294,565</w:t>
            </w:r>
          </w:p>
        </w:tc>
        <w:tc>
          <w:tcPr>
            <w:tcW w:w="80" w:type="dxa"/>
            <w:vAlign w:val="bottom"/>
          </w:tcPr>
          <w:p>
            <w:pPr>
              <w:spacing w:after="0"/>
              <w:rPr>
                <w:sz w:val="18"/>
                <w:szCs w:val="18"/>
                <w:color w:val="auto"/>
              </w:rPr>
            </w:pPr>
          </w:p>
        </w:tc>
      </w:tr>
      <w:tr>
        <w:trPr>
          <w:trHeight w:val="230"/>
        </w:trPr>
        <w:tc>
          <w:tcPr>
            <w:tcW w:w="9900" w:type="dxa"/>
            <w:vAlign w:val="bottom"/>
            <w:shd w:val="clear" w:color="auto" w:fill="CCFFFF"/>
          </w:tcPr>
          <w:p>
            <w:pPr>
              <w:spacing w:after="0"/>
              <w:rPr>
                <w:sz w:val="20"/>
                <w:szCs w:val="20"/>
                <w:color w:val="auto"/>
              </w:rPr>
            </w:pPr>
            <w:r>
              <w:rPr>
                <w:rFonts w:ascii="Arial" w:cs="Arial" w:eastAsia="Arial" w:hAnsi="Arial"/>
                <w:sz w:val="18"/>
                <w:szCs w:val="18"/>
                <w:color w:val="auto"/>
              </w:rPr>
              <w:t>Later than five years</w:t>
            </w:r>
          </w:p>
        </w:tc>
        <w:tc>
          <w:tcPr>
            <w:tcW w:w="1260" w:type="dxa"/>
            <w:vAlign w:val="bottom"/>
            <w:gridSpan w:val="2"/>
            <w:shd w:val="clear" w:color="auto" w:fill="CCFFFF"/>
          </w:tcPr>
          <w:p>
            <w:pPr>
              <w:jc w:val="right"/>
              <w:ind w:right="20"/>
              <w:spacing w:after="0"/>
              <w:rPr>
                <w:sz w:val="20"/>
                <w:szCs w:val="20"/>
                <w:color w:val="auto"/>
              </w:rPr>
            </w:pPr>
            <w:r>
              <w:rPr>
                <w:rFonts w:ascii="Arial" w:cs="Arial" w:eastAsia="Arial" w:hAnsi="Arial"/>
                <w:sz w:val="18"/>
                <w:szCs w:val="18"/>
                <w:color w:val="auto"/>
              </w:rPr>
              <w:t>576,071</w:t>
            </w:r>
          </w:p>
        </w:tc>
        <w:tc>
          <w:tcPr>
            <w:tcW w:w="80" w:type="dxa"/>
            <w:vAlign w:val="bottom"/>
            <w:shd w:val="clear" w:color="auto" w:fill="CCFFFF"/>
          </w:tcPr>
          <w:p>
            <w:pPr>
              <w:spacing w:after="0"/>
              <w:rPr>
                <w:sz w:val="19"/>
                <w:szCs w:val="19"/>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2,348,312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Future gross minimum lease payments disclosed in the above table exclude the lease payments of the vessels that are under construction as of March 31, 2021 (Note 4).</w:t>
      </w:r>
    </w:p>
    <w:p>
      <w:pPr>
        <w:spacing w:after="0" w:line="170" w:lineRule="exact"/>
        <w:rPr>
          <w:sz w:val="20"/>
          <w:szCs w:val="20"/>
          <w:color w:val="auto"/>
        </w:rPr>
      </w:pPr>
    </w:p>
    <w:p>
      <w:pPr>
        <w:ind w:left="340" w:right="100" w:hanging="332"/>
        <w:spacing w:after="0" w:line="279"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September 2017 (and in addition to the seven existing maintenance agreements signed in 2015 in relation to GasLog vessels), GasLog LNG Services Ltd. entered into further maintenance agreements with Wartsila Greece S.A. (“Wartsila”) in respect of eight additional GasLog LNG carriers. In July 2018, GasLog LNG Services Ltd. renewed the maintenance agreements signed in 2015 with Wartsila. The agreements ensure dynamic maintenance planning, technical support, security of spare parts supply, specialist technical personnel and performance monitoring.</w:t>
      </w:r>
    </w:p>
    <w:p>
      <w:pPr>
        <w:spacing w:after="0" w:line="171" w:lineRule="exact"/>
        <w:rPr>
          <w:rFonts w:ascii="Arial" w:cs="Arial" w:eastAsia="Arial" w:hAnsi="Arial"/>
          <w:sz w:val="17"/>
          <w:szCs w:val="17"/>
          <w:color w:val="auto"/>
        </w:rPr>
      </w:pPr>
    </w:p>
    <w:p>
      <w:pPr>
        <w:ind w:left="340" w:right="60" w:hanging="332"/>
        <w:spacing w:after="0" w:line="31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March 2019, GasLog LNG Services entered into an agreement with Samsung in respect of nineteen of GasLog’s vessels. The agreement covers the supply of ballast water management systems on board the vessels by Samsung and associated field, commissioning and engineering services for a firm period of six years. As of March 31, 2021, ballast water management systems had been installed on twelve out of the nineteen vessels.</w:t>
      </w:r>
    </w:p>
    <w:p>
      <w:pPr>
        <w:spacing w:after="0" w:line="14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15. Derivative Financial Instruments</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340"/>
              <w:spacing w:after="0"/>
              <w:rPr>
                <w:sz w:val="20"/>
                <w:szCs w:val="20"/>
                <w:color w:val="auto"/>
              </w:rPr>
            </w:pPr>
            <w:r>
              <w:rPr>
                <w:rFonts w:ascii="Arial" w:cs="Arial" w:eastAsia="Arial" w:hAnsi="Arial"/>
                <w:sz w:val="18"/>
                <w:szCs w:val="18"/>
                <w:color w:val="auto"/>
              </w:rPr>
              <w:t>The fair value of the derivative assets is as follows: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40" w:type="dxa"/>
            <w:vAlign w:val="bottom"/>
          </w:tcPr>
          <w:p>
            <w:pPr>
              <w:spacing w:after="0"/>
              <w:rPr>
                <w:sz w:val="24"/>
                <w:szCs w:val="2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8340" w:type="dxa"/>
            <w:vAlign w:val="bottom"/>
            <w:tcBorders>
              <w:bottom w:val="single" w:sz="8" w:color="CCFF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CCFF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24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327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Derivative assets designated and effective as hedging instruments carried at fair value</w:t>
            </w:r>
          </w:p>
        </w:tc>
        <w:tc>
          <w:tcPr>
            <w:tcW w:w="124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tcPr>
          <w:p>
            <w:pPr>
              <w:spacing w:after="0"/>
              <w:rPr>
                <w:sz w:val="20"/>
                <w:szCs w:val="20"/>
                <w:color w:val="auto"/>
              </w:rPr>
            </w:pPr>
            <w:r>
              <w:rPr>
                <w:rFonts w:ascii="Arial" w:cs="Arial" w:eastAsia="Arial" w:hAnsi="Arial"/>
                <w:sz w:val="18"/>
                <w:szCs w:val="18"/>
                <w:color w:val="auto"/>
              </w:rPr>
              <w:t>Cross-currency swaps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5,768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6,172</w:t>
            </w:r>
          </w:p>
        </w:tc>
        <w:tc>
          <w:tcPr>
            <w:tcW w:w="0" w:type="dxa"/>
            <w:vAlign w:val="bottom"/>
          </w:tcPr>
          <w:p>
            <w:pPr>
              <w:spacing w:after="0"/>
              <w:rPr>
                <w:sz w:val="1"/>
                <w:szCs w:val="1"/>
                <w:color w:val="auto"/>
              </w:rPr>
            </w:pPr>
          </w:p>
        </w:tc>
      </w:tr>
      <w:tr>
        <w:trPr>
          <w:trHeight w:val="223"/>
        </w:trPr>
        <w:tc>
          <w:tcPr>
            <w:tcW w:w="8340" w:type="dxa"/>
            <w:vAlign w:val="bottom"/>
            <w:tcBorders>
              <w:top w:val="single" w:sz="8" w:color="CCFFFF"/>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6,095</w:t>
            </w:r>
          </w:p>
        </w:tc>
        <w:tc>
          <w:tcPr>
            <w:tcW w:w="320" w:type="dxa"/>
            <w:vAlign w:val="bottom"/>
            <w:tcBorders>
              <w:top w:val="single" w:sz="8" w:color="CCFFFF"/>
              <w:bottom w:val="single" w:sz="8" w:color="CCFFFF"/>
            </w:tcBorders>
            <w:shd w:val="clear" w:color="auto" w:fill="CCFFFF"/>
          </w:tcPr>
          <w:p>
            <w:pPr>
              <w:spacing w:after="0"/>
              <w:rPr>
                <w:sz w:val="19"/>
                <w:szCs w:val="19"/>
                <w:color w:val="auto"/>
              </w:rPr>
            </w:pP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6,172</w:t>
            </w:r>
          </w:p>
        </w:tc>
        <w:tc>
          <w:tcPr>
            <w:tcW w:w="100" w:type="dxa"/>
            <w:vAlign w:val="bottom"/>
            <w:tcBorders>
              <w:top w:val="single" w:sz="8" w:color="CCFFFF"/>
              <w:bottom w:val="single" w:sz="8" w:color="CCFFFF"/>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Derivative financial instruments, current assets</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534</w:t>
            </w:r>
          </w:p>
        </w:tc>
        <w:tc>
          <w:tcPr>
            <w:tcW w:w="32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337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FFFF"/>
          </w:tcPr>
          <w:p>
            <w:pPr>
              <w:spacing w:after="0"/>
              <w:rPr>
                <w:sz w:val="20"/>
                <w:szCs w:val="20"/>
                <w:color w:val="auto"/>
              </w:rPr>
            </w:pPr>
            <w:r>
              <w:rPr>
                <w:rFonts w:ascii="Arial" w:cs="Arial" w:eastAsia="Arial" w:hAnsi="Arial"/>
                <w:sz w:val="18"/>
                <w:szCs w:val="18"/>
                <w:color w:val="auto"/>
              </w:rPr>
              <w:t>Derivative financial instruments, non-current assets</w:t>
            </w:r>
          </w:p>
        </w:tc>
        <w:tc>
          <w:tcPr>
            <w:tcW w:w="156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5,561</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6,095</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340"/>
              <w:spacing w:after="0"/>
              <w:rPr>
                <w:sz w:val="20"/>
                <w:szCs w:val="20"/>
                <w:color w:val="auto"/>
              </w:rPr>
            </w:pPr>
            <w:r>
              <w:rPr>
                <w:rFonts w:ascii="Arial" w:cs="Arial" w:eastAsia="Arial" w:hAnsi="Arial"/>
                <w:sz w:val="18"/>
                <w:szCs w:val="18"/>
                <w:color w:val="auto"/>
              </w:rPr>
              <w:t>The fair value of the derivative liabilities is as follows:</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340" w:type="dxa"/>
            <w:vAlign w:val="bottom"/>
          </w:tcPr>
          <w:p>
            <w:pPr>
              <w:spacing w:after="0"/>
              <w:rPr>
                <w:sz w:val="24"/>
                <w:szCs w:val="2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8340" w:type="dxa"/>
            <w:vAlign w:val="bottom"/>
            <w:tcBorders>
              <w:bottom w:val="single" w:sz="8" w:color="CCFF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CCFF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24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Interest rate swaps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113,855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85,529</w:t>
            </w:r>
          </w:p>
        </w:tc>
        <w:tc>
          <w:tcPr>
            <w:tcW w:w="0" w:type="dxa"/>
            <w:vAlign w:val="bottom"/>
          </w:tcPr>
          <w:p>
            <w:pPr>
              <w:spacing w:after="0"/>
              <w:rPr>
                <w:sz w:val="1"/>
                <w:szCs w:val="1"/>
                <w:color w:val="auto"/>
              </w:rPr>
            </w:pPr>
          </w:p>
        </w:tc>
      </w:tr>
      <w:tr>
        <w:trPr>
          <w:trHeight w:val="230"/>
        </w:trPr>
        <w:tc>
          <w:tcPr>
            <w:tcW w:w="8340" w:type="dxa"/>
            <w:vAlign w:val="bottom"/>
            <w:shd w:val="clear" w:color="auto" w:fill="CCFFFF"/>
          </w:tcPr>
          <w:p>
            <w:pPr>
              <w:spacing w:after="0"/>
              <w:rPr>
                <w:sz w:val="20"/>
                <w:szCs w:val="20"/>
                <w:color w:val="auto"/>
              </w:rPr>
            </w:pPr>
            <w:r>
              <w:rPr>
                <w:rFonts w:ascii="Arial" w:cs="Arial" w:eastAsia="Arial" w:hAnsi="Arial"/>
                <w:sz w:val="18"/>
                <w:szCs w:val="18"/>
                <w:color w:val="auto"/>
              </w:rPr>
              <w:t>Forward foreign exchange contracts</w:t>
            </w:r>
          </w:p>
        </w:tc>
        <w:tc>
          <w:tcPr>
            <w:tcW w:w="156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63"/>
        </w:trPr>
        <w:tc>
          <w:tcPr>
            <w:tcW w:w="8340" w:type="dxa"/>
            <w:vAlign w:val="bottom"/>
            <w:tcBorders>
              <w:bottom w:val="single" w:sz="8" w:color="CCFFFF"/>
            </w:tcBorders>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113,855</w:t>
            </w:r>
          </w:p>
        </w:tc>
        <w:tc>
          <w:tcPr>
            <w:tcW w:w="320" w:type="dxa"/>
            <w:vAlign w:val="bottom"/>
            <w:tcBorders>
              <w:bottom w:val="single" w:sz="8" w:color="CCFF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86,120</w:t>
            </w:r>
          </w:p>
        </w:tc>
        <w:tc>
          <w:tcPr>
            <w:tcW w:w="100" w:type="dxa"/>
            <w:vAlign w:val="bottom"/>
            <w:tcBorders>
              <w:bottom w:val="single" w:sz="8" w:color="CCFF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340" w:type="dxa"/>
            <w:vAlign w:val="bottom"/>
            <w:shd w:val="clear" w:color="auto" w:fill="CCFFFF"/>
          </w:tcPr>
          <w:p>
            <w:pPr>
              <w:spacing w:after="0" w:line="196" w:lineRule="exact"/>
              <w:rPr>
                <w:sz w:val="20"/>
                <w:szCs w:val="20"/>
                <w:color w:val="auto"/>
              </w:rPr>
            </w:pPr>
            <w:r>
              <w:rPr>
                <w:rFonts w:ascii="Arial" w:cs="Arial" w:eastAsia="Arial" w:hAnsi="Arial"/>
                <w:sz w:val="18"/>
                <w:szCs w:val="18"/>
                <w:color w:val="auto"/>
              </w:rPr>
              <w:t>Derivative financial instruments, current liability</w:t>
            </w:r>
          </w:p>
        </w:tc>
        <w:tc>
          <w:tcPr>
            <w:tcW w:w="1240" w:type="dxa"/>
            <w:vAlign w:val="bottom"/>
            <w:shd w:val="clear" w:color="auto" w:fill="CCFFFF"/>
          </w:tcPr>
          <w:p>
            <w:pPr>
              <w:jc w:val="right"/>
              <w:spacing w:after="0" w:line="196" w:lineRule="exact"/>
              <w:rPr>
                <w:sz w:val="20"/>
                <w:szCs w:val="20"/>
                <w:color w:val="auto"/>
              </w:rPr>
            </w:pPr>
            <w:r>
              <w:rPr>
                <w:rFonts w:ascii="Arial" w:cs="Arial" w:eastAsia="Arial" w:hAnsi="Arial"/>
                <w:sz w:val="18"/>
                <w:szCs w:val="18"/>
                <w:color w:val="auto"/>
              </w:rPr>
              <w:t>35,415</w:t>
            </w:r>
          </w:p>
        </w:tc>
        <w:tc>
          <w:tcPr>
            <w:tcW w:w="320" w:type="dxa"/>
            <w:vAlign w:val="bottom"/>
            <w:shd w:val="clear" w:color="auto" w:fill="CCFFFF"/>
          </w:tcPr>
          <w:p>
            <w:pPr>
              <w:spacing w:after="0"/>
              <w:rPr>
                <w:sz w:val="17"/>
                <w:szCs w:val="17"/>
                <w:color w:val="auto"/>
              </w:rPr>
            </w:pPr>
          </w:p>
        </w:tc>
        <w:tc>
          <w:tcPr>
            <w:tcW w:w="1240" w:type="dxa"/>
            <w:vAlign w:val="bottom"/>
            <w:shd w:val="clear" w:color="auto" w:fill="CCFFFF"/>
          </w:tcPr>
          <w:p>
            <w:pPr>
              <w:jc w:val="right"/>
              <w:spacing w:after="0" w:line="196" w:lineRule="exact"/>
              <w:rPr>
                <w:sz w:val="20"/>
                <w:szCs w:val="20"/>
                <w:color w:val="auto"/>
              </w:rPr>
            </w:pPr>
            <w:r>
              <w:rPr>
                <w:rFonts w:ascii="Arial" w:cs="Arial" w:eastAsia="Arial" w:hAnsi="Arial"/>
                <w:sz w:val="18"/>
                <w:szCs w:val="18"/>
                <w:color w:val="auto"/>
              </w:rPr>
              <w:t>35,028</w:t>
            </w:r>
          </w:p>
        </w:tc>
        <w:tc>
          <w:tcPr>
            <w:tcW w:w="100" w:type="dxa"/>
            <w:vAlign w:val="bottom"/>
            <w:shd w:val="clear" w:color="auto" w:fill="CC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78,440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51,092</w:t>
            </w:r>
          </w:p>
        </w:tc>
        <w:tc>
          <w:tcPr>
            <w:tcW w:w="0" w:type="dxa"/>
            <w:vAlign w:val="bottom"/>
          </w:tcPr>
          <w:p>
            <w:pPr>
              <w:spacing w:after="0"/>
              <w:rPr>
                <w:sz w:val="1"/>
                <w:szCs w:val="1"/>
                <w:color w:val="auto"/>
              </w:rPr>
            </w:pPr>
          </w:p>
        </w:tc>
      </w:tr>
      <w:tr>
        <w:trPr>
          <w:trHeight w:val="223"/>
        </w:trPr>
        <w:tc>
          <w:tcPr>
            <w:tcW w:w="8340" w:type="dxa"/>
            <w:vAlign w:val="bottom"/>
            <w:tcBorders>
              <w:top w:val="single" w:sz="8" w:color="CCFFFF"/>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113,855</w:t>
            </w:r>
          </w:p>
        </w:tc>
        <w:tc>
          <w:tcPr>
            <w:tcW w:w="320" w:type="dxa"/>
            <w:vAlign w:val="bottom"/>
            <w:tcBorders>
              <w:top w:val="single" w:sz="8" w:color="CCFFFF"/>
              <w:bottom w:val="single" w:sz="8" w:color="CCFFFF"/>
            </w:tcBorders>
            <w:shd w:val="clear" w:color="auto" w:fill="CCFFFF"/>
          </w:tcPr>
          <w:p>
            <w:pPr>
              <w:spacing w:after="0"/>
              <w:rPr>
                <w:sz w:val="19"/>
                <w:szCs w:val="19"/>
                <w:color w:val="auto"/>
              </w:rPr>
            </w:pP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86,120</w:t>
            </w:r>
          </w:p>
        </w:tc>
        <w:tc>
          <w:tcPr>
            <w:tcW w:w="100" w:type="dxa"/>
            <w:vAlign w:val="bottom"/>
            <w:tcBorders>
              <w:top w:val="single" w:sz="8" w:color="CCFFFF"/>
              <w:bottom w:val="single" w:sz="8" w:color="CCFFFF"/>
            </w:tcBorders>
            <w:shd w:val="clear" w:color="auto" w:fill="CC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29"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USD LIBOR, and the Group effects quarterly payments to the bank on the notional amounts at the respective fixed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held for trading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principal terms of the Group’s interest rate swaps held for trading as of December 31, 2020 have been disclosed in the annual audited consolidated financial statements for the year ended December 31, 2020. Refer to Note 26 “Derivative Financial Instruments”. During the three months ended March 31, 2021, the Group did not enter into any interest rate swaps held for trading.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1" w:gutter="0" w:footer="0" w:header="0"/>
        </w:sectPr>
      </w:pPr>
    </w:p>
    <w:bookmarkStart w:id="29" w:name="page30"/>
    <w:bookmarkEnd w:id="29"/>
    <w:p>
      <w:pPr>
        <w:spacing w:after="0" w:line="6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Group’s interest rate swaps held for trading were not designated as cash flow hedging instruments. The change in the fair value of the interest rate swaps held for trading for the three months ended March 31, 2021 amounted to a net gain of $28,326 (for the three months ended March 31, 2020: a net loss of $69,980), which was recognized against profit or loss in the period incurred and is included in (Loss)/gain on derivatives. During the three months ended March 31, 2021, the net gain of $28,326 derived from changes in the LIBOR curve.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 agreements</w:t>
      </w:r>
    </w:p>
    <w:p>
      <w:pPr>
        <w:spacing w:after="0" w:line="229"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The principal terms of the Group’s CCSs designated as cash flow hedging instruments as of December 31, 2020 have been disclosed in the annual audited consolidated financial statements for the year ended December 31, 2020. Refer to Note 26 “Derivative Financial Instruments”. During the three months ended March 31, 2021, the Group did not enter any CCS designated as cash flow hedging instruments.</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the three months ended March 31, 2021, the effective portion of changes in the fair value of CCSs amounting to a loss of $1,177 has been recognized in Other comprehensive (loss)/income (for the three months ended March 31, 2020: a loss of $20,767). For the three months ended March 31, 2021, a gain of $51 was recycled to profit or loss representing the realized gain on CCSs in relation to the interest expenses component of the hedge (for the three months ended March 31, 2020: a loss of $217). Additionally, for the three months ended March 31, 2021, a gain of $130 was recognized in Other comprehensive (loss)/income in relation to the retranslation of the NOK Bonds in USD as of March 31, 2021 (for the three months ended March 31, 2020: a gain of $16,440).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exchange contracts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Group uses forward foreign exchange contracts to mitigate foreign exchange transaction exposures in Euros (“EUR”) and Japanese Yen (“JPY”). Under these forward foreign exchange contracts, the bank counterparty will effect fixed payments in EUR or JPY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87"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 principal terms of the forward foreign exchange contracts held for trading as of December 31, 2020 have been disclosed in the annual audited consolidation financial statements for the year ended December 31, 2020. Refer to Note 26 “Derivative Financial Instruments”.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2021, the Group entered the following forward foreign exchange contracts which remain unsettled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Fixed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Exchange</w:t>
            </w: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Exchange Rate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Amount</w:t>
            </w:r>
          </w:p>
        </w:tc>
      </w:tr>
      <w:tr>
        <w:trPr>
          <w:trHeight w:val="234"/>
        </w:trPr>
        <w:tc>
          <w:tcPr>
            <w:tcW w:w="2040" w:type="dxa"/>
            <w:vAlign w:val="bottom"/>
            <w:gridSpan w:val="2"/>
          </w:tcPr>
          <w:p>
            <w:pPr>
              <w:ind w:left="540"/>
              <w:spacing w:after="0"/>
              <w:rPr>
                <w:sz w:val="20"/>
                <w:szCs w:val="20"/>
                <w:color w:val="auto"/>
              </w:rPr>
            </w:pPr>
            <w:r>
              <w:rPr>
                <w:rFonts w:ascii="Arial" w:cs="Arial" w:eastAsia="Arial" w:hAnsi="Arial"/>
                <w:sz w:val="18"/>
                <w:szCs w:val="18"/>
                <w:b w:val="1"/>
                <w:bCs w:val="1"/>
                <w:color w:val="auto"/>
              </w:rPr>
              <w:t>Company</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Counterparty</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Trade Date</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contracts</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Settlement Dates</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(USD/EUR)</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 thousands)</w:t>
            </w:r>
          </w:p>
        </w:tc>
      </w:tr>
      <w:tr>
        <w:trPr>
          <w:trHeight w:val="195"/>
        </w:trPr>
        <w:tc>
          <w:tcPr>
            <w:tcW w:w="1820" w:type="dxa"/>
            <w:vAlign w:val="bottom"/>
            <w:tcBorders>
              <w:top w:val="single" w:sz="8" w:color="auto"/>
            </w:tcBorders>
            <w:shd w:val="clear" w:color="auto" w:fill="CCFFFF"/>
          </w:tcPr>
          <w:p>
            <w:pPr>
              <w:spacing w:after="0"/>
              <w:rPr>
                <w:sz w:val="16"/>
                <w:szCs w:val="16"/>
                <w:color w:val="auto"/>
              </w:rPr>
            </w:pPr>
          </w:p>
        </w:tc>
        <w:tc>
          <w:tcPr>
            <w:tcW w:w="220" w:type="dxa"/>
            <w:vAlign w:val="bottom"/>
            <w:tcBorders>
              <w:top w:val="single" w:sz="8" w:color="CCFFFF"/>
            </w:tcBorders>
            <w:shd w:val="clear" w:color="auto" w:fill="CCFFFF"/>
          </w:tcPr>
          <w:p>
            <w:pPr>
              <w:spacing w:after="0"/>
              <w:rPr>
                <w:sz w:val="16"/>
                <w:szCs w:val="16"/>
                <w:color w:val="auto"/>
              </w:rPr>
            </w:pPr>
          </w:p>
        </w:tc>
        <w:tc>
          <w:tcPr>
            <w:tcW w:w="1360" w:type="dxa"/>
            <w:vAlign w:val="bottom"/>
            <w:tcBorders>
              <w:top w:val="single" w:sz="8" w:color="auto"/>
            </w:tcBorders>
            <w:shd w:val="clear" w:color="auto" w:fill="CCFFFF"/>
          </w:tcPr>
          <w:p>
            <w:pPr>
              <w:jc w:val="center"/>
              <w:spacing w:after="0" w:line="195" w:lineRule="exact"/>
              <w:rPr>
                <w:sz w:val="20"/>
                <w:szCs w:val="20"/>
                <w:color w:val="auto"/>
              </w:rPr>
            </w:pPr>
            <w:r>
              <w:rPr>
                <w:rFonts w:ascii="Arial" w:cs="Arial" w:eastAsia="Arial" w:hAnsi="Arial"/>
                <w:sz w:val="18"/>
                <w:szCs w:val="18"/>
                <w:color w:val="auto"/>
                <w:w w:val="93"/>
              </w:rPr>
              <w:t>Citibank Europe</w:t>
            </w:r>
          </w:p>
        </w:tc>
        <w:tc>
          <w:tcPr>
            <w:tcW w:w="220" w:type="dxa"/>
            <w:vAlign w:val="bottom"/>
            <w:tcBorders>
              <w:top w:val="single" w:sz="8" w:color="CCFFFF"/>
            </w:tcBorders>
            <w:shd w:val="clear" w:color="auto" w:fill="CCFFFF"/>
          </w:tcPr>
          <w:p>
            <w:pPr>
              <w:spacing w:after="0"/>
              <w:rPr>
                <w:sz w:val="16"/>
                <w:szCs w:val="16"/>
                <w:color w:val="auto"/>
              </w:rPr>
            </w:pPr>
          </w:p>
        </w:tc>
        <w:tc>
          <w:tcPr>
            <w:tcW w:w="1360" w:type="dxa"/>
            <w:vAlign w:val="bottom"/>
            <w:tcBorders>
              <w:top w:val="single" w:sz="8" w:color="auto"/>
            </w:tcBorders>
            <w:shd w:val="clear" w:color="auto" w:fill="CCFFFF"/>
          </w:tcPr>
          <w:p>
            <w:pPr>
              <w:spacing w:after="0"/>
              <w:rPr>
                <w:sz w:val="16"/>
                <w:szCs w:val="16"/>
                <w:color w:val="auto"/>
              </w:rPr>
            </w:pPr>
          </w:p>
        </w:tc>
        <w:tc>
          <w:tcPr>
            <w:tcW w:w="220" w:type="dxa"/>
            <w:vAlign w:val="bottom"/>
            <w:tcBorders>
              <w:top w:val="single" w:sz="8" w:color="CCFFFF"/>
            </w:tcBorders>
            <w:shd w:val="clear" w:color="auto" w:fill="CCFFFF"/>
          </w:tcPr>
          <w:p>
            <w:pPr>
              <w:spacing w:after="0"/>
              <w:rPr>
                <w:sz w:val="16"/>
                <w:szCs w:val="16"/>
                <w:color w:val="auto"/>
              </w:rPr>
            </w:pPr>
          </w:p>
        </w:tc>
        <w:tc>
          <w:tcPr>
            <w:tcW w:w="1260" w:type="dxa"/>
            <w:vAlign w:val="bottom"/>
            <w:tcBorders>
              <w:top w:val="single" w:sz="8" w:color="auto"/>
            </w:tcBorders>
            <w:shd w:val="clear" w:color="auto" w:fill="CCFFFF"/>
          </w:tcPr>
          <w:p>
            <w:pPr>
              <w:spacing w:after="0"/>
              <w:rPr>
                <w:sz w:val="16"/>
                <w:szCs w:val="16"/>
                <w:color w:val="auto"/>
              </w:rPr>
            </w:pPr>
          </w:p>
        </w:tc>
        <w:tc>
          <w:tcPr>
            <w:tcW w:w="340" w:type="dxa"/>
            <w:vAlign w:val="bottom"/>
            <w:tcBorders>
              <w:top w:val="single" w:sz="8" w:color="CCFFFF"/>
            </w:tcBorders>
            <w:shd w:val="clear" w:color="auto" w:fill="CCFFFF"/>
          </w:tcPr>
          <w:p>
            <w:pPr>
              <w:spacing w:after="0"/>
              <w:rPr>
                <w:sz w:val="16"/>
                <w:szCs w:val="16"/>
                <w:color w:val="auto"/>
              </w:rPr>
            </w:pPr>
          </w:p>
        </w:tc>
        <w:tc>
          <w:tcPr>
            <w:tcW w:w="1340" w:type="dxa"/>
            <w:vAlign w:val="bottom"/>
            <w:tcBorders>
              <w:top w:val="single" w:sz="8" w:color="auto"/>
            </w:tcBorders>
            <w:shd w:val="clear" w:color="auto" w:fill="CCFFFF"/>
          </w:tcPr>
          <w:p>
            <w:pPr>
              <w:spacing w:after="0"/>
              <w:rPr>
                <w:sz w:val="16"/>
                <w:szCs w:val="16"/>
                <w:color w:val="auto"/>
              </w:rPr>
            </w:pPr>
          </w:p>
        </w:tc>
        <w:tc>
          <w:tcPr>
            <w:tcW w:w="220" w:type="dxa"/>
            <w:vAlign w:val="bottom"/>
            <w:tcBorders>
              <w:top w:val="single" w:sz="8" w:color="CCFFFF"/>
            </w:tcBorders>
            <w:shd w:val="clear" w:color="auto" w:fill="CCFFFF"/>
          </w:tcPr>
          <w:p>
            <w:pPr>
              <w:spacing w:after="0"/>
              <w:rPr>
                <w:sz w:val="16"/>
                <w:szCs w:val="16"/>
                <w:color w:val="auto"/>
              </w:rPr>
            </w:pPr>
          </w:p>
        </w:tc>
        <w:tc>
          <w:tcPr>
            <w:tcW w:w="1220" w:type="dxa"/>
            <w:vAlign w:val="bottom"/>
            <w:tcBorders>
              <w:top w:val="single" w:sz="8" w:color="auto"/>
            </w:tcBorders>
            <w:shd w:val="clear" w:color="auto" w:fill="CCFFFF"/>
          </w:tcPr>
          <w:p>
            <w:pPr>
              <w:spacing w:after="0"/>
              <w:rPr>
                <w:sz w:val="16"/>
                <w:szCs w:val="16"/>
                <w:color w:val="auto"/>
              </w:rPr>
            </w:pPr>
          </w:p>
        </w:tc>
        <w:tc>
          <w:tcPr>
            <w:tcW w:w="320" w:type="dxa"/>
            <w:vAlign w:val="bottom"/>
            <w:tcBorders>
              <w:top w:val="single" w:sz="8" w:color="CCFFFF"/>
            </w:tcBorders>
            <w:shd w:val="clear" w:color="auto" w:fill="CCFFFF"/>
          </w:tcPr>
          <w:p>
            <w:pPr>
              <w:spacing w:after="0"/>
              <w:rPr>
                <w:sz w:val="16"/>
                <w:szCs w:val="16"/>
                <w:color w:val="auto"/>
              </w:rPr>
            </w:pPr>
          </w:p>
        </w:tc>
        <w:tc>
          <w:tcPr>
            <w:tcW w:w="1240" w:type="dxa"/>
            <w:vAlign w:val="bottom"/>
            <w:tcBorders>
              <w:top w:val="single" w:sz="8" w:color="auto"/>
            </w:tcBorders>
            <w:shd w:val="clear" w:color="auto" w:fill="CCFFFF"/>
          </w:tcPr>
          <w:p>
            <w:pPr>
              <w:spacing w:after="0"/>
              <w:rPr>
                <w:sz w:val="16"/>
                <w:szCs w:val="16"/>
                <w:color w:val="auto"/>
              </w:rPr>
            </w:pPr>
          </w:p>
        </w:tc>
        <w:tc>
          <w:tcPr>
            <w:tcW w:w="100" w:type="dxa"/>
            <w:vAlign w:val="bottom"/>
            <w:tcBorders>
              <w:top w:val="single" w:sz="8" w:color="CCFFFF"/>
            </w:tcBorders>
            <w:shd w:val="clear" w:color="auto" w:fill="CCFFFF"/>
          </w:tcPr>
          <w:p>
            <w:pPr>
              <w:spacing w:after="0"/>
              <w:rPr>
                <w:sz w:val="16"/>
                <w:szCs w:val="16"/>
                <w:color w:val="auto"/>
              </w:rPr>
            </w:pPr>
          </w:p>
        </w:tc>
      </w:tr>
      <w:tr>
        <w:trPr>
          <w:trHeight w:val="230"/>
        </w:trPr>
        <w:tc>
          <w:tcPr>
            <w:tcW w:w="2040" w:type="dxa"/>
            <w:vAlign w:val="bottom"/>
            <w:gridSpan w:val="2"/>
            <w:shd w:val="clear" w:color="auto" w:fill="CCFFFF"/>
          </w:tcPr>
          <w:p>
            <w:pPr>
              <w:spacing w:after="0"/>
              <w:rPr>
                <w:sz w:val="20"/>
                <w:szCs w:val="20"/>
                <w:color w:val="auto"/>
              </w:rPr>
            </w:pPr>
            <w:r>
              <w:rPr>
                <w:rFonts w:ascii="Arial" w:cs="Arial" w:eastAsia="Arial" w:hAnsi="Arial"/>
                <w:sz w:val="18"/>
                <w:szCs w:val="18"/>
                <w:color w:val="auto"/>
              </w:rPr>
              <w:t>GasLog</w:t>
            </w:r>
          </w:p>
        </w:tc>
        <w:tc>
          <w:tcPr>
            <w:tcW w:w="1580" w:type="dxa"/>
            <w:vAlign w:val="bottom"/>
            <w:gridSpan w:val="2"/>
            <w:shd w:val="clear" w:color="auto" w:fill="CCFFFF"/>
          </w:tcPr>
          <w:p>
            <w:pPr>
              <w:jc w:val="center"/>
              <w:ind w:right="220"/>
              <w:spacing w:after="0"/>
              <w:rPr>
                <w:sz w:val="20"/>
                <w:szCs w:val="20"/>
                <w:color w:val="auto"/>
              </w:rPr>
            </w:pPr>
            <w:r>
              <w:rPr>
                <w:rFonts w:ascii="Arial" w:cs="Arial" w:eastAsia="Arial" w:hAnsi="Arial"/>
                <w:sz w:val="18"/>
                <w:szCs w:val="18"/>
                <w:color w:val="auto"/>
                <w:w w:val="98"/>
              </w:rPr>
              <w:t>PLC UK</w:t>
            </w:r>
          </w:p>
        </w:tc>
        <w:tc>
          <w:tcPr>
            <w:tcW w:w="1580" w:type="dxa"/>
            <w:vAlign w:val="bottom"/>
            <w:gridSpan w:val="2"/>
            <w:shd w:val="clear" w:color="auto" w:fill="CCFFFF"/>
          </w:tcPr>
          <w:p>
            <w:pPr>
              <w:jc w:val="center"/>
              <w:ind w:right="220"/>
              <w:spacing w:after="0"/>
              <w:rPr>
                <w:sz w:val="20"/>
                <w:szCs w:val="20"/>
                <w:color w:val="auto"/>
              </w:rPr>
            </w:pPr>
            <w:r>
              <w:rPr>
                <w:rFonts w:ascii="Arial" w:cs="Arial" w:eastAsia="Arial" w:hAnsi="Arial"/>
                <w:sz w:val="18"/>
                <w:szCs w:val="18"/>
                <w:color w:val="auto"/>
                <w:w w:val="88"/>
              </w:rPr>
              <w:t>February 2021</w:t>
            </w:r>
          </w:p>
        </w:tc>
        <w:tc>
          <w:tcPr>
            <w:tcW w:w="1260" w:type="dxa"/>
            <w:vAlign w:val="bottom"/>
            <w:shd w:val="clear" w:color="auto" w:fill="CCFFFF"/>
          </w:tcPr>
          <w:p>
            <w:pPr>
              <w:jc w:val="right"/>
              <w:ind w:right="43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FFFF"/>
          </w:tcPr>
          <w:p>
            <w:pPr>
              <w:spacing w:after="0"/>
              <w:rPr>
                <w:sz w:val="20"/>
                <w:szCs w:val="20"/>
                <w:color w:val="auto"/>
              </w:rPr>
            </w:pPr>
          </w:p>
        </w:tc>
        <w:tc>
          <w:tcPr>
            <w:tcW w:w="1560" w:type="dxa"/>
            <w:vAlign w:val="bottom"/>
            <w:gridSpan w:val="2"/>
            <w:shd w:val="clear" w:color="auto" w:fill="CCFFFF"/>
          </w:tcPr>
          <w:p>
            <w:pPr>
              <w:jc w:val="center"/>
              <w:ind w:right="220"/>
              <w:spacing w:after="0"/>
              <w:rPr>
                <w:sz w:val="20"/>
                <w:szCs w:val="20"/>
                <w:color w:val="auto"/>
              </w:rPr>
            </w:pPr>
            <w:r>
              <w:rPr>
                <w:rFonts w:ascii="Arial" w:cs="Arial" w:eastAsia="Arial" w:hAnsi="Arial"/>
                <w:sz w:val="18"/>
                <w:szCs w:val="18"/>
                <w:color w:val="auto"/>
                <w:w w:val="93"/>
              </w:rPr>
              <w:t>April-June 2021</w:t>
            </w:r>
          </w:p>
        </w:tc>
        <w:tc>
          <w:tcPr>
            <w:tcW w:w="1220" w:type="dxa"/>
            <w:vAlign w:val="bottom"/>
            <w:shd w:val="clear" w:color="auto" w:fill="CCFFFF"/>
          </w:tcPr>
          <w:p>
            <w:pPr>
              <w:jc w:val="center"/>
              <w:ind w:left="10"/>
              <w:spacing w:after="0"/>
              <w:rPr>
                <w:sz w:val="20"/>
                <w:szCs w:val="20"/>
                <w:color w:val="auto"/>
              </w:rPr>
            </w:pPr>
            <w:r>
              <w:rPr>
                <w:rFonts w:ascii="Arial" w:cs="Arial" w:eastAsia="Arial" w:hAnsi="Arial"/>
                <w:sz w:val="18"/>
                <w:szCs w:val="18"/>
                <w:color w:val="auto"/>
                <w:w w:val="89"/>
              </w:rPr>
              <w:t>1.1995-1.2000</w:t>
            </w:r>
          </w:p>
        </w:tc>
        <w:tc>
          <w:tcPr>
            <w:tcW w:w="320" w:type="dxa"/>
            <w:vAlign w:val="bottom"/>
            <w:shd w:val="clear" w:color="auto" w:fill="CCFFFF"/>
          </w:tcPr>
          <w:p>
            <w:pPr>
              <w:spacing w:after="0"/>
              <w:rPr>
                <w:sz w:val="20"/>
                <w:szCs w:val="20"/>
                <w:color w:val="auto"/>
              </w:rPr>
            </w:pP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DNB Bank ASA</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February 2021</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April-June 2021</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7"/>
              </w:rPr>
              <w:t>1.2000</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r>
      <w:tr>
        <w:trPr>
          <w:trHeight w:val="216"/>
        </w:trPr>
        <w:tc>
          <w:tcPr>
            <w:tcW w:w="2040" w:type="dxa"/>
            <w:vAlign w:val="bottom"/>
            <w:gridSpan w:val="2"/>
            <w:shd w:val="clear" w:color="auto" w:fill="CCFFFF"/>
          </w:tcPr>
          <w:p>
            <w:pPr>
              <w:spacing w:after="0"/>
              <w:rPr>
                <w:sz w:val="20"/>
                <w:szCs w:val="20"/>
                <w:color w:val="auto"/>
              </w:rPr>
            </w:pPr>
            <w:r>
              <w:rPr>
                <w:rFonts w:ascii="Arial" w:cs="Arial" w:eastAsia="Arial" w:hAnsi="Arial"/>
                <w:sz w:val="18"/>
                <w:szCs w:val="18"/>
                <w:color w:val="auto"/>
              </w:rPr>
              <w:t>GasLog</w:t>
            </w:r>
          </w:p>
        </w:tc>
        <w:tc>
          <w:tcPr>
            <w:tcW w:w="1580" w:type="dxa"/>
            <w:vAlign w:val="bottom"/>
            <w:gridSpan w:val="2"/>
            <w:shd w:val="clear" w:color="auto" w:fill="CCFFFF"/>
          </w:tcPr>
          <w:p>
            <w:pPr>
              <w:jc w:val="center"/>
              <w:ind w:right="220"/>
              <w:spacing w:after="0"/>
              <w:rPr>
                <w:sz w:val="20"/>
                <w:szCs w:val="20"/>
                <w:color w:val="auto"/>
              </w:rPr>
            </w:pPr>
            <w:r>
              <w:rPr>
                <w:rFonts w:ascii="Arial" w:cs="Arial" w:eastAsia="Arial" w:hAnsi="Arial"/>
                <w:sz w:val="18"/>
                <w:szCs w:val="18"/>
                <w:color w:val="auto"/>
                <w:w w:val="94"/>
              </w:rPr>
              <w:t>HSBC Bank PLC</w:t>
            </w:r>
          </w:p>
        </w:tc>
        <w:tc>
          <w:tcPr>
            <w:tcW w:w="1580" w:type="dxa"/>
            <w:vAlign w:val="bottom"/>
            <w:gridSpan w:val="2"/>
            <w:shd w:val="clear" w:color="auto" w:fill="CCFFFF"/>
          </w:tcPr>
          <w:p>
            <w:pPr>
              <w:jc w:val="center"/>
              <w:ind w:right="220"/>
              <w:spacing w:after="0"/>
              <w:rPr>
                <w:sz w:val="20"/>
                <w:szCs w:val="20"/>
                <w:color w:val="auto"/>
              </w:rPr>
            </w:pPr>
            <w:r>
              <w:rPr>
                <w:rFonts w:ascii="Arial" w:cs="Arial" w:eastAsia="Arial" w:hAnsi="Arial"/>
                <w:sz w:val="18"/>
                <w:szCs w:val="18"/>
                <w:color w:val="auto"/>
                <w:w w:val="88"/>
              </w:rPr>
              <w:t>February 2021</w:t>
            </w:r>
          </w:p>
        </w:tc>
        <w:tc>
          <w:tcPr>
            <w:tcW w:w="1260" w:type="dxa"/>
            <w:vAlign w:val="bottom"/>
            <w:shd w:val="clear" w:color="auto" w:fill="CCFFFF"/>
          </w:tcPr>
          <w:p>
            <w:pPr>
              <w:jc w:val="right"/>
              <w:ind w:right="43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FFFF"/>
          </w:tcPr>
          <w:p>
            <w:pPr>
              <w:spacing w:after="0"/>
              <w:rPr>
                <w:sz w:val="18"/>
                <w:szCs w:val="18"/>
                <w:color w:val="auto"/>
              </w:rPr>
            </w:pPr>
          </w:p>
        </w:tc>
        <w:tc>
          <w:tcPr>
            <w:tcW w:w="1560" w:type="dxa"/>
            <w:vAlign w:val="bottom"/>
            <w:gridSpan w:val="2"/>
            <w:shd w:val="clear" w:color="auto" w:fill="CCFFFF"/>
          </w:tcPr>
          <w:p>
            <w:pPr>
              <w:jc w:val="center"/>
              <w:ind w:right="220"/>
              <w:spacing w:after="0"/>
              <w:rPr>
                <w:sz w:val="20"/>
                <w:szCs w:val="20"/>
                <w:color w:val="auto"/>
              </w:rPr>
            </w:pPr>
            <w:r>
              <w:rPr>
                <w:rFonts w:ascii="Arial" w:cs="Arial" w:eastAsia="Arial" w:hAnsi="Arial"/>
                <w:sz w:val="18"/>
                <w:szCs w:val="18"/>
                <w:color w:val="auto"/>
                <w:w w:val="93"/>
              </w:rPr>
              <w:t>April-June 2021</w:t>
            </w:r>
          </w:p>
        </w:tc>
        <w:tc>
          <w:tcPr>
            <w:tcW w:w="1220" w:type="dxa"/>
            <w:vAlign w:val="bottom"/>
            <w:shd w:val="clear" w:color="auto" w:fill="CCFFFF"/>
          </w:tcPr>
          <w:p>
            <w:pPr>
              <w:jc w:val="center"/>
              <w:ind w:left="10"/>
              <w:spacing w:after="0"/>
              <w:rPr>
                <w:sz w:val="20"/>
                <w:szCs w:val="20"/>
                <w:color w:val="auto"/>
              </w:rPr>
            </w:pPr>
            <w:r>
              <w:rPr>
                <w:rFonts w:ascii="Arial" w:cs="Arial" w:eastAsia="Arial" w:hAnsi="Arial"/>
                <w:sz w:val="18"/>
                <w:szCs w:val="18"/>
                <w:color w:val="auto"/>
                <w:w w:val="89"/>
              </w:rPr>
              <w:t>1.2009-1.2025</w:t>
            </w:r>
          </w:p>
        </w:tc>
        <w:tc>
          <w:tcPr>
            <w:tcW w:w="320" w:type="dxa"/>
            <w:vAlign w:val="bottom"/>
            <w:shd w:val="clear" w:color="auto" w:fill="CCFFFF"/>
          </w:tcPr>
          <w:p>
            <w:pPr>
              <w:spacing w:after="0"/>
              <w:rPr>
                <w:sz w:val="18"/>
                <w:szCs w:val="18"/>
                <w:color w:val="auto"/>
              </w:rPr>
            </w:pP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€3,000</w:t>
            </w:r>
          </w:p>
        </w:tc>
      </w:tr>
      <w:tr>
        <w:trPr>
          <w:trHeight w:val="202"/>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7"/>
              </w:rPr>
              <w:t>ABN Amro Bank</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N.V.</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February 2021</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April-May 2021</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1"/>
              </w:rPr>
              <w:t>1.991-1.998</w:t>
            </w:r>
          </w:p>
        </w:tc>
        <w:tc>
          <w:tcPr>
            <w:tcW w:w="3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02"/>
        </w:trPr>
        <w:tc>
          <w:tcPr>
            <w:tcW w:w="182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580" w:type="dxa"/>
            <w:vAlign w:val="bottom"/>
            <w:gridSpan w:val="2"/>
            <w:shd w:val="clear" w:color="auto" w:fill="CCFFFF"/>
          </w:tcPr>
          <w:p>
            <w:pPr>
              <w:jc w:val="center"/>
              <w:ind w:right="220"/>
              <w:spacing w:after="0" w:line="201" w:lineRule="exact"/>
              <w:rPr>
                <w:sz w:val="20"/>
                <w:szCs w:val="20"/>
                <w:color w:val="auto"/>
              </w:rPr>
            </w:pPr>
            <w:r>
              <w:rPr>
                <w:rFonts w:ascii="Arial" w:cs="Arial" w:eastAsia="Arial" w:hAnsi="Arial"/>
                <w:sz w:val="18"/>
                <w:szCs w:val="18"/>
                <w:color w:val="auto"/>
                <w:w w:val="97"/>
              </w:rPr>
              <w:t>ABN Amro Bank</w:t>
            </w:r>
          </w:p>
        </w:tc>
        <w:tc>
          <w:tcPr>
            <w:tcW w:w="136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260" w:type="dxa"/>
            <w:vAlign w:val="bottom"/>
            <w:shd w:val="clear" w:color="auto" w:fill="CCFFFF"/>
          </w:tcPr>
          <w:p>
            <w:pPr>
              <w:spacing w:after="0"/>
              <w:rPr>
                <w:sz w:val="17"/>
                <w:szCs w:val="17"/>
                <w:color w:val="auto"/>
              </w:rPr>
            </w:pPr>
          </w:p>
        </w:tc>
        <w:tc>
          <w:tcPr>
            <w:tcW w:w="340" w:type="dxa"/>
            <w:vAlign w:val="bottom"/>
            <w:shd w:val="clear" w:color="auto" w:fill="CCFFFF"/>
          </w:tcPr>
          <w:p>
            <w:pPr>
              <w:spacing w:after="0"/>
              <w:rPr>
                <w:sz w:val="17"/>
                <w:szCs w:val="17"/>
                <w:color w:val="auto"/>
              </w:rPr>
            </w:pPr>
          </w:p>
        </w:tc>
        <w:tc>
          <w:tcPr>
            <w:tcW w:w="1560" w:type="dxa"/>
            <w:vAlign w:val="bottom"/>
            <w:gridSpan w:val="2"/>
            <w:shd w:val="clear" w:color="auto" w:fill="CCFFFF"/>
          </w:tcPr>
          <w:p>
            <w:pPr>
              <w:jc w:val="center"/>
              <w:ind w:right="240"/>
              <w:spacing w:after="0" w:line="201" w:lineRule="exact"/>
              <w:rPr>
                <w:sz w:val="20"/>
                <w:szCs w:val="20"/>
                <w:color w:val="auto"/>
              </w:rPr>
            </w:pPr>
            <w:r>
              <w:rPr>
                <w:rFonts w:ascii="Arial" w:cs="Arial" w:eastAsia="Arial" w:hAnsi="Arial"/>
                <w:sz w:val="18"/>
                <w:szCs w:val="18"/>
                <w:color w:val="auto"/>
                <w:w w:val="94"/>
              </w:rPr>
              <w:t>July-</w:t>
            </w:r>
          </w:p>
        </w:tc>
        <w:tc>
          <w:tcPr>
            <w:tcW w:w="1220" w:type="dxa"/>
            <w:vAlign w:val="bottom"/>
            <w:shd w:val="clear" w:color="auto" w:fill="CCFFFF"/>
          </w:tcPr>
          <w:p>
            <w:pPr>
              <w:spacing w:after="0"/>
              <w:rPr>
                <w:sz w:val="17"/>
                <w:szCs w:val="17"/>
                <w:color w:val="auto"/>
              </w:rPr>
            </w:pPr>
          </w:p>
        </w:tc>
        <w:tc>
          <w:tcPr>
            <w:tcW w:w="320" w:type="dxa"/>
            <w:vAlign w:val="bottom"/>
            <w:shd w:val="clear" w:color="auto" w:fill="CCFFFF"/>
          </w:tcPr>
          <w:p>
            <w:pPr>
              <w:spacing w:after="0"/>
              <w:rPr>
                <w:sz w:val="17"/>
                <w:szCs w:val="17"/>
                <w:color w:val="auto"/>
              </w:rPr>
            </w:pPr>
          </w:p>
        </w:tc>
        <w:tc>
          <w:tcPr>
            <w:tcW w:w="1240" w:type="dxa"/>
            <w:vAlign w:val="bottom"/>
            <w:shd w:val="clear" w:color="auto" w:fill="CCFFFF"/>
          </w:tcPr>
          <w:p>
            <w:pPr>
              <w:spacing w:after="0"/>
              <w:rPr>
                <w:sz w:val="17"/>
                <w:szCs w:val="17"/>
                <w:color w:val="auto"/>
              </w:rPr>
            </w:pPr>
          </w:p>
        </w:tc>
        <w:tc>
          <w:tcPr>
            <w:tcW w:w="100" w:type="dxa"/>
            <w:vAlign w:val="bottom"/>
            <w:shd w:val="clear" w:color="auto" w:fill="CCFFFF"/>
          </w:tcPr>
          <w:p>
            <w:pPr>
              <w:spacing w:after="0"/>
              <w:rPr>
                <w:sz w:val="17"/>
                <w:szCs w:val="17"/>
                <w:color w:val="auto"/>
              </w:rPr>
            </w:pPr>
          </w:p>
        </w:tc>
      </w:tr>
      <w:tr>
        <w:trPr>
          <w:trHeight w:val="230"/>
        </w:trPr>
        <w:tc>
          <w:tcPr>
            <w:tcW w:w="2040" w:type="dxa"/>
            <w:vAlign w:val="bottom"/>
            <w:gridSpan w:val="2"/>
            <w:shd w:val="clear" w:color="auto" w:fill="CCFFFF"/>
          </w:tcPr>
          <w:p>
            <w:pPr>
              <w:spacing w:after="0"/>
              <w:rPr>
                <w:sz w:val="20"/>
                <w:szCs w:val="20"/>
                <w:color w:val="auto"/>
              </w:rPr>
            </w:pPr>
            <w:r>
              <w:rPr>
                <w:rFonts w:ascii="Arial" w:cs="Arial" w:eastAsia="Arial" w:hAnsi="Arial"/>
                <w:sz w:val="18"/>
                <w:szCs w:val="18"/>
                <w:color w:val="auto"/>
              </w:rPr>
              <w:t>GasLog</w:t>
            </w:r>
          </w:p>
        </w:tc>
        <w:tc>
          <w:tcPr>
            <w:tcW w:w="1580" w:type="dxa"/>
            <w:vAlign w:val="bottom"/>
            <w:gridSpan w:val="2"/>
            <w:shd w:val="clear" w:color="auto" w:fill="CCFFFF"/>
          </w:tcPr>
          <w:p>
            <w:pPr>
              <w:jc w:val="center"/>
              <w:ind w:right="220"/>
              <w:spacing w:after="0"/>
              <w:rPr>
                <w:sz w:val="20"/>
                <w:szCs w:val="20"/>
                <w:color w:val="auto"/>
              </w:rPr>
            </w:pPr>
            <w:r>
              <w:rPr>
                <w:rFonts w:ascii="Arial" w:cs="Arial" w:eastAsia="Arial" w:hAnsi="Arial"/>
                <w:sz w:val="18"/>
                <w:szCs w:val="18"/>
                <w:color w:val="auto"/>
                <w:w w:val="91"/>
              </w:rPr>
              <w:t>N.V.</w:t>
            </w:r>
          </w:p>
        </w:tc>
        <w:tc>
          <w:tcPr>
            <w:tcW w:w="1580" w:type="dxa"/>
            <w:vAlign w:val="bottom"/>
            <w:gridSpan w:val="2"/>
            <w:shd w:val="clear" w:color="auto" w:fill="CCFFFF"/>
          </w:tcPr>
          <w:p>
            <w:pPr>
              <w:jc w:val="center"/>
              <w:ind w:right="220"/>
              <w:spacing w:after="0"/>
              <w:rPr>
                <w:sz w:val="20"/>
                <w:szCs w:val="20"/>
                <w:color w:val="auto"/>
              </w:rPr>
            </w:pPr>
            <w:r>
              <w:rPr>
                <w:rFonts w:ascii="Arial" w:cs="Arial" w:eastAsia="Arial" w:hAnsi="Arial"/>
                <w:sz w:val="18"/>
                <w:szCs w:val="18"/>
                <w:color w:val="auto"/>
                <w:w w:val="92"/>
              </w:rPr>
              <w:t>March 2021</w:t>
            </w:r>
          </w:p>
        </w:tc>
        <w:tc>
          <w:tcPr>
            <w:tcW w:w="1260" w:type="dxa"/>
            <w:vAlign w:val="bottom"/>
            <w:shd w:val="clear" w:color="auto" w:fill="CCFFFF"/>
          </w:tcPr>
          <w:p>
            <w:pPr>
              <w:jc w:val="right"/>
              <w:ind w:right="43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FFFF"/>
          </w:tcPr>
          <w:p>
            <w:pPr>
              <w:spacing w:after="0"/>
              <w:rPr>
                <w:sz w:val="20"/>
                <w:szCs w:val="20"/>
                <w:color w:val="auto"/>
              </w:rPr>
            </w:pPr>
          </w:p>
        </w:tc>
        <w:tc>
          <w:tcPr>
            <w:tcW w:w="1560" w:type="dxa"/>
            <w:vAlign w:val="bottom"/>
            <w:gridSpan w:val="2"/>
            <w:shd w:val="clear" w:color="auto" w:fill="CCFFFF"/>
          </w:tcPr>
          <w:p>
            <w:pPr>
              <w:jc w:val="center"/>
              <w:ind w:right="220"/>
              <w:spacing w:after="0"/>
              <w:rPr>
                <w:sz w:val="20"/>
                <w:szCs w:val="20"/>
                <w:color w:val="auto"/>
              </w:rPr>
            </w:pPr>
            <w:r>
              <w:rPr>
                <w:rFonts w:ascii="Arial" w:cs="Arial" w:eastAsia="Arial" w:hAnsi="Arial"/>
                <w:sz w:val="18"/>
                <w:szCs w:val="18"/>
                <w:color w:val="auto"/>
                <w:w w:val="88"/>
              </w:rPr>
              <w:t>September 2021</w:t>
            </w:r>
          </w:p>
        </w:tc>
        <w:tc>
          <w:tcPr>
            <w:tcW w:w="1220" w:type="dxa"/>
            <w:vAlign w:val="bottom"/>
            <w:shd w:val="clear" w:color="auto" w:fill="CCFFFF"/>
          </w:tcPr>
          <w:p>
            <w:pPr>
              <w:jc w:val="center"/>
              <w:ind w:left="10"/>
              <w:spacing w:after="0"/>
              <w:rPr>
                <w:sz w:val="20"/>
                <w:szCs w:val="20"/>
                <w:color w:val="auto"/>
              </w:rPr>
            </w:pPr>
            <w:r>
              <w:rPr>
                <w:rFonts w:ascii="Arial" w:cs="Arial" w:eastAsia="Arial" w:hAnsi="Arial"/>
                <w:sz w:val="18"/>
                <w:szCs w:val="18"/>
                <w:color w:val="auto"/>
                <w:w w:val="89"/>
              </w:rPr>
              <w:t>1.1964-1.1980</w:t>
            </w:r>
          </w:p>
        </w:tc>
        <w:tc>
          <w:tcPr>
            <w:tcW w:w="320" w:type="dxa"/>
            <w:vAlign w:val="bottom"/>
            <w:shd w:val="clear" w:color="auto" w:fill="CCFFFF"/>
          </w:tcPr>
          <w:p>
            <w:pPr>
              <w:spacing w:after="0"/>
              <w:rPr>
                <w:sz w:val="20"/>
                <w:szCs w:val="20"/>
                <w:color w:val="auto"/>
              </w:rPr>
            </w:pPr>
          </w:p>
        </w:tc>
        <w:tc>
          <w:tcPr>
            <w:tcW w:w="134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€7,500</w:t>
            </w:r>
          </w:p>
        </w:tc>
      </w:tr>
      <w:tr>
        <w:trPr>
          <w:trHeight w:val="202"/>
        </w:trPr>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October-</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040" w:type="dxa"/>
            <w:vAlign w:val="bottom"/>
            <w:gridSpan w:val="2"/>
          </w:tcPr>
          <w:p>
            <w:pPr>
              <w:spacing w:after="0"/>
              <w:rPr>
                <w:sz w:val="20"/>
                <w:szCs w:val="20"/>
                <w:color w:val="auto"/>
              </w:rPr>
            </w:pPr>
            <w:r>
              <w:rPr>
                <w:rFonts w:ascii="Arial" w:cs="Arial" w:eastAsia="Arial" w:hAnsi="Arial"/>
                <w:sz w:val="18"/>
                <w:szCs w:val="18"/>
                <w:color w:val="auto"/>
              </w:rPr>
              <w:t>GasLog</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OCBC</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2021</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2021</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9"/>
              </w:rPr>
              <w:t>1.1988-1.2000</w:t>
            </w:r>
          </w:p>
        </w:tc>
        <w:tc>
          <w:tcPr>
            <w:tcW w:w="3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23"/>
        </w:trPr>
        <w:tc>
          <w:tcPr>
            <w:tcW w:w="1820" w:type="dxa"/>
            <w:vAlign w:val="bottom"/>
            <w:tcBorders>
              <w:top w:val="single" w:sz="8" w:color="CCFFFF"/>
              <w:bottom w:val="single" w:sz="8" w:color="CCFFFF"/>
            </w:tcBorders>
            <w:shd w:val="clear" w:color="auto" w:fill="CCFFFF"/>
          </w:tcPr>
          <w:p>
            <w:pPr>
              <w:spacing w:after="0"/>
              <w:rPr>
                <w:sz w:val="19"/>
                <w:szCs w:val="19"/>
                <w:color w:val="auto"/>
              </w:rPr>
            </w:pPr>
          </w:p>
        </w:tc>
        <w:tc>
          <w:tcPr>
            <w:tcW w:w="220" w:type="dxa"/>
            <w:vAlign w:val="bottom"/>
            <w:tcBorders>
              <w:top w:val="single" w:sz="8" w:color="CCFFFF"/>
              <w:bottom w:val="single" w:sz="8" w:color="CCFFFF"/>
            </w:tcBorders>
            <w:shd w:val="clear" w:color="auto" w:fill="CCFFFF"/>
          </w:tcPr>
          <w:p>
            <w:pPr>
              <w:spacing w:after="0"/>
              <w:rPr>
                <w:sz w:val="19"/>
                <w:szCs w:val="19"/>
                <w:color w:val="auto"/>
              </w:rPr>
            </w:pPr>
          </w:p>
        </w:tc>
        <w:tc>
          <w:tcPr>
            <w:tcW w:w="1360" w:type="dxa"/>
            <w:vAlign w:val="bottom"/>
            <w:tcBorders>
              <w:top w:val="single" w:sz="8" w:color="CCFFFF"/>
              <w:bottom w:val="single" w:sz="8" w:color="CCFFFF"/>
            </w:tcBorders>
            <w:shd w:val="clear" w:color="auto" w:fill="CCFFFF"/>
          </w:tcPr>
          <w:p>
            <w:pPr>
              <w:spacing w:after="0"/>
              <w:rPr>
                <w:sz w:val="19"/>
                <w:szCs w:val="19"/>
                <w:color w:val="auto"/>
              </w:rPr>
            </w:pPr>
          </w:p>
        </w:tc>
        <w:tc>
          <w:tcPr>
            <w:tcW w:w="220" w:type="dxa"/>
            <w:vAlign w:val="bottom"/>
            <w:tcBorders>
              <w:top w:val="single" w:sz="8" w:color="CCFFFF"/>
              <w:bottom w:val="single" w:sz="8" w:color="CCFFFF"/>
            </w:tcBorders>
            <w:shd w:val="clear" w:color="auto" w:fill="CCFFFF"/>
          </w:tcPr>
          <w:p>
            <w:pPr>
              <w:spacing w:after="0"/>
              <w:rPr>
                <w:sz w:val="19"/>
                <w:szCs w:val="19"/>
                <w:color w:val="auto"/>
              </w:rPr>
            </w:pPr>
          </w:p>
        </w:tc>
        <w:tc>
          <w:tcPr>
            <w:tcW w:w="1360" w:type="dxa"/>
            <w:vAlign w:val="bottom"/>
            <w:tcBorders>
              <w:top w:val="single" w:sz="8" w:color="CCFFFF"/>
              <w:bottom w:val="single" w:sz="8" w:color="CCFFFF"/>
            </w:tcBorders>
            <w:shd w:val="clear" w:color="auto" w:fill="CCFFFF"/>
          </w:tcPr>
          <w:p>
            <w:pPr>
              <w:spacing w:after="0"/>
              <w:rPr>
                <w:sz w:val="19"/>
                <w:szCs w:val="19"/>
                <w:color w:val="auto"/>
              </w:rPr>
            </w:pPr>
          </w:p>
        </w:tc>
        <w:tc>
          <w:tcPr>
            <w:tcW w:w="220" w:type="dxa"/>
            <w:vAlign w:val="bottom"/>
            <w:tcBorders>
              <w:top w:val="single" w:sz="8" w:color="CCFFFF"/>
              <w:bottom w:val="single" w:sz="8" w:color="CCFFFF"/>
            </w:tcBorders>
            <w:shd w:val="clear" w:color="auto" w:fill="CCFFFF"/>
          </w:tcPr>
          <w:p>
            <w:pPr>
              <w:spacing w:after="0"/>
              <w:rPr>
                <w:sz w:val="19"/>
                <w:szCs w:val="19"/>
                <w:color w:val="auto"/>
              </w:rPr>
            </w:pPr>
          </w:p>
        </w:tc>
        <w:tc>
          <w:tcPr>
            <w:tcW w:w="1260" w:type="dxa"/>
            <w:vAlign w:val="bottom"/>
            <w:tcBorders>
              <w:top w:val="single" w:sz="8" w:color="CCFFFF"/>
              <w:bottom w:val="single" w:sz="8" w:color="CCFFFF"/>
            </w:tcBorders>
            <w:shd w:val="clear" w:color="auto" w:fill="CCFFFF"/>
          </w:tcPr>
          <w:p>
            <w:pPr>
              <w:spacing w:after="0"/>
              <w:rPr>
                <w:sz w:val="19"/>
                <w:szCs w:val="19"/>
                <w:color w:val="auto"/>
              </w:rPr>
            </w:pPr>
          </w:p>
        </w:tc>
        <w:tc>
          <w:tcPr>
            <w:tcW w:w="340" w:type="dxa"/>
            <w:vAlign w:val="bottom"/>
            <w:tcBorders>
              <w:top w:val="single" w:sz="8" w:color="CCFFFF"/>
              <w:bottom w:val="single" w:sz="8" w:color="CCFFFF"/>
            </w:tcBorders>
            <w:shd w:val="clear" w:color="auto" w:fill="CCFFFF"/>
          </w:tcPr>
          <w:p>
            <w:pPr>
              <w:spacing w:after="0"/>
              <w:rPr>
                <w:sz w:val="19"/>
                <w:szCs w:val="19"/>
                <w:color w:val="auto"/>
              </w:rPr>
            </w:pPr>
          </w:p>
        </w:tc>
        <w:tc>
          <w:tcPr>
            <w:tcW w:w="1340" w:type="dxa"/>
            <w:vAlign w:val="bottom"/>
            <w:tcBorders>
              <w:top w:val="single" w:sz="8" w:color="CCFFFF"/>
              <w:bottom w:val="single" w:sz="8" w:color="CCFFFF"/>
            </w:tcBorders>
            <w:shd w:val="clear" w:color="auto" w:fill="CCFFFF"/>
          </w:tcPr>
          <w:p>
            <w:pPr>
              <w:spacing w:after="0"/>
              <w:rPr>
                <w:sz w:val="19"/>
                <w:szCs w:val="19"/>
                <w:color w:val="auto"/>
              </w:rPr>
            </w:pPr>
          </w:p>
        </w:tc>
        <w:tc>
          <w:tcPr>
            <w:tcW w:w="220" w:type="dxa"/>
            <w:vAlign w:val="bottom"/>
            <w:tcBorders>
              <w:top w:val="single" w:sz="8" w:color="CCFFFF"/>
              <w:bottom w:val="single" w:sz="8" w:color="CCFFFF"/>
            </w:tcBorders>
            <w:shd w:val="clear" w:color="auto" w:fill="CCFFFF"/>
          </w:tcPr>
          <w:p>
            <w:pPr>
              <w:spacing w:after="0"/>
              <w:rPr>
                <w:sz w:val="19"/>
                <w:szCs w:val="19"/>
                <w:color w:val="auto"/>
              </w:rPr>
            </w:pPr>
          </w:p>
        </w:tc>
        <w:tc>
          <w:tcPr>
            <w:tcW w:w="1220" w:type="dxa"/>
            <w:vAlign w:val="bottom"/>
            <w:tcBorders>
              <w:top w:val="single" w:sz="8" w:color="auto"/>
              <w:bottom w:val="single" w:sz="8" w:color="auto"/>
            </w:tcBorders>
            <w:shd w:val="clear" w:color="auto" w:fill="CCFFFF"/>
          </w:tcPr>
          <w:p>
            <w:pPr>
              <w:ind w:left="4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CCFFFF"/>
              <w:bottom w:val="single" w:sz="8" w:color="CCFFFF"/>
            </w:tcBorders>
            <w:shd w:val="clear" w:color="auto" w:fill="CCFFFF"/>
          </w:tcPr>
          <w:p>
            <w:pPr>
              <w:spacing w:after="0"/>
              <w:rPr>
                <w:sz w:val="19"/>
                <w:szCs w:val="19"/>
                <w:color w:val="auto"/>
              </w:rPr>
            </w:pP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€28,000</w:t>
            </w:r>
          </w:p>
        </w:tc>
        <w:tc>
          <w:tcPr>
            <w:tcW w:w="100" w:type="dxa"/>
            <w:vAlign w:val="bottom"/>
            <w:tcBorders>
              <w:top w:val="single" w:sz="8" w:color="CCFFFF"/>
              <w:bottom w:val="single" w:sz="8" w:color="CCFFFF"/>
            </w:tcBorders>
            <w:shd w:val="clear" w:color="auto" w:fill="CCFFFF"/>
          </w:tcPr>
          <w:p>
            <w:pPr>
              <w:spacing w:after="0"/>
              <w:rPr>
                <w:sz w:val="19"/>
                <w:szCs w:val="19"/>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Apart from the abovementioned contracts the Group did not enter any other forward foreign exchange contracts, while 8 contracts expired with staggered maturities from January to March 2021.</w:t>
      </w:r>
    </w:p>
    <w:p>
      <w:pPr>
        <w:spacing w:after="0" w:line="170"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Group’s forward foreign exchange contracts were not designated as cash flow hedging instruments as of March 31, 2021. The change in the fair value of these contracts for the three months ended March 31, 2021 amounted to a net loss of $918 (for the three months ended March 31, 2020: a net loss of $1,352), which was recognized against profit or loss in the period incurred and is included in (Loss)/gain on derivatives.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16. Financial Costs and Loss/(gain) on Derivatives</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40" w:type="dxa"/>
            <w:vAlign w:val="bottom"/>
          </w:tcPr>
          <w:p>
            <w:pPr>
              <w:ind w:left="340"/>
              <w:spacing w:after="0"/>
              <w:rPr>
                <w:sz w:val="20"/>
                <w:szCs w:val="20"/>
                <w:color w:val="auto"/>
              </w:rPr>
            </w:pPr>
            <w:r>
              <w:rPr>
                <w:rFonts w:ascii="Arial" w:cs="Arial" w:eastAsia="Arial" w:hAnsi="Arial"/>
                <w:sz w:val="18"/>
                <w:szCs w:val="18"/>
                <w:color w:val="auto"/>
              </w:rPr>
              <w:t>An analysis of financial costs and loss/(gain) on derivatives is as follows: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340" w:type="dxa"/>
            <w:vAlign w:val="bottom"/>
          </w:tcPr>
          <w:p>
            <w:pPr>
              <w:spacing w:after="0"/>
              <w:rPr>
                <w:sz w:val="24"/>
                <w:szCs w:val="24"/>
                <w:color w:val="auto"/>
              </w:rPr>
            </w:pPr>
          </w:p>
        </w:tc>
        <w:tc>
          <w:tcPr>
            <w:tcW w:w="2900" w:type="dxa"/>
            <w:vAlign w:val="bottom"/>
            <w:gridSpan w:val="4"/>
          </w:tcPr>
          <w:p>
            <w:pPr>
              <w:jc w:val="right"/>
              <w:ind w:right="361"/>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834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March 31, 2020</w:t>
            </w:r>
          </w:p>
        </w:tc>
        <w:tc>
          <w:tcPr>
            <w:tcW w:w="134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w w:val="93"/>
              </w:rPr>
              <w:t>March 31, 2021</w:t>
            </w:r>
          </w:p>
        </w:tc>
      </w:tr>
      <w:tr>
        <w:trPr>
          <w:trHeight w:val="209"/>
        </w:trPr>
        <w:tc>
          <w:tcPr>
            <w:tcW w:w="834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Amortization and write-off of deferred loan/bond issuance costs/premium</w:t>
            </w:r>
          </w:p>
        </w:tc>
        <w:tc>
          <w:tcPr>
            <w:tcW w:w="124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3,817</w:t>
            </w:r>
          </w:p>
        </w:tc>
        <w:tc>
          <w:tcPr>
            <w:tcW w:w="320" w:type="dxa"/>
            <w:vAlign w:val="bottom"/>
            <w:tcBorders>
              <w:top w:val="single" w:sz="8" w:color="CCFFFF"/>
            </w:tcBorders>
            <w:shd w:val="clear" w:color="auto" w:fill="CCFFFF"/>
          </w:tcPr>
          <w:p>
            <w:pPr>
              <w:spacing w:after="0"/>
              <w:rPr>
                <w:sz w:val="18"/>
                <w:szCs w:val="18"/>
                <w:color w:val="auto"/>
              </w:rPr>
            </w:pPr>
          </w:p>
        </w:tc>
        <w:tc>
          <w:tcPr>
            <w:tcW w:w="124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7,114</w:t>
            </w:r>
          </w:p>
        </w:tc>
        <w:tc>
          <w:tcPr>
            <w:tcW w:w="100" w:type="dxa"/>
            <w:vAlign w:val="bottom"/>
            <w:tcBorders>
              <w:top w:val="single" w:sz="8" w:color="CCFFFF"/>
            </w:tcBorders>
            <w:shd w:val="clear" w:color="auto" w:fill="CCFF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Interest expense on loans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26,826</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20,772</w:t>
            </w:r>
          </w:p>
        </w:tc>
      </w:tr>
      <w:tr>
        <w:trPr>
          <w:trHeight w:val="216"/>
        </w:trPr>
        <w:tc>
          <w:tcPr>
            <w:tcW w:w="8340" w:type="dxa"/>
            <w:vAlign w:val="bottom"/>
            <w:shd w:val="clear" w:color="auto" w:fill="CCFFFF"/>
          </w:tcPr>
          <w:p>
            <w:pPr>
              <w:spacing w:after="0"/>
              <w:rPr>
                <w:sz w:val="20"/>
                <w:szCs w:val="20"/>
                <w:color w:val="auto"/>
              </w:rPr>
            </w:pPr>
            <w:r>
              <w:rPr>
                <w:rFonts w:ascii="Arial" w:cs="Arial" w:eastAsia="Arial" w:hAnsi="Arial"/>
                <w:sz w:val="18"/>
                <w:szCs w:val="18"/>
                <w:color w:val="auto"/>
              </w:rPr>
              <w:t>Interest expense on bonds and realized loss on CCS</w:t>
            </w:r>
          </w:p>
        </w:tc>
        <w:tc>
          <w:tcPr>
            <w:tcW w:w="156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9,484</w:t>
            </w:r>
          </w:p>
        </w:tc>
        <w:tc>
          <w:tcPr>
            <w:tcW w:w="1340" w:type="dxa"/>
            <w:vAlign w:val="bottom"/>
            <w:gridSpan w:val="2"/>
            <w:shd w:val="clear" w:color="auto" w:fill="CCFFFF"/>
          </w:tcPr>
          <w:p>
            <w:pPr>
              <w:jc w:val="right"/>
              <w:ind w:right="21"/>
              <w:spacing w:after="0"/>
              <w:rPr>
                <w:sz w:val="20"/>
                <w:szCs w:val="20"/>
                <w:color w:val="auto"/>
              </w:rPr>
            </w:pPr>
            <w:r>
              <w:rPr>
                <w:rFonts w:ascii="Arial" w:cs="Arial" w:eastAsia="Arial" w:hAnsi="Arial"/>
                <w:sz w:val="18"/>
                <w:szCs w:val="18"/>
                <w:color w:val="auto"/>
              </w:rPr>
              <w:t>8,681</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Lease charge</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2,549</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2,414</w:t>
            </w:r>
          </w:p>
        </w:tc>
      </w:tr>
      <w:tr>
        <w:trPr>
          <w:trHeight w:val="216"/>
        </w:trPr>
        <w:tc>
          <w:tcPr>
            <w:tcW w:w="8340" w:type="dxa"/>
            <w:vAlign w:val="bottom"/>
            <w:shd w:val="clear" w:color="auto" w:fill="CCFFFF"/>
          </w:tcPr>
          <w:p>
            <w:pPr>
              <w:spacing w:after="0"/>
              <w:rPr>
                <w:sz w:val="20"/>
                <w:szCs w:val="20"/>
                <w:color w:val="auto"/>
              </w:rPr>
            </w:pPr>
            <w:r>
              <w:rPr>
                <w:rFonts w:ascii="Arial" w:cs="Arial" w:eastAsia="Arial" w:hAnsi="Arial"/>
                <w:sz w:val="18"/>
                <w:szCs w:val="18"/>
                <w:color w:val="auto"/>
              </w:rPr>
              <w:t>Loss arising on bond repurchase at a premium</w:t>
            </w:r>
          </w:p>
        </w:tc>
        <w:tc>
          <w:tcPr>
            <w:tcW w:w="156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1,937</w:t>
            </w:r>
          </w:p>
        </w:tc>
        <w:tc>
          <w:tcPr>
            <w:tcW w:w="1340" w:type="dxa"/>
            <w:vAlign w:val="bottom"/>
            <w:gridSpan w:val="2"/>
            <w:shd w:val="clear" w:color="auto" w:fill="CCFFFF"/>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spacing w:after="0"/>
              <w:rPr>
                <w:sz w:val="20"/>
                <w:szCs w:val="20"/>
                <w:color w:val="auto"/>
              </w:rPr>
            </w:pPr>
            <w:r>
              <w:rPr>
                <w:rFonts w:ascii="Arial" w:cs="Arial" w:eastAsia="Arial" w:hAnsi="Arial"/>
                <w:sz w:val="18"/>
                <w:szCs w:val="18"/>
                <w:color w:val="auto"/>
              </w:rPr>
              <w:t>Other financial costs, net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(3,172)</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407</w:t>
            </w:r>
          </w:p>
        </w:tc>
      </w:tr>
      <w:tr>
        <w:trPr>
          <w:trHeight w:val="223"/>
        </w:trPr>
        <w:tc>
          <w:tcPr>
            <w:tcW w:w="8340" w:type="dxa"/>
            <w:vAlign w:val="bottom"/>
            <w:tcBorders>
              <w:top w:val="single" w:sz="8" w:color="CCFFFF"/>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Total financial costs</w:t>
            </w: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41,441</w:t>
            </w:r>
          </w:p>
        </w:tc>
        <w:tc>
          <w:tcPr>
            <w:tcW w:w="320" w:type="dxa"/>
            <w:vAlign w:val="bottom"/>
            <w:tcBorders>
              <w:top w:val="single" w:sz="8" w:color="CCFFFF"/>
              <w:bottom w:val="single" w:sz="8" w:color="CCFFFF"/>
            </w:tcBorders>
            <w:shd w:val="clear" w:color="auto" w:fill="CCFFFF"/>
          </w:tcPr>
          <w:p>
            <w:pPr>
              <w:spacing w:after="0"/>
              <w:rPr>
                <w:sz w:val="19"/>
                <w:szCs w:val="19"/>
                <w:color w:val="auto"/>
              </w:rPr>
            </w:pP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39,388</w:t>
            </w:r>
          </w:p>
        </w:tc>
        <w:tc>
          <w:tcPr>
            <w:tcW w:w="100" w:type="dxa"/>
            <w:vAlign w:val="bottom"/>
            <w:tcBorders>
              <w:top w:val="single" w:sz="8" w:color="CCFFFF"/>
              <w:bottom w:val="single" w:sz="8" w:color="CCFFFF"/>
            </w:tcBorders>
            <w:shd w:val="clear" w:color="auto" w:fill="CCFFFF"/>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40" w:type="dxa"/>
            <w:vAlign w:val="bottom"/>
            <w:shd w:val="clear" w:color="auto" w:fill="CCFFFF"/>
          </w:tcPr>
          <w:p>
            <w:pPr>
              <w:spacing w:after="0"/>
              <w:rPr>
                <w:sz w:val="20"/>
                <w:szCs w:val="20"/>
                <w:color w:val="auto"/>
              </w:rPr>
            </w:pPr>
            <w:r>
              <w:rPr>
                <w:rFonts w:ascii="Arial" w:cs="Arial" w:eastAsia="Arial" w:hAnsi="Arial"/>
                <w:sz w:val="18"/>
                <w:szCs w:val="18"/>
                <w:color w:val="auto"/>
              </w:rPr>
              <w:t>Unrealized loss/(gain) on derivative financial instruments held for trading (Note 15)</w:t>
            </w:r>
          </w:p>
        </w:tc>
        <w:tc>
          <w:tcPr>
            <w:tcW w:w="156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71,332</w:t>
            </w:r>
          </w:p>
        </w:tc>
        <w:tc>
          <w:tcPr>
            <w:tcW w:w="1340" w:type="dxa"/>
            <w:vAlign w:val="bottom"/>
            <w:gridSpan w:val="2"/>
            <w:shd w:val="clear" w:color="auto" w:fill="CCFFFF"/>
          </w:tcPr>
          <w:p>
            <w:pPr>
              <w:jc w:val="right"/>
              <w:spacing w:after="0"/>
              <w:rPr>
                <w:sz w:val="20"/>
                <w:szCs w:val="20"/>
                <w:color w:val="auto"/>
              </w:rPr>
            </w:pPr>
            <w:r>
              <w:rPr>
                <w:rFonts w:ascii="Arial" w:cs="Arial" w:eastAsia="Arial" w:hAnsi="Arial"/>
                <w:sz w:val="18"/>
                <w:szCs w:val="18"/>
                <w:color w:val="auto"/>
              </w:rPr>
              <w:t>(27,408)</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Realized loss on interest rate swaps held for trading</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869</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8,707</w:t>
            </w:r>
          </w:p>
        </w:tc>
      </w:tr>
      <w:tr>
        <w:trPr>
          <w:trHeight w:val="216"/>
        </w:trPr>
        <w:tc>
          <w:tcPr>
            <w:tcW w:w="8340" w:type="dxa"/>
            <w:vAlign w:val="bottom"/>
            <w:shd w:val="clear" w:color="auto" w:fill="CCFFFF"/>
          </w:tcPr>
          <w:p>
            <w:pPr>
              <w:spacing w:after="0"/>
              <w:rPr>
                <w:sz w:val="20"/>
                <w:szCs w:val="20"/>
                <w:color w:val="auto"/>
              </w:rPr>
            </w:pPr>
            <w:r>
              <w:rPr>
                <w:rFonts w:ascii="Arial" w:cs="Arial" w:eastAsia="Arial" w:hAnsi="Arial"/>
                <w:sz w:val="18"/>
                <w:szCs w:val="18"/>
                <w:color w:val="auto"/>
              </w:rPr>
              <w:t>Realized loss on forward foreign exchange contracts held for trading</w:t>
            </w:r>
          </w:p>
        </w:tc>
        <w:tc>
          <w:tcPr>
            <w:tcW w:w="156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206</w:t>
            </w:r>
          </w:p>
        </w:tc>
        <w:tc>
          <w:tcPr>
            <w:tcW w:w="1340" w:type="dxa"/>
            <w:vAlign w:val="bottom"/>
            <w:gridSpan w:val="2"/>
            <w:shd w:val="clear" w:color="auto" w:fill="CCFFFF"/>
          </w:tcPr>
          <w:p>
            <w:pPr>
              <w:jc w:val="right"/>
              <w:ind w:right="21"/>
              <w:spacing w:after="0"/>
              <w:rPr>
                <w:sz w:val="20"/>
                <w:szCs w:val="20"/>
                <w:color w:val="auto"/>
              </w:rPr>
            </w:pPr>
            <w:r>
              <w:rPr>
                <w:rFonts w:ascii="Arial" w:cs="Arial" w:eastAsia="Arial" w:hAnsi="Arial"/>
                <w:sz w:val="18"/>
                <w:szCs w:val="18"/>
                <w:color w:val="auto"/>
              </w:rPr>
              <w:t>50</w:t>
            </w:r>
          </w:p>
        </w:tc>
      </w:tr>
      <w:tr>
        <w:trPr>
          <w:trHeight w:val="229"/>
        </w:trPr>
        <w:tc>
          <w:tcPr>
            <w:tcW w:w="8340" w:type="dxa"/>
            <w:vAlign w:val="bottom"/>
          </w:tcPr>
          <w:p>
            <w:pPr>
              <w:spacing w:after="0"/>
              <w:rPr>
                <w:sz w:val="20"/>
                <w:szCs w:val="20"/>
                <w:color w:val="auto"/>
              </w:rPr>
            </w:pPr>
            <w:r>
              <w:rPr>
                <w:rFonts w:ascii="Arial" w:cs="Arial" w:eastAsia="Arial" w:hAnsi="Arial"/>
                <w:sz w:val="18"/>
                <w:szCs w:val="18"/>
                <w:color w:val="auto"/>
              </w:rPr>
              <w:t>Ineffective portion of cash flow hedges</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(1,283)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(1,632)</w:t>
            </w:r>
          </w:p>
        </w:tc>
      </w:tr>
      <w:tr>
        <w:trPr>
          <w:trHeight w:val="192"/>
        </w:trPr>
        <w:tc>
          <w:tcPr>
            <w:tcW w:w="8340" w:type="dxa"/>
            <w:vAlign w:val="bottom"/>
            <w:tcBorders>
              <w:top w:val="single" w:sz="8" w:color="CCFFFF"/>
            </w:tcBorders>
            <w:shd w:val="clear" w:color="auto" w:fill="CCFFFF"/>
          </w:tcPr>
          <w:p>
            <w:pPr>
              <w:spacing w:after="0" w:line="192" w:lineRule="exact"/>
              <w:rPr>
                <w:sz w:val="20"/>
                <w:szCs w:val="20"/>
                <w:color w:val="auto"/>
              </w:rPr>
            </w:pPr>
            <w:r>
              <w:rPr>
                <w:rFonts w:ascii="Arial" w:cs="Arial" w:eastAsia="Arial" w:hAnsi="Arial"/>
                <w:sz w:val="18"/>
                <w:szCs w:val="18"/>
                <w:b w:val="1"/>
                <w:bCs w:val="1"/>
                <w:color w:val="auto"/>
              </w:rPr>
              <w:t>Total loss/(gain) on derivatives</w:t>
            </w:r>
          </w:p>
        </w:tc>
        <w:tc>
          <w:tcPr>
            <w:tcW w:w="1240" w:type="dxa"/>
            <w:vAlign w:val="bottom"/>
            <w:tcBorders>
              <w:top w:val="single" w:sz="8" w:color="auto"/>
            </w:tcBorders>
            <w:shd w:val="clear" w:color="auto" w:fill="CCFFFF"/>
          </w:tcPr>
          <w:p>
            <w:pPr>
              <w:jc w:val="right"/>
              <w:spacing w:after="0" w:line="192" w:lineRule="exact"/>
              <w:rPr>
                <w:sz w:val="20"/>
                <w:szCs w:val="20"/>
                <w:color w:val="auto"/>
              </w:rPr>
            </w:pPr>
            <w:r>
              <w:rPr>
                <w:rFonts w:ascii="Arial" w:cs="Arial" w:eastAsia="Arial" w:hAnsi="Arial"/>
                <w:sz w:val="18"/>
                <w:szCs w:val="18"/>
                <w:b w:val="1"/>
                <w:bCs w:val="1"/>
                <w:color w:val="auto"/>
              </w:rPr>
              <w:t>71,124</w:t>
            </w:r>
          </w:p>
        </w:tc>
        <w:tc>
          <w:tcPr>
            <w:tcW w:w="320" w:type="dxa"/>
            <w:vAlign w:val="bottom"/>
            <w:tcBorders>
              <w:top w:val="single" w:sz="8" w:color="CCFFFF"/>
            </w:tcBorders>
            <w:shd w:val="clear" w:color="auto" w:fill="CCFFFF"/>
          </w:tcPr>
          <w:p>
            <w:pPr>
              <w:spacing w:after="0"/>
              <w:rPr>
                <w:sz w:val="16"/>
                <w:szCs w:val="16"/>
                <w:color w:val="auto"/>
              </w:rPr>
            </w:pPr>
          </w:p>
        </w:tc>
        <w:tc>
          <w:tcPr>
            <w:tcW w:w="1240" w:type="dxa"/>
            <w:vAlign w:val="bottom"/>
            <w:tcBorders>
              <w:top w:val="single" w:sz="8" w:color="auto"/>
            </w:tcBorders>
            <w:shd w:val="clear" w:color="auto" w:fill="CCFFFF"/>
          </w:tcPr>
          <w:p>
            <w:pPr>
              <w:jc w:val="right"/>
              <w:spacing w:after="0" w:line="192" w:lineRule="exact"/>
              <w:rPr>
                <w:sz w:val="20"/>
                <w:szCs w:val="20"/>
                <w:color w:val="auto"/>
              </w:rPr>
            </w:pPr>
            <w:r>
              <w:rPr>
                <w:rFonts w:ascii="Arial" w:cs="Arial" w:eastAsia="Arial" w:hAnsi="Arial"/>
                <w:sz w:val="18"/>
                <w:szCs w:val="18"/>
                <w:b w:val="1"/>
                <w:bCs w:val="1"/>
                <w:color w:val="auto"/>
              </w:rPr>
              <w:t>(20,283</w:t>
            </w:r>
          </w:p>
        </w:tc>
        <w:tc>
          <w:tcPr>
            <w:tcW w:w="100" w:type="dxa"/>
            <w:vAlign w:val="bottom"/>
            <w:tcBorders>
              <w:top w:val="single" w:sz="8" w:color="CCFFFF"/>
            </w:tcBorders>
            <w:shd w:val="clear" w:color="auto" w:fill="CCFFFF"/>
          </w:tcPr>
          <w:p>
            <w:pPr>
              <w:jc w:val="right"/>
              <w:spacing w:after="0"/>
              <w:rPr>
                <w:sz w:val="20"/>
                <w:szCs w:val="20"/>
                <w:color w:val="auto"/>
              </w:rPr>
            </w:pPr>
            <w:r>
              <w:rPr>
                <w:rFonts w:ascii="Arial" w:cs="Arial" w:eastAsia="Arial" w:hAnsi="Arial"/>
                <w:sz w:val="16"/>
                <w:szCs w:val="16"/>
                <w:b w:val="1"/>
                <w:bCs w:val="1"/>
                <w:color w:val="auto"/>
                <w:w w:val="74"/>
              </w:rPr>
              <w:t>)</w:t>
            </w:r>
          </w:p>
        </w:tc>
      </w:tr>
    </w:tbl>
    <w:p>
      <w:pPr>
        <w:sectPr>
          <w:pgSz w:w="11900" w:h="16900" w:orient="portrait"/>
          <w:cols w:equalWidth="0" w:num="1">
            <w:col w:w="11240"/>
          </w:cols>
          <w:pgMar w:left="320" w:top="908" w:right="339" w:bottom="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17. Cash Flow Reconciliations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reconciliation of the Group’s financing activities for the periods ended March 31, 2020 and March 31, 2021 are presented in the tables below:</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borrowings arising from financing activities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5"/>
              </w:rPr>
              <w:t>Other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Deferred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6"/>
              </w:rPr>
              <w:t>comprehensive</w:t>
            </w:r>
          </w:p>
        </w:tc>
        <w:tc>
          <w:tcPr>
            <w:tcW w:w="144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87"/>
              </w:rPr>
              <w:t>Non-cash</w:t>
            </w:r>
          </w:p>
        </w:tc>
        <w:tc>
          <w:tcPr>
            <w:tcW w:w="144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9"/>
              </w:rPr>
              <w:t>financing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Opening balance</w:t>
            </w:r>
          </w:p>
        </w:tc>
        <w:tc>
          <w:tcPr>
            <w:tcW w:w="200" w:type="dxa"/>
            <w:vAlign w:val="bottom"/>
          </w:tcPr>
          <w:p>
            <w:pPr>
              <w:spacing w:after="0"/>
              <w:rPr>
                <w:sz w:val="20"/>
                <w:szCs w:val="20"/>
                <w:color w:val="auto"/>
              </w:rPr>
            </w:pPr>
          </w:p>
        </w:tc>
        <w:tc>
          <w:tcPr>
            <w:tcW w:w="1340" w:type="dxa"/>
            <w:vAlign w:val="bottom"/>
            <w:gridSpan w:val="3"/>
          </w:tcPr>
          <w:p>
            <w:pPr>
              <w:jc w:val="right"/>
              <w:ind w:right="221"/>
              <w:spacing w:after="0"/>
              <w:rPr>
                <w:sz w:val="20"/>
                <w:szCs w:val="20"/>
                <w:color w:val="auto"/>
              </w:rPr>
            </w:pPr>
            <w:r>
              <w:rPr>
                <w:rFonts w:ascii="Arial" w:cs="Arial" w:eastAsia="Arial" w:hAnsi="Arial"/>
                <w:sz w:val="18"/>
                <w:szCs w:val="18"/>
                <w:b w:val="1"/>
                <w:bCs w:val="1"/>
                <w:color w:val="auto"/>
              </w:rPr>
              <w:t>Cash flows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income</w:t>
            </w: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9"/>
              </w:rPr>
              <w:t>items</w:t>
            </w: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79"/>
              </w:rPr>
              <w:t>costs, assets</w:t>
            </w:r>
          </w:p>
        </w:tc>
        <w:tc>
          <w:tcPr>
            <w:tcW w:w="134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89"/>
              </w:rPr>
              <w:t>Borrowings</w:t>
            </w:r>
          </w:p>
        </w:tc>
      </w:tr>
      <w:tr>
        <w:trPr>
          <w:trHeight w:val="210"/>
        </w:trPr>
        <w:tc>
          <w:tcPr>
            <w:tcW w:w="238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January 1, 2020</w:t>
            </w:r>
          </w:p>
        </w:tc>
        <w:tc>
          <w:tcPr>
            <w:tcW w:w="1480" w:type="dxa"/>
            <w:vAlign w:val="bottom"/>
            <w:tcBorders>
              <w:top w:val="single" w:sz="8" w:color="auto"/>
            </w:tcBorders>
            <w:gridSpan w:val="2"/>
            <w:shd w:val="clear" w:color="auto" w:fill="CCFFFF"/>
          </w:tcPr>
          <w:p>
            <w:pPr>
              <w:jc w:val="right"/>
              <w:spacing w:after="0"/>
              <w:rPr>
                <w:sz w:val="20"/>
                <w:szCs w:val="20"/>
                <w:color w:val="auto"/>
              </w:rPr>
            </w:pPr>
            <w:r>
              <w:rPr>
                <w:rFonts w:ascii="Arial" w:cs="Arial" w:eastAsia="Arial" w:hAnsi="Arial"/>
                <w:sz w:val="18"/>
                <w:szCs w:val="18"/>
                <w:color w:val="auto"/>
              </w:rPr>
              <w:t>3,147,395</w:t>
            </w:r>
          </w:p>
        </w:tc>
        <w:tc>
          <w:tcPr>
            <w:tcW w:w="40" w:type="dxa"/>
            <w:vAlign w:val="bottom"/>
            <w:tcBorders>
              <w:top w:val="single" w:sz="8" w:color="CCFFFF"/>
            </w:tcBorders>
            <w:shd w:val="clear" w:color="auto" w:fill="CCFFFF"/>
          </w:tcPr>
          <w:p>
            <w:pPr>
              <w:spacing w:after="0"/>
              <w:rPr>
                <w:sz w:val="18"/>
                <w:szCs w:val="18"/>
                <w:color w:val="auto"/>
              </w:rPr>
            </w:pPr>
          </w:p>
        </w:tc>
        <w:tc>
          <w:tcPr>
            <w:tcW w:w="200" w:type="dxa"/>
            <w:vAlign w:val="bottom"/>
            <w:tcBorders>
              <w:top w:val="single" w:sz="8" w:color="CCFFFF"/>
            </w:tcBorders>
            <w:shd w:val="clear" w:color="auto" w:fill="CCFFFF"/>
          </w:tcPr>
          <w:p>
            <w:pPr>
              <w:spacing w:after="0"/>
              <w:rPr>
                <w:sz w:val="18"/>
                <w:szCs w:val="18"/>
                <w:color w:val="auto"/>
              </w:rPr>
            </w:pPr>
          </w:p>
        </w:tc>
        <w:tc>
          <w:tcPr>
            <w:tcW w:w="1260" w:type="dxa"/>
            <w:vAlign w:val="bottom"/>
            <w:tcBorders>
              <w:top w:val="single" w:sz="8" w:color="auto"/>
            </w:tcBorders>
            <w:gridSpan w:val="2"/>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FF"/>
            </w:tcBorders>
            <w:shd w:val="clear" w:color="auto" w:fill="CCFFFF"/>
          </w:tcPr>
          <w:p>
            <w:pPr>
              <w:spacing w:after="0"/>
              <w:rPr>
                <w:sz w:val="18"/>
                <w:szCs w:val="18"/>
                <w:color w:val="auto"/>
              </w:rPr>
            </w:pPr>
          </w:p>
        </w:tc>
        <w:tc>
          <w:tcPr>
            <w:tcW w:w="120" w:type="dxa"/>
            <w:vAlign w:val="bottom"/>
            <w:tcBorders>
              <w:top w:val="single" w:sz="8" w:color="CCFFFF"/>
            </w:tcBorders>
            <w:shd w:val="clear" w:color="auto" w:fill="CCFFFF"/>
          </w:tcPr>
          <w:p>
            <w:pPr>
              <w:spacing w:after="0"/>
              <w:rPr>
                <w:sz w:val="18"/>
                <w:szCs w:val="18"/>
                <w:color w:val="auto"/>
              </w:rPr>
            </w:pPr>
          </w:p>
        </w:tc>
        <w:tc>
          <w:tcPr>
            <w:tcW w:w="20" w:type="dxa"/>
            <w:vAlign w:val="bottom"/>
            <w:tcBorders>
              <w:top w:val="single" w:sz="8" w:color="CCFFFF"/>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FF"/>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FF"/>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FF"/>
            </w:tcBorders>
            <w:shd w:val="clear" w:color="auto" w:fill="CCFFFF"/>
          </w:tcPr>
          <w:p>
            <w:pPr>
              <w:spacing w:after="0"/>
              <w:rPr>
                <w:sz w:val="18"/>
                <w:szCs w:val="18"/>
                <w:color w:val="auto"/>
              </w:rPr>
            </w:pPr>
          </w:p>
        </w:tc>
        <w:tc>
          <w:tcPr>
            <w:tcW w:w="124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3,147,395</w:t>
            </w:r>
          </w:p>
        </w:tc>
        <w:tc>
          <w:tcPr>
            <w:tcW w:w="100" w:type="dxa"/>
            <w:vAlign w:val="bottom"/>
            <w:tcBorders>
              <w:top w:val="single" w:sz="8" w:color="CCFFFF"/>
            </w:tcBorders>
            <w:shd w:val="clear" w:color="auto" w:fill="CCFF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2"/>
              </w:rPr>
              <w:t>Proceeds from loans and bonds</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1"/>
              <w:spacing w:after="0"/>
              <w:rPr>
                <w:sz w:val="20"/>
                <w:szCs w:val="20"/>
                <w:color w:val="auto"/>
              </w:rPr>
            </w:pPr>
            <w:r>
              <w:rPr>
                <w:rFonts w:ascii="Arial" w:cs="Arial" w:eastAsia="Arial" w:hAnsi="Arial"/>
                <w:sz w:val="18"/>
                <w:szCs w:val="18"/>
                <w:color w:val="auto"/>
              </w:rPr>
              <w:t>252,525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252,525</w:t>
            </w:r>
          </w:p>
        </w:tc>
      </w:tr>
      <w:tr>
        <w:trPr>
          <w:trHeight w:val="216"/>
        </w:trPr>
        <w:tc>
          <w:tcPr>
            <w:tcW w:w="2380" w:type="dxa"/>
            <w:vAlign w:val="bottom"/>
            <w:shd w:val="clear" w:color="auto" w:fill="CCFFFF"/>
          </w:tcPr>
          <w:p>
            <w:pPr>
              <w:spacing w:after="0"/>
              <w:rPr>
                <w:sz w:val="20"/>
                <w:szCs w:val="20"/>
                <w:color w:val="auto"/>
              </w:rPr>
            </w:pPr>
            <w:r>
              <w:rPr>
                <w:rFonts w:ascii="Arial" w:cs="Arial" w:eastAsia="Arial" w:hAnsi="Arial"/>
                <w:sz w:val="18"/>
                <w:szCs w:val="18"/>
                <w:color w:val="auto"/>
              </w:rPr>
              <w:t>Loan and bond repayments</w:t>
            </w:r>
          </w:p>
        </w:tc>
        <w:tc>
          <w:tcPr>
            <w:tcW w:w="1520" w:type="dxa"/>
            <w:vAlign w:val="bottom"/>
            <w:gridSpan w:val="3"/>
            <w:shd w:val="clear" w:color="auto" w:fill="CCFF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FFFF"/>
          </w:tcPr>
          <w:p>
            <w:pPr>
              <w:jc w:val="right"/>
              <w:spacing w:after="0"/>
              <w:rPr>
                <w:sz w:val="20"/>
                <w:szCs w:val="20"/>
                <w:color w:val="auto"/>
              </w:rPr>
            </w:pPr>
            <w:r>
              <w:rPr>
                <w:rFonts w:ascii="Arial" w:cs="Arial" w:eastAsia="Arial" w:hAnsi="Arial"/>
                <w:sz w:val="18"/>
                <w:szCs w:val="18"/>
                <w:color w:val="auto"/>
              </w:rPr>
              <w:t>(124,116)</w:t>
            </w:r>
          </w:p>
        </w:tc>
        <w:tc>
          <w:tcPr>
            <w:tcW w:w="1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FF"/>
          </w:tcPr>
          <w:p>
            <w:pPr>
              <w:jc w:val="right"/>
              <w:ind w:right="81"/>
              <w:spacing w:after="0"/>
              <w:rPr>
                <w:sz w:val="20"/>
                <w:szCs w:val="20"/>
                <w:color w:val="auto"/>
              </w:rPr>
            </w:pPr>
            <w:r>
              <w:rPr>
                <w:rFonts w:ascii="Arial" w:cs="Arial" w:eastAsia="Arial" w:hAnsi="Arial"/>
                <w:sz w:val="18"/>
                <w:szCs w:val="18"/>
                <w:color w:val="auto"/>
              </w:rPr>
              <w:t>(8,063)</w:t>
            </w: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FF"/>
          </w:tcPr>
          <w:p>
            <w:pPr>
              <w:jc w:val="right"/>
              <w:spacing w:after="0"/>
              <w:rPr>
                <w:sz w:val="20"/>
                <w:szCs w:val="20"/>
                <w:color w:val="auto"/>
              </w:rPr>
            </w:pPr>
            <w:r>
              <w:rPr>
                <w:rFonts w:ascii="Arial" w:cs="Arial" w:eastAsia="Arial" w:hAnsi="Arial"/>
                <w:sz w:val="18"/>
                <w:szCs w:val="18"/>
                <w:color w:val="auto"/>
              </w:rPr>
              <w:t>(132,179)</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w w:val="99"/>
              </w:rPr>
              <w:t>Payment for bond repurchase</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80" w:type="dxa"/>
            <w:vAlign w:val="bottom"/>
          </w:tcPr>
          <w:p>
            <w:pPr>
              <w:ind w:left="160"/>
              <w:spacing w:after="0"/>
              <w:rPr>
                <w:sz w:val="20"/>
                <w:szCs w:val="20"/>
                <w:color w:val="auto"/>
              </w:rPr>
            </w:pPr>
            <w:r>
              <w:rPr>
                <w:rFonts w:ascii="Arial" w:cs="Arial" w:eastAsia="Arial" w:hAnsi="Arial"/>
                <w:sz w:val="18"/>
                <w:szCs w:val="18"/>
                <w:color w:val="auto"/>
              </w:rPr>
              <w:t>at a premium</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(1,937)</w:t>
            </w:r>
          </w:p>
        </w:tc>
      </w:tr>
      <w:tr>
        <w:trPr>
          <w:trHeight w:val="216"/>
        </w:trPr>
        <w:tc>
          <w:tcPr>
            <w:tcW w:w="2380" w:type="dxa"/>
            <w:vAlign w:val="bottom"/>
            <w:shd w:val="clear" w:color="auto" w:fill="CCFFFF"/>
          </w:tcPr>
          <w:p>
            <w:pPr>
              <w:spacing w:after="0"/>
              <w:rPr>
                <w:sz w:val="20"/>
                <w:szCs w:val="20"/>
                <w:color w:val="auto"/>
              </w:rPr>
            </w:pPr>
            <w:r>
              <w:rPr>
                <w:rFonts w:ascii="Arial" w:cs="Arial" w:eastAsia="Arial" w:hAnsi="Arial"/>
                <w:sz w:val="18"/>
                <w:szCs w:val="18"/>
                <w:color w:val="auto"/>
                <w:w w:val="97"/>
              </w:rPr>
              <w:t>Additions in deferred loan fees</w:t>
            </w:r>
          </w:p>
        </w:tc>
        <w:tc>
          <w:tcPr>
            <w:tcW w:w="1520" w:type="dxa"/>
            <w:vAlign w:val="bottom"/>
            <w:gridSpan w:val="3"/>
            <w:shd w:val="clear" w:color="auto" w:fill="CCFF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FFFF"/>
          </w:tcPr>
          <w:p>
            <w:pPr>
              <w:jc w:val="right"/>
              <w:spacing w:after="0"/>
              <w:rPr>
                <w:sz w:val="20"/>
                <w:szCs w:val="20"/>
                <w:color w:val="auto"/>
              </w:rPr>
            </w:pPr>
            <w:r>
              <w:rPr>
                <w:rFonts w:ascii="Arial" w:cs="Arial" w:eastAsia="Arial" w:hAnsi="Arial"/>
                <w:sz w:val="18"/>
                <w:szCs w:val="18"/>
                <w:color w:val="auto"/>
              </w:rPr>
              <w:t>(3,188)</w:t>
            </w:r>
          </w:p>
        </w:tc>
        <w:tc>
          <w:tcPr>
            <w:tcW w:w="1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FF"/>
          </w:tcPr>
          <w:p>
            <w:pPr>
              <w:jc w:val="right"/>
              <w:ind w:right="81"/>
              <w:spacing w:after="0"/>
              <w:rPr>
                <w:sz w:val="20"/>
                <w:szCs w:val="20"/>
                <w:color w:val="auto"/>
              </w:rPr>
            </w:pPr>
            <w:r>
              <w:rPr>
                <w:rFonts w:ascii="Arial" w:cs="Arial" w:eastAsia="Arial" w:hAnsi="Arial"/>
                <w:sz w:val="18"/>
                <w:szCs w:val="18"/>
                <w:color w:val="auto"/>
              </w:rPr>
              <w:t>(92)</w:t>
            </w:r>
          </w:p>
        </w:tc>
        <w:tc>
          <w:tcPr>
            <w:tcW w:w="1440" w:type="dxa"/>
            <w:vAlign w:val="bottom"/>
            <w:gridSpan w:val="2"/>
            <w:shd w:val="clear" w:color="auto" w:fill="CCFFFF"/>
          </w:tcPr>
          <w:p>
            <w:pPr>
              <w:jc w:val="right"/>
              <w:ind w:right="81"/>
              <w:spacing w:after="0"/>
              <w:rPr>
                <w:sz w:val="20"/>
                <w:szCs w:val="20"/>
                <w:color w:val="auto"/>
              </w:rPr>
            </w:pPr>
            <w:r>
              <w:rPr>
                <w:rFonts w:ascii="Arial" w:cs="Arial" w:eastAsia="Arial" w:hAnsi="Arial"/>
                <w:sz w:val="18"/>
                <w:szCs w:val="18"/>
                <w:color w:val="auto"/>
              </w:rPr>
              <w:t>(706)</w:t>
            </w:r>
          </w:p>
        </w:tc>
        <w:tc>
          <w:tcPr>
            <w:tcW w:w="1340" w:type="dxa"/>
            <w:vAlign w:val="bottom"/>
            <w:gridSpan w:val="2"/>
            <w:shd w:val="clear" w:color="auto" w:fill="CCFFFF"/>
          </w:tcPr>
          <w:p>
            <w:pPr>
              <w:jc w:val="right"/>
              <w:spacing w:after="0"/>
              <w:rPr>
                <w:sz w:val="20"/>
                <w:szCs w:val="20"/>
                <w:color w:val="auto"/>
              </w:rPr>
            </w:pPr>
            <w:r>
              <w:rPr>
                <w:rFonts w:ascii="Arial" w:cs="Arial" w:eastAsia="Arial" w:hAnsi="Arial"/>
                <w:sz w:val="18"/>
                <w:szCs w:val="18"/>
                <w:color w:val="auto"/>
              </w:rPr>
              <w:t>(3,986)</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Amortization and write-off of</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w w:val="95"/>
              </w:rPr>
              <w:t>deferred loan/bond issuance</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costs/premium (Note 16)</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40" w:type="dxa"/>
            <w:vAlign w:val="bottom"/>
            <w:gridSpan w:val="3"/>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3,817</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3,817</w:t>
            </w:r>
          </w:p>
        </w:tc>
      </w:tr>
      <w:tr>
        <w:trPr>
          <w:trHeight w:val="202"/>
        </w:trPr>
        <w:tc>
          <w:tcPr>
            <w:tcW w:w="2380" w:type="dxa"/>
            <w:vAlign w:val="bottom"/>
            <w:shd w:val="clear" w:color="auto" w:fill="CCFFFF"/>
          </w:tcPr>
          <w:p>
            <w:pPr>
              <w:spacing w:after="0" w:line="201" w:lineRule="exact"/>
              <w:rPr>
                <w:sz w:val="20"/>
                <w:szCs w:val="20"/>
                <w:color w:val="auto"/>
              </w:rPr>
            </w:pPr>
            <w:r>
              <w:rPr>
                <w:rFonts w:ascii="Arial" w:cs="Arial" w:eastAsia="Arial" w:hAnsi="Arial"/>
                <w:sz w:val="18"/>
                <w:szCs w:val="18"/>
                <w:color w:val="auto"/>
              </w:rPr>
              <w:t>Retranslation of the 2021</w:t>
            </w:r>
          </w:p>
        </w:tc>
        <w:tc>
          <w:tcPr>
            <w:tcW w:w="146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40" w:type="dxa"/>
            <w:vAlign w:val="bottom"/>
            <w:shd w:val="clear" w:color="auto" w:fill="CCFFFF"/>
          </w:tcPr>
          <w:p>
            <w:pPr>
              <w:spacing w:after="0"/>
              <w:rPr>
                <w:sz w:val="17"/>
                <w:szCs w:val="17"/>
                <w:color w:val="auto"/>
              </w:rPr>
            </w:pPr>
          </w:p>
        </w:tc>
        <w:tc>
          <w:tcPr>
            <w:tcW w:w="20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40" w:type="dxa"/>
            <w:vAlign w:val="bottom"/>
            <w:shd w:val="clear" w:color="auto" w:fill="CCFFFF"/>
          </w:tcPr>
          <w:p>
            <w:pPr>
              <w:spacing w:after="0"/>
              <w:rPr>
                <w:sz w:val="17"/>
                <w:szCs w:val="17"/>
                <w:color w:val="auto"/>
              </w:rPr>
            </w:pPr>
          </w:p>
        </w:tc>
        <w:tc>
          <w:tcPr>
            <w:tcW w:w="80" w:type="dxa"/>
            <w:vAlign w:val="bottom"/>
            <w:shd w:val="clear" w:color="auto" w:fill="CCFFFF"/>
          </w:tcPr>
          <w:p>
            <w:pPr>
              <w:spacing w:after="0"/>
              <w:rPr>
                <w:sz w:val="17"/>
                <w:szCs w:val="17"/>
                <w:color w:val="auto"/>
              </w:rPr>
            </w:pPr>
          </w:p>
        </w:tc>
        <w:tc>
          <w:tcPr>
            <w:tcW w:w="12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240" w:type="dxa"/>
            <w:vAlign w:val="bottom"/>
            <w:shd w:val="clear" w:color="auto" w:fill="CCFFFF"/>
          </w:tcPr>
          <w:p>
            <w:pPr>
              <w:spacing w:after="0"/>
              <w:rPr>
                <w:sz w:val="17"/>
                <w:szCs w:val="17"/>
                <w:color w:val="auto"/>
              </w:rPr>
            </w:pPr>
          </w:p>
        </w:tc>
        <w:tc>
          <w:tcPr>
            <w:tcW w:w="100" w:type="dxa"/>
            <w:vAlign w:val="bottom"/>
            <w:shd w:val="clear" w:color="auto" w:fill="CCFFFF"/>
          </w:tcPr>
          <w:p>
            <w:pPr>
              <w:spacing w:after="0"/>
              <w:rPr>
                <w:sz w:val="17"/>
                <w:szCs w:val="17"/>
                <w:color w:val="auto"/>
              </w:rPr>
            </w:pPr>
          </w:p>
        </w:tc>
      </w:tr>
      <w:tr>
        <w:trPr>
          <w:trHeight w:val="244"/>
        </w:trPr>
        <w:tc>
          <w:tcPr>
            <w:tcW w:w="2380" w:type="dxa"/>
            <w:vAlign w:val="bottom"/>
            <w:shd w:val="clear" w:color="auto" w:fill="CCFFFF"/>
          </w:tcPr>
          <w:p>
            <w:pPr>
              <w:spacing w:after="0"/>
              <w:rPr>
                <w:sz w:val="20"/>
                <w:szCs w:val="20"/>
                <w:color w:val="auto"/>
              </w:rPr>
            </w:pPr>
            <w:r>
              <w:rPr>
                <w:rFonts w:ascii="Arial" w:cs="Arial" w:eastAsia="Arial" w:hAnsi="Arial"/>
                <w:sz w:val="18"/>
                <w:szCs w:val="18"/>
                <w:color w:val="auto"/>
              </w:rPr>
              <w:t>NOK Bonds in USD</w:t>
            </w:r>
          </w:p>
        </w:tc>
        <w:tc>
          <w:tcPr>
            <w:tcW w:w="1520" w:type="dxa"/>
            <w:vAlign w:val="bottom"/>
            <w:gridSpan w:val="3"/>
            <w:shd w:val="clear" w:color="auto" w:fill="CCFF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FF"/>
          </w:tcPr>
          <w:p>
            <w:pPr>
              <w:spacing w:after="0"/>
              <w:rPr>
                <w:sz w:val="21"/>
                <w:szCs w:val="21"/>
                <w:color w:val="auto"/>
              </w:rPr>
            </w:pPr>
          </w:p>
        </w:tc>
        <w:tc>
          <w:tcPr>
            <w:tcW w:w="1340" w:type="dxa"/>
            <w:vAlign w:val="bottom"/>
            <w:gridSpan w:val="3"/>
            <w:shd w:val="clear" w:color="auto" w:fill="CCFFFF"/>
          </w:tcPr>
          <w:p>
            <w:pPr>
              <w:jc w:val="right"/>
              <w:ind w:right="1"/>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CCFFFF"/>
          </w:tcPr>
          <w:p>
            <w:pPr>
              <w:jc w:val="right"/>
              <w:ind w:right="81"/>
              <w:spacing w:after="0"/>
              <w:rPr>
                <w:sz w:val="20"/>
                <w:szCs w:val="20"/>
                <w:color w:val="auto"/>
              </w:rPr>
            </w:pPr>
            <w:r>
              <w:rPr>
                <w:rFonts w:ascii="Arial" w:cs="Arial" w:eastAsia="Arial" w:hAnsi="Arial"/>
                <w:sz w:val="18"/>
                <w:szCs w:val="18"/>
                <w:color w:val="auto"/>
              </w:rPr>
              <w:t>(16,440)</w:t>
            </w:r>
          </w:p>
        </w:tc>
        <w:tc>
          <w:tcPr>
            <w:tcW w:w="1440" w:type="dxa"/>
            <w:vAlign w:val="bottom"/>
            <w:gridSpan w:val="2"/>
            <w:shd w:val="clear" w:color="auto" w:fill="CCFFFF"/>
          </w:tcPr>
          <w:p>
            <w:pPr>
              <w:jc w:val="right"/>
              <w:ind w:right="81"/>
              <w:spacing w:after="0"/>
              <w:rPr>
                <w:sz w:val="20"/>
                <w:szCs w:val="20"/>
                <w:color w:val="auto"/>
              </w:rPr>
            </w:pPr>
            <w:r>
              <w:rPr>
                <w:rFonts w:ascii="Arial" w:cs="Arial" w:eastAsia="Arial" w:hAnsi="Arial"/>
                <w:sz w:val="18"/>
                <w:szCs w:val="18"/>
                <w:color w:val="auto"/>
              </w:rPr>
              <w:t>(6,176)</w:t>
            </w: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FF"/>
          </w:tcPr>
          <w:p>
            <w:pPr>
              <w:jc w:val="right"/>
              <w:spacing w:after="0"/>
              <w:rPr>
                <w:sz w:val="20"/>
                <w:szCs w:val="20"/>
                <w:color w:val="auto"/>
              </w:rPr>
            </w:pPr>
            <w:r>
              <w:rPr>
                <w:rFonts w:ascii="Arial" w:cs="Arial" w:eastAsia="Arial" w:hAnsi="Arial"/>
                <w:sz w:val="18"/>
                <w:szCs w:val="18"/>
                <w:color w:val="auto"/>
              </w:rPr>
              <w:t>(22,616)</w:t>
            </w:r>
          </w:p>
        </w:tc>
      </w:tr>
      <w:tr>
        <w:trPr>
          <w:trHeight w:val="223"/>
        </w:trPr>
        <w:tc>
          <w:tcPr>
            <w:tcW w:w="2380" w:type="dxa"/>
            <w:vAlign w:val="bottom"/>
          </w:tcPr>
          <w:p>
            <w:pPr>
              <w:spacing w:after="0"/>
              <w:rPr>
                <w:sz w:val="20"/>
                <w:szCs w:val="20"/>
                <w:color w:val="auto"/>
              </w:rPr>
            </w:pPr>
            <w:r>
              <w:rPr>
                <w:rFonts w:ascii="Arial" w:cs="Arial" w:eastAsia="Arial" w:hAnsi="Arial"/>
                <w:sz w:val="18"/>
                <w:szCs w:val="18"/>
                <w:b w:val="1"/>
                <w:bCs w:val="1"/>
                <w:color w:val="auto"/>
              </w:rPr>
              <w:t>March 31, 2020</w:t>
            </w: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3,147,395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123,284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(16,440</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(10,514</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(706</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3,243,019</w:t>
            </w:r>
          </w:p>
        </w:tc>
        <w:tc>
          <w:tcPr>
            <w:tcW w:w="100" w:type="dxa"/>
            <w:vAlign w:val="bottom"/>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2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5"/>
              </w:rPr>
              <w:t>Other</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Deferred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6"/>
              </w:rPr>
              <w:t>comprehensive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6"/>
              </w:rPr>
              <w:t>financing costs,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w w:val="96"/>
              </w:rPr>
              <w:t>Opening balance</w:t>
            </w:r>
          </w:p>
        </w:tc>
        <w:tc>
          <w:tcPr>
            <w:tcW w:w="200" w:type="dxa"/>
            <w:vAlign w:val="bottom"/>
          </w:tcPr>
          <w:p>
            <w:pPr>
              <w:spacing w:after="0"/>
              <w:rPr>
                <w:sz w:val="20"/>
                <w:szCs w:val="20"/>
                <w:color w:val="auto"/>
              </w:rPr>
            </w:pPr>
          </w:p>
        </w:tc>
        <w:tc>
          <w:tcPr>
            <w:tcW w:w="1340" w:type="dxa"/>
            <w:vAlign w:val="bottom"/>
            <w:gridSpan w:val="3"/>
          </w:tcPr>
          <w:p>
            <w:pPr>
              <w:jc w:val="right"/>
              <w:ind w:right="221"/>
              <w:spacing w:after="0"/>
              <w:rPr>
                <w:sz w:val="20"/>
                <w:szCs w:val="20"/>
                <w:color w:val="auto"/>
              </w:rPr>
            </w:pPr>
            <w:r>
              <w:rPr>
                <w:rFonts w:ascii="Arial" w:cs="Arial" w:eastAsia="Arial" w:hAnsi="Arial"/>
                <w:sz w:val="18"/>
                <w:szCs w:val="18"/>
                <w:b w:val="1"/>
                <w:bCs w:val="1"/>
                <w:color w:val="auto"/>
              </w:rPr>
              <w:t>Cash flows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income</w:t>
            </w: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8"/>
              </w:rPr>
              <w:t>Non-cash items</w:t>
            </w:r>
          </w:p>
        </w:tc>
        <w:tc>
          <w:tcPr>
            <w:tcW w:w="14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78"/>
              </w:rPr>
              <w:t>assets</w:t>
            </w:r>
          </w:p>
        </w:tc>
        <w:tc>
          <w:tcPr>
            <w:tcW w:w="134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89"/>
              </w:rPr>
              <w:t>Borrowings</w:t>
            </w:r>
          </w:p>
        </w:tc>
      </w:tr>
      <w:tr>
        <w:trPr>
          <w:trHeight w:val="210"/>
        </w:trPr>
        <w:tc>
          <w:tcPr>
            <w:tcW w:w="238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January 1, 2021</w:t>
            </w:r>
          </w:p>
        </w:tc>
        <w:tc>
          <w:tcPr>
            <w:tcW w:w="1480" w:type="dxa"/>
            <w:vAlign w:val="bottom"/>
            <w:tcBorders>
              <w:top w:val="single" w:sz="8" w:color="auto"/>
            </w:tcBorders>
            <w:gridSpan w:val="2"/>
            <w:shd w:val="clear" w:color="auto" w:fill="CCFFFF"/>
          </w:tcPr>
          <w:p>
            <w:pPr>
              <w:jc w:val="right"/>
              <w:spacing w:after="0"/>
              <w:rPr>
                <w:sz w:val="20"/>
                <w:szCs w:val="20"/>
                <w:color w:val="auto"/>
              </w:rPr>
            </w:pPr>
            <w:r>
              <w:rPr>
                <w:rFonts w:ascii="Arial" w:cs="Arial" w:eastAsia="Arial" w:hAnsi="Arial"/>
                <w:sz w:val="18"/>
                <w:szCs w:val="18"/>
                <w:color w:val="auto"/>
              </w:rPr>
              <w:t>3,773,221</w:t>
            </w:r>
          </w:p>
        </w:tc>
        <w:tc>
          <w:tcPr>
            <w:tcW w:w="40" w:type="dxa"/>
            <w:vAlign w:val="bottom"/>
            <w:tcBorders>
              <w:top w:val="single" w:sz="8" w:color="CCFFFF"/>
            </w:tcBorders>
            <w:shd w:val="clear" w:color="auto" w:fill="CCFFFF"/>
          </w:tcPr>
          <w:p>
            <w:pPr>
              <w:spacing w:after="0"/>
              <w:rPr>
                <w:sz w:val="18"/>
                <w:szCs w:val="18"/>
                <w:color w:val="auto"/>
              </w:rPr>
            </w:pPr>
          </w:p>
        </w:tc>
        <w:tc>
          <w:tcPr>
            <w:tcW w:w="200" w:type="dxa"/>
            <w:vAlign w:val="bottom"/>
            <w:tcBorders>
              <w:top w:val="single" w:sz="8" w:color="CCFFFF"/>
            </w:tcBorders>
            <w:shd w:val="clear" w:color="auto" w:fill="CCFFFF"/>
          </w:tcPr>
          <w:p>
            <w:pPr>
              <w:spacing w:after="0"/>
              <w:rPr>
                <w:sz w:val="18"/>
                <w:szCs w:val="18"/>
                <w:color w:val="auto"/>
              </w:rPr>
            </w:pPr>
          </w:p>
        </w:tc>
        <w:tc>
          <w:tcPr>
            <w:tcW w:w="1260" w:type="dxa"/>
            <w:vAlign w:val="bottom"/>
            <w:tcBorders>
              <w:top w:val="single" w:sz="8" w:color="auto"/>
            </w:tcBorders>
            <w:gridSpan w:val="2"/>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FF"/>
            </w:tcBorders>
            <w:shd w:val="clear" w:color="auto" w:fill="CCFFFF"/>
          </w:tcPr>
          <w:p>
            <w:pPr>
              <w:spacing w:after="0"/>
              <w:rPr>
                <w:sz w:val="18"/>
                <w:szCs w:val="18"/>
                <w:color w:val="auto"/>
              </w:rPr>
            </w:pPr>
          </w:p>
        </w:tc>
        <w:tc>
          <w:tcPr>
            <w:tcW w:w="120" w:type="dxa"/>
            <w:vAlign w:val="bottom"/>
            <w:tcBorders>
              <w:top w:val="single" w:sz="8" w:color="CCFFFF"/>
            </w:tcBorders>
            <w:shd w:val="clear" w:color="auto" w:fill="CCFFFF"/>
          </w:tcPr>
          <w:p>
            <w:pPr>
              <w:spacing w:after="0"/>
              <w:rPr>
                <w:sz w:val="18"/>
                <w:szCs w:val="18"/>
                <w:color w:val="auto"/>
              </w:rPr>
            </w:pPr>
          </w:p>
        </w:tc>
        <w:tc>
          <w:tcPr>
            <w:tcW w:w="20" w:type="dxa"/>
            <w:vAlign w:val="bottom"/>
            <w:tcBorders>
              <w:top w:val="single" w:sz="8" w:color="CCFFFF"/>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FF"/>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FF"/>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FF"/>
            </w:tcBorders>
            <w:shd w:val="clear" w:color="auto" w:fill="CCFFFF"/>
          </w:tcPr>
          <w:p>
            <w:pPr>
              <w:spacing w:after="0"/>
              <w:rPr>
                <w:sz w:val="18"/>
                <w:szCs w:val="18"/>
                <w:color w:val="auto"/>
              </w:rPr>
            </w:pPr>
          </w:p>
        </w:tc>
        <w:tc>
          <w:tcPr>
            <w:tcW w:w="124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3,773,221</w:t>
            </w:r>
          </w:p>
        </w:tc>
        <w:tc>
          <w:tcPr>
            <w:tcW w:w="100" w:type="dxa"/>
            <w:vAlign w:val="bottom"/>
            <w:tcBorders>
              <w:top w:val="single" w:sz="8" w:color="CCFFFF"/>
            </w:tcBorders>
            <w:shd w:val="clear" w:color="auto" w:fill="CCFFFF"/>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2"/>
              </w:rPr>
              <w:t>Proceeds from loans and bonds</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1"/>
              <w:spacing w:after="0"/>
              <w:rPr>
                <w:sz w:val="20"/>
                <w:szCs w:val="20"/>
                <w:color w:val="auto"/>
              </w:rPr>
            </w:pPr>
            <w:r>
              <w:rPr>
                <w:rFonts w:ascii="Arial" w:cs="Arial" w:eastAsia="Arial" w:hAnsi="Arial"/>
                <w:sz w:val="18"/>
                <w:szCs w:val="18"/>
                <w:color w:val="auto"/>
              </w:rPr>
              <w:t>165,958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165,958</w:t>
            </w:r>
          </w:p>
        </w:tc>
      </w:tr>
      <w:tr>
        <w:trPr>
          <w:trHeight w:val="216"/>
        </w:trPr>
        <w:tc>
          <w:tcPr>
            <w:tcW w:w="2380" w:type="dxa"/>
            <w:vAlign w:val="bottom"/>
            <w:shd w:val="clear" w:color="auto" w:fill="CCFFFF"/>
          </w:tcPr>
          <w:p>
            <w:pPr>
              <w:spacing w:after="0"/>
              <w:rPr>
                <w:sz w:val="20"/>
                <w:szCs w:val="20"/>
                <w:color w:val="auto"/>
              </w:rPr>
            </w:pPr>
            <w:r>
              <w:rPr>
                <w:rFonts w:ascii="Arial" w:cs="Arial" w:eastAsia="Arial" w:hAnsi="Arial"/>
                <w:sz w:val="18"/>
                <w:szCs w:val="18"/>
                <w:color w:val="auto"/>
              </w:rPr>
              <w:t>Loan and bond repayments</w:t>
            </w:r>
          </w:p>
        </w:tc>
        <w:tc>
          <w:tcPr>
            <w:tcW w:w="1520" w:type="dxa"/>
            <w:vAlign w:val="bottom"/>
            <w:gridSpan w:val="3"/>
            <w:shd w:val="clear" w:color="auto" w:fill="CCFF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FFFF"/>
          </w:tcPr>
          <w:p>
            <w:pPr>
              <w:jc w:val="right"/>
              <w:spacing w:after="0"/>
              <w:rPr>
                <w:sz w:val="20"/>
                <w:szCs w:val="20"/>
                <w:color w:val="auto"/>
              </w:rPr>
            </w:pPr>
            <w:r>
              <w:rPr>
                <w:rFonts w:ascii="Arial" w:cs="Arial" w:eastAsia="Arial" w:hAnsi="Arial"/>
                <w:sz w:val="18"/>
                <w:szCs w:val="18"/>
                <w:color w:val="auto"/>
              </w:rPr>
              <w:t>(217,873)</w:t>
            </w:r>
          </w:p>
        </w:tc>
        <w:tc>
          <w:tcPr>
            <w:tcW w:w="1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FF"/>
          </w:tcPr>
          <w:p>
            <w:pPr>
              <w:jc w:val="right"/>
              <w:spacing w:after="0"/>
              <w:rPr>
                <w:sz w:val="20"/>
                <w:szCs w:val="20"/>
                <w:color w:val="auto"/>
              </w:rPr>
            </w:pPr>
            <w:r>
              <w:rPr>
                <w:rFonts w:ascii="Arial" w:cs="Arial" w:eastAsia="Arial" w:hAnsi="Arial"/>
                <w:sz w:val="18"/>
                <w:szCs w:val="18"/>
                <w:color w:val="auto"/>
              </w:rPr>
              <w:t>(217,873)</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w w:val="97"/>
              </w:rPr>
              <w:t>Additions in deferred loan fees</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(594)</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765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(1,913)</w:t>
            </w:r>
          </w:p>
        </w:tc>
      </w:tr>
      <w:tr>
        <w:trPr>
          <w:trHeight w:val="202"/>
        </w:trPr>
        <w:tc>
          <w:tcPr>
            <w:tcW w:w="2380" w:type="dxa"/>
            <w:vAlign w:val="bottom"/>
            <w:shd w:val="clear" w:color="auto" w:fill="CCFFFF"/>
          </w:tcPr>
          <w:p>
            <w:pPr>
              <w:spacing w:after="0" w:line="201" w:lineRule="exact"/>
              <w:rPr>
                <w:sz w:val="20"/>
                <w:szCs w:val="20"/>
                <w:color w:val="auto"/>
              </w:rPr>
            </w:pPr>
            <w:r>
              <w:rPr>
                <w:rFonts w:ascii="Arial" w:cs="Arial" w:eastAsia="Arial" w:hAnsi="Arial"/>
                <w:sz w:val="18"/>
                <w:szCs w:val="18"/>
                <w:color w:val="auto"/>
              </w:rPr>
              <w:t>Amortization and write-off of</w:t>
            </w:r>
          </w:p>
        </w:tc>
        <w:tc>
          <w:tcPr>
            <w:tcW w:w="146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40" w:type="dxa"/>
            <w:vAlign w:val="bottom"/>
            <w:shd w:val="clear" w:color="auto" w:fill="CCFFFF"/>
          </w:tcPr>
          <w:p>
            <w:pPr>
              <w:spacing w:after="0"/>
              <w:rPr>
                <w:sz w:val="17"/>
                <w:szCs w:val="17"/>
                <w:color w:val="auto"/>
              </w:rPr>
            </w:pPr>
          </w:p>
        </w:tc>
        <w:tc>
          <w:tcPr>
            <w:tcW w:w="20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40" w:type="dxa"/>
            <w:vAlign w:val="bottom"/>
            <w:shd w:val="clear" w:color="auto" w:fill="CCFFFF"/>
          </w:tcPr>
          <w:p>
            <w:pPr>
              <w:spacing w:after="0"/>
              <w:rPr>
                <w:sz w:val="17"/>
                <w:szCs w:val="17"/>
                <w:color w:val="auto"/>
              </w:rPr>
            </w:pPr>
          </w:p>
        </w:tc>
        <w:tc>
          <w:tcPr>
            <w:tcW w:w="80" w:type="dxa"/>
            <w:vAlign w:val="bottom"/>
            <w:shd w:val="clear" w:color="auto" w:fill="CCFFFF"/>
          </w:tcPr>
          <w:p>
            <w:pPr>
              <w:spacing w:after="0"/>
              <w:rPr>
                <w:sz w:val="17"/>
                <w:szCs w:val="17"/>
                <w:color w:val="auto"/>
              </w:rPr>
            </w:pPr>
          </w:p>
        </w:tc>
        <w:tc>
          <w:tcPr>
            <w:tcW w:w="12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240" w:type="dxa"/>
            <w:vAlign w:val="bottom"/>
            <w:shd w:val="clear" w:color="auto" w:fill="CCFFFF"/>
          </w:tcPr>
          <w:p>
            <w:pPr>
              <w:spacing w:after="0"/>
              <w:rPr>
                <w:sz w:val="17"/>
                <w:szCs w:val="17"/>
                <w:color w:val="auto"/>
              </w:rPr>
            </w:pPr>
          </w:p>
        </w:tc>
        <w:tc>
          <w:tcPr>
            <w:tcW w:w="100" w:type="dxa"/>
            <w:vAlign w:val="bottom"/>
            <w:shd w:val="clear" w:color="auto" w:fill="CCFFFF"/>
          </w:tcPr>
          <w:p>
            <w:pPr>
              <w:spacing w:after="0"/>
              <w:rPr>
                <w:sz w:val="17"/>
                <w:szCs w:val="17"/>
                <w:color w:val="auto"/>
              </w:rPr>
            </w:pPr>
          </w:p>
        </w:tc>
      </w:tr>
      <w:tr>
        <w:trPr>
          <w:trHeight w:val="216"/>
        </w:trPr>
        <w:tc>
          <w:tcPr>
            <w:tcW w:w="2380" w:type="dxa"/>
            <w:vAlign w:val="bottom"/>
            <w:shd w:val="clear" w:color="auto" w:fill="CCFFFF"/>
          </w:tcPr>
          <w:p>
            <w:pPr>
              <w:ind w:left="160"/>
              <w:spacing w:after="0"/>
              <w:rPr>
                <w:sz w:val="20"/>
                <w:szCs w:val="20"/>
                <w:color w:val="auto"/>
              </w:rPr>
            </w:pPr>
            <w:r>
              <w:rPr>
                <w:rFonts w:ascii="Arial" w:cs="Arial" w:eastAsia="Arial" w:hAnsi="Arial"/>
                <w:sz w:val="18"/>
                <w:szCs w:val="18"/>
                <w:color w:val="auto"/>
                <w:w w:val="96"/>
              </w:rPr>
              <w:t>deferred loan/bond issuance</w:t>
            </w:r>
          </w:p>
        </w:tc>
        <w:tc>
          <w:tcPr>
            <w:tcW w:w="146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20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r>
      <w:tr>
        <w:trPr>
          <w:trHeight w:val="230"/>
        </w:trPr>
        <w:tc>
          <w:tcPr>
            <w:tcW w:w="2380" w:type="dxa"/>
            <w:vAlign w:val="bottom"/>
            <w:shd w:val="clear" w:color="auto" w:fill="CCFFFF"/>
          </w:tcPr>
          <w:p>
            <w:pPr>
              <w:ind w:left="160"/>
              <w:spacing w:after="0"/>
              <w:rPr>
                <w:sz w:val="20"/>
                <w:szCs w:val="20"/>
                <w:color w:val="auto"/>
              </w:rPr>
            </w:pPr>
            <w:r>
              <w:rPr>
                <w:rFonts w:ascii="Arial" w:cs="Arial" w:eastAsia="Arial" w:hAnsi="Arial"/>
                <w:sz w:val="18"/>
                <w:szCs w:val="18"/>
                <w:color w:val="auto"/>
              </w:rPr>
              <w:t>costs/premium (Note 16)</w:t>
            </w:r>
          </w:p>
        </w:tc>
        <w:tc>
          <w:tcPr>
            <w:tcW w:w="1520" w:type="dxa"/>
            <w:vAlign w:val="bottom"/>
            <w:gridSpan w:val="3"/>
            <w:shd w:val="clear" w:color="auto" w:fill="CCFF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FF"/>
          </w:tcPr>
          <w:p>
            <w:pPr>
              <w:spacing w:after="0"/>
              <w:rPr>
                <w:sz w:val="20"/>
                <w:szCs w:val="20"/>
                <w:color w:val="auto"/>
              </w:rPr>
            </w:pPr>
          </w:p>
        </w:tc>
        <w:tc>
          <w:tcPr>
            <w:tcW w:w="1340" w:type="dxa"/>
            <w:vAlign w:val="bottom"/>
            <w:gridSpan w:val="3"/>
            <w:shd w:val="clear" w:color="auto" w:fill="CCFFFF"/>
          </w:tcPr>
          <w:p>
            <w:pPr>
              <w:jc w:val="right"/>
              <w:ind w:right="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FF"/>
          </w:tcPr>
          <w:p>
            <w:pPr>
              <w:spacing w:after="0"/>
              <w:rPr>
                <w:sz w:val="20"/>
                <w:szCs w:val="20"/>
                <w:color w:val="auto"/>
              </w:rPr>
            </w:pPr>
          </w:p>
        </w:tc>
        <w:tc>
          <w:tcPr>
            <w:tcW w:w="20" w:type="dxa"/>
            <w:vAlign w:val="bottom"/>
            <w:shd w:val="clear" w:color="auto" w:fill="CCFFFF"/>
          </w:tcPr>
          <w:p>
            <w:pPr>
              <w:spacing w:after="0"/>
              <w:rPr>
                <w:sz w:val="20"/>
                <w:szCs w:val="20"/>
                <w:color w:val="auto"/>
              </w:rPr>
            </w:pP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7,114</w:t>
            </w: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FF"/>
          </w:tcPr>
          <w:p>
            <w:pPr>
              <w:jc w:val="right"/>
              <w:ind w:right="21"/>
              <w:spacing w:after="0"/>
              <w:rPr>
                <w:sz w:val="20"/>
                <w:szCs w:val="20"/>
                <w:color w:val="auto"/>
              </w:rPr>
            </w:pPr>
            <w:r>
              <w:rPr>
                <w:rFonts w:ascii="Arial" w:cs="Arial" w:eastAsia="Arial" w:hAnsi="Arial"/>
                <w:sz w:val="18"/>
                <w:szCs w:val="18"/>
                <w:color w:val="auto"/>
              </w:rPr>
              <w:t>7,114</w:t>
            </w: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Retranslation of the 2024</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2380" w:type="dxa"/>
            <w:vAlign w:val="bottom"/>
          </w:tcPr>
          <w:p>
            <w:pPr>
              <w:ind w:left="160"/>
              <w:spacing w:after="0"/>
              <w:rPr>
                <w:sz w:val="20"/>
                <w:szCs w:val="20"/>
                <w:color w:val="auto"/>
              </w:rPr>
            </w:pPr>
            <w:r>
              <w:rPr>
                <w:rFonts w:ascii="Arial" w:cs="Arial" w:eastAsia="Arial" w:hAnsi="Arial"/>
                <w:sz w:val="18"/>
                <w:szCs w:val="18"/>
                <w:color w:val="auto"/>
              </w:rPr>
              <w:t>NOK Bonds in USD</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40" w:type="dxa"/>
            <w:vAlign w:val="bottom"/>
            <w:gridSpan w:val="3"/>
          </w:tcPr>
          <w:p>
            <w:pPr>
              <w:jc w:val="right"/>
              <w:ind w:right="1"/>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81"/>
              <w:spacing w:after="0"/>
              <w:rPr>
                <w:sz w:val="20"/>
                <w:szCs w:val="20"/>
                <w:color w:val="auto"/>
              </w:rPr>
            </w:pPr>
            <w:r>
              <w:rPr>
                <w:rFonts w:ascii="Arial" w:cs="Arial" w:eastAsia="Arial" w:hAnsi="Arial"/>
                <w:sz w:val="18"/>
                <w:szCs w:val="18"/>
                <w:color w:val="auto"/>
              </w:rPr>
              <w:t>(130)</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(1)</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2380" w:type="dxa"/>
            <w:vAlign w:val="bottom"/>
            <w:tcBorders>
              <w:top w:val="single" w:sz="8" w:color="CCFFFF"/>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March 31, 2021</w:t>
            </w:r>
          </w:p>
        </w:tc>
        <w:tc>
          <w:tcPr>
            <w:tcW w:w="1480" w:type="dxa"/>
            <w:vAlign w:val="bottom"/>
            <w:tcBorders>
              <w:top w:val="single" w:sz="8" w:color="auto"/>
              <w:bottom w:val="single" w:sz="8" w:color="auto"/>
            </w:tcBorders>
            <w:gridSpan w:val="2"/>
            <w:shd w:val="clear" w:color="auto" w:fill="CCFFFF"/>
          </w:tcPr>
          <w:p>
            <w:pPr>
              <w:jc w:val="right"/>
              <w:spacing w:after="0"/>
              <w:rPr>
                <w:sz w:val="20"/>
                <w:szCs w:val="20"/>
                <w:color w:val="auto"/>
              </w:rPr>
            </w:pPr>
            <w:r>
              <w:rPr>
                <w:rFonts w:ascii="Arial" w:cs="Arial" w:eastAsia="Arial" w:hAnsi="Arial"/>
                <w:sz w:val="18"/>
                <w:szCs w:val="18"/>
                <w:b w:val="1"/>
                <w:bCs w:val="1"/>
                <w:color w:val="auto"/>
              </w:rPr>
              <w:t>3,773,221</w:t>
            </w:r>
          </w:p>
        </w:tc>
        <w:tc>
          <w:tcPr>
            <w:tcW w:w="40" w:type="dxa"/>
            <w:vAlign w:val="bottom"/>
            <w:tcBorders>
              <w:top w:val="single" w:sz="8" w:color="CCFFFF"/>
              <w:bottom w:val="single" w:sz="8" w:color="CCFFFF"/>
            </w:tcBorders>
            <w:shd w:val="clear" w:color="auto" w:fill="CCFFFF"/>
          </w:tcPr>
          <w:p>
            <w:pPr>
              <w:spacing w:after="0"/>
              <w:rPr>
                <w:sz w:val="19"/>
                <w:szCs w:val="19"/>
                <w:color w:val="auto"/>
              </w:rPr>
            </w:pPr>
          </w:p>
        </w:tc>
        <w:tc>
          <w:tcPr>
            <w:tcW w:w="200" w:type="dxa"/>
            <w:vAlign w:val="bottom"/>
            <w:tcBorders>
              <w:top w:val="single" w:sz="8" w:color="CCFFFF"/>
              <w:bottom w:val="single" w:sz="8" w:color="CCFFFF"/>
            </w:tcBorders>
            <w:shd w:val="clear" w:color="auto" w:fill="CCFF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FFFF"/>
          </w:tcPr>
          <w:p>
            <w:pPr>
              <w:jc w:val="right"/>
              <w:spacing w:after="0"/>
              <w:rPr>
                <w:sz w:val="20"/>
                <w:szCs w:val="20"/>
                <w:color w:val="auto"/>
              </w:rPr>
            </w:pPr>
            <w:r>
              <w:rPr>
                <w:rFonts w:ascii="Arial" w:cs="Arial" w:eastAsia="Arial" w:hAnsi="Arial"/>
                <w:sz w:val="18"/>
                <w:szCs w:val="18"/>
                <w:b w:val="1"/>
                <w:bCs w:val="1"/>
                <w:color w:val="auto"/>
              </w:rPr>
              <w:t>(53,999</w:t>
            </w:r>
          </w:p>
        </w:tc>
        <w:tc>
          <w:tcPr>
            <w:tcW w:w="80" w:type="dxa"/>
            <w:vAlign w:val="bottom"/>
            <w:tcBorders>
              <w:top w:val="single" w:sz="8" w:color="CCFFFF"/>
              <w:bottom w:val="single" w:sz="8" w:color="CCFFFF"/>
            </w:tcBorders>
            <w:shd w:val="clear" w:color="auto" w:fill="CCFFFF"/>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FFFF"/>
              <w:bottom w:val="single" w:sz="8" w:color="CCFFFF"/>
            </w:tcBorders>
            <w:shd w:val="clear" w:color="auto" w:fill="CCFFFF"/>
          </w:tcPr>
          <w:p>
            <w:pPr>
              <w:spacing w:after="0"/>
              <w:rPr>
                <w:sz w:val="19"/>
                <w:szCs w:val="19"/>
                <w:color w:val="auto"/>
              </w:rPr>
            </w:pPr>
          </w:p>
        </w:tc>
        <w:tc>
          <w:tcPr>
            <w:tcW w:w="20" w:type="dxa"/>
            <w:vAlign w:val="bottom"/>
            <w:tcBorders>
              <w:top w:val="single" w:sz="8" w:color="CCFFFF"/>
              <w:bottom w:val="single" w:sz="8" w:color="CCFFFF"/>
            </w:tcBorders>
            <w:shd w:val="clear" w:color="auto" w:fill="CCFFFF"/>
          </w:tcPr>
          <w:p>
            <w:pPr>
              <w:spacing w:after="0"/>
              <w:rPr>
                <w:sz w:val="19"/>
                <w:szCs w:val="19"/>
                <w:color w:val="auto"/>
              </w:rPr>
            </w:pPr>
          </w:p>
        </w:tc>
        <w:tc>
          <w:tcPr>
            <w:tcW w:w="12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(130</w:t>
            </w:r>
          </w:p>
        </w:tc>
        <w:tc>
          <w:tcPr>
            <w:tcW w:w="220" w:type="dxa"/>
            <w:vAlign w:val="bottom"/>
            <w:tcBorders>
              <w:top w:val="single" w:sz="8" w:color="CCFFFF"/>
              <w:bottom w:val="single" w:sz="8" w:color="CCFFFF"/>
            </w:tcBorders>
            <w:shd w:val="clear" w:color="auto" w:fill="CCFF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6,519</w:t>
            </w:r>
          </w:p>
        </w:tc>
        <w:tc>
          <w:tcPr>
            <w:tcW w:w="220" w:type="dxa"/>
            <w:vAlign w:val="bottom"/>
            <w:tcBorders>
              <w:top w:val="single" w:sz="8" w:color="CCFFFF"/>
              <w:bottom w:val="single" w:sz="8" w:color="CCFFFF"/>
            </w:tcBorders>
            <w:shd w:val="clear" w:color="auto" w:fill="CCFFFF"/>
          </w:tcPr>
          <w:p>
            <w:pPr>
              <w:spacing w:after="0"/>
              <w:rPr>
                <w:sz w:val="19"/>
                <w:szCs w:val="19"/>
                <w:color w:val="auto"/>
              </w:rPr>
            </w:pPr>
          </w:p>
        </w:tc>
        <w:tc>
          <w:tcPr>
            <w:tcW w:w="12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765</w:t>
            </w:r>
          </w:p>
        </w:tc>
        <w:tc>
          <w:tcPr>
            <w:tcW w:w="220" w:type="dxa"/>
            <w:vAlign w:val="bottom"/>
            <w:tcBorders>
              <w:top w:val="single" w:sz="8" w:color="CCFFFF"/>
              <w:bottom w:val="single" w:sz="8" w:color="CCFFFF"/>
            </w:tcBorders>
            <w:shd w:val="clear" w:color="auto" w:fill="CCFFFF"/>
          </w:tcPr>
          <w:p>
            <w:pPr>
              <w:spacing w:after="0"/>
              <w:rPr>
                <w:sz w:val="19"/>
                <w:szCs w:val="19"/>
                <w:color w:val="auto"/>
              </w:rPr>
            </w:pP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3,726,376</w:t>
            </w:r>
          </w:p>
        </w:tc>
        <w:tc>
          <w:tcPr>
            <w:tcW w:w="100" w:type="dxa"/>
            <w:vAlign w:val="bottom"/>
            <w:tcBorders>
              <w:top w:val="single" w:sz="8" w:color="CCFFFF"/>
              <w:bottom w:val="single" w:sz="8" w:color="CCFFFF"/>
            </w:tcBorders>
            <w:shd w:val="clear" w:color="auto" w:fill="CCFFFF"/>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020" w:type="dxa"/>
            <w:vAlign w:val="bottom"/>
            <w:gridSpan w:val="12"/>
          </w:tcPr>
          <w:p>
            <w:pPr>
              <w:spacing w:after="0"/>
              <w:rPr>
                <w:sz w:val="20"/>
                <w:szCs w:val="20"/>
                <w:color w:val="auto"/>
              </w:rPr>
            </w:pPr>
            <w:r>
              <w:rPr>
                <w:rFonts w:ascii="Arial" w:cs="Arial" w:eastAsia="Arial" w:hAnsi="Arial"/>
                <w:sz w:val="18"/>
                <w:szCs w:val="18"/>
                <w:color w:val="auto"/>
              </w:rPr>
              <w:t>A reconciliation of derivatives arising from financing activities is as follows:</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5"/>
              </w:rPr>
              <w:t>Other</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6"/>
              </w:rPr>
              <w:t>comprehensive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Net derivative</w:t>
            </w:r>
          </w:p>
        </w:tc>
      </w:tr>
      <w:tr>
        <w:trPr>
          <w:trHeight w:val="234"/>
        </w:trPr>
        <w:tc>
          <w:tcPr>
            <w:tcW w:w="2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gridSpan w:val="4"/>
          </w:tcPr>
          <w:p>
            <w:pPr>
              <w:jc w:val="right"/>
              <w:ind w:right="141"/>
              <w:spacing w:after="0"/>
              <w:rPr>
                <w:sz w:val="20"/>
                <w:szCs w:val="20"/>
                <w:color w:val="auto"/>
              </w:rPr>
            </w:pPr>
            <w:r>
              <w:rPr>
                <w:rFonts w:ascii="Arial" w:cs="Arial" w:eastAsia="Arial" w:hAnsi="Arial"/>
                <w:sz w:val="18"/>
                <w:szCs w:val="18"/>
                <w:b w:val="1"/>
                <w:bCs w:val="1"/>
                <w:color w:val="auto"/>
                <w:w w:val="89"/>
              </w:rPr>
              <w:t>Opening balance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Cash flows</w:t>
            </w:r>
          </w:p>
        </w:tc>
        <w:tc>
          <w:tcPr>
            <w:tcW w:w="144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77"/>
              </w:rPr>
              <w:t>loss</w:t>
            </w:r>
          </w:p>
        </w:tc>
        <w:tc>
          <w:tcPr>
            <w:tcW w:w="14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8"/>
              </w:rPr>
              <w:t>Non-cash items</w:t>
            </w:r>
          </w:p>
        </w:tc>
        <w:tc>
          <w:tcPr>
            <w:tcW w:w="134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90"/>
              </w:rPr>
              <w:t>liabilities</w:t>
            </w:r>
          </w:p>
        </w:tc>
      </w:tr>
      <w:tr>
        <w:trPr>
          <w:trHeight w:val="209"/>
        </w:trPr>
        <w:tc>
          <w:tcPr>
            <w:tcW w:w="238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January 1, 2020</w:t>
            </w:r>
          </w:p>
        </w:tc>
        <w:tc>
          <w:tcPr>
            <w:tcW w:w="1460" w:type="dxa"/>
            <w:vAlign w:val="bottom"/>
            <w:tcBorders>
              <w:top w:val="single" w:sz="8" w:color="CCFFFF"/>
            </w:tcBorders>
            <w:shd w:val="clear" w:color="auto" w:fill="CCFFFF"/>
          </w:tcPr>
          <w:p>
            <w:pPr>
              <w:spacing w:after="0"/>
              <w:rPr>
                <w:sz w:val="18"/>
                <w:szCs w:val="18"/>
                <w:color w:val="auto"/>
              </w:rPr>
            </w:pPr>
          </w:p>
        </w:tc>
        <w:tc>
          <w:tcPr>
            <w:tcW w:w="20" w:type="dxa"/>
            <w:vAlign w:val="bottom"/>
            <w:tcBorders>
              <w:top w:val="single" w:sz="8" w:color="auto"/>
            </w:tcBorders>
            <w:shd w:val="clear" w:color="auto" w:fill="CCFFFF"/>
          </w:tcPr>
          <w:p>
            <w:pPr>
              <w:spacing w:after="0"/>
              <w:rPr>
                <w:sz w:val="18"/>
                <w:szCs w:val="18"/>
                <w:color w:val="auto"/>
              </w:rPr>
            </w:pPr>
          </w:p>
        </w:tc>
        <w:tc>
          <w:tcPr>
            <w:tcW w:w="40" w:type="dxa"/>
            <w:vAlign w:val="bottom"/>
            <w:tcBorders>
              <w:top w:val="single" w:sz="8" w:color="auto"/>
            </w:tcBorders>
            <w:shd w:val="clear" w:color="auto" w:fill="CCFFFF"/>
          </w:tcPr>
          <w:p>
            <w:pPr>
              <w:spacing w:after="0"/>
              <w:rPr>
                <w:sz w:val="18"/>
                <w:szCs w:val="18"/>
                <w:color w:val="auto"/>
              </w:rPr>
            </w:pPr>
          </w:p>
        </w:tc>
        <w:tc>
          <w:tcPr>
            <w:tcW w:w="1420" w:type="dxa"/>
            <w:vAlign w:val="bottom"/>
            <w:tcBorders>
              <w:top w:val="single" w:sz="8" w:color="auto"/>
            </w:tcBorders>
            <w:gridSpan w:val="2"/>
            <w:shd w:val="clear" w:color="auto" w:fill="CCFFFF"/>
          </w:tcPr>
          <w:p>
            <w:pPr>
              <w:jc w:val="right"/>
              <w:spacing w:after="0"/>
              <w:rPr>
                <w:sz w:val="20"/>
                <w:szCs w:val="20"/>
                <w:color w:val="auto"/>
              </w:rPr>
            </w:pPr>
            <w:r>
              <w:rPr>
                <w:rFonts w:ascii="Arial" w:cs="Arial" w:eastAsia="Arial" w:hAnsi="Arial"/>
                <w:sz w:val="18"/>
                <w:szCs w:val="18"/>
                <w:color w:val="auto"/>
              </w:rPr>
              <w:t>(45,931)</w:t>
            </w:r>
          </w:p>
        </w:tc>
        <w:tc>
          <w:tcPr>
            <w:tcW w:w="120" w:type="dxa"/>
            <w:vAlign w:val="bottom"/>
            <w:tcBorders>
              <w:top w:val="single" w:sz="8" w:color="CCFFFF"/>
            </w:tcBorders>
            <w:gridSpan w:val="2"/>
            <w:shd w:val="clear" w:color="auto" w:fill="CCFFFF"/>
          </w:tcPr>
          <w:p>
            <w:pPr>
              <w:spacing w:after="0"/>
              <w:rPr>
                <w:sz w:val="18"/>
                <w:szCs w:val="18"/>
                <w:color w:val="auto"/>
              </w:rPr>
            </w:pPr>
          </w:p>
        </w:tc>
        <w:tc>
          <w:tcPr>
            <w:tcW w:w="120" w:type="dxa"/>
            <w:vAlign w:val="bottom"/>
            <w:tcBorders>
              <w:top w:val="single" w:sz="8" w:color="CCFFFF"/>
            </w:tcBorders>
            <w:shd w:val="clear" w:color="auto" w:fill="CCFFFF"/>
          </w:tcPr>
          <w:p>
            <w:pPr>
              <w:spacing w:after="0"/>
              <w:rPr>
                <w:sz w:val="18"/>
                <w:szCs w:val="18"/>
                <w:color w:val="auto"/>
              </w:rPr>
            </w:pPr>
          </w:p>
        </w:tc>
        <w:tc>
          <w:tcPr>
            <w:tcW w:w="20" w:type="dxa"/>
            <w:vAlign w:val="bottom"/>
            <w:tcBorders>
              <w:top w:val="single" w:sz="8" w:color="auto"/>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FF"/>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FF"/>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FF"/>
            </w:tcBorders>
            <w:shd w:val="clear" w:color="auto" w:fill="CCFFFF"/>
          </w:tcPr>
          <w:p>
            <w:pPr>
              <w:spacing w:after="0"/>
              <w:rPr>
                <w:sz w:val="18"/>
                <w:szCs w:val="18"/>
                <w:color w:val="auto"/>
              </w:rPr>
            </w:pPr>
          </w:p>
        </w:tc>
        <w:tc>
          <w:tcPr>
            <w:tcW w:w="124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(45,931)</w:t>
            </w:r>
          </w:p>
        </w:tc>
        <w:tc>
          <w:tcPr>
            <w:tcW w:w="100" w:type="dxa"/>
            <w:vAlign w:val="bottom"/>
            <w:tcBorders>
              <w:top w:val="single" w:sz="8" w:color="CCFFFF"/>
            </w:tcBorders>
            <w:shd w:val="clear" w:color="auto" w:fill="CCFFFF"/>
          </w:tcPr>
          <w:p>
            <w:pPr>
              <w:spacing w:after="0"/>
              <w:rPr>
                <w:sz w:val="18"/>
                <w:szCs w:val="18"/>
                <w:color w:val="auto"/>
              </w:rPr>
            </w:pPr>
          </w:p>
        </w:tc>
      </w:tr>
      <w:tr>
        <w:trPr>
          <w:trHeight w:val="202"/>
        </w:trPr>
        <w:tc>
          <w:tcPr>
            <w:tcW w:w="3900" w:type="dxa"/>
            <w:vAlign w:val="bottom"/>
            <w:gridSpan w:val="4"/>
          </w:tcPr>
          <w:p>
            <w:pPr>
              <w:spacing w:after="0" w:line="201" w:lineRule="exact"/>
              <w:rPr>
                <w:sz w:val="20"/>
                <w:szCs w:val="20"/>
                <w:color w:val="auto"/>
              </w:rPr>
            </w:pPr>
            <w:r>
              <w:rPr>
                <w:rFonts w:ascii="Arial" w:cs="Arial" w:eastAsia="Arial" w:hAnsi="Arial"/>
                <w:sz w:val="18"/>
                <w:szCs w:val="18"/>
                <w:color w:val="auto"/>
                <w:w w:val="97"/>
              </w:rPr>
              <w:t>Unrealized loss on derivative financial instruments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held for trading (Note 16)</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(71,332)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(71,332)</w:t>
            </w:r>
          </w:p>
        </w:tc>
      </w:tr>
      <w:tr>
        <w:trPr>
          <w:trHeight w:val="216"/>
        </w:trPr>
        <w:tc>
          <w:tcPr>
            <w:tcW w:w="3900" w:type="dxa"/>
            <w:vAlign w:val="bottom"/>
            <w:gridSpan w:val="4"/>
            <w:shd w:val="clear" w:color="auto" w:fill="CCFFFF"/>
          </w:tcPr>
          <w:p>
            <w:pPr>
              <w:spacing w:after="0"/>
              <w:rPr>
                <w:sz w:val="20"/>
                <w:szCs w:val="20"/>
                <w:color w:val="auto"/>
              </w:rPr>
            </w:pPr>
            <w:r>
              <w:rPr>
                <w:rFonts w:ascii="Arial" w:cs="Arial" w:eastAsia="Arial" w:hAnsi="Arial"/>
                <w:sz w:val="18"/>
                <w:szCs w:val="18"/>
                <w:color w:val="auto"/>
              </w:rPr>
              <w:t>Ineffective portion of cash flow hedges (Note 16)</w:t>
            </w:r>
          </w:p>
        </w:tc>
        <w:tc>
          <w:tcPr>
            <w:tcW w:w="200" w:type="dxa"/>
            <w:vAlign w:val="bottom"/>
            <w:shd w:val="clear" w:color="auto" w:fill="CCFFFF"/>
          </w:tcPr>
          <w:p>
            <w:pPr>
              <w:spacing w:after="0"/>
              <w:rPr>
                <w:sz w:val="18"/>
                <w:szCs w:val="18"/>
                <w:color w:val="auto"/>
              </w:rPr>
            </w:pPr>
          </w:p>
        </w:tc>
        <w:tc>
          <w:tcPr>
            <w:tcW w:w="1340" w:type="dxa"/>
            <w:vAlign w:val="bottom"/>
            <w:gridSpan w:val="3"/>
            <w:shd w:val="clear" w:color="auto" w:fill="CCFFFF"/>
          </w:tcPr>
          <w:p>
            <w:pPr>
              <w:jc w:val="right"/>
              <w:ind w:right="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1,283</w:t>
            </w:r>
          </w:p>
        </w:tc>
        <w:tc>
          <w:tcPr>
            <w:tcW w:w="1340" w:type="dxa"/>
            <w:vAlign w:val="bottom"/>
            <w:gridSpan w:val="2"/>
            <w:shd w:val="clear" w:color="auto" w:fill="CCFFFF"/>
          </w:tcPr>
          <w:p>
            <w:pPr>
              <w:jc w:val="right"/>
              <w:ind w:right="21"/>
              <w:spacing w:after="0"/>
              <w:rPr>
                <w:sz w:val="20"/>
                <w:szCs w:val="20"/>
                <w:color w:val="auto"/>
              </w:rPr>
            </w:pPr>
            <w:r>
              <w:rPr>
                <w:rFonts w:ascii="Arial" w:cs="Arial" w:eastAsia="Arial" w:hAnsi="Arial"/>
                <w:sz w:val="18"/>
                <w:szCs w:val="18"/>
                <w:color w:val="auto"/>
              </w:rPr>
              <w:t>1,283</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Payment for CCS termination</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580" w:type="dxa"/>
            <w:vAlign w:val="bottom"/>
            <w:gridSpan w:val="4"/>
          </w:tcPr>
          <w:p>
            <w:pPr>
              <w:jc w:val="right"/>
              <w:ind w:right="141"/>
              <w:spacing w:after="0"/>
              <w:rPr>
                <w:sz w:val="20"/>
                <w:szCs w:val="20"/>
                <w:color w:val="auto"/>
              </w:rPr>
            </w:pPr>
            <w:r>
              <w:rPr>
                <w:rFonts w:ascii="Arial" w:cs="Arial" w:eastAsia="Arial" w:hAnsi="Arial"/>
                <w:sz w:val="18"/>
                <w:szCs w:val="18"/>
                <w:color w:val="auto"/>
              </w:rPr>
              <w:t>4,051</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1"/>
              <w:spacing w:after="0"/>
              <w:rPr>
                <w:sz w:val="20"/>
                <w:szCs w:val="20"/>
                <w:color w:val="auto"/>
              </w:rPr>
            </w:pPr>
            <w:r>
              <w:rPr>
                <w:rFonts w:ascii="Arial" w:cs="Arial" w:eastAsia="Arial" w:hAnsi="Arial"/>
                <w:sz w:val="18"/>
                <w:szCs w:val="18"/>
                <w:color w:val="auto"/>
              </w:rPr>
              <w:t>(4,051)</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2"/>
        </w:trPr>
        <w:tc>
          <w:tcPr>
            <w:tcW w:w="3900" w:type="dxa"/>
            <w:vAlign w:val="bottom"/>
            <w:gridSpan w:val="4"/>
            <w:shd w:val="clear" w:color="auto" w:fill="CCFFFF"/>
          </w:tcPr>
          <w:p>
            <w:pPr>
              <w:spacing w:after="0" w:line="201" w:lineRule="exact"/>
              <w:rPr>
                <w:sz w:val="20"/>
                <w:szCs w:val="20"/>
                <w:color w:val="auto"/>
              </w:rPr>
            </w:pPr>
            <w:r>
              <w:rPr>
                <w:rFonts w:ascii="Arial" w:cs="Arial" w:eastAsia="Arial" w:hAnsi="Arial"/>
                <w:sz w:val="18"/>
                <w:szCs w:val="18"/>
                <w:color w:val="auto"/>
              </w:rPr>
              <w:t>Effective portion of changes in the fair value of</w:t>
            </w:r>
          </w:p>
        </w:tc>
        <w:tc>
          <w:tcPr>
            <w:tcW w:w="20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40" w:type="dxa"/>
            <w:vAlign w:val="bottom"/>
            <w:shd w:val="clear" w:color="auto" w:fill="CCFFFF"/>
          </w:tcPr>
          <w:p>
            <w:pPr>
              <w:spacing w:after="0"/>
              <w:rPr>
                <w:sz w:val="17"/>
                <w:szCs w:val="17"/>
                <w:color w:val="auto"/>
              </w:rPr>
            </w:pPr>
          </w:p>
        </w:tc>
        <w:tc>
          <w:tcPr>
            <w:tcW w:w="80" w:type="dxa"/>
            <w:vAlign w:val="bottom"/>
            <w:shd w:val="clear" w:color="auto" w:fill="CCFFFF"/>
          </w:tcPr>
          <w:p>
            <w:pPr>
              <w:spacing w:after="0"/>
              <w:rPr>
                <w:sz w:val="17"/>
                <w:szCs w:val="17"/>
                <w:color w:val="auto"/>
              </w:rPr>
            </w:pPr>
          </w:p>
        </w:tc>
        <w:tc>
          <w:tcPr>
            <w:tcW w:w="120" w:type="dxa"/>
            <w:vAlign w:val="bottom"/>
            <w:shd w:val="clear" w:color="auto" w:fill="CCFFFF"/>
          </w:tcPr>
          <w:p>
            <w:pPr>
              <w:spacing w:after="0"/>
              <w:rPr>
                <w:sz w:val="17"/>
                <w:szCs w:val="17"/>
                <w:color w:val="auto"/>
              </w:rPr>
            </w:pPr>
          </w:p>
        </w:tc>
        <w:tc>
          <w:tcPr>
            <w:tcW w:w="2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220" w:type="dxa"/>
            <w:vAlign w:val="bottom"/>
            <w:shd w:val="clear" w:color="auto" w:fill="CCFFFF"/>
          </w:tcPr>
          <w:p>
            <w:pPr>
              <w:spacing w:after="0"/>
              <w:rPr>
                <w:sz w:val="17"/>
                <w:szCs w:val="17"/>
                <w:color w:val="auto"/>
              </w:rPr>
            </w:pPr>
          </w:p>
        </w:tc>
        <w:tc>
          <w:tcPr>
            <w:tcW w:w="220" w:type="dxa"/>
            <w:vAlign w:val="bottom"/>
            <w:shd w:val="clear" w:color="auto" w:fill="CCFFFF"/>
          </w:tcPr>
          <w:p>
            <w:pPr>
              <w:spacing w:after="0"/>
              <w:rPr>
                <w:sz w:val="17"/>
                <w:szCs w:val="17"/>
                <w:color w:val="auto"/>
              </w:rPr>
            </w:pPr>
          </w:p>
        </w:tc>
        <w:tc>
          <w:tcPr>
            <w:tcW w:w="1240" w:type="dxa"/>
            <w:vAlign w:val="bottom"/>
            <w:shd w:val="clear" w:color="auto" w:fill="CCFFFF"/>
          </w:tcPr>
          <w:p>
            <w:pPr>
              <w:spacing w:after="0"/>
              <w:rPr>
                <w:sz w:val="17"/>
                <w:szCs w:val="17"/>
                <w:color w:val="auto"/>
              </w:rPr>
            </w:pPr>
          </w:p>
        </w:tc>
        <w:tc>
          <w:tcPr>
            <w:tcW w:w="100" w:type="dxa"/>
            <w:vAlign w:val="bottom"/>
            <w:shd w:val="clear" w:color="auto" w:fill="CCFFFF"/>
          </w:tcPr>
          <w:p>
            <w:pPr>
              <w:spacing w:after="0"/>
              <w:rPr>
                <w:sz w:val="17"/>
                <w:szCs w:val="17"/>
                <w:color w:val="auto"/>
              </w:rPr>
            </w:pPr>
          </w:p>
        </w:tc>
      </w:tr>
      <w:tr>
        <w:trPr>
          <w:trHeight w:val="216"/>
        </w:trPr>
        <w:tc>
          <w:tcPr>
            <w:tcW w:w="3900" w:type="dxa"/>
            <w:vAlign w:val="bottom"/>
            <w:gridSpan w:val="4"/>
            <w:shd w:val="clear" w:color="auto" w:fill="CCFFFF"/>
          </w:tcPr>
          <w:p>
            <w:pPr>
              <w:spacing w:after="0"/>
              <w:rPr>
                <w:sz w:val="20"/>
                <w:szCs w:val="20"/>
                <w:color w:val="auto"/>
              </w:rPr>
            </w:pPr>
            <w:r>
              <w:rPr>
                <w:rFonts w:ascii="Arial" w:cs="Arial" w:eastAsia="Arial" w:hAnsi="Arial"/>
                <w:sz w:val="18"/>
                <w:szCs w:val="18"/>
                <w:color w:val="auto"/>
              </w:rPr>
              <w:t>derivatives designated as cash flow hedging</w:t>
            </w:r>
          </w:p>
        </w:tc>
        <w:tc>
          <w:tcPr>
            <w:tcW w:w="20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40" w:type="dxa"/>
            <w:vAlign w:val="bottom"/>
            <w:shd w:val="clear" w:color="auto" w:fill="CCFFFF"/>
          </w:tcPr>
          <w:p>
            <w:pPr>
              <w:spacing w:after="0"/>
              <w:rPr>
                <w:sz w:val="18"/>
                <w:szCs w:val="18"/>
                <w:color w:val="auto"/>
              </w:rPr>
            </w:pPr>
          </w:p>
        </w:tc>
        <w:tc>
          <w:tcPr>
            <w:tcW w:w="80" w:type="dxa"/>
            <w:vAlign w:val="bottom"/>
            <w:shd w:val="clear" w:color="auto" w:fill="CCFFFF"/>
          </w:tcPr>
          <w:p>
            <w:pPr>
              <w:spacing w:after="0"/>
              <w:rPr>
                <w:sz w:val="18"/>
                <w:szCs w:val="18"/>
                <w:color w:val="auto"/>
              </w:rPr>
            </w:pPr>
          </w:p>
        </w:tc>
        <w:tc>
          <w:tcPr>
            <w:tcW w:w="120" w:type="dxa"/>
            <w:vAlign w:val="bottom"/>
            <w:shd w:val="clear" w:color="auto" w:fill="CCFFFF"/>
          </w:tcPr>
          <w:p>
            <w:pPr>
              <w:spacing w:after="0"/>
              <w:rPr>
                <w:sz w:val="18"/>
                <w:szCs w:val="18"/>
                <w:color w:val="auto"/>
              </w:rPr>
            </w:pPr>
          </w:p>
        </w:tc>
        <w:tc>
          <w:tcPr>
            <w:tcW w:w="2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220" w:type="dxa"/>
            <w:vAlign w:val="bottom"/>
            <w:shd w:val="clear" w:color="auto" w:fill="CCFFFF"/>
          </w:tcPr>
          <w:p>
            <w:pPr>
              <w:spacing w:after="0"/>
              <w:rPr>
                <w:sz w:val="18"/>
                <w:szCs w:val="18"/>
                <w:color w:val="auto"/>
              </w:rPr>
            </w:pPr>
          </w:p>
        </w:tc>
        <w:tc>
          <w:tcPr>
            <w:tcW w:w="220" w:type="dxa"/>
            <w:vAlign w:val="bottom"/>
            <w:shd w:val="clear" w:color="auto" w:fill="CCFFFF"/>
          </w:tcPr>
          <w:p>
            <w:pPr>
              <w:spacing w:after="0"/>
              <w:rPr>
                <w:sz w:val="18"/>
                <w:szCs w:val="18"/>
                <w:color w:val="auto"/>
              </w:rPr>
            </w:pPr>
          </w:p>
        </w:tc>
        <w:tc>
          <w:tcPr>
            <w:tcW w:w="124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r>
      <w:tr>
        <w:trPr>
          <w:trHeight w:val="244"/>
        </w:trPr>
        <w:tc>
          <w:tcPr>
            <w:tcW w:w="2380" w:type="dxa"/>
            <w:vAlign w:val="bottom"/>
            <w:shd w:val="clear" w:color="auto" w:fill="CCFFFF"/>
          </w:tcPr>
          <w:p>
            <w:pPr>
              <w:spacing w:after="0"/>
              <w:rPr>
                <w:sz w:val="20"/>
                <w:szCs w:val="20"/>
                <w:color w:val="auto"/>
              </w:rPr>
            </w:pPr>
            <w:r>
              <w:rPr>
                <w:rFonts w:ascii="Arial" w:cs="Arial" w:eastAsia="Arial" w:hAnsi="Arial"/>
                <w:sz w:val="18"/>
                <w:szCs w:val="18"/>
                <w:color w:val="auto"/>
              </w:rPr>
              <w:t>instruments</w:t>
            </w:r>
          </w:p>
        </w:tc>
        <w:tc>
          <w:tcPr>
            <w:tcW w:w="1460" w:type="dxa"/>
            <w:vAlign w:val="bottom"/>
            <w:shd w:val="clear" w:color="auto" w:fill="CCFFFF"/>
          </w:tcPr>
          <w:p>
            <w:pPr>
              <w:spacing w:after="0"/>
              <w:rPr>
                <w:sz w:val="21"/>
                <w:szCs w:val="21"/>
                <w:color w:val="auto"/>
              </w:rPr>
            </w:pPr>
          </w:p>
        </w:tc>
        <w:tc>
          <w:tcPr>
            <w:tcW w:w="20" w:type="dxa"/>
            <w:vAlign w:val="bottom"/>
            <w:shd w:val="clear" w:color="auto" w:fill="CCFFFF"/>
          </w:tcPr>
          <w:p>
            <w:pPr>
              <w:spacing w:after="0"/>
              <w:rPr>
                <w:sz w:val="21"/>
                <w:szCs w:val="21"/>
                <w:color w:val="auto"/>
              </w:rPr>
            </w:pPr>
          </w:p>
        </w:tc>
        <w:tc>
          <w:tcPr>
            <w:tcW w:w="40" w:type="dxa"/>
            <w:vAlign w:val="bottom"/>
            <w:shd w:val="clear" w:color="auto" w:fill="CCFFFF"/>
          </w:tcPr>
          <w:p>
            <w:pPr>
              <w:spacing w:after="0"/>
              <w:rPr>
                <w:sz w:val="21"/>
                <w:szCs w:val="21"/>
                <w:color w:val="auto"/>
              </w:rPr>
            </w:pPr>
          </w:p>
        </w:tc>
        <w:tc>
          <w:tcPr>
            <w:tcW w:w="200" w:type="dxa"/>
            <w:vAlign w:val="bottom"/>
            <w:shd w:val="clear" w:color="auto" w:fill="CCFFFF"/>
          </w:tcPr>
          <w:p>
            <w:pPr>
              <w:spacing w:after="0"/>
              <w:rPr>
                <w:sz w:val="21"/>
                <w:szCs w:val="21"/>
                <w:color w:val="auto"/>
              </w:rPr>
            </w:pPr>
          </w:p>
        </w:tc>
        <w:tc>
          <w:tcPr>
            <w:tcW w:w="1340" w:type="dxa"/>
            <w:vAlign w:val="bottom"/>
            <w:gridSpan w:val="3"/>
            <w:shd w:val="clear" w:color="auto" w:fill="CCFFFF"/>
          </w:tcPr>
          <w:p>
            <w:pPr>
              <w:jc w:val="right"/>
              <w:ind w:right="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FF"/>
          </w:tcPr>
          <w:p>
            <w:pPr>
              <w:spacing w:after="0"/>
              <w:rPr>
                <w:sz w:val="21"/>
                <w:szCs w:val="21"/>
                <w:color w:val="auto"/>
              </w:rPr>
            </w:pPr>
          </w:p>
        </w:tc>
        <w:tc>
          <w:tcPr>
            <w:tcW w:w="20" w:type="dxa"/>
            <w:vAlign w:val="bottom"/>
            <w:shd w:val="clear" w:color="auto" w:fill="CCFFFF"/>
          </w:tcPr>
          <w:p>
            <w:pPr>
              <w:spacing w:after="0"/>
              <w:rPr>
                <w:sz w:val="21"/>
                <w:szCs w:val="21"/>
                <w:color w:val="auto"/>
              </w:rPr>
            </w:pP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FF"/>
          </w:tcPr>
          <w:p>
            <w:pPr>
              <w:jc w:val="right"/>
              <w:ind w:right="81"/>
              <w:spacing w:after="0"/>
              <w:rPr>
                <w:sz w:val="20"/>
                <w:szCs w:val="20"/>
                <w:color w:val="auto"/>
              </w:rPr>
            </w:pPr>
            <w:r>
              <w:rPr>
                <w:rFonts w:ascii="Arial" w:cs="Arial" w:eastAsia="Arial" w:hAnsi="Arial"/>
                <w:sz w:val="18"/>
                <w:szCs w:val="18"/>
                <w:color w:val="auto"/>
              </w:rPr>
              <w:t>(20,550)</w:t>
            </w:r>
          </w:p>
        </w:tc>
        <w:tc>
          <w:tcPr>
            <w:tcW w:w="1440" w:type="dxa"/>
            <w:vAlign w:val="bottom"/>
            <w:gridSpan w:val="2"/>
            <w:shd w:val="clear" w:color="auto" w:fill="CCFFFF"/>
          </w:tcPr>
          <w:p>
            <w:pPr>
              <w:jc w:val="right"/>
              <w:ind w:right="141"/>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FF"/>
          </w:tcPr>
          <w:p>
            <w:pPr>
              <w:jc w:val="right"/>
              <w:spacing w:after="0"/>
              <w:rPr>
                <w:sz w:val="20"/>
                <w:szCs w:val="20"/>
                <w:color w:val="auto"/>
              </w:rPr>
            </w:pPr>
            <w:r>
              <w:rPr>
                <w:rFonts w:ascii="Arial" w:cs="Arial" w:eastAsia="Arial" w:hAnsi="Arial"/>
                <w:sz w:val="18"/>
                <w:szCs w:val="18"/>
                <w:color w:val="auto"/>
              </w:rPr>
              <w:t>(20,550)</w:t>
            </w:r>
          </w:p>
        </w:tc>
      </w:tr>
      <w:tr>
        <w:trPr>
          <w:trHeight w:val="223"/>
        </w:trPr>
        <w:tc>
          <w:tcPr>
            <w:tcW w:w="2380" w:type="dxa"/>
            <w:vAlign w:val="bottom"/>
          </w:tcPr>
          <w:p>
            <w:pPr>
              <w:spacing w:after="0"/>
              <w:rPr>
                <w:sz w:val="20"/>
                <w:szCs w:val="20"/>
                <w:color w:val="auto"/>
              </w:rPr>
            </w:pPr>
            <w:r>
              <w:rPr>
                <w:rFonts w:ascii="Arial" w:cs="Arial" w:eastAsia="Arial" w:hAnsi="Arial"/>
                <w:sz w:val="18"/>
                <w:szCs w:val="18"/>
                <w:b w:val="1"/>
                <w:bCs w:val="1"/>
                <w:color w:val="auto"/>
              </w:rPr>
              <w:t>March 31, 2020</w:t>
            </w:r>
          </w:p>
        </w:tc>
        <w:tc>
          <w:tcPr>
            <w:tcW w:w="14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(45,931</w:t>
            </w: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4,051</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(20,550</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(74,100</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(136,530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2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1141"/>
              <w:spacing w:after="0"/>
              <w:rPr>
                <w:sz w:val="20"/>
                <w:szCs w:val="20"/>
                <w:color w:val="auto"/>
              </w:rPr>
            </w:pPr>
            <w:r>
              <w:rPr>
                <w:rFonts w:ascii="Arial" w:cs="Arial" w:eastAsia="Arial" w:hAnsi="Arial"/>
                <w:sz w:val="18"/>
                <w:szCs w:val="18"/>
                <w:color w:val="auto"/>
                <w:w w:val="91"/>
              </w:rPr>
              <w:t>F-15</w:t>
            </w: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5"/>
              </w:rPr>
              <w:t>Other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0" w:type="dxa"/>
            <w:vAlign w:val="bottom"/>
            <w:gridSpan w:val="2"/>
          </w:tcPr>
          <w:p>
            <w:pPr>
              <w:jc w:val="right"/>
              <w:ind w:right="601"/>
              <w:spacing w:after="0"/>
              <w:rPr>
                <w:sz w:val="20"/>
                <w:szCs w:val="20"/>
                <w:color w:val="auto"/>
              </w:rPr>
            </w:pPr>
            <w:r>
              <w:rPr>
                <w:rFonts w:ascii="Arial" w:cs="Arial" w:eastAsia="Arial" w:hAnsi="Arial"/>
                <w:sz w:val="18"/>
                <w:szCs w:val="18"/>
                <w:b w:val="1"/>
                <w:bCs w:val="1"/>
                <w:color w:val="auto"/>
              </w:rPr>
              <w:t>Opening</w:t>
            </w:r>
          </w:p>
        </w:tc>
        <w:tc>
          <w:tcPr>
            <w:tcW w:w="156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6"/>
              </w:rPr>
              <w:t>comprehensive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96"/>
              </w:rPr>
              <w:t>Net derivative</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600" w:type="dxa"/>
            <w:vAlign w:val="bottom"/>
            <w:gridSpan w:val="2"/>
          </w:tcPr>
          <w:p>
            <w:pPr>
              <w:jc w:val="right"/>
              <w:ind w:right="601"/>
              <w:spacing w:after="0"/>
              <w:rPr>
                <w:sz w:val="20"/>
                <w:szCs w:val="20"/>
                <w:color w:val="auto"/>
              </w:rPr>
            </w:pPr>
            <w:r>
              <w:rPr>
                <w:rFonts w:ascii="Arial" w:cs="Arial" w:eastAsia="Arial" w:hAnsi="Arial"/>
                <w:sz w:val="18"/>
                <w:szCs w:val="18"/>
                <w:b w:val="1"/>
                <w:bCs w:val="1"/>
                <w:color w:val="auto"/>
              </w:rPr>
              <w:t>balance</w:t>
            </w:r>
          </w:p>
        </w:tc>
        <w:tc>
          <w:tcPr>
            <w:tcW w:w="15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77"/>
              </w:rPr>
              <w:t>loss</w:t>
            </w: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Non-cash items</w:t>
            </w:r>
          </w:p>
        </w:tc>
        <w:tc>
          <w:tcPr>
            <w:tcW w:w="134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liabilities</w:t>
            </w:r>
          </w:p>
        </w:tc>
        <w:tc>
          <w:tcPr>
            <w:tcW w:w="0" w:type="dxa"/>
            <w:vAlign w:val="bottom"/>
          </w:tcPr>
          <w:p>
            <w:pPr>
              <w:spacing w:after="0"/>
              <w:rPr>
                <w:sz w:val="1"/>
                <w:szCs w:val="1"/>
                <w:color w:val="auto"/>
              </w:rPr>
            </w:pPr>
          </w:p>
        </w:tc>
      </w:tr>
      <w:tr>
        <w:trPr>
          <w:trHeight w:val="210"/>
        </w:trPr>
        <w:tc>
          <w:tcPr>
            <w:tcW w:w="520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January 1, 2021</w:t>
            </w:r>
          </w:p>
        </w:tc>
        <w:tc>
          <w:tcPr>
            <w:tcW w:w="124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(107,760)</w:t>
            </w:r>
          </w:p>
        </w:tc>
        <w:tc>
          <w:tcPr>
            <w:tcW w:w="360" w:type="dxa"/>
            <w:vAlign w:val="bottom"/>
            <w:tcBorders>
              <w:top w:val="single" w:sz="8" w:color="CCFFFF"/>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FFFF"/>
            </w:tcBorders>
            <w:shd w:val="clear" w:color="auto" w:fill="CCFFFF"/>
          </w:tcPr>
          <w:p>
            <w:pPr>
              <w:spacing w:after="0"/>
              <w:rPr>
                <w:sz w:val="18"/>
                <w:szCs w:val="18"/>
                <w:color w:val="auto"/>
              </w:rPr>
            </w:pPr>
          </w:p>
        </w:tc>
        <w:tc>
          <w:tcPr>
            <w:tcW w:w="122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FFFF"/>
            </w:tcBorders>
            <w:shd w:val="clear" w:color="auto" w:fill="CCFFFF"/>
          </w:tcPr>
          <w:p>
            <w:pPr>
              <w:spacing w:after="0"/>
              <w:rPr>
                <w:sz w:val="18"/>
                <w:szCs w:val="18"/>
                <w:color w:val="auto"/>
              </w:rPr>
            </w:pPr>
          </w:p>
        </w:tc>
        <w:tc>
          <w:tcPr>
            <w:tcW w:w="1240" w:type="dxa"/>
            <w:vAlign w:val="bottom"/>
            <w:tcBorders>
              <w:top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(107,760)</w:t>
            </w:r>
          </w:p>
        </w:tc>
        <w:tc>
          <w:tcPr>
            <w:tcW w:w="100" w:type="dxa"/>
            <w:vAlign w:val="bottom"/>
            <w:tcBorders>
              <w:top w:val="single" w:sz="8" w:color="CCFFFF"/>
            </w:tcBorders>
            <w:shd w:val="clear" w:color="auto" w:fill="CC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w w:val="98"/>
              </w:rPr>
              <w:t>Unrealized gain on derivative financial instruments held for trading</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(Note 16)</w:t>
            </w:r>
          </w:p>
        </w:tc>
        <w:tc>
          <w:tcPr>
            <w:tcW w:w="16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27,408</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27,408</w:t>
            </w:r>
          </w:p>
        </w:tc>
        <w:tc>
          <w:tcPr>
            <w:tcW w:w="0" w:type="dxa"/>
            <w:vAlign w:val="bottom"/>
          </w:tcPr>
          <w:p>
            <w:pPr>
              <w:spacing w:after="0"/>
              <w:rPr>
                <w:sz w:val="1"/>
                <w:szCs w:val="1"/>
                <w:color w:val="auto"/>
              </w:rPr>
            </w:pPr>
          </w:p>
        </w:tc>
      </w:tr>
      <w:tr>
        <w:trPr>
          <w:trHeight w:val="216"/>
        </w:trPr>
        <w:tc>
          <w:tcPr>
            <w:tcW w:w="5200" w:type="dxa"/>
            <w:vAlign w:val="bottom"/>
            <w:shd w:val="clear" w:color="auto" w:fill="CCFFFF"/>
          </w:tcPr>
          <w:p>
            <w:pPr>
              <w:spacing w:after="0"/>
              <w:rPr>
                <w:sz w:val="20"/>
                <w:szCs w:val="20"/>
                <w:color w:val="auto"/>
              </w:rPr>
            </w:pPr>
            <w:r>
              <w:rPr>
                <w:rFonts w:ascii="Arial" w:cs="Arial" w:eastAsia="Arial" w:hAnsi="Arial"/>
                <w:sz w:val="18"/>
                <w:szCs w:val="18"/>
                <w:color w:val="auto"/>
              </w:rPr>
              <w:t>Ineffective portion of cash flow hedges (Note 16)</w:t>
            </w:r>
          </w:p>
        </w:tc>
        <w:tc>
          <w:tcPr>
            <w:tcW w:w="1600" w:type="dxa"/>
            <w:vAlign w:val="bottom"/>
            <w:gridSpan w:val="2"/>
            <w:shd w:val="clear" w:color="auto" w:fill="CCFFFF"/>
          </w:tcPr>
          <w:p>
            <w:pPr>
              <w:jc w:val="right"/>
              <w:ind w:right="281"/>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FFFF"/>
          </w:tcPr>
          <w:p>
            <w:pPr>
              <w:jc w:val="right"/>
              <w:ind w:right="261"/>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FF"/>
          </w:tcPr>
          <w:p>
            <w:pPr>
              <w:jc w:val="right"/>
              <w:ind w:right="320"/>
              <w:spacing w:after="0"/>
              <w:rPr>
                <w:sz w:val="20"/>
                <w:szCs w:val="20"/>
                <w:color w:val="auto"/>
              </w:rPr>
            </w:pPr>
            <w:r>
              <w:rPr>
                <w:rFonts w:ascii="Arial" w:cs="Arial" w:eastAsia="Arial" w:hAnsi="Arial"/>
                <w:sz w:val="18"/>
                <w:szCs w:val="18"/>
                <w:color w:val="auto"/>
              </w:rPr>
              <w:t>1,632</w:t>
            </w:r>
          </w:p>
        </w:tc>
        <w:tc>
          <w:tcPr>
            <w:tcW w:w="1340" w:type="dxa"/>
            <w:vAlign w:val="bottom"/>
            <w:gridSpan w:val="2"/>
            <w:shd w:val="clear" w:color="auto" w:fill="CCFFFF"/>
          </w:tcPr>
          <w:p>
            <w:pPr>
              <w:jc w:val="right"/>
              <w:ind w:right="21"/>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rPr>
              <w:t>Effective portion of changes in the fair value of derivatives</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(1,228)</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designated as cash flow hedging instruments</w:t>
            </w:r>
          </w:p>
        </w:tc>
        <w:tc>
          <w:tcPr>
            <w:tcW w:w="16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560" w:type="dxa"/>
            <w:vAlign w:val="bottom"/>
            <w:gridSpan w:val="2"/>
            <w:vMerge w:val="continue"/>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FFFF"/>
              <w:bottom w:val="single" w:sz="8" w:color="CCFFFF"/>
            </w:tcBorders>
            <w:shd w:val="clear" w:color="auto" w:fill="CCFFFF"/>
          </w:tcPr>
          <w:p>
            <w:pPr>
              <w:spacing w:after="0"/>
              <w:rPr>
                <w:sz w:val="20"/>
                <w:szCs w:val="20"/>
                <w:color w:val="auto"/>
              </w:rPr>
            </w:pPr>
            <w:r>
              <w:rPr>
                <w:rFonts w:ascii="Arial" w:cs="Arial" w:eastAsia="Arial" w:hAnsi="Arial"/>
                <w:sz w:val="18"/>
                <w:szCs w:val="18"/>
                <w:b w:val="1"/>
                <w:bCs w:val="1"/>
                <w:color w:val="auto"/>
              </w:rPr>
              <w:t>March 31, 2021</w:t>
            </w: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(107,760</w:t>
            </w:r>
          </w:p>
        </w:tc>
        <w:tc>
          <w:tcPr>
            <w:tcW w:w="360" w:type="dxa"/>
            <w:vAlign w:val="bottom"/>
            <w:tcBorders>
              <w:top w:val="single" w:sz="8" w:color="CCFFFF"/>
              <w:bottom w:val="single" w:sz="8" w:color="CCFFFF"/>
            </w:tcBorders>
            <w:shd w:val="clear" w:color="auto" w:fill="CCFFFF"/>
          </w:tcPr>
          <w:p>
            <w:pPr>
              <w:jc w:val="right"/>
              <w:ind w:right="22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(1,228</w:t>
            </w:r>
          </w:p>
        </w:tc>
        <w:tc>
          <w:tcPr>
            <w:tcW w:w="340" w:type="dxa"/>
            <w:vAlign w:val="bottom"/>
            <w:tcBorders>
              <w:top w:val="single" w:sz="8" w:color="CCFFFF"/>
              <w:bottom w:val="single" w:sz="8" w:color="CCFFFF"/>
            </w:tcBorders>
            <w:shd w:val="clear" w:color="auto" w:fill="CCFFFF"/>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29,040</w:t>
            </w:r>
          </w:p>
        </w:tc>
        <w:tc>
          <w:tcPr>
            <w:tcW w:w="320" w:type="dxa"/>
            <w:vAlign w:val="bottom"/>
            <w:tcBorders>
              <w:top w:val="single" w:sz="8" w:color="CCFFFF"/>
              <w:bottom w:val="single" w:sz="8" w:color="CCFFFF"/>
            </w:tcBorders>
            <w:shd w:val="clear" w:color="auto" w:fill="CCFFFF"/>
          </w:tcPr>
          <w:p>
            <w:pPr>
              <w:spacing w:after="0"/>
              <w:rPr>
                <w:sz w:val="19"/>
                <w:szCs w:val="19"/>
                <w:color w:val="auto"/>
              </w:rPr>
            </w:pPr>
          </w:p>
        </w:tc>
        <w:tc>
          <w:tcPr>
            <w:tcW w:w="124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(79,948</w:t>
            </w:r>
          </w:p>
        </w:tc>
        <w:tc>
          <w:tcPr>
            <w:tcW w:w="100" w:type="dxa"/>
            <w:vAlign w:val="bottom"/>
            <w:tcBorders>
              <w:top w:val="single" w:sz="8" w:color="CCFFFF"/>
              <w:bottom w:val="single" w:sz="8" w:color="CCFFFF"/>
            </w:tcBorders>
            <w:shd w:val="clear" w:color="auto" w:fill="CC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Earnings/(losses) per Share (“EPS”)</w:t>
      </w:r>
    </w:p>
    <w:p>
      <w:pPr>
        <w:spacing w:after="0" w:line="22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Basic earnings/(losses) per share was calculated by dividing the net profit/(loss) for the period attributable to the owners of the common shares after deducting the dividend on preference shares by the weighted average number of common shares issued and outstanding during the period.</w:t>
      </w:r>
    </w:p>
    <w:p>
      <w:pPr>
        <w:spacing w:after="0" w:line="12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Diluted EPS is calculated by dividing the profit for the period attributable to the owners of the Group adjusted for the effects of all dilutive potential ordinary shares by the weighted average number of all potential ordinary shares assumed to have been converted into common shares, unless such potential ordinary shares have an antidilutive effect.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reflects the earnings/(losses) and share data used in the basic and diluted earnings/(losses) per share computations: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7400" w:type="dxa"/>
            <w:vAlign w:val="bottom"/>
          </w:tcPr>
          <w:p>
            <w:pPr>
              <w:spacing w:after="0"/>
              <w:rPr>
                <w:sz w:val="19"/>
                <w:szCs w:val="19"/>
                <w:color w:val="auto"/>
              </w:rPr>
            </w:pPr>
          </w:p>
        </w:tc>
        <w:tc>
          <w:tcPr>
            <w:tcW w:w="316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7400" w:type="dxa"/>
            <w:vAlign w:val="bottom"/>
          </w:tcPr>
          <w:p>
            <w:pPr>
              <w:spacing w:after="0"/>
              <w:rPr>
                <w:sz w:val="20"/>
                <w:szCs w:val="20"/>
                <w:color w:val="auto"/>
              </w:rPr>
            </w:pPr>
          </w:p>
        </w:tc>
        <w:tc>
          <w:tcPr>
            <w:tcW w:w="170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8"/>
              </w:rPr>
              <w:t>March 31, 2020</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March 31, 2021</w:t>
            </w:r>
          </w:p>
        </w:tc>
      </w:tr>
      <w:tr>
        <w:trPr>
          <w:trHeight w:val="209"/>
        </w:trPr>
        <w:tc>
          <w:tcPr>
            <w:tcW w:w="740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b w:val="1"/>
                <w:bCs w:val="1"/>
                <w:i w:val="1"/>
                <w:iCs w:val="1"/>
                <w:color w:val="auto"/>
              </w:rPr>
              <w:t>Basic (loss)/earnings per share</w:t>
            </w:r>
          </w:p>
        </w:tc>
        <w:tc>
          <w:tcPr>
            <w:tcW w:w="1380" w:type="dxa"/>
            <w:vAlign w:val="bottom"/>
            <w:tcBorders>
              <w:top w:val="single" w:sz="8" w:color="auto"/>
            </w:tcBorders>
            <w:shd w:val="clear" w:color="auto" w:fill="CCFFFF"/>
          </w:tcPr>
          <w:p>
            <w:pPr>
              <w:spacing w:after="0"/>
              <w:rPr>
                <w:sz w:val="18"/>
                <w:szCs w:val="18"/>
                <w:color w:val="auto"/>
              </w:rPr>
            </w:pPr>
          </w:p>
        </w:tc>
        <w:tc>
          <w:tcPr>
            <w:tcW w:w="320" w:type="dxa"/>
            <w:vAlign w:val="bottom"/>
            <w:tcBorders>
              <w:top w:val="single" w:sz="8" w:color="CCFFFF"/>
            </w:tcBorders>
            <w:shd w:val="clear" w:color="auto" w:fill="CCFFFF"/>
          </w:tcPr>
          <w:p>
            <w:pPr>
              <w:spacing w:after="0"/>
              <w:rPr>
                <w:sz w:val="18"/>
                <w:szCs w:val="18"/>
                <w:color w:val="auto"/>
              </w:rPr>
            </w:pPr>
          </w:p>
        </w:tc>
        <w:tc>
          <w:tcPr>
            <w:tcW w:w="1360" w:type="dxa"/>
            <w:vAlign w:val="bottom"/>
            <w:tcBorders>
              <w:top w:val="single" w:sz="8" w:color="auto"/>
            </w:tcBorders>
            <w:shd w:val="clear" w:color="auto" w:fill="CCFFFF"/>
          </w:tcPr>
          <w:p>
            <w:pPr>
              <w:spacing w:after="0"/>
              <w:rPr>
                <w:sz w:val="18"/>
                <w:szCs w:val="18"/>
                <w:color w:val="auto"/>
              </w:rPr>
            </w:pPr>
          </w:p>
        </w:tc>
        <w:tc>
          <w:tcPr>
            <w:tcW w:w="100" w:type="dxa"/>
            <w:vAlign w:val="bottom"/>
            <w:tcBorders>
              <w:top w:val="single" w:sz="8" w:color="CCFFFF"/>
            </w:tcBorders>
            <w:shd w:val="clear" w:color="auto" w:fill="CCFF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(Loss)/profit for the period attributable to owners of the Group</w:t>
            </w:r>
          </w:p>
        </w:tc>
        <w:tc>
          <w:tcPr>
            <w:tcW w:w="1700" w:type="dxa"/>
            <w:vAlign w:val="bottom"/>
            <w:gridSpan w:val="2"/>
          </w:tcPr>
          <w:p>
            <w:pPr>
              <w:jc w:val="right"/>
              <w:ind w:right="181"/>
              <w:spacing w:after="0"/>
              <w:rPr>
                <w:sz w:val="20"/>
                <w:szCs w:val="20"/>
                <w:color w:val="auto"/>
              </w:rPr>
            </w:pPr>
            <w:r>
              <w:rPr>
                <w:rFonts w:ascii="Arial" w:cs="Arial" w:eastAsia="Arial" w:hAnsi="Arial"/>
                <w:sz w:val="18"/>
                <w:szCs w:val="18"/>
                <w:color w:val="auto"/>
              </w:rPr>
              <w:t>(51,479)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57,934</w:t>
            </w:r>
          </w:p>
        </w:tc>
      </w:tr>
      <w:tr>
        <w:trPr>
          <w:trHeight w:val="216"/>
        </w:trPr>
        <w:tc>
          <w:tcPr>
            <w:tcW w:w="7400" w:type="dxa"/>
            <w:vAlign w:val="bottom"/>
            <w:shd w:val="clear" w:color="auto" w:fill="CCFFFF"/>
          </w:tcPr>
          <w:p>
            <w:pPr>
              <w:spacing w:after="0"/>
              <w:rPr>
                <w:sz w:val="20"/>
                <w:szCs w:val="20"/>
                <w:color w:val="auto"/>
              </w:rPr>
            </w:pPr>
            <w:r>
              <w:rPr>
                <w:rFonts w:ascii="Arial" w:cs="Arial" w:eastAsia="Arial" w:hAnsi="Arial"/>
                <w:sz w:val="18"/>
                <w:szCs w:val="18"/>
                <w:color w:val="auto"/>
              </w:rPr>
              <w:t>Plus:</w:t>
            </w:r>
          </w:p>
        </w:tc>
        <w:tc>
          <w:tcPr>
            <w:tcW w:w="1380" w:type="dxa"/>
            <w:vAlign w:val="bottom"/>
            <w:shd w:val="clear" w:color="auto" w:fill="CCFFFF"/>
          </w:tcPr>
          <w:p>
            <w:pPr>
              <w:spacing w:after="0"/>
              <w:rPr>
                <w:sz w:val="18"/>
                <w:szCs w:val="18"/>
                <w:color w:val="auto"/>
              </w:rPr>
            </w:pPr>
          </w:p>
        </w:tc>
        <w:tc>
          <w:tcPr>
            <w:tcW w:w="320" w:type="dxa"/>
            <w:vAlign w:val="bottom"/>
            <w:shd w:val="clear" w:color="auto" w:fill="CCFFFF"/>
          </w:tcPr>
          <w:p>
            <w:pPr>
              <w:spacing w:after="0"/>
              <w:rPr>
                <w:sz w:val="18"/>
                <w:szCs w:val="18"/>
                <w:color w:val="auto"/>
              </w:rPr>
            </w:pPr>
          </w:p>
        </w:tc>
        <w:tc>
          <w:tcPr>
            <w:tcW w:w="1360" w:type="dxa"/>
            <w:vAlign w:val="bottom"/>
            <w:shd w:val="clear" w:color="auto" w:fill="CCFFFF"/>
          </w:tcPr>
          <w:p>
            <w:pPr>
              <w:spacing w:after="0"/>
              <w:rPr>
                <w:sz w:val="18"/>
                <w:szCs w:val="18"/>
                <w:color w:val="auto"/>
              </w:rPr>
            </w:pPr>
          </w:p>
        </w:tc>
        <w:tc>
          <w:tcPr>
            <w:tcW w:w="100" w:type="dxa"/>
            <w:vAlign w:val="bottom"/>
            <w:shd w:val="clear" w:color="auto" w:fill="CCFFFF"/>
          </w:tcPr>
          <w:p>
            <w:pPr>
              <w:spacing w:after="0"/>
              <w:rPr>
                <w:sz w:val="18"/>
                <w:szCs w:val="18"/>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Dividend on preference shares</w:t>
            </w:r>
          </w:p>
        </w:tc>
        <w:tc>
          <w:tcPr>
            <w:tcW w:w="1700" w:type="dxa"/>
            <w:vAlign w:val="bottom"/>
            <w:gridSpan w:val="2"/>
          </w:tcPr>
          <w:p>
            <w:pPr>
              <w:jc w:val="right"/>
              <w:ind w:right="181"/>
              <w:spacing w:after="0"/>
              <w:rPr>
                <w:sz w:val="20"/>
                <w:szCs w:val="20"/>
                <w:color w:val="auto"/>
              </w:rPr>
            </w:pPr>
            <w:r>
              <w:rPr>
                <w:rFonts w:ascii="Arial" w:cs="Arial" w:eastAsia="Arial" w:hAnsi="Arial"/>
                <w:sz w:val="18"/>
                <w:szCs w:val="18"/>
                <w:color w:val="auto"/>
              </w:rPr>
              <w:t>(2,516)</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(2,516)</w:t>
            </w:r>
          </w:p>
        </w:tc>
      </w:tr>
      <w:tr>
        <w:trPr>
          <w:trHeight w:val="210"/>
        </w:trPr>
        <w:tc>
          <w:tcPr>
            <w:tcW w:w="7400" w:type="dxa"/>
            <w:vAlign w:val="bottom"/>
            <w:tcBorders>
              <w:top w:val="single" w:sz="8" w:color="CCFFFF"/>
            </w:tcBorders>
            <w:shd w:val="clear" w:color="auto" w:fill="CCFFFF"/>
          </w:tcPr>
          <w:p>
            <w:pPr>
              <w:spacing w:after="0"/>
              <w:rPr>
                <w:sz w:val="20"/>
                <w:szCs w:val="20"/>
                <w:color w:val="auto"/>
              </w:rPr>
            </w:pPr>
            <w:r>
              <w:rPr>
                <w:rFonts w:ascii="Arial" w:cs="Arial" w:eastAsia="Arial" w:hAnsi="Arial"/>
                <w:sz w:val="18"/>
                <w:szCs w:val="18"/>
                <w:color w:val="auto"/>
              </w:rPr>
              <w:t>(Loss)/profit for the period attributable to owners of the Group</w:t>
            </w:r>
          </w:p>
        </w:tc>
        <w:tc>
          <w:tcPr>
            <w:tcW w:w="138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(53,995</w:t>
            </w:r>
          </w:p>
        </w:tc>
        <w:tc>
          <w:tcPr>
            <w:tcW w:w="320" w:type="dxa"/>
            <w:vAlign w:val="bottom"/>
            <w:tcBorders>
              <w:top w:val="single" w:sz="8" w:color="CCFFFF"/>
            </w:tcBorders>
            <w:shd w:val="clear" w:color="auto" w:fill="CCFFFF"/>
          </w:tcPr>
          <w:p>
            <w:pPr>
              <w:jc w:val="right"/>
              <w:ind w:right="181"/>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FFFF"/>
          </w:tcPr>
          <w:p>
            <w:pPr>
              <w:jc w:val="right"/>
              <w:spacing w:after="0"/>
              <w:rPr>
                <w:sz w:val="20"/>
                <w:szCs w:val="20"/>
                <w:color w:val="auto"/>
              </w:rPr>
            </w:pPr>
            <w:r>
              <w:rPr>
                <w:rFonts w:ascii="Arial" w:cs="Arial" w:eastAsia="Arial" w:hAnsi="Arial"/>
                <w:sz w:val="18"/>
                <w:szCs w:val="18"/>
                <w:color w:val="auto"/>
              </w:rPr>
              <w:t>55,418</w:t>
            </w:r>
          </w:p>
        </w:tc>
        <w:tc>
          <w:tcPr>
            <w:tcW w:w="100" w:type="dxa"/>
            <w:vAlign w:val="bottom"/>
            <w:tcBorders>
              <w:top w:val="single" w:sz="8" w:color="CCFFFF"/>
            </w:tcBorders>
            <w:shd w:val="clear" w:color="auto" w:fill="CCFFFF"/>
          </w:tcPr>
          <w:p>
            <w:pPr>
              <w:spacing w:after="0"/>
              <w:rPr>
                <w:sz w:val="18"/>
                <w:szCs w:val="18"/>
                <w:color w:val="auto"/>
              </w:rPr>
            </w:pPr>
          </w:p>
        </w:tc>
      </w:tr>
      <w:tr>
        <w:trPr>
          <w:trHeight w:val="210"/>
        </w:trPr>
        <w:tc>
          <w:tcPr>
            <w:tcW w:w="7400" w:type="dxa"/>
            <w:vAlign w:val="bottom"/>
            <w:tcBorders>
              <w:bottom w:val="single" w:sz="8" w:color="CCFFFF"/>
            </w:tcBorders>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80,706,008</w:t>
            </w:r>
          </w:p>
        </w:tc>
        <w:tc>
          <w:tcPr>
            <w:tcW w:w="320" w:type="dxa"/>
            <w:vAlign w:val="bottom"/>
            <w:tcBorders>
              <w:bottom w:val="single" w:sz="8" w:color="CCFF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95,190,811</w:t>
            </w:r>
          </w:p>
        </w:tc>
        <w:tc>
          <w:tcPr>
            <w:tcW w:w="100" w:type="dxa"/>
            <w:vAlign w:val="bottom"/>
            <w:tcBorders>
              <w:bottom w:val="single" w:sz="8" w:color="CCFFFF"/>
            </w:tcBorders>
          </w:tcPr>
          <w:p>
            <w:pPr>
              <w:spacing w:after="0"/>
              <w:rPr>
                <w:sz w:val="18"/>
                <w:szCs w:val="18"/>
                <w:color w:val="auto"/>
              </w:rPr>
            </w:pPr>
          </w:p>
        </w:tc>
      </w:tr>
      <w:tr>
        <w:trPr>
          <w:trHeight w:val="210"/>
        </w:trPr>
        <w:tc>
          <w:tcPr>
            <w:tcW w:w="740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Basic (loss)/earnings per share</w:t>
            </w:r>
          </w:p>
        </w:tc>
        <w:tc>
          <w:tcPr>
            <w:tcW w:w="13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(0.67</w:t>
            </w:r>
          </w:p>
        </w:tc>
        <w:tc>
          <w:tcPr>
            <w:tcW w:w="320" w:type="dxa"/>
            <w:vAlign w:val="bottom"/>
            <w:shd w:val="clear" w:color="auto" w:fill="CCFF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0.58</w:t>
            </w:r>
          </w:p>
        </w:tc>
        <w:tc>
          <w:tcPr>
            <w:tcW w:w="100" w:type="dxa"/>
            <w:vAlign w:val="bottom"/>
            <w:shd w:val="clear" w:color="auto" w:fill="CCFFFF"/>
          </w:tcPr>
          <w:p>
            <w:pPr>
              <w:spacing w:after="0"/>
              <w:rPr>
                <w:sz w:val="18"/>
                <w:szCs w:val="18"/>
                <w:color w:val="auto"/>
              </w:rPr>
            </w:pPr>
          </w:p>
        </w:tc>
      </w:tr>
      <w:tr>
        <w:trPr>
          <w:trHeight w:val="209"/>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Diluted (loss)/earnings per share</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00" w:type="dxa"/>
            <w:vAlign w:val="bottom"/>
            <w:shd w:val="clear" w:color="auto" w:fill="CCFFFF"/>
          </w:tcPr>
          <w:p>
            <w:pPr>
              <w:spacing w:after="0" w:line="201" w:lineRule="exact"/>
              <w:rPr>
                <w:sz w:val="20"/>
                <w:szCs w:val="20"/>
                <w:color w:val="auto"/>
              </w:rPr>
            </w:pPr>
            <w:r>
              <w:rPr>
                <w:rFonts w:ascii="Arial" w:cs="Arial" w:eastAsia="Arial" w:hAnsi="Arial"/>
                <w:sz w:val="18"/>
                <w:szCs w:val="18"/>
                <w:color w:val="auto"/>
                <w:w w:val="96"/>
              </w:rPr>
              <w:t>(Loss)/profit for the period available to owners of the Group used in the calculation of diluted loss</w:t>
            </w:r>
          </w:p>
        </w:tc>
        <w:tc>
          <w:tcPr>
            <w:tcW w:w="1380" w:type="dxa"/>
            <w:vAlign w:val="bottom"/>
            <w:shd w:val="clear" w:color="auto" w:fill="CCFFFF"/>
          </w:tcPr>
          <w:p>
            <w:pPr>
              <w:spacing w:after="0"/>
              <w:rPr>
                <w:sz w:val="17"/>
                <w:szCs w:val="17"/>
                <w:color w:val="auto"/>
              </w:rPr>
            </w:pPr>
          </w:p>
        </w:tc>
        <w:tc>
          <w:tcPr>
            <w:tcW w:w="320" w:type="dxa"/>
            <w:vAlign w:val="bottom"/>
            <w:shd w:val="clear" w:color="auto" w:fill="CCFFFF"/>
          </w:tcPr>
          <w:p>
            <w:pPr>
              <w:spacing w:after="0"/>
              <w:rPr>
                <w:sz w:val="17"/>
                <w:szCs w:val="17"/>
                <w:color w:val="auto"/>
              </w:rPr>
            </w:pPr>
          </w:p>
        </w:tc>
        <w:tc>
          <w:tcPr>
            <w:tcW w:w="1360" w:type="dxa"/>
            <w:vAlign w:val="bottom"/>
            <w:shd w:val="clear" w:color="auto" w:fill="CCFFFF"/>
          </w:tcPr>
          <w:p>
            <w:pPr>
              <w:spacing w:after="0"/>
              <w:rPr>
                <w:sz w:val="17"/>
                <w:szCs w:val="17"/>
                <w:color w:val="auto"/>
              </w:rPr>
            </w:pPr>
          </w:p>
        </w:tc>
        <w:tc>
          <w:tcPr>
            <w:tcW w:w="100" w:type="dxa"/>
            <w:vAlign w:val="bottom"/>
            <w:shd w:val="clear" w:color="auto" w:fill="CCFFFF"/>
          </w:tcPr>
          <w:p>
            <w:pPr>
              <w:spacing w:after="0"/>
              <w:rPr>
                <w:sz w:val="17"/>
                <w:szCs w:val="17"/>
                <w:color w:val="auto"/>
              </w:rPr>
            </w:pPr>
          </w:p>
        </w:tc>
      </w:tr>
      <w:tr>
        <w:trPr>
          <w:trHeight w:val="244"/>
        </w:trPr>
        <w:tc>
          <w:tcPr>
            <w:tcW w:w="7400" w:type="dxa"/>
            <w:vAlign w:val="bottom"/>
            <w:shd w:val="clear" w:color="auto" w:fill="CCFFFF"/>
          </w:tcPr>
          <w:p>
            <w:pPr>
              <w:ind w:left="160"/>
              <w:spacing w:after="0"/>
              <w:rPr>
                <w:sz w:val="20"/>
                <w:szCs w:val="20"/>
                <w:color w:val="auto"/>
              </w:rPr>
            </w:pPr>
            <w:r>
              <w:rPr>
                <w:rFonts w:ascii="Arial" w:cs="Arial" w:eastAsia="Arial" w:hAnsi="Arial"/>
                <w:sz w:val="18"/>
                <w:szCs w:val="18"/>
                <w:color w:val="auto"/>
              </w:rPr>
              <w:t>per share</w:t>
            </w:r>
          </w:p>
        </w:tc>
        <w:tc>
          <w:tcPr>
            <w:tcW w:w="1700" w:type="dxa"/>
            <w:vAlign w:val="bottom"/>
            <w:gridSpan w:val="2"/>
            <w:shd w:val="clear" w:color="auto" w:fill="CCFFFF"/>
          </w:tcPr>
          <w:p>
            <w:pPr>
              <w:jc w:val="right"/>
              <w:ind w:right="181"/>
              <w:spacing w:after="0"/>
              <w:rPr>
                <w:sz w:val="20"/>
                <w:szCs w:val="20"/>
                <w:color w:val="auto"/>
              </w:rPr>
            </w:pPr>
            <w:r>
              <w:rPr>
                <w:rFonts w:ascii="Arial" w:cs="Arial" w:eastAsia="Arial" w:hAnsi="Arial"/>
                <w:sz w:val="18"/>
                <w:szCs w:val="18"/>
                <w:color w:val="auto"/>
              </w:rPr>
              <w:t>(53,995)</w:t>
            </w:r>
          </w:p>
        </w:tc>
        <w:tc>
          <w:tcPr>
            <w:tcW w:w="146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55,418</w:t>
            </w: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80,706,008</w:t>
            </w:r>
          </w:p>
        </w:tc>
        <w:tc>
          <w:tcPr>
            <w:tcW w:w="3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95,190,811</w:t>
            </w:r>
          </w:p>
        </w:tc>
        <w:tc>
          <w:tcPr>
            <w:tcW w:w="100" w:type="dxa"/>
            <w:vAlign w:val="bottom"/>
          </w:tcPr>
          <w:p>
            <w:pPr>
              <w:spacing w:after="0"/>
              <w:rPr>
                <w:sz w:val="18"/>
                <w:szCs w:val="18"/>
                <w:color w:val="auto"/>
              </w:rPr>
            </w:pPr>
          </w:p>
        </w:tc>
      </w:tr>
      <w:tr>
        <w:trPr>
          <w:trHeight w:val="230"/>
        </w:trPr>
        <w:tc>
          <w:tcPr>
            <w:tcW w:w="7400" w:type="dxa"/>
            <w:vAlign w:val="bottom"/>
            <w:shd w:val="clear" w:color="auto" w:fill="CCFFFF"/>
          </w:tcPr>
          <w:p>
            <w:pPr>
              <w:spacing w:after="0"/>
              <w:rPr>
                <w:sz w:val="20"/>
                <w:szCs w:val="20"/>
                <w:color w:val="auto"/>
              </w:rPr>
            </w:pPr>
            <w:r>
              <w:rPr>
                <w:rFonts w:ascii="Arial" w:cs="Arial" w:eastAsia="Arial" w:hAnsi="Arial"/>
                <w:sz w:val="18"/>
                <w:szCs w:val="18"/>
                <w:color w:val="auto"/>
              </w:rPr>
              <w:t>Dilutive potential ordinary shares</w:t>
            </w:r>
          </w:p>
        </w:tc>
        <w:tc>
          <w:tcPr>
            <w:tcW w:w="1700" w:type="dxa"/>
            <w:vAlign w:val="bottom"/>
            <w:gridSpan w:val="2"/>
            <w:shd w:val="clear" w:color="auto" w:fill="CCFFFF"/>
          </w:tcPr>
          <w:p>
            <w:pPr>
              <w:jc w:val="right"/>
              <w:ind w:right="241"/>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FFFF"/>
          </w:tcPr>
          <w:p>
            <w:pPr>
              <w:jc w:val="right"/>
              <w:ind w:right="100"/>
              <w:spacing w:after="0"/>
              <w:rPr>
                <w:sz w:val="20"/>
                <w:szCs w:val="20"/>
                <w:color w:val="auto"/>
              </w:rPr>
            </w:pPr>
            <w:r>
              <w:rPr>
                <w:rFonts w:ascii="Arial" w:cs="Arial" w:eastAsia="Arial" w:hAnsi="Arial"/>
                <w:sz w:val="18"/>
                <w:szCs w:val="18"/>
                <w:color w:val="auto"/>
              </w:rPr>
              <w:t>676,311</w:t>
            </w:r>
          </w:p>
        </w:tc>
      </w:tr>
      <w:tr>
        <w:trPr>
          <w:trHeight w:val="210"/>
        </w:trPr>
        <w:tc>
          <w:tcPr>
            <w:tcW w:w="7400" w:type="dxa"/>
            <w:vAlign w:val="bottom"/>
            <w:tcBorders>
              <w:bottom w:val="single" w:sz="8" w:color="CCFFFF"/>
            </w:tcBorders>
          </w:tcPr>
          <w:p>
            <w:pPr>
              <w:spacing w:after="0"/>
              <w:rPr>
                <w:sz w:val="20"/>
                <w:szCs w:val="20"/>
                <w:color w:val="auto"/>
              </w:rPr>
            </w:pPr>
            <w:r>
              <w:rPr>
                <w:rFonts w:ascii="Arial" w:cs="Arial" w:eastAsia="Arial" w:hAnsi="Arial"/>
                <w:sz w:val="18"/>
                <w:szCs w:val="18"/>
                <w:color w:val="auto"/>
              </w:rPr>
              <w:t>Weighted average number of shares used in the calculation of diluted loss per share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80,706,008</w:t>
            </w:r>
          </w:p>
        </w:tc>
        <w:tc>
          <w:tcPr>
            <w:tcW w:w="320" w:type="dxa"/>
            <w:vAlign w:val="bottom"/>
            <w:tcBorders>
              <w:bottom w:val="single" w:sz="8" w:color="CC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95,867,122</w:t>
            </w:r>
          </w:p>
        </w:tc>
        <w:tc>
          <w:tcPr>
            <w:tcW w:w="100" w:type="dxa"/>
            <w:vAlign w:val="bottom"/>
            <w:tcBorders>
              <w:bottom w:val="single" w:sz="8" w:color="CCFFFF"/>
            </w:tcBorders>
          </w:tcPr>
          <w:p>
            <w:pPr>
              <w:spacing w:after="0"/>
              <w:rPr>
                <w:sz w:val="18"/>
                <w:szCs w:val="18"/>
                <w:color w:val="auto"/>
              </w:rPr>
            </w:pPr>
          </w:p>
        </w:tc>
      </w:tr>
      <w:tr>
        <w:trPr>
          <w:trHeight w:val="210"/>
        </w:trPr>
        <w:tc>
          <w:tcPr>
            <w:tcW w:w="7400" w:type="dxa"/>
            <w:vAlign w:val="bottom"/>
            <w:shd w:val="clear" w:color="auto" w:fill="CCFFFF"/>
          </w:tcPr>
          <w:p>
            <w:pPr>
              <w:spacing w:after="0"/>
              <w:rPr>
                <w:sz w:val="20"/>
                <w:szCs w:val="20"/>
                <w:color w:val="auto"/>
              </w:rPr>
            </w:pPr>
            <w:r>
              <w:rPr>
                <w:rFonts w:ascii="Arial" w:cs="Arial" w:eastAsia="Arial" w:hAnsi="Arial"/>
                <w:sz w:val="18"/>
                <w:szCs w:val="18"/>
                <w:b w:val="1"/>
                <w:bCs w:val="1"/>
                <w:color w:val="auto"/>
              </w:rPr>
              <w:t>Diluted (loss)/earnings per share</w:t>
            </w:r>
          </w:p>
        </w:tc>
        <w:tc>
          <w:tcPr>
            <w:tcW w:w="138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(0.67</w:t>
            </w:r>
          </w:p>
        </w:tc>
        <w:tc>
          <w:tcPr>
            <w:tcW w:w="320" w:type="dxa"/>
            <w:vAlign w:val="bottom"/>
            <w:shd w:val="clear" w:color="auto" w:fill="CCFF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bottom w:val="single" w:sz="8" w:color="auto"/>
            </w:tcBorders>
            <w:shd w:val="clear" w:color="auto" w:fill="CCFFFF"/>
          </w:tcPr>
          <w:p>
            <w:pPr>
              <w:jc w:val="right"/>
              <w:spacing w:after="0"/>
              <w:rPr>
                <w:sz w:val="20"/>
                <w:szCs w:val="20"/>
                <w:color w:val="auto"/>
              </w:rPr>
            </w:pPr>
            <w:r>
              <w:rPr>
                <w:rFonts w:ascii="Arial" w:cs="Arial" w:eastAsia="Arial" w:hAnsi="Arial"/>
                <w:sz w:val="18"/>
                <w:szCs w:val="18"/>
                <w:b w:val="1"/>
                <w:bCs w:val="1"/>
                <w:color w:val="auto"/>
              </w:rPr>
              <w:t>0.58</w:t>
            </w:r>
          </w:p>
        </w:tc>
        <w:tc>
          <w:tcPr>
            <w:tcW w:w="100" w:type="dxa"/>
            <w:vAlign w:val="bottom"/>
            <w:shd w:val="clear" w:color="auto" w:fill="CCFFFF"/>
          </w:tcPr>
          <w:p>
            <w:pPr>
              <w:spacing w:after="0"/>
              <w:rPr>
                <w:sz w:val="18"/>
                <w:szCs w:val="18"/>
                <w:color w:val="auto"/>
              </w:rPr>
            </w:pPr>
          </w:p>
        </w:tc>
      </w:tr>
    </w:tbl>
    <w:p>
      <w:pPr>
        <w:spacing w:after="0" w:line="202"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Group excluded the effect of 2,452,478 Stock Appreciation Rights or Stock Options (collectively the “SARs”) and 57,296 Restricted Stock Units (“RSUs”) in calculating diluted EPS for the three months ended March 31, 2021, as they were anti-dilutive (March 31, 2020: 2,611,762 SARs and 366,103 RSUs).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On May 3, 2021, GasLog announced that it has called a special general meeting of shareholders (the “Special Meeting”), to be held on June 4, 2021, to consider and vote on the proposal to approve (i) the previously announced Merger Agreement, (ii) the merger and (iii) the statutory merger agreement contemplated by the Merger Agreement. Holders of record of GasLog’s common shares and 8.75% Series A Cumulative Redeemable Perpetual Preference Shares on April 30, 2021 will be entitled to attend and vote at the Special Meeting, including any postponement or adjournment thereof.</w:t>
      </w:r>
    </w:p>
    <w:p>
      <w:pPr>
        <w:spacing w:after="0" w:line="15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On May 5, 2021, the board of directors declared a quarterly cash dividend of $0.05 per common share payable on May 27, 2021 to shareholders of record as of May 17, 2021.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2021-05-06T06:07:47Z</dcterms:created>
  <dcterms:modified xsi:type="dcterms:W3CDTF">2021-05-06T06:07:47Z</dcterms:modified>
</cp:coreProperties>
</file>