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Form 6-K</w:t>
            </w:r>
          </w:p>
        </w:tc>
        <w:tc>
          <w:tcPr>
            <w:tcW w:w="700" w:type="dxa"/>
            <w:vAlign w:val="bottom"/>
          </w:tcPr>
          <w:p>
            <w:pPr>
              <w:spacing w:after="0"/>
              <w:rPr>
                <w:sz w:val="20"/>
                <w:szCs w:val="20"/>
                <w:color w:val="auto"/>
              </w:rPr>
            </w:pPr>
          </w:p>
        </w:tc>
      </w:tr>
      <w:tr>
        <w:trPr>
          <w:trHeight w:val="414"/>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00" w:type="dxa"/>
            <w:vAlign w:val="bottom"/>
          </w:tcPr>
          <w:p>
            <w:pPr>
              <w:spacing w:after="0"/>
              <w:rPr>
                <w:sz w:val="24"/>
                <w:szCs w:val="24"/>
                <w:color w:val="auto"/>
              </w:rPr>
            </w:pPr>
          </w:p>
        </w:tc>
      </w:t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EXCHANGE ACT OF 1934</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For the month of September 2019</w:t>
            </w:r>
          </w:p>
        </w:tc>
        <w:tc>
          <w:tcPr>
            <w:tcW w:w="700" w:type="dxa"/>
            <w:vAlign w:val="bottom"/>
          </w:tcPr>
          <w:p>
            <w:pPr>
              <w:spacing w:after="0"/>
              <w:rPr>
                <w:sz w:val="24"/>
                <w:szCs w:val="24"/>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00" w:type="dxa"/>
            <w:vAlign w:val="bottom"/>
          </w:tcPr>
          <w:p>
            <w:pPr>
              <w:spacing w:after="0"/>
              <w:rPr>
                <w:sz w:val="24"/>
                <w:szCs w:val="24"/>
                <w:color w:val="auto"/>
              </w:rPr>
            </w:pPr>
          </w:p>
        </w:tc>
      </w:tr>
      <w:tr>
        <w:trPr>
          <w:trHeight w:val="418"/>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GasLog Ltd</w:t>
            </w:r>
          </w:p>
        </w:tc>
        <w:tc>
          <w:tcPr>
            <w:tcW w:w="700" w:type="dxa"/>
            <w:vAlign w:val="bottom"/>
          </w:tcPr>
          <w:p>
            <w:pPr>
              <w:spacing w:after="0"/>
              <w:rPr>
                <w:sz w:val="24"/>
                <w:szCs w:val="24"/>
                <w:color w:val="auto"/>
              </w:rPr>
            </w:pPr>
          </w:p>
        </w:tc>
      </w:tr>
      <w:tr>
        <w:trPr>
          <w:trHeight w:val="230"/>
        </w:trPr>
        <w:tc>
          <w:tcPr>
            <w:tcW w:w="10760" w:type="dxa"/>
            <w:vAlign w:val="bottom"/>
          </w:tcPr>
          <w:p>
            <w:pPr>
              <w:jc w:val="center"/>
              <w:ind w:left="590"/>
              <w:spacing w:after="0"/>
              <w:rPr>
                <w:sz w:val="20"/>
                <w:szCs w:val="20"/>
                <w:color w:val="auto"/>
              </w:rPr>
            </w:pPr>
            <w:r>
              <w:rPr>
                <w:rFonts w:ascii="Arial" w:cs="Arial" w:eastAsia="Arial" w:hAnsi="Arial"/>
                <w:sz w:val="18"/>
                <w:szCs w:val="18"/>
                <w:color w:val="auto"/>
                <w:w w:val="91"/>
              </w:rPr>
              <w:t>(Translation of registrant’s name into English)</w:t>
            </w:r>
          </w:p>
        </w:tc>
        <w:tc>
          <w:tcPr>
            <w:tcW w:w="700" w:type="dxa"/>
            <w:vAlign w:val="bottom"/>
          </w:tcPr>
          <w:p>
            <w:pPr>
              <w:spacing w:after="0"/>
              <w:rPr>
                <w:sz w:val="20"/>
                <w:szCs w:val="20"/>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Gildo Pastor Center</w:t>
            </w:r>
          </w:p>
        </w:tc>
        <w:tc>
          <w:tcPr>
            <w:tcW w:w="700" w:type="dxa"/>
            <w:vAlign w:val="bottom"/>
          </w:tcPr>
          <w:p>
            <w:pPr>
              <w:spacing w:after="0"/>
              <w:rPr>
                <w:sz w:val="24"/>
                <w:szCs w:val="24"/>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7 Rue du Gabian</w:t>
            </w:r>
          </w:p>
        </w:tc>
        <w:tc>
          <w:tcPr>
            <w:tcW w:w="700" w:type="dxa"/>
            <w:vAlign w:val="bottom"/>
          </w:tcPr>
          <w:p>
            <w:pPr>
              <w:spacing w:after="0"/>
              <w:rPr>
                <w:sz w:val="18"/>
                <w:szCs w:val="18"/>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MC 98000, Monaco</w:t>
            </w:r>
          </w:p>
        </w:tc>
        <w:tc>
          <w:tcPr>
            <w:tcW w:w="700" w:type="dxa"/>
            <w:vAlign w:val="bottom"/>
          </w:tcPr>
          <w:p>
            <w:pPr>
              <w:spacing w:after="0"/>
              <w:rPr>
                <w:sz w:val="18"/>
                <w:szCs w:val="18"/>
                <w:color w:val="auto"/>
              </w:rPr>
            </w:pPr>
          </w:p>
        </w:tc>
      </w:tr>
      <w:tr>
        <w:trPr>
          <w:trHeight w:val="230"/>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00" w:type="dxa"/>
            <w:vAlign w:val="bottom"/>
          </w:tcPr>
          <w:p>
            <w:pPr>
              <w:spacing w:after="0"/>
              <w:rPr>
                <w:sz w:val="24"/>
                <w:szCs w:val="24"/>
                <w:color w:val="auto"/>
              </w:rPr>
            </w:pPr>
          </w:p>
        </w:tc>
      </w:tr>
      <w:tr>
        <w:trPr>
          <w:trHeight w:val="452"/>
        </w:trPr>
        <w:tc>
          <w:tcPr>
            <w:tcW w:w="10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00" w:type="dxa"/>
            <w:vAlign w:val="bottom"/>
          </w:tcPr>
          <w:p>
            <w:pPr>
              <w:spacing w:after="0"/>
              <w:rPr>
                <w:sz w:val="24"/>
                <w:szCs w:val="24"/>
                <w:color w:val="auto"/>
              </w:rPr>
            </w:pPr>
          </w:p>
        </w:tc>
      </w:tr>
      <w:tr>
        <w:trPr>
          <w:trHeight w:val="41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348"/>
        </w:trPr>
        <w:tc>
          <w:tcPr>
            <w:tcW w:w="10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420" w:firstLine="376"/>
        <w:spacing w:after="0" w:line="277" w:lineRule="auto"/>
        <w:rPr>
          <w:sz w:val="20"/>
          <w:szCs w:val="20"/>
          <w:color w:val="auto"/>
        </w:rPr>
      </w:pPr>
      <w:r>
        <w:rPr>
          <w:rFonts w:ascii="Arial" w:cs="Arial" w:eastAsia="Arial" w:hAnsi="Arial"/>
          <w:sz w:val="18"/>
          <w:szCs w:val="18"/>
          <w:color w:val="auto"/>
        </w:rPr>
        <w:t>The press release issued by GasLog Ltd on September 4, 2019 announcing that GasLog Ltd. has signed a 10-year time charter for an LNG Floating Storage Unit to Panama Power Project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ind w:left="63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3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Paul A. Wogan</w:t>
            </w:r>
          </w:p>
        </w:tc>
        <w:tc>
          <w:tcPr>
            <w:tcW w:w="800" w:type="dxa"/>
            <w:vAlign w:val="bottom"/>
          </w:tcPr>
          <w:p>
            <w:pPr>
              <w:spacing w:after="0"/>
              <w:rPr>
                <w:sz w:val="20"/>
                <w:szCs w:val="20"/>
                <w:color w:val="auto"/>
              </w:rPr>
            </w:pPr>
          </w:p>
        </w:tc>
      </w:tr>
      <w:tr>
        <w:trPr>
          <w:trHeight w:val="202"/>
        </w:trPr>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340" w:type="dxa"/>
            <w:vAlign w:val="bottom"/>
          </w:tcPr>
          <w:p>
            <w:pPr>
              <w:ind w:left="80"/>
              <w:spacing w:after="0" w:line="201" w:lineRule="exact"/>
              <w:rPr>
                <w:sz w:val="20"/>
                <w:szCs w:val="20"/>
                <w:color w:val="auto"/>
              </w:rPr>
            </w:pPr>
            <w:r>
              <w:rPr>
                <w:rFonts w:ascii="Arial" w:cs="Arial" w:eastAsia="Arial" w:hAnsi="Arial"/>
                <w:sz w:val="18"/>
                <w:szCs w:val="18"/>
                <w:color w:val="auto"/>
              </w:rPr>
              <w:t>Paul A. Wogan</w:t>
            </w:r>
          </w:p>
        </w:tc>
        <w:tc>
          <w:tcPr>
            <w:tcW w:w="800" w:type="dxa"/>
            <w:vAlign w:val="bottom"/>
          </w:tcPr>
          <w:p>
            <w:pPr>
              <w:spacing w:after="0"/>
              <w:rPr>
                <w:sz w:val="17"/>
                <w:szCs w:val="17"/>
                <w:color w:val="auto"/>
              </w:rPr>
            </w:pPr>
          </w:p>
        </w:tc>
      </w:tr>
      <w:tr>
        <w:trPr>
          <w:trHeight w:val="230"/>
        </w:trPr>
        <w:tc>
          <w:tcPr>
            <w:tcW w:w="662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334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800" w:type="dxa"/>
            <w:vAlign w:val="bottom"/>
          </w:tcPr>
          <w:p>
            <w:pPr>
              <w:spacing w:after="0"/>
              <w:rPr>
                <w:sz w:val="20"/>
                <w:szCs w:val="20"/>
                <w:color w:val="auto"/>
              </w:rPr>
            </w:pPr>
          </w:p>
        </w:tc>
      </w:tr>
      <w:tr>
        <w:trPr>
          <w:trHeight w:val="361"/>
        </w:trPr>
        <w:tc>
          <w:tcPr>
            <w:tcW w:w="6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GasLog Ltd. Signs 10-Year Time Charter For Provision Of An LNG Floating Storage Unit To Panama Power Project</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Monaco, Sept. 04, 2019 — </w:t>
      </w:r>
      <w:r>
        <w:rPr>
          <w:rFonts w:ascii="Arial" w:cs="Arial" w:eastAsia="Arial" w:hAnsi="Arial"/>
          <w:sz w:val="18"/>
          <w:szCs w:val="18"/>
          <w:color w:val="auto"/>
        </w:rPr>
        <w:t>GasLog Ltd. (“GasLog”) (NYSE: GLOG) today announces that one of its subsidiaries has signed a 10-year time charter with</w:t>
      </w:r>
      <w:r>
        <w:rPr>
          <w:rFonts w:ascii="Arial" w:cs="Arial" w:eastAsia="Arial" w:hAnsi="Arial"/>
          <w:sz w:val="18"/>
          <w:szCs w:val="18"/>
          <w:b w:val="1"/>
          <w:bCs w:val="1"/>
          <w:color w:val="auto"/>
        </w:rPr>
        <w:t xml:space="preserve"> </w:t>
      </w:r>
      <w:r>
        <w:rPr>
          <w:rFonts w:ascii="Arial" w:cs="Arial" w:eastAsia="Arial" w:hAnsi="Arial"/>
          <w:sz w:val="18"/>
          <w:szCs w:val="18"/>
          <w:color w:val="auto"/>
        </w:rPr>
        <w:t>Sinolam LNG Terminal, S.A. for the provision of a liquefied natural gas (“LNG”) floating storage unit (“FSU”) to a gas-fired power project being developed in Panama.</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time charter is expected to be fulfilled through the conversion of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a 155,000 cubic meter, tri-fuel diesel electric (“TFDE”) LNG carrier built in 2010. The required modifications are such that, as well as being FSU ready, the vessel will still be able to trade as an LNG carrier following the conversion works. The </w:t>
      </w:r>
      <w:r>
        <w:rPr>
          <w:rFonts w:ascii="Arial" w:cs="Arial" w:eastAsia="Arial" w:hAnsi="Arial"/>
          <w:sz w:val="18"/>
          <w:szCs w:val="18"/>
          <w:i w:val="1"/>
          <w:iCs w:val="1"/>
          <w:color w:val="auto"/>
        </w:rPr>
        <w:t>GasLog Singapore’s</w:t>
      </w:r>
      <w:r>
        <w:rPr>
          <w:rFonts w:ascii="Arial" w:cs="Arial" w:eastAsia="Arial" w:hAnsi="Arial"/>
          <w:sz w:val="18"/>
          <w:szCs w:val="18"/>
          <w:color w:val="auto"/>
        </w:rPr>
        <w:t xml:space="preserve"> conversion will take place in conjunction with the vessel’s scheduled 5-year special survey in the third quarter of 2020, enabling both time and cost synergies with the vessel’s regular dry-docking. The charter commences on delivery of the FSU in Panama, which is scheduled for November 2020.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Since September 2016,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has been trading in the LNG carrier spot market. The FSU contract is for a fixed period, thereby delivering 100% utilization for the duration of the charter. The FSU will also incur a lower opex than if the vessel was trading as an LNG carrier, with GasLog estimating that the charter will generate approximately $20 million of EBITDA per annum over its 10-year life.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FSU will receive, store and send out LNG to a gas-fired power plant currently being developed near Colón, Panama, by Sinolam Smarter Energy LNG Power Company (“Sinolam”), a subsidiary of private Chinese investment group Shanghai Gorgeous Investment Development Company. The power project has signed long-term power purchase agreements with leading Panamanian utility companies as well as a 15-year LNG sale and purchase agreement with Royal Dutch Shell plc.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Paul Wogan, Chief Executive Officer, stated: “The 10-year FSU charter once again demonstrates GasLog’s ability to execute on our strategic objectives of locking in long-term stable revenues and full utilization on one of our existing open vessels. Owning and operating an FSU will also expand GasLog’s service offering. We look forward to partnering with Sinolam to deliver gas-fired power to Panama, thereby displacing coal, oil and oil products in the country’s energy mix with cleaner natural gas.”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Kenneth Zhang, Chief Executive Officer of Sinolam Smarter Energy, stated: “The LNG Floating Storage Unit is a key element of our integrated power project, and we are very pleased to welcome GasLog as a strategic partner for our commercial operations. GasLog’s entry into the project is a vote of confidence in our business platform and the attractiveness of Panama as an investment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Co. Ltd. and leased back by GasLog under a long-term bareboat charter and the remaining 15 LNG carriers are owned by the Company’s subsidiary, GasLog Partners LP. GasLog’s principal executive offices are at Gildo Pastor Center, 7 Rue du Gabian, MC 98000, Monaco. </w:t>
      </w:r>
      <w:r>
        <w:rPr>
          <w:rFonts w:ascii="Arial" w:cs="Arial" w:eastAsia="Arial" w:hAnsi="Arial"/>
          <w:sz w:val="15"/>
          <w:szCs w:val="15"/>
          <w:color w:val="auto"/>
        </w:rPr>
        <w:t>Visit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8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68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5, 2019 and available at http://www.sec.gov.</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60"/>
      </w:cols>
      <w:pgMar w:left="240" w:top="34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2019-11-29T12:11:36Z</dcterms:created>
  <dcterms:modified xsi:type="dcterms:W3CDTF">2019-11-29T12:11:36Z</dcterms:modified>
</cp:coreProperties>
</file>