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10)</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G37585109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Peter G. Livanos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 Ceres Monaco SAM</w:t>
      </w:r>
    </w:p>
    <w:p>
      <w:pPr>
        <w:jc w:val="center"/>
        <w:ind w:right="-59"/>
        <w:spacing w:after="0" w:line="230" w:lineRule="auto"/>
        <w:rPr>
          <w:sz w:val="20"/>
          <w:szCs w:val="20"/>
          <w:color w:val="auto"/>
        </w:rPr>
      </w:pPr>
      <w:r>
        <w:rPr>
          <w:rFonts w:ascii="Arial" w:cs="Arial" w:eastAsia="Arial" w:hAnsi="Arial"/>
          <w:sz w:val="22"/>
          <w:szCs w:val="22"/>
          <w:b w:val="1"/>
          <w:bCs w:val="1"/>
          <w:color w:val="auto"/>
        </w:rPr>
        <w:t>Gildo Pastor Center</w:t>
      </w:r>
    </w:p>
    <w:p>
      <w:pPr>
        <w:jc w:val="center"/>
        <w:ind w:right="-59"/>
        <w:spacing w:after="0" w:line="231" w:lineRule="auto"/>
        <w:rPr>
          <w:sz w:val="20"/>
          <w:szCs w:val="20"/>
          <w:color w:val="auto"/>
        </w:rPr>
      </w:pPr>
      <w:r>
        <w:rPr>
          <w:rFonts w:ascii="Arial" w:cs="Arial" w:eastAsia="Arial" w:hAnsi="Arial"/>
          <w:sz w:val="22"/>
          <w:szCs w:val="22"/>
          <w:b w:val="1"/>
          <w:bCs w:val="1"/>
          <w:color w:val="auto"/>
        </w:rPr>
        <w:t>7 rue due Gabian</w:t>
      </w:r>
    </w:p>
    <w:p>
      <w:pPr>
        <w:jc w:val="center"/>
        <w:ind w:right="-59"/>
        <w:spacing w:after="0"/>
        <w:rPr>
          <w:sz w:val="20"/>
          <w:szCs w:val="20"/>
          <w:color w:val="auto"/>
        </w:rPr>
      </w:pPr>
      <w:r>
        <w:rPr>
          <w:rFonts w:ascii="Arial" w:cs="Arial" w:eastAsia="Arial" w:hAnsi="Arial"/>
          <w:sz w:val="22"/>
          <w:szCs w:val="22"/>
          <w:b w:val="1"/>
          <w:bCs w:val="1"/>
          <w:color w:val="auto"/>
        </w:rPr>
        <w:t>98000 Monaco</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Copies to:</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 Scott Bennett,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Cravath, Swaine &amp; Moore LLP</w:t>
      </w:r>
    </w:p>
    <w:p>
      <w:pPr>
        <w:jc w:val="center"/>
        <w:ind w:right="-59"/>
        <w:spacing w:after="0" w:line="230" w:lineRule="auto"/>
        <w:rPr>
          <w:sz w:val="20"/>
          <w:szCs w:val="20"/>
          <w:color w:val="auto"/>
        </w:rPr>
      </w:pPr>
      <w:r>
        <w:rPr>
          <w:rFonts w:ascii="Arial" w:cs="Arial" w:eastAsia="Arial" w:hAnsi="Arial"/>
          <w:sz w:val="22"/>
          <w:szCs w:val="22"/>
          <w:b w:val="1"/>
          <w:bCs w:val="1"/>
          <w:color w:val="auto"/>
        </w:rPr>
        <w:t>Worldwide Plaza</w:t>
      </w:r>
    </w:p>
    <w:p>
      <w:pPr>
        <w:jc w:val="center"/>
        <w:ind w:right="-59"/>
        <w:spacing w:after="0" w:line="231" w:lineRule="auto"/>
        <w:rPr>
          <w:sz w:val="20"/>
          <w:szCs w:val="20"/>
          <w:color w:val="auto"/>
        </w:rPr>
      </w:pPr>
      <w:r>
        <w:rPr>
          <w:rFonts w:ascii="Arial" w:cs="Arial" w:eastAsia="Arial" w:hAnsi="Arial"/>
          <w:sz w:val="22"/>
          <w:szCs w:val="22"/>
          <w:b w:val="1"/>
          <w:bCs w:val="1"/>
          <w:color w:val="auto"/>
        </w:rPr>
        <w:t>825 Eighth Avenue</w:t>
      </w:r>
    </w:p>
    <w:p>
      <w:pPr>
        <w:jc w:val="center"/>
        <w:ind w:right="-59"/>
        <w:spacing w:after="0" w:line="230" w:lineRule="auto"/>
        <w:rPr>
          <w:sz w:val="20"/>
          <w:szCs w:val="20"/>
          <w:color w:val="auto"/>
        </w:rPr>
      </w:pPr>
      <w:r>
        <w:rPr>
          <w:rFonts w:ascii="Arial" w:cs="Arial" w:eastAsia="Arial" w:hAnsi="Arial"/>
          <w:sz w:val="22"/>
          <w:szCs w:val="22"/>
          <w:b w:val="1"/>
          <w:bCs w:val="1"/>
          <w:color w:val="auto"/>
        </w:rPr>
        <w:t>New York, New York 10019</w:t>
      </w:r>
    </w:p>
    <w:p>
      <w:pPr>
        <w:jc w:val="center"/>
        <w:ind w:right="-59"/>
        <w:spacing w:after="0" w:line="231" w:lineRule="auto"/>
        <w:rPr>
          <w:sz w:val="20"/>
          <w:szCs w:val="20"/>
          <w:color w:val="auto"/>
        </w:rPr>
      </w:pPr>
      <w:r>
        <w:rPr>
          <w:rFonts w:ascii="Arial" w:cs="Arial" w:eastAsia="Arial" w:hAnsi="Arial"/>
          <w:sz w:val="22"/>
          <w:szCs w:val="22"/>
          <w:b w:val="1"/>
          <w:bCs w:val="1"/>
          <w:color w:val="auto"/>
        </w:rPr>
        <w:t>+1 (212) 474-1132</w:t>
      </w:r>
    </w:p>
    <w:p>
      <w:pPr>
        <w:jc w:val="center"/>
        <w:ind w:right="-59"/>
        <w:spacing w:after="0" w:line="230" w:lineRule="auto"/>
        <w:rPr>
          <w:sz w:val="20"/>
          <w:szCs w:val="20"/>
          <w:color w:val="auto"/>
        </w:rPr>
      </w:pPr>
      <w:r>
        <w:rPr>
          <w:rFonts w:ascii="Arial" w:cs="Arial" w:eastAsia="Arial" w:hAnsi="Arial"/>
          <w:sz w:val="22"/>
          <w:szCs w:val="22"/>
          <w:b w:val="1"/>
          <w:bCs w:val="1"/>
          <w:color w:val="auto"/>
        </w:rPr>
        <w:t>(telephone number)</w:t>
      </w:r>
    </w:p>
    <w:p>
      <w:pPr>
        <w:jc w:val="center"/>
        <w:ind w:right="-59"/>
        <w:spacing w:after="0" w:line="231" w:lineRule="auto"/>
        <w:rPr>
          <w:sz w:val="20"/>
          <w:szCs w:val="20"/>
          <w:color w:val="auto"/>
        </w:rPr>
      </w:pPr>
      <w:r>
        <w:rPr>
          <w:rFonts w:ascii="Arial" w:cs="Arial" w:eastAsia="Arial" w:hAnsi="Arial"/>
          <w:sz w:val="22"/>
          <w:szCs w:val="22"/>
          <w:b w:val="1"/>
          <w:bCs w:val="1"/>
          <w:color w:val="auto"/>
        </w:rPr>
        <w:t>+1 (212) 474-3700</w:t>
      </w:r>
    </w:p>
    <w:p>
      <w:pPr>
        <w:jc w:val="center"/>
        <w:ind w:right="-59"/>
        <w:spacing w:after="0"/>
        <w:rPr>
          <w:sz w:val="20"/>
          <w:szCs w:val="20"/>
          <w:color w:val="auto"/>
        </w:rPr>
      </w:pPr>
      <w:r>
        <w:rPr>
          <w:rFonts w:ascii="Arial" w:cs="Arial" w:eastAsia="Arial" w:hAnsi="Arial"/>
          <w:sz w:val="22"/>
          <w:szCs w:val="22"/>
          <w:b w:val="1"/>
          <w:bCs w:val="1"/>
          <w:color w:val="auto"/>
        </w:rPr>
        <w:t>(facsimile number)</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Address and Telephone Number of Person Authorized to</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Receive 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February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G37585109</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134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w w:val="90"/>
              </w:rPr>
              <w:t>Peter G. Livanos</w:t>
            </w:r>
          </w:p>
        </w:tc>
        <w:tc>
          <w:tcPr>
            <w:tcW w:w="78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78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5"/>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78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5"/>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OO</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5"/>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6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5"/>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6"/>
          </w:tcPr>
          <w:p>
            <w:pPr>
              <w:ind w:left="40"/>
              <w:spacing w:after="0"/>
              <w:rPr>
                <w:sz w:val="20"/>
                <w:szCs w:val="20"/>
                <w:color w:val="auto"/>
              </w:rPr>
            </w:pPr>
            <w:r>
              <w:rPr>
                <w:rFonts w:ascii="Arial" w:cs="Arial" w:eastAsia="Arial" w:hAnsi="Arial"/>
                <w:sz w:val="18"/>
                <w:szCs w:val="18"/>
                <w:b w:val="1"/>
                <w:bCs w:val="1"/>
                <w:color w:val="auto"/>
              </w:rPr>
              <w:t>Greece and the United Kingdom</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34,143,544</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5,276,000 (1)</w:t>
            </w:r>
          </w:p>
        </w:tc>
        <w:tc>
          <w:tcPr>
            <w:tcW w:w="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20" w:type="dxa"/>
            <w:vAlign w:val="bottom"/>
          </w:tcPr>
          <w:p>
            <w:pPr>
              <w:spacing w:after="0"/>
              <w:rPr>
                <w:sz w:val="14"/>
                <w:szCs w:val="14"/>
                <w:color w:val="auto"/>
              </w:rPr>
            </w:pPr>
          </w:p>
        </w:tc>
        <w:tc>
          <w:tcPr>
            <w:tcW w:w="788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78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34,143,544</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5,276,000</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00" w:type="dxa"/>
            <w:vAlign w:val="bottom"/>
            <w:tcBorders>
              <w:bottom w:val="single" w:sz="8" w:color="auto"/>
            </w:tcBorders>
            <w:gridSpan w:val="2"/>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39,419,544 (2)</w:t>
            </w: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gridSpan w:val="2"/>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6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20" w:type="dxa"/>
            <w:vAlign w:val="bottom"/>
            <w:gridSpan w:val="6"/>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41.4% (2)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gridSpan w:val="2"/>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IN</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right="40" w:hanging="334"/>
        <w:spacing w:after="0" w:line="25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person disclaims beneficial ownership of the Common Shares owned by the Controlled Entities (as defined herein), and the Controlled Entities disclaim beneficial ownership of the shares owned by the filing person, in each case as of the date hereof. Upon the contribution of Common Shares held by each of the Rolling Shareholders (other than Blenheim Holdings Ltd. and Olympic LNG Investments Ltd.) (as defined herein) to BSIH (as defined herein), the filing person will be deemed to become the beneficial owner of 5,276,000 Common Shares. See “Item 4. —Purpose of Transaction”.</w:t>
      </w:r>
    </w:p>
    <w:p>
      <w:pPr>
        <w:spacing w:after="0" w:line="214" w:lineRule="exact"/>
        <w:rPr>
          <w:rFonts w:ascii="Arial" w:cs="Arial" w:eastAsia="Arial" w:hAnsi="Arial"/>
          <w:sz w:val="18"/>
          <w:szCs w:val="18"/>
          <w:color w:val="auto"/>
        </w:rPr>
      </w:pPr>
    </w:p>
    <w:p>
      <w:pPr>
        <w:ind w:left="720" w:right="60" w:hanging="334"/>
        <w:spacing w:after="0" w:line="273"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aggregate amount of Common Shares beneficially owned and percentage ownership of the filing person are calculated based on the number of Common Shares held by the filing person as of the date hereof. Additionally, the percentage ownership of the filing person is calculated based on an aggregate number of 95,192,812 Common Shares outstanding as of February 17, 2021. Upon the contribution of Common Shares held by each of the Additional Rolling Shareholders (as defined herein) to BSIH (as defined herein), the aggregate amount of Common Shares beneficially owned by the filing person will increase by 2,040,654 and be equal to 41,460,198, and the percentage ownership of the filing person will increase to 43.6% to reflect such contribution. See “Item 4.—Purpose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545"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G37585109</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Ceres Shipping Ltd.</w:t>
            </w: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220" w:type="dxa"/>
            <w:vAlign w:val="bottom"/>
            <w:gridSpan w:val="5"/>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OO</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6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Bermuda</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30,800,000</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9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9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790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9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30,800,000</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790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30,800,000 (1)</w:t>
            </w: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6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20" w:type="dxa"/>
            <w:vAlign w:val="bottom"/>
            <w:gridSpan w:val="5"/>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32.4% (1)</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CO</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right="60" w:hanging="334"/>
        <w:spacing w:after="0" w:line="272"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aggregate amount of Common Shares beneficially owned and percentage ownership of the filing person are calculated based on the number of Common Shares held by the filing person as of the date hereof. Additionally, the percentage ownership of the filing person is calculated based on an aggregate number of 95,192,812 Common Shares outstanding as of February 17, 2021. Upon the contribution of Common Shares held by each of (i) the Rolling Shareholders (other than Blenheim Holdings Ltd. and Olympic LNG Investments Ltd.) (as defined herein) and (ii) the Additional Rolling Shareholders (as defined herein), each to BSIH (as defined herein), the aggregate amount of Common Shares beneficially owned by the filing person will increase by 10,660,198 and be equal to 41,460,198, and the percentage ownership of the filing person will increase to 43.6% to reflect such contributions. See “Item 4.—Purpose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G37585109</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Blenheim Holdings Ltd.</w:t>
            </w: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220" w:type="dxa"/>
            <w:vAlign w:val="bottom"/>
            <w:gridSpan w:val="5"/>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WC</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6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Bermuda</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30,800,000</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9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9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790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9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30,800,000</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790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30,800,000 (1)</w:t>
            </w: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6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20" w:type="dxa"/>
            <w:vAlign w:val="bottom"/>
            <w:gridSpan w:val="5"/>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32.4% (1)</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CO</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right="60" w:hanging="334"/>
        <w:spacing w:after="0" w:line="272"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aggregate amount of Common Shares beneficially owned and percentage ownership of the filing person are calculated based on the number of Common Shares held by the filing person as of the date hereof. Additionally, the percentage ownership of the filing person is calculated based on an aggregate number of 95,192,812 Common Shares outstanding as of February 17, 2021. Upon the contribution of Common Shares held by each of (i) the Rolling Shareholders (other than Blenheim Holdings Ltd. and Olympic LNG Investments Ltd.) (as defined herein) and (ii) the Additional Rolling Shareholders (as defined herein), each to BSIH (as defined herein), the aggregate amount of Common Shares beneficially owned by the filing person will increase by 10,660,198 and be equal to 41,460,198, and the percentage ownership of the filing person will increase to 43.6% to reflect such contributions. See “Item 4.—Purpose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7603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6034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NAMES OF REPORTING PERSONS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1</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00" w:type="dxa"/>
            <w:vAlign w:val="bottom"/>
            <w:vMerge w:val="continue"/>
          </w:tcPr>
          <w:p>
            <w:pPr>
              <w:spacing w:after="0"/>
              <w:rPr>
                <w:sz w:val="21"/>
                <w:szCs w:val="21"/>
                <w:color w:val="auto"/>
              </w:rPr>
            </w:pPr>
          </w:p>
        </w:tc>
        <w:tc>
          <w:tcPr>
            <w:tcW w:w="79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Blenheim Special Investments Holding Ltd.</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794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2</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10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vMerge w:val="restart"/>
          </w:tcPr>
          <w:p>
            <w:pPr>
              <w:jc w:val="right"/>
              <w:ind w:right="158"/>
              <w:spacing w:after="0"/>
              <w:rPr>
                <w:sz w:val="20"/>
                <w:szCs w:val="20"/>
                <w:color w:val="auto"/>
              </w:rPr>
            </w:pPr>
            <w:r>
              <w:rPr>
                <w:rFonts w:ascii="Arial" w:cs="Arial" w:eastAsia="Arial" w:hAnsi="Arial"/>
                <w:sz w:val="32"/>
                <w:szCs w:val="32"/>
                <w:b w:val="1"/>
                <w:bCs w:val="1"/>
                <w:color w:val="auto"/>
              </w:rPr>
              <w:t>3</w:t>
            </w:r>
          </w:p>
        </w:tc>
        <w:tc>
          <w:tcPr>
            <w:tcW w:w="7940" w:type="dxa"/>
            <w:vAlign w:val="bottom"/>
          </w:tcPr>
          <w:p>
            <w:pPr>
              <w:ind w:left="320"/>
              <w:spacing w:after="0"/>
              <w:rPr>
                <w:sz w:val="20"/>
                <w:szCs w:val="20"/>
                <w:color w:val="auto"/>
              </w:rPr>
            </w:pPr>
            <w:r>
              <w:rPr>
                <w:rFonts w:ascii="Arial" w:cs="Arial" w:eastAsia="Arial" w:hAnsi="Arial"/>
                <w:sz w:val="18"/>
                <w:szCs w:val="18"/>
                <w:b w:val="1"/>
                <w:bCs w:val="1"/>
                <w:color w:val="auto"/>
              </w:rPr>
              <w:t>SEC USE ONLY</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100" w:type="dxa"/>
            <w:vAlign w:val="bottom"/>
            <w:vMerge w:val="continue"/>
          </w:tcPr>
          <w:p>
            <w:pPr>
              <w:spacing w:after="0"/>
              <w:rPr>
                <w:sz w:val="24"/>
                <w:szCs w:val="24"/>
                <w:color w:val="auto"/>
              </w:rPr>
            </w:pPr>
          </w:p>
        </w:tc>
        <w:tc>
          <w:tcPr>
            <w:tcW w:w="7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8"/>
        <w:spacing w:after="0" w:line="182" w:lineRule="auto"/>
        <w:tabs>
          <w:tab w:leader="none" w:pos="144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OO</w:t>
      </w:r>
    </w:p>
    <w:p>
      <w:pPr>
        <w:spacing w:after="0" w:line="181" w:lineRule="exact"/>
        <w:rPr>
          <w:sz w:val="20"/>
          <w:szCs w:val="20"/>
          <w:color w:val="auto"/>
        </w:rPr>
      </w:pPr>
    </w:p>
    <w:p>
      <w:pPr>
        <w:ind w:left="1420"/>
        <w:spacing w:after="0" w:line="207" w:lineRule="exact"/>
        <w:tabs>
          <w:tab w:leader="none" w:pos="1102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b w:val="1"/>
          <w:bCs w:val="1"/>
          <w:color w:val="auto"/>
        </w:rPr>
        <w:t>Bermuda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tcBorders>
              <w:top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7"/>
                <w:szCs w:val="17"/>
                <w:color w:val="auto"/>
              </w:rPr>
            </w:pPr>
          </w:p>
        </w:tc>
        <w:tc>
          <w:tcPr>
            <w:tcW w:w="7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5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7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60" w:type="dxa"/>
            <w:vAlign w:val="bottom"/>
            <w:vMerge w:val="restart"/>
          </w:tcPr>
          <w:p>
            <w:pPr>
              <w:jc w:val="center"/>
              <w:ind w:left="563"/>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75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60" w:type="dxa"/>
            <w:vAlign w:val="bottom"/>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3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86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60" w:type="dxa"/>
            <w:vAlign w:val="bottom"/>
            <w:vMerge w:val="continue"/>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b w:val="1"/>
                <w:bCs w:val="1"/>
                <w:color w:val="auto"/>
              </w:rPr>
              <w:t>0 (1)</w:t>
            </w:r>
          </w:p>
        </w:tc>
        <w:tc>
          <w:tcPr>
            <w:tcW w:w="6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8860" w:type="dxa"/>
            <w:vAlign w:val="bottom"/>
            <w:gridSpan w:val="3"/>
          </w:tcPr>
          <w:p>
            <w:pPr>
              <w:ind w:left="6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2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46"/>
        </w:trPr>
        <w:tc>
          <w:tcPr>
            <w:tcW w:w="13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8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INSTRUCTIONS)</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886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36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860" w:type="dxa"/>
            <w:vAlign w:val="bottom"/>
            <w:gridSpan w:val="3"/>
          </w:tcPr>
          <w:p>
            <w:pPr>
              <w:ind w:left="6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60" w:type="dxa"/>
            <w:vAlign w:val="bottom"/>
            <w:vMerge w:val="continue"/>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b w:val="1"/>
                <w:bCs w:val="1"/>
                <w:color w:val="auto"/>
              </w:rPr>
              <w:t>0% (1)</w:t>
            </w:r>
          </w:p>
        </w:tc>
        <w:tc>
          <w:tcPr>
            <w:tcW w:w="6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1" w:lineRule="auto"/>
        <w:tabs>
          <w:tab w:leader="none" w:pos="1420" w:val="left"/>
        </w:tabs>
        <w:rPr>
          <w:sz w:val="20"/>
          <w:szCs w:val="20"/>
          <w:color w:val="auto"/>
        </w:rPr>
      </w:pPr>
      <w:r>
        <w:rPr>
          <w:rFonts w:ascii="Arial" w:cs="Arial" w:eastAsia="Arial" w:hAnsi="Arial"/>
          <w:sz w:val="27"/>
          <w:szCs w:val="27"/>
          <w:b w:val="1"/>
          <w:bCs w:val="1"/>
          <w:color w:val="auto"/>
          <w:vertAlign w:val="superscript"/>
        </w:rPr>
        <w:t>14</w:t>
      </w:r>
      <w:r>
        <w:rPr>
          <w:sz w:val="20"/>
          <w:szCs w:val="20"/>
          <w:color w:val="auto"/>
        </w:rPr>
        <w:tab/>
      </w:r>
      <w:r>
        <w:rPr>
          <w:rFonts w:ascii="Arial" w:cs="Arial" w:eastAsia="Arial" w:hAnsi="Arial"/>
          <w:sz w:val="14"/>
          <w:szCs w:val="14"/>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0712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720" w:right="60" w:hanging="334"/>
        <w:spacing w:after="0" w:line="272"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amount of Common Shares beneficially owned and percentage ownership of the filing person are calculated based on the number of Common Shares held by the filing person as of the date hereof. Additionally, the percentage ownership of the filing person is calculated based on an aggregate number of 95,192,812 Common Shares outstanding as of February 17, 2021. Upon the contribution of Common Shares held by each of (i) the Rolling Shareholders (other than Blenheim Holdings Ltd. and Olympic LNG Investments Ltd.) (as defined herein) and (ii) the Additional Rolling Shareholders (as defined herein), each to the filing person, the aggregate amount of Common Shares beneficially owned by the filing person will be equal to 10,660,198, and the percentage ownership of the filing person will be equal to 11.2% to reflect such contributions. See “Item 4.—Purpose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i w:val="1"/>
          <w:iCs w:val="1"/>
          <w:color w:val="auto"/>
        </w:rPr>
        <w:t>Explanatory Note</w:t>
      </w:r>
    </w:p>
    <w:p>
      <w:pPr>
        <w:spacing w:after="0" w:line="227" w:lineRule="exact"/>
        <w:rPr>
          <w:sz w:val="20"/>
          <w:szCs w:val="20"/>
          <w:color w:val="auto"/>
        </w:rPr>
      </w:pPr>
    </w:p>
    <w:p>
      <w:pPr>
        <w:ind w:right="40" w:firstLine="648"/>
        <w:spacing w:after="0" w:line="283" w:lineRule="auto"/>
        <w:rPr>
          <w:sz w:val="20"/>
          <w:szCs w:val="20"/>
          <w:color w:val="auto"/>
        </w:rPr>
      </w:pPr>
      <w:r>
        <w:rPr>
          <w:rFonts w:ascii="Arial" w:cs="Arial" w:eastAsia="Arial" w:hAnsi="Arial"/>
          <w:sz w:val="19"/>
          <w:szCs w:val="19"/>
          <w:color w:val="auto"/>
        </w:rPr>
        <w:t>The purpose of this Amendment No. 10 (this “</w:t>
      </w:r>
      <w:r>
        <w:rPr>
          <w:rFonts w:ascii="Arial" w:cs="Arial" w:eastAsia="Arial" w:hAnsi="Arial"/>
          <w:sz w:val="19"/>
          <w:szCs w:val="19"/>
          <w:b w:val="1"/>
          <w:bCs w:val="1"/>
          <w:color w:val="auto"/>
        </w:rPr>
        <w:t>Amendment No. 10</w:t>
      </w:r>
      <w:r>
        <w:rPr>
          <w:rFonts w:ascii="Arial" w:cs="Arial" w:eastAsia="Arial" w:hAnsi="Arial"/>
          <w:sz w:val="19"/>
          <w:szCs w:val="19"/>
          <w:color w:val="auto"/>
        </w:rPr>
        <w:t>”) to the Schedule 13D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on June 29, 2012 in respect of the Common stock, par value US $0.01 per share (the “</w:t>
      </w:r>
      <w:r>
        <w:rPr>
          <w:rFonts w:ascii="Arial" w:cs="Arial" w:eastAsia="Arial" w:hAnsi="Arial"/>
          <w:sz w:val="19"/>
          <w:szCs w:val="19"/>
          <w:b w:val="1"/>
          <w:bCs w:val="1"/>
          <w:color w:val="auto"/>
        </w:rPr>
        <w:t>Shares</w:t>
      </w:r>
      <w:r>
        <w:rPr>
          <w:rFonts w:ascii="Arial" w:cs="Arial" w:eastAsia="Arial" w:hAnsi="Arial"/>
          <w:sz w:val="19"/>
          <w:szCs w:val="19"/>
          <w:color w:val="auto"/>
        </w:rPr>
        <w:t>”) of Gaslog Ltd. (the “</w:t>
      </w:r>
      <w:r>
        <w:rPr>
          <w:rFonts w:ascii="Arial" w:cs="Arial" w:eastAsia="Arial" w:hAnsi="Arial"/>
          <w:sz w:val="19"/>
          <w:szCs w:val="19"/>
          <w:b w:val="1"/>
          <w:bCs w:val="1"/>
          <w:color w:val="auto"/>
        </w:rPr>
        <w:t>Issuer</w:t>
      </w:r>
      <w:r>
        <w:rPr>
          <w:rFonts w:ascii="Arial" w:cs="Arial" w:eastAsia="Arial" w:hAnsi="Arial"/>
          <w:sz w:val="19"/>
          <w:szCs w:val="19"/>
          <w:color w:val="auto"/>
        </w:rPr>
        <w:t>”) (the “</w:t>
      </w:r>
      <w:r>
        <w:rPr>
          <w:rFonts w:ascii="Arial" w:cs="Arial" w:eastAsia="Arial" w:hAnsi="Arial"/>
          <w:sz w:val="19"/>
          <w:szCs w:val="19"/>
          <w:b w:val="1"/>
          <w:bCs w:val="1"/>
          <w:color w:val="auto"/>
        </w:rPr>
        <w:t>Original Schedule 13D</w:t>
      </w:r>
      <w:r>
        <w:rPr>
          <w:rFonts w:ascii="Arial" w:cs="Arial" w:eastAsia="Arial" w:hAnsi="Arial"/>
          <w:sz w:val="19"/>
          <w:szCs w:val="19"/>
          <w:color w:val="auto"/>
        </w:rPr>
        <w:t>”), as amended on March 13, 2014, April 16, 2014, September 26, 2014, March 26, 2015, August 7, 2015, December 21, 2015, June 24, 2019, June 30, 2020 and January 11, 2021 (as amended, the “</w:t>
      </w:r>
      <w:r>
        <w:rPr>
          <w:rFonts w:ascii="Arial" w:cs="Arial" w:eastAsia="Arial" w:hAnsi="Arial"/>
          <w:sz w:val="19"/>
          <w:szCs w:val="19"/>
          <w:b w:val="1"/>
          <w:bCs w:val="1"/>
          <w:color w:val="auto"/>
        </w:rPr>
        <w:t>Amended Schedule 13D</w:t>
      </w:r>
      <w:r>
        <w:rPr>
          <w:rFonts w:ascii="Arial" w:cs="Arial" w:eastAsia="Arial" w:hAnsi="Arial"/>
          <w:sz w:val="19"/>
          <w:szCs w:val="19"/>
          <w:color w:val="auto"/>
        </w:rPr>
        <w:t>”) is to update the Amended Schedule 13D to reflect:</w:t>
      </w:r>
    </w:p>
    <w:p>
      <w:pPr>
        <w:spacing w:after="0" w:line="183" w:lineRule="exact"/>
        <w:rPr>
          <w:sz w:val="20"/>
          <w:szCs w:val="20"/>
          <w:color w:val="auto"/>
        </w:rPr>
      </w:pPr>
    </w:p>
    <w:p>
      <w:pPr>
        <w:ind w:left="1140" w:right="140" w:hanging="484"/>
        <w:spacing w:after="0" w:line="26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operation of the expiration of the Lock-Up Period set forth in the Lock-Up Agreement filed with the Commission on June 22, 2020, an aggregate number of 6,500,000 Shares are now held in trust by Blenheim for the affiliates of Blenheim set forth in the chart below. Mr. Livanos disclaims beneficial ownership of the Shares owned by such entities.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r>
              <w:rPr>
                <w:rFonts w:ascii="Arial" w:cs="Arial" w:eastAsia="Arial" w:hAnsi="Arial"/>
                <w:sz w:val="18"/>
                <w:szCs w:val="18"/>
                <w:b w:val="1"/>
                <w:bCs w:val="1"/>
                <w:color w:val="auto"/>
              </w:rPr>
              <w:t>Entity</w:t>
            </w:r>
          </w:p>
        </w:tc>
        <w:tc>
          <w:tcPr>
            <w:tcW w:w="4840" w:type="dxa"/>
            <w:vAlign w:val="bottom"/>
            <w:gridSpan w:val="2"/>
          </w:tcPr>
          <w:p>
            <w:pPr>
              <w:ind w:left="32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Falconera Navigation Inc.</w:t>
            </w:r>
          </w:p>
        </w:tc>
        <w:tc>
          <w:tcPr>
            <w:tcW w:w="4780" w:type="dxa"/>
            <w:vAlign w:val="bottom"/>
            <w:tcBorders>
              <w:top w:val="single" w:sz="8" w:color="auto"/>
            </w:tcBorders>
            <w:shd w:val="clear" w:color="auto" w:fill="CCEEFF"/>
          </w:tcPr>
          <w:p>
            <w:pPr>
              <w:ind w:left="2540"/>
              <w:spacing w:after="0"/>
              <w:rPr>
                <w:sz w:val="20"/>
                <w:szCs w:val="20"/>
                <w:color w:val="auto"/>
              </w:rPr>
            </w:pPr>
            <w:r>
              <w:rPr>
                <w:rFonts w:ascii="Arial" w:cs="Arial" w:eastAsia="Arial" w:hAnsi="Arial"/>
                <w:sz w:val="18"/>
                <w:szCs w:val="18"/>
                <w:color w:val="auto"/>
              </w:rPr>
              <w:t>2,000,000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Maple Tree Holdings Ltd.</w:t>
            </w:r>
          </w:p>
        </w:tc>
        <w:tc>
          <w:tcPr>
            <w:tcW w:w="4780" w:type="dxa"/>
            <w:vAlign w:val="bottom"/>
          </w:tcPr>
          <w:p>
            <w:pPr>
              <w:ind w:left="2540"/>
              <w:spacing w:after="0"/>
              <w:rPr>
                <w:sz w:val="20"/>
                <w:szCs w:val="20"/>
                <w:color w:val="auto"/>
              </w:rPr>
            </w:pPr>
            <w:r>
              <w:rPr>
                <w:rFonts w:ascii="Arial" w:cs="Arial" w:eastAsia="Arial" w:hAnsi="Arial"/>
                <w:sz w:val="18"/>
                <w:szCs w:val="18"/>
                <w:color w:val="auto"/>
              </w:rPr>
              <w:t>1,700,000</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Eleanor Investments Holdings</w:t>
            </w:r>
          </w:p>
        </w:tc>
        <w:tc>
          <w:tcPr>
            <w:tcW w:w="478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JP Jones Holdings Limited</w:t>
            </w:r>
          </w:p>
        </w:tc>
        <w:tc>
          <w:tcPr>
            <w:tcW w:w="4780" w:type="dxa"/>
            <w:vAlign w:val="bottom"/>
          </w:tcPr>
          <w:p>
            <w:pPr>
              <w:ind w:left="2540"/>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Nelson Equity Limited</w:t>
            </w:r>
          </w:p>
        </w:tc>
        <w:tc>
          <w:tcPr>
            <w:tcW w:w="478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Thatcher Investments Limited</w:t>
            </w:r>
          </w:p>
        </w:tc>
        <w:tc>
          <w:tcPr>
            <w:tcW w:w="4780" w:type="dxa"/>
            <w:vAlign w:val="bottom"/>
          </w:tcPr>
          <w:p>
            <w:pPr>
              <w:ind w:left="2540"/>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Acer Tree SA</w:t>
            </w:r>
          </w:p>
        </w:tc>
        <w:tc>
          <w:tcPr>
            <w:tcW w:w="478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Ash Tree SA</w:t>
            </w:r>
          </w:p>
        </w:tc>
        <w:tc>
          <w:tcPr>
            <w:tcW w:w="4780" w:type="dxa"/>
            <w:vAlign w:val="bottom"/>
          </w:tcPr>
          <w:p>
            <w:pPr>
              <w:ind w:left="2540"/>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1140" w:right="40" w:hanging="484"/>
        <w:spacing w:after="0" w:line="272"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entry into (i) the agreement and plan of merger, by and among the Issuer, GEPIF III Crown Bidco L.P., a Cayman Islands exempted limited partnership (“</w:t>
      </w:r>
      <w:r>
        <w:rPr>
          <w:rFonts w:ascii="Arial" w:cs="Arial" w:eastAsia="Arial" w:hAnsi="Arial"/>
          <w:sz w:val="17"/>
          <w:szCs w:val="17"/>
          <w:b w:val="1"/>
          <w:bCs w:val="1"/>
          <w:color w:val="auto"/>
        </w:rPr>
        <w:t>Parent</w:t>
      </w:r>
      <w:r>
        <w:rPr>
          <w:rFonts w:ascii="Arial" w:cs="Arial" w:eastAsia="Arial" w:hAnsi="Arial"/>
          <w:sz w:val="17"/>
          <w:szCs w:val="17"/>
          <w:color w:val="auto"/>
        </w:rPr>
        <w:t>”), and GEPIF III Crown MergerCo Limited, a Bermuda exempted company and a wholly 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together with Parent, “</w:t>
      </w:r>
      <w:r>
        <w:rPr>
          <w:rFonts w:ascii="Arial" w:cs="Arial" w:eastAsia="Arial" w:hAnsi="Arial"/>
          <w:sz w:val="17"/>
          <w:szCs w:val="17"/>
          <w:b w:val="1"/>
          <w:bCs w:val="1"/>
          <w:color w:val="auto"/>
        </w:rPr>
        <w:t>GEPIF</w:t>
      </w:r>
      <w:r>
        <w:rPr>
          <w:rFonts w:ascii="Arial" w:cs="Arial" w:eastAsia="Arial" w:hAnsi="Arial"/>
          <w:sz w:val="17"/>
          <w:szCs w:val="17"/>
          <w:color w:val="auto"/>
        </w:rPr>
        <w:t>”), dated as of February 21, 2021 (the “</w:t>
      </w:r>
      <w:r>
        <w:rPr>
          <w:rFonts w:ascii="Arial" w:cs="Arial" w:eastAsia="Arial" w:hAnsi="Arial"/>
          <w:sz w:val="17"/>
          <w:szCs w:val="17"/>
          <w:b w:val="1"/>
          <w:bCs w:val="1"/>
          <w:color w:val="auto"/>
        </w:rPr>
        <w:t>Merger Agreement</w:t>
      </w:r>
      <w:r>
        <w:rPr>
          <w:rFonts w:ascii="Arial" w:cs="Arial" w:eastAsia="Arial" w:hAnsi="Arial"/>
          <w:sz w:val="17"/>
          <w:szCs w:val="17"/>
          <w:color w:val="auto"/>
        </w:rPr>
        <w:t>”) and (ii) the rollover agreement, by and among Parent, the Issuer, Blenheim Holdings Ltd., Olympic LNG Investments Ltd., Blenheim Special Investments Holding Ltd. (“</w:t>
      </w:r>
      <w:r>
        <w:rPr>
          <w:rFonts w:ascii="Arial" w:cs="Arial" w:eastAsia="Arial" w:hAnsi="Arial"/>
          <w:sz w:val="17"/>
          <w:szCs w:val="17"/>
          <w:b w:val="1"/>
          <w:bCs w:val="1"/>
          <w:color w:val="auto"/>
        </w:rPr>
        <w:t>BSIH</w:t>
      </w:r>
      <w:r>
        <w:rPr>
          <w:rFonts w:ascii="Arial" w:cs="Arial" w:eastAsia="Arial" w:hAnsi="Arial"/>
          <w:sz w:val="17"/>
          <w:szCs w:val="17"/>
          <w:color w:val="auto"/>
        </w:rPr>
        <w:t>”), Falconera Navigation Inc., Chiara Holdings Inc., Maple Tree Holdings Ltd., Ash Tree SA, Acer Tree SA, Thatcher Investments Limited, Eleanor Investments Holdings, Nelson Equity Limited and JP Jones Holdings Limited (such persons, other than Parent and the Issuer, the “</w:t>
      </w:r>
      <w:r>
        <w:rPr>
          <w:rFonts w:ascii="Arial" w:cs="Arial" w:eastAsia="Arial" w:hAnsi="Arial"/>
          <w:sz w:val="17"/>
          <w:szCs w:val="17"/>
          <w:b w:val="1"/>
          <w:bCs w:val="1"/>
          <w:color w:val="auto"/>
        </w:rPr>
        <w:t>Rolling Shareholders</w:t>
      </w:r>
      <w:r>
        <w:rPr>
          <w:rFonts w:ascii="Arial" w:cs="Arial" w:eastAsia="Arial" w:hAnsi="Arial"/>
          <w:sz w:val="17"/>
          <w:szCs w:val="17"/>
          <w:color w:val="auto"/>
        </w:rPr>
        <w:t>”), dated as of February 21, 2021 (the “</w:t>
      </w:r>
      <w:r>
        <w:rPr>
          <w:rFonts w:ascii="Arial" w:cs="Arial" w:eastAsia="Arial" w:hAnsi="Arial"/>
          <w:sz w:val="17"/>
          <w:szCs w:val="17"/>
          <w:b w:val="1"/>
          <w:bCs w:val="1"/>
          <w:color w:val="auto"/>
        </w:rPr>
        <w:t>Rollover Agreement</w:t>
      </w:r>
      <w:r>
        <w:rPr>
          <w:rFonts w:ascii="Arial" w:cs="Arial" w:eastAsia="Arial" w:hAnsi="Arial"/>
          <w:sz w:val="17"/>
          <w:szCs w:val="17"/>
          <w:color w:val="auto"/>
        </w:rPr>
        <w:t>”).</w:t>
      </w:r>
    </w:p>
    <w:p>
      <w:pPr>
        <w:spacing w:after="0" w:line="197" w:lineRule="exact"/>
        <w:rPr>
          <w:sz w:val="20"/>
          <w:szCs w:val="20"/>
          <w:color w:val="auto"/>
        </w:rPr>
      </w:pPr>
    </w:p>
    <w:p>
      <w:pPr>
        <w:ind w:right="480" w:firstLine="648"/>
        <w:spacing w:after="0"/>
        <w:rPr>
          <w:sz w:val="20"/>
          <w:szCs w:val="20"/>
          <w:color w:val="auto"/>
        </w:rPr>
      </w:pPr>
      <w:r>
        <w:rPr>
          <w:rFonts w:ascii="Arial" w:cs="Arial" w:eastAsia="Arial" w:hAnsi="Arial"/>
          <w:sz w:val="22"/>
          <w:szCs w:val="22"/>
          <w:color w:val="auto"/>
        </w:rPr>
        <w:t>Except as set forth below, all Items in the Amended Schedule 13D remain unchanged. Capitalized terms used in this Amendment No. 10 and not otherwise defined shall have the respective meanings assigned to such terms in the Amended Schedule 13D.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2. Identity and Background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Reporting Person/ Director/Officer/Control</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Name/Address of</w:t>
            </w:r>
          </w:p>
        </w:tc>
        <w:tc>
          <w:tcPr>
            <w:tcW w:w="204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Principal</w:t>
            </w:r>
          </w:p>
        </w:tc>
      </w:tr>
      <w:tr>
        <w:trPr>
          <w:trHeight w:val="216"/>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Person of a Reporting Person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Incorporation/</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Employer and</w:t>
            </w:r>
          </w:p>
        </w:tc>
        <w:tc>
          <w:tcPr>
            <w:tcW w:w="2040" w:type="dxa"/>
            <w:vAlign w:val="bottom"/>
            <w:tcBorders>
              <w:right w:val="single" w:sz="8" w:color="auto"/>
            </w:tcBorders>
          </w:tcPr>
          <w:p>
            <w:pPr>
              <w:ind w:left="680"/>
              <w:spacing w:after="0"/>
              <w:rPr>
                <w:sz w:val="20"/>
                <w:szCs w:val="20"/>
                <w:color w:val="auto"/>
              </w:rPr>
            </w:pPr>
            <w:r>
              <w:rPr>
                <w:rFonts w:ascii="Arial" w:cs="Arial" w:eastAsia="Arial" w:hAnsi="Arial"/>
                <w:sz w:val="18"/>
                <w:szCs w:val="18"/>
                <w:b w:val="1"/>
                <w:bCs w:val="1"/>
                <w:color w:val="auto"/>
              </w:rPr>
              <w:t>Business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Office/Business or</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Citizenship</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Occupation</w:t>
            </w:r>
          </w:p>
        </w:tc>
        <w:tc>
          <w:tcPr>
            <w:tcW w:w="2040" w:type="dxa"/>
            <w:vAlign w:val="bottom"/>
            <w:tcBorders>
              <w:right w:val="single" w:sz="8" w:color="auto"/>
            </w:tcBorders>
          </w:tcPr>
          <w:p>
            <w:pPr>
              <w:spacing w:after="0"/>
              <w:rPr>
                <w:sz w:val="18"/>
                <w:szCs w:val="18"/>
                <w:color w:val="auto"/>
              </w:rPr>
            </w:pP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Residence Address</w:t>
            </w: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Peter G. Livanos</w:t>
            </w: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 Ceres Monaco</w:t>
            </w:r>
          </w:p>
        </w:tc>
        <w:tc>
          <w:tcPr>
            <w:tcW w:w="1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Greece and United</w:t>
            </w: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GasLog Ltd. c/o 69 Akti</w:t>
            </w:r>
          </w:p>
        </w:tc>
        <w:tc>
          <w:tcPr>
            <w:tcW w:w="2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International owner,</w:t>
            </w:r>
          </w:p>
        </w:tc>
      </w:tr>
      <w:tr>
        <w:trPr>
          <w:trHeight w:val="216"/>
        </w:trPr>
        <w:tc>
          <w:tcPr>
            <w:tcW w:w="3740" w:type="dxa"/>
            <w:vAlign w:val="bottom"/>
            <w:tcBorders>
              <w:left w:val="single" w:sz="8" w:color="auto"/>
              <w:right w:val="single" w:sz="8" w:color="auto"/>
            </w:tcBorders>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SAM Gildo Pastor</w:t>
            </w:r>
          </w:p>
        </w:tc>
        <w:tc>
          <w:tcPr>
            <w:tcW w:w="1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Kingdom</w:t>
            </w: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Miaouli 18537 Piraeus,</w:t>
            </w:r>
          </w:p>
        </w:tc>
        <w:tc>
          <w:tcPr>
            <w:tcW w:w="2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operator and manager of</w:t>
            </w:r>
          </w:p>
        </w:tc>
      </w:tr>
      <w:tr>
        <w:trPr>
          <w:trHeight w:val="216"/>
        </w:trPr>
        <w:tc>
          <w:tcPr>
            <w:tcW w:w="3740" w:type="dxa"/>
            <w:vAlign w:val="bottom"/>
            <w:tcBorders>
              <w:left w:val="single" w:sz="8" w:color="auto"/>
              <w:right w:val="single" w:sz="8" w:color="auto"/>
            </w:tcBorders>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Centre, 7, rue du</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Greece</w:t>
            </w:r>
          </w:p>
        </w:tc>
        <w:tc>
          <w:tcPr>
            <w:tcW w:w="2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LNG carriers</w:t>
            </w:r>
          </w:p>
        </w:tc>
      </w:tr>
      <w:tr>
        <w:trPr>
          <w:trHeight w:val="216"/>
        </w:trPr>
        <w:tc>
          <w:tcPr>
            <w:tcW w:w="3740" w:type="dxa"/>
            <w:vAlign w:val="bottom"/>
            <w:tcBorders>
              <w:left w:val="single" w:sz="8" w:color="auto"/>
              <w:right w:val="single" w:sz="8" w:color="auto"/>
            </w:tcBorders>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Gabian, 98000</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18"/>
                <w:szCs w:val="18"/>
                <w:color w:val="auto"/>
              </w:rPr>
            </w:pPr>
          </w:p>
        </w:tc>
      </w:tr>
      <w:tr>
        <w:trPr>
          <w:trHeight w:val="269"/>
        </w:trPr>
        <w:tc>
          <w:tcPr>
            <w:tcW w:w="37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Monaco</w:t>
            </w: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2120" w:type="dxa"/>
            <w:vAlign w:val="bottom"/>
            <w:tcBorders>
              <w:bottom w:val="single" w:sz="8" w:color="CCEEFF"/>
              <w:right w:val="single" w:sz="8" w:color="auto"/>
            </w:tcBorders>
            <w:shd w:val="clear" w:color="auto" w:fill="CCEEFF"/>
          </w:tcPr>
          <w:p>
            <w:pPr>
              <w:spacing w:after="0"/>
              <w:rPr>
                <w:sz w:val="22"/>
                <w:szCs w:val="22"/>
                <w:color w:val="auto"/>
              </w:rPr>
            </w:pPr>
          </w:p>
        </w:tc>
        <w:tc>
          <w:tcPr>
            <w:tcW w:w="20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43"/>
        </w:trPr>
        <w:tc>
          <w:tcPr>
            <w:tcW w:w="3740" w:type="dxa"/>
            <w:vAlign w:val="bottom"/>
            <w:tcBorders>
              <w:top w:val="single" w:sz="8" w:color="auto"/>
              <w:left w:val="single" w:sz="8" w:color="auto"/>
              <w:right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Chairman</w:t>
            </w:r>
          </w:p>
        </w:tc>
        <w:tc>
          <w:tcPr>
            <w:tcW w:w="2040" w:type="dxa"/>
            <w:vAlign w:val="bottom"/>
            <w:tcBorders>
              <w:top w:val="single" w:sz="8" w:color="auto"/>
              <w:right w:val="single" w:sz="8" w:color="auto"/>
            </w:tcBorders>
          </w:tcPr>
          <w:p>
            <w:pPr>
              <w:spacing w:after="0"/>
              <w:rPr>
                <w:sz w:val="21"/>
                <w:szCs w:val="21"/>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Ceres Shipping Ltd.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Holding Company that has</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Clarendon House 2 Church</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interests in international</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Street, HM11 Hamilton,</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operators, owners and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Bermuda</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managers of LNG carriers</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Dry Bulk carriers</w:t>
            </w: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Chairman and sole</w:t>
            </w:r>
          </w:p>
        </w:tc>
        <w:tc>
          <w:tcPr>
            <w:tcW w:w="2040" w:type="dxa"/>
            <w:vAlign w:val="bottom"/>
            <w:tcBorders>
              <w:right w:val="single" w:sz="8" w:color="auto"/>
            </w:tcBorders>
          </w:tcPr>
          <w:p>
            <w:pPr>
              <w:spacing w:after="0"/>
              <w:rPr>
                <w:sz w:val="19"/>
                <w:szCs w:val="19"/>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shareholder</w:t>
            </w:r>
          </w:p>
        </w:tc>
        <w:tc>
          <w:tcPr>
            <w:tcW w:w="204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Ceres Shipping Ltd.</w:t>
            </w: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Clarendon House</w:t>
            </w:r>
          </w:p>
        </w:tc>
        <w:tc>
          <w:tcPr>
            <w:tcW w:w="1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3740" w:type="dxa"/>
            <w:vAlign w:val="bottom"/>
            <w:tcBorders>
              <w:left w:val="single" w:sz="8" w:color="auto"/>
              <w:right w:val="single" w:sz="8" w:color="auto"/>
            </w:tcBorders>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 Church Street</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18"/>
                <w:szCs w:val="18"/>
                <w:color w:val="auto"/>
              </w:rPr>
            </w:pPr>
          </w:p>
        </w:tc>
      </w:tr>
      <w:tr>
        <w:trPr>
          <w:trHeight w:val="216"/>
        </w:trPr>
        <w:tc>
          <w:tcPr>
            <w:tcW w:w="3740" w:type="dxa"/>
            <w:vAlign w:val="bottom"/>
            <w:tcBorders>
              <w:left w:val="single" w:sz="8" w:color="auto"/>
              <w:right w:val="single" w:sz="8" w:color="auto"/>
            </w:tcBorders>
            <w:shd w:val="clear" w:color="auto" w:fill="CCEEFF"/>
          </w:tcPr>
          <w:p>
            <w:pPr>
              <w:spacing w:after="0"/>
              <w:rPr>
                <w:sz w:val="18"/>
                <w:szCs w:val="18"/>
                <w:color w:val="auto"/>
              </w:rPr>
            </w:pPr>
          </w:p>
        </w:tc>
        <w:tc>
          <w:tcPr>
            <w:tcW w:w="17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Hamilton, HM11</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40" w:type="dxa"/>
            <w:vAlign w:val="bottom"/>
            <w:tcBorders>
              <w:right w:val="single" w:sz="8" w:color="auto"/>
            </w:tcBorders>
            <w:shd w:val="clear" w:color="auto" w:fill="CCEEFF"/>
          </w:tcPr>
          <w:p>
            <w:pPr>
              <w:spacing w:after="0"/>
              <w:rPr>
                <w:sz w:val="18"/>
                <w:szCs w:val="18"/>
                <w:color w:val="auto"/>
              </w:rPr>
            </w:pPr>
          </w:p>
        </w:tc>
      </w:tr>
      <w:tr>
        <w:trPr>
          <w:trHeight w:val="269"/>
        </w:trPr>
        <w:tc>
          <w:tcPr>
            <w:tcW w:w="37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Bermuda</w:t>
            </w: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2120" w:type="dxa"/>
            <w:vAlign w:val="bottom"/>
            <w:tcBorders>
              <w:bottom w:val="single" w:sz="8" w:color="CCEEFF"/>
              <w:right w:val="single" w:sz="8" w:color="auto"/>
            </w:tcBorders>
            <w:shd w:val="clear" w:color="auto" w:fill="CCEEFF"/>
          </w:tcPr>
          <w:p>
            <w:pPr>
              <w:spacing w:after="0"/>
              <w:rPr>
                <w:sz w:val="22"/>
                <w:szCs w:val="22"/>
                <w:color w:val="auto"/>
              </w:rPr>
            </w:pPr>
          </w:p>
        </w:tc>
        <w:tc>
          <w:tcPr>
            <w:tcW w:w="20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43"/>
        </w:trPr>
        <w:tc>
          <w:tcPr>
            <w:tcW w:w="374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Directors</w:t>
            </w:r>
          </w:p>
        </w:tc>
        <w:tc>
          <w:tcPr>
            <w:tcW w:w="1740" w:type="dxa"/>
            <w:vAlign w:val="bottom"/>
            <w:tcBorders>
              <w:top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spacing w:after="0"/>
              <w:rPr>
                <w:sz w:val="21"/>
                <w:szCs w:val="21"/>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43"/>
        </w:trPr>
        <w:tc>
          <w:tcPr>
            <w:tcW w:w="3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Peter G. Livanos</w:t>
            </w: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Bruce L. Blythe</w:t>
            </w: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Minera Mews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U.S.A. and United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GasLog Ltd.</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London SW1W 96D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Kingdom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69 Akti Miaouli 18537</w:t>
            </w:r>
          </w:p>
        </w:tc>
        <w:tc>
          <w:tcPr>
            <w:tcW w:w="2040" w:type="dxa"/>
            <w:vAlign w:val="bottom"/>
            <w:tcBorders>
              <w:right w:val="single" w:sz="8" w:color="auto"/>
            </w:tcBorders>
          </w:tcPr>
          <w:p>
            <w:pPr>
              <w:spacing w:after="0"/>
              <w:rPr>
                <w:sz w:val="18"/>
                <w:szCs w:val="18"/>
                <w:color w:val="auto"/>
              </w:rPr>
            </w:pP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Piraeus, Greece</w:t>
            </w:r>
          </w:p>
        </w:tc>
        <w:tc>
          <w:tcPr>
            <w:tcW w:w="204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Borders>
              <w:right w:val="single" w:sz="8" w:color="auto"/>
            </w:tcBorders>
          </w:tcPr>
          <w:p>
            <w:pPr>
              <w:spacing w:after="0"/>
              <w:rPr>
                <w:sz w:val="20"/>
                <w:szCs w:val="20"/>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29"/>
        </w:trPr>
        <w:tc>
          <w:tcPr>
            <w:tcW w:w="3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Ilias A. Iliopoulos</w:t>
            </w: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Continental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Ceres Monaco S.A.M.</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Family Office</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Place des Moulins</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Gildo Pastor Center 7 rue</w:t>
            </w:r>
          </w:p>
        </w:tc>
        <w:tc>
          <w:tcPr>
            <w:tcW w:w="2040" w:type="dxa"/>
            <w:vAlign w:val="bottom"/>
            <w:tcBorders>
              <w:right w:val="single" w:sz="8" w:color="auto"/>
            </w:tcBorders>
          </w:tcPr>
          <w:p>
            <w:pPr>
              <w:spacing w:after="0"/>
              <w:rPr>
                <w:sz w:val="18"/>
                <w:szCs w:val="18"/>
                <w:color w:val="auto"/>
              </w:rPr>
            </w:pP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MC 98000, Monaco</w:t>
            </w: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du Gabian 98000, Monaco</w:t>
            </w:r>
          </w:p>
        </w:tc>
        <w:tc>
          <w:tcPr>
            <w:tcW w:w="2040" w:type="dxa"/>
            <w:vAlign w:val="bottom"/>
            <w:tcBorders>
              <w:right w:val="single" w:sz="8" w:color="auto"/>
            </w:tcBorders>
          </w:tcPr>
          <w:p>
            <w:pPr>
              <w:spacing w:after="0"/>
              <w:rPr>
                <w:sz w:val="20"/>
                <w:szCs w:val="20"/>
                <w:color w:val="auto"/>
              </w:rPr>
            </w:pPr>
          </w:p>
        </w:tc>
      </w:tr>
      <w:tr>
        <w:trPr>
          <w:trHeight w:val="432"/>
        </w:trPr>
        <w:tc>
          <w:tcPr>
            <w:tcW w:w="37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Managing Director</w:t>
            </w:r>
          </w:p>
        </w:tc>
        <w:tc>
          <w:tcPr>
            <w:tcW w:w="2040" w:type="dxa"/>
            <w:vAlign w:val="bottom"/>
            <w:tcBorders>
              <w:right w:val="single" w:sz="8" w:color="auto"/>
            </w:tcBorders>
          </w:tcPr>
          <w:p>
            <w:pPr>
              <w:spacing w:after="0"/>
              <w:rPr>
                <w:sz w:val="24"/>
                <w:szCs w:val="24"/>
                <w:color w:val="auto"/>
              </w:rPr>
            </w:pPr>
          </w:p>
        </w:tc>
      </w:tr>
      <w:tr>
        <w:trPr>
          <w:trHeight w:val="34"/>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320" w:top="361" w:right="339" w:bottom="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2"/>
        </w:trPr>
        <w:tc>
          <w:tcPr>
            <w:tcW w:w="16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Jean Haramis</w:t>
            </w:r>
          </w:p>
        </w:tc>
        <w:tc>
          <w:tcPr>
            <w:tcW w:w="2100" w:type="dxa"/>
            <w:vAlign w:val="bottom"/>
            <w:tcBorders>
              <w:top w:val="single" w:sz="8" w:color="auto"/>
              <w:right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 Continental</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Switzerland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Ceres Monaco S.A.M.</w:t>
            </w:r>
          </w:p>
        </w:tc>
        <w:tc>
          <w:tcPr>
            <w:tcW w:w="2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Family Office</w:t>
            </w:r>
          </w:p>
        </w:tc>
      </w:tr>
      <w:tr>
        <w:trPr>
          <w:trHeight w:val="216"/>
        </w:trPr>
        <w:tc>
          <w:tcPr>
            <w:tcW w:w="1620" w:type="dxa"/>
            <w:vAlign w:val="bottom"/>
            <w:tcBorders>
              <w:lef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Place des Moulins</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Gildo Pastor Center 7</w:t>
            </w:r>
          </w:p>
        </w:tc>
        <w:tc>
          <w:tcPr>
            <w:tcW w:w="2080" w:type="dxa"/>
            <w:vAlign w:val="bottom"/>
            <w:tcBorders>
              <w:right w:val="single" w:sz="8" w:color="auto"/>
            </w:tcBorders>
          </w:tcPr>
          <w:p>
            <w:pPr>
              <w:spacing w:after="0"/>
              <w:rPr>
                <w:sz w:val="18"/>
                <w:szCs w:val="18"/>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MC 98000, Monaco</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rue du Gabian 98000,</w:t>
            </w:r>
          </w:p>
        </w:tc>
        <w:tc>
          <w:tcPr>
            <w:tcW w:w="20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Monaco</w:t>
            </w:r>
          </w:p>
        </w:tc>
        <w:tc>
          <w:tcPr>
            <w:tcW w:w="2080" w:type="dxa"/>
            <w:vAlign w:val="bottom"/>
            <w:tcBorders>
              <w:right w:val="single" w:sz="8" w:color="auto"/>
            </w:tcBorders>
          </w:tcPr>
          <w:p>
            <w:pPr>
              <w:spacing w:after="0"/>
              <w:rPr>
                <w:sz w:val="20"/>
                <w:szCs w:val="20"/>
                <w:color w:val="auto"/>
              </w:rPr>
            </w:pPr>
          </w:p>
        </w:tc>
      </w:tr>
      <w:tr>
        <w:trPr>
          <w:trHeight w:val="432"/>
        </w:trPr>
        <w:tc>
          <w:tcPr>
            <w:tcW w:w="1620" w:type="dxa"/>
            <w:vAlign w:val="bottom"/>
            <w:tcBorders>
              <w:lef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Managing Director</w:t>
            </w:r>
          </w:p>
        </w:tc>
        <w:tc>
          <w:tcPr>
            <w:tcW w:w="2080" w:type="dxa"/>
            <w:vAlign w:val="bottom"/>
            <w:tcBorders>
              <w:right w:val="single" w:sz="8" w:color="auto"/>
            </w:tcBorders>
          </w:tcPr>
          <w:p>
            <w:pPr>
              <w:spacing w:after="0"/>
              <w:rPr>
                <w:sz w:val="24"/>
                <w:szCs w:val="24"/>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43"/>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Officers</w:t>
            </w: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w w:val="97"/>
              </w:rPr>
              <w:t>Chairman, Chief</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Peter G. Livanos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Executive</w:t>
            </w: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43"/>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Vice Chairman</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Bruce L. Blythe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Chief Financial</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Athanasios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6, Parthenonos Street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DryLog Ltd.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Holding Company</w:t>
            </w:r>
          </w:p>
        </w:tc>
      </w:tr>
      <w:tr>
        <w:trPr>
          <w:trHeight w:val="220"/>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Thanopoulos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Paleo Faliro</w:t>
            </w:r>
          </w:p>
        </w:tc>
        <w:tc>
          <w:tcPr>
            <w:tcW w:w="16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Ceres Monaco</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that has interests in</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Athens 17562, Greece</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Gildo Pastor Center 7</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operators, owners and</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rue du Gabian 98000,</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managers of dry</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Monaco</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bulk vessels</w:t>
            </w: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c>
          <w:tcPr>
            <w:tcW w:w="2080" w:type="dxa"/>
            <w:vAlign w:val="bottom"/>
            <w:tcBorders>
              <w:right w:val="single" w:sz="8" w:color="auto"/>
            </w:tcBorders>
          </w:tcPr>
          <w:p>
            <w:pPr>
              <w:spacing w:after="0"/>
              <w:rPr>
                <w:sz w:val="20"/>
                <w:szCs w:val="20"/>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Chief</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Konstantinos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13, Terpsihoris Street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Drylog Services Ltd.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w:t>
            </w: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Compliance</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Andreou</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Paleo Faliro</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69, Akti Miaouli Street</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operator of dry bulk</w:t>
            </w: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Athens 17562, Greece</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18537 Piraeus, Greece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vessels</w:t>
            </w: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Assistant</w:t>
            </w: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Counsel</w:t>
            </w:r>
          </w:p>
        </w:tc>
        <w:tc>
          <w:tcPr>
            <w:tcW w:w="20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Secretary</w:t>
            </w: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9"/>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Secretary</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Conyers Corporate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Clarendon 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Bermuda</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Resident</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Services (Bermuda)</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Church Street</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representatives</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Limited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Hamilton, HM 11</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Bermuda</w:t>
            </w: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9"/>
        </w:trPr>
        <w:tc>
          <w:tcPr>
            <w:tcW w:w="3720" w:type="dxa"/>
            <w:vAlign w:val="bottom"/>
            <w:tcBorders>
              <w:left w:val="single" w:sz="8" w:color="auto"/>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Blenheim Holdings Ltd.</w:t>
            </w: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 Ceres Monaco</w:t>
            </w:r>
          </w:p>
        </w:tc>
        <w:tc>
          <w:tcPr>
            <w:tcW w:w="1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Holding company</w:t>
            </w:r>
          </w:p>
        </w:tc>
      </w:tr>
      <w:tr>
        <w:trPr>
          <w:trHeight w:val="216"/>
        </w:trPr>
        <w:tc>
          <w:tcPr>
            <w:tcW w:w="1620" w:type="dxa"/>
            <w:vAlign w:val="bottom"/>
            <w:tcBorders>
              <w:left w:val="single" w:sz="8" w:color="auto"/>
              <w:right w:val="single" w:sz="8" w:color="CCEEFF"/>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r>
      <w:tr>
        <w:trPr>
          <w:trHeight w:val="216"/>
        </w:trPr>
        <w:tc>
          <w:tcPr>
            <w:tcW w:w="1620" w:type="dxa"/>
            <w:vAlign w:val="bottom"/>
            <w:tcBorders>
              <w:left w:val="single" w:sz="8" w:color="auto"/>
              <w:right w:val="single" w:sz="8" w:color="CCEEFF"/>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Gildo Pastor Center</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r>
      <w:tr>
        <w:trPr>
          <w:trHeight w:val="216"/>
        </w:trPr>
        <w:tc>
          <w:tcPr>
            <w:tcW w:w="1620" w:type="dxa"/>
            <w:vAlign w:val="bottom"/>
            <w:tcBorders>
              <w:left w:val="single" w:sz="8" w:color="auto"/>
              <w:right w:val="single" w:sz="8" w:color="CCEEFF"/>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 rue du Gabian</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r>
      <w:tr>
        <w:trPr>
          <w:trHeight w:val="216"/>
        </w:trPr>
        <w:tc>
          <w:tcPr>
            <w:tcW w:w="1620" w:type="dxa"/>
            <w:vAlign w:val="bottom"/>
            <w:tcBorders>
              <w:left w:val="single" w:sz="8" w:color="auto"/>
              <w:right w:val="single" w:sz="8" w:color="CCEEFF"/>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Monte Carlo</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r>
      <w:tr>
        <w:trPr>
          <w:trHeight w:val="269"/>
        </w:trPr>
        <w:tc>
          <w:tcPr>
            <w:tcW w:w="162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100" w:type="dxa"/>
            <w:vAlign w:val="bottom"/>
            <w:tcBorders>
              <w:bottom w:val="single" w:sz="8" w:color="CCEEFF"/>
              <w:right w:val="single" w:sz="8" w:color="auto"/>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98000, Monaco</w:t>
            </w: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2120" w:type="dxa"/>
            <w:vAlign w:val="bottom"/>
            <w:tcBorders>
              <w:bottom w:val="single" w:sz="8" w:color="CCEEFF"/>
              <w:right w:val="single" w:sz="8" w:color="auto"/>
            </w:tcBorders>
            <w:shd w:val="clear" w:color="auto" w:fill="CCEEFF"/>
          </w:tcPr>
          <w:p>
            <w:pPr>
              <w:spacing w:after="0"/>
              <w:rPr>
                <w:sz w:val="22"/>
                <w:szCs w:val="22"/>
                <w:color w:val="auto"/>
              </w:rPr>
            </w:pPr>
          </w:p>
        </w:tc>
        <w:tc>
          <w:tcPr>
            <w:tcW w:w="208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43"/>
        </w:trPr>
        <w:tc>
          <w:tcPr>
            <w:tcW w:w="16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Directors</w:t>
            </w:r>
          </w:p>
        </w:tc>
        <w:tc>
          <w:tcPr>
            <w:tcW w:w="2100" w:type="dxa"/>
            <w:vAlign w:val="bottom"/>
            <w:tcBorders>
              <w:top w:val="single" w:sz="8" w:color="auto"/>
              <w:right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43"/>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4"/>
              </w:rPr>
              <w:t>Peter G. Livanos</w:t>
            </w: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43"/>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Ilias A. Iliopoulos</w:t>
            </w: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29"/>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Stanislao Faina</w:t>
            </w:r>
          </w:p>
        </w:tc>
        <w:tc>
          <w:tcPr>
            <w:tcW w:w="21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C Transport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 Transport Maritime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w:t>
            </w:r>
          </w:p>
        </w:tc>
      </w:tr>
      <w:tr>
        <w:trPr>
          <w:trHeight w:val="216"/>
        </w:trPr>
        <w:tc>
          <w:tcPr>
            <w:tcW w:w="1620" w:type="dxa"/>
            <w:vAlign w:val="bottom"/>
            <w:tcBorders>
              <w:lef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Maritime S.A.M.</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operator and</w:t>
            </w:r>
          </w:p>
        </w:tc>
      </w:tr>
      <w:tr>
        <w:trPr>
          <w:trHeight w:val="216"/>
        </w:trPr>
        <w:tc>
          <w:tcPr>
            <w:tcW w:w="1620" w:type="dxa"/>
            <w:vAlign w:val="bottom"/>
            <w:tcBorders>
              <w:lef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Gildo Pastor Center</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Gildo Pastor Center 7</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manager of dry bulk</w:t>
            </w:r>
          </w:p>
        </w:tc>
      </w:tr>
      <w:tr>
        <w:trPr>
          <w:trHeight w:val="216"/>
        </w:trPr>
        <w:tc>
          <w:tcPr>
            <w:tcW w:w="1620" w:type="dxa"/>
            <w:vAlign w:val="bottom"/>
            <w:tcBorders>
              <w:lef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 Rue du Gabian</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rue du Gabian 98000,</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carriers</w:t>
            </w:r>
          </w:p>
        </w:tc>
      </w:tr>
      <w:tr>
        <w:trPr>
          <w:trHeight w:val="216"/>
        </w:trPr>
        <w:tc>
          <w:tcPr>
            <w:tcW w:w="1620" w:type="dxa"/>
            <w:vAlign w:val="bottom"/>
            <w:tcBorders>
              <w:lef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Monte Carlo</w:t>
            </w: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Monaco</w:t>
            </w:r>
          </w:p>
        </w:tc>
        <w:tc>
          <w:tcPr>
            <w:tcW w:w="2080" w:type="dxa"/>
            <w:vAlign w:val="bottom"/>
            <w:tcBorders>
              <w:right w:val="single" w:sz="8" w:color="auto"/>
            </w:tcBorders>
          </w:tcPr>
          <w:p>
            <w:pPr>
              <w:spacing w:after="0"/>
              <w:rPr>
                <w:sz w:val="18"/>
                <w:szCs w:val="18"/>
                <w:color w:val="auto"/>
              </w:rPr>
            </w:pPr>
          </w:p>
        </w:tc>
      </w:tr>
      <w:tr>
        <w:trPr>
          <w:trHeight w:val="230"/>
        </w:trPr>
        <w:tc>
          <w:tcPr>
            <w:tcW w:w="1620" w:type="dxa"/>
            <w:vAlign w:val="bottom"/>
            <w:tcBorders>
              <w:lef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MC 98000, Monaco</w:t>
            </w: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Legal and Corporate</w:t>
            </w:r>
          </w:p>
        </w:tc>
        <w:tc>
          <w:tcPr>
            <w:tcW w:w="2080" w:type="dxa"/>
            <w:vAlign w:val="bottom"/>
            <w:tcBorders>
              <w:right w:val="single" w:sz="8" w:color="auto"/>
            </w:tcBorders>
          </w:tcPr>
          <w:p>
            <w:pPr>
              <w:spacing w:after="0"/>
              <w:rPr>
                <w:sz w:val="20"/>
                <w:szCs w:val="20"/>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668"/>
        </w:trPr>
        <w:tc>
          <w:tcPr>
            <w:tcW w:w="1620" w:type="dxa"/>
            <w:vAlign w:val="bottom"/>
            <w:tcBorders>
              <w:bottom w:val="single" w:sz="8" w:color="BFBFBF"/>
            </w:tcBorders>
          </w:tcPr>
          <w:p>
            <w:pPr>
              <w:spacing w:after="0"/>
              <w:rPr>
                <w:sz w:val="24"/>
                <w:szCs w:val="24"/>
                <w:color w:val="auto"/>
              </w:rPr>
            </w:pPr>
          </w:p>
        </w:tc>
        <w:tc>
          <w:tcPr>
            <w:tcW w:w="2100" w:type="dxa"/>
            <w:vAlign w:val="bottom"/>
            <w:tcBorders>
              <w:bottom w:val="single" w:sz="8" w:color="BFBFBF"/>
            </w:tcBorders>
          </w:tcPr>
          <w:p>
            <w:pPr>
              <w:spacing w:after="0"/>
              <w:rPr>
                <w:sz w:val="24"/>
                <w:szCs w:val="24"/>
                <w:color w:val="auto"/>
              </w:rPr>
            </w:pPr>
          </w:p>
        </w:tc>
        <w:tc>
          <w:tcPr>
            <w:tcW w:w="1720" w:type="dxa"/>
            <w:vAlign w:val="bottom"/>
            <w:tcBorders>
              <w:bottom w:val="single" w:sz="8" w:color="BFBFBF"/>
            </w:tcBorders>
          </w:tcPr>
          <w:p>
            <w:pPr>
              <w:spacing w:after="0"/>
              <w:rPr>
                <w:sz w:val="24"/>
                <w:szCs w:val="24"/>
                <w:color w:val="auto"/>
              </w:rPr>
            </w:pPr>
          </w:p>
        </w:tc>
        <w:tc>
          <w:tcPr>
            <w:tcW w:w="1600" w:type="dxa"/>
            <w:vAlign w:val="bottom"/>
            <w:tcBorders>
              <w:bottom w:val="single" w:sz="8" w:color="BFBFBF"/>
            </w:tcBorders>
          </w:tcPr>
          <w:p>
            <w:pPr>
              <w:spacing w:after="0"/>
              <w:rPr>
                <w:sz w:val="24"/>
                <w:szCs w:val="24"/>
                <w:color w:val="auto"/>
              </w:rPr>
            </w:pPr>
          </w:p>
        </w:tc>
        <w:tc>
          <w:tcPr>
            <w:tcW w:w="2120" w:type="dxa"/>
            <w:vAlign w:val="bottom"/>
            <w:tcBorders>
              <w:bottom w:val="single" w:sz="8" w:color="BFBFBF"/>
            </w:tcBorders>
          </w:tcPr>
          <w:p>
            <w:pPr>
              <w:spacing w:after="0"/>
              <w:rPr>
                <w:sz w:val="24"/>
                <w:szCs w:val="24"/>
                <w:color w:val="auto"/>
              </w:rPr>
            </w:pPr>
          </w:p>
        </w:tc>
        <w:tc>
          <w:tcPr>
            <w:tcW w:w="20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Officers</w:t>
            </w:r>
          </w:p>
        </w:tc>
        <w:tc>
          <w:tcPr>
            <w:tcW w:w="2100" w:type="dxa"/>
            <w:vAlign w:val="bottom"/>
            <w:tcBorders>
              <w:top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spacing w:after="0"/>
              <w:rPr>
                <w:sz w:val="23"/>
                <w:szCs w:val="23"/>
                <w:color w:val="auto"/>
              </w:rPr>
            </w:pPr>
          </w:p>
        </w:tc>
        <w:tc>
          <w:tcPr>
            <w:tcW w:w="1600" w:type="dxa"/>
            <w:vAlign w:val="bottom"/>
            <w:tcBorders>
              <w:top w:val="single" w:sz="8" w:color="auto"/>
              <w:right w:val="single" w:sz="8" w:color="auto"/>
            </w:tcBorders>
          </w:tcPr>
          <w:p>
            <w:pPr>
              <w:spacing w:after="0"/>
              <w:rPr>
                <w:sz w:val="23"/>
                <w:szCs w:val="23"/>
                <w:color w:val="auto"/>
              </w:rPr>
            </w:pPr>
          </w:p>
        </w:tc>
        <w:tc>
          <w:tcPr>
            <w:tcW w:w="2120" w:type="dxa"/>
            <w:vAlign w:val="bottom"/>
            <w:tcBorders>
              <w:top w:val="single" w:sz="8" w:color="auto"/>
              <w:right w:val="single" w:sz="8" w:color="auto"/>
            </w:tcBorders>
          </w:tcPr>
          <w:p>
            <w:pPr>
              <w:spacing w:after="0"/>
              <w:rPr>
                <w:sz w:val="23"/>
                <w:szCs w:val="23"/>
                <w:color w:val="auto"/>
              </w:rPr>
            </w:pPr>
          </w:p>
        </w:tc>
        <w:tc>
          <w:tcPr>
            <w:tcW w:w="20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Chief Executive</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Peter G. Livanos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Chief Financial</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Athanasios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Thanopoulos</w:t>
            </w: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Chief</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Konstantinos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Compliance</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Andreou</w:t>
            </w: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Assistant</w:t>
            </w: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Secretary</w:t>
            </w: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Secretary</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Conyers Corporate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Services (Bermuda)</w:t>
            </w: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20" w:type="dxa"/>
            <w:vAlign w:val="bottom"/>
            <w:tcBorders>
              <w:left w:val="single" w:sz="8" w:color="auto"/>
              <w:right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8"/>
              </w:rPr>
              <w:t>Blenheim Special Investments Holding Ltd.</w:t>
            </w: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Clarendon House</w:t>
            </w:r>
          </w:p>
        </w:tc>
        <w:tc>
          <w:tcPr>
            <w:tcW w:w="16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Segregated Accounts</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CCEEFF"/>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 Church Street</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CCEEFF"/>
            </w:tcBorders>
            <w:shd w:val="clear" w:color="auto" w:fill="CCEEFF"/>
          </w:tcPr>
          <w:p>
            <w:pPr>
              <w:spacing w:after="0"/>
              <w:rPr>
                <w:sz w:val="18"/>
                <w:szCs w:val="18"/>
                <w:color w:val="auto"/>
              </w:rPr>
            </w:pPr>
          </w:p>
        </w:tc>
        <w:tc>
          <w:tcPr>
            <w:tcW w:w="210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Hamilton, HM 11</w:t>
            </w:r>
          </w:p>
        </w:tc>
        <w:tc>
          <w:tcPr>
            <w:tcW w:w="1600" w:type="dxa"/>
            <w:vAlign w:val="bottom"/>
            <w:tcBorders>
              <w:right w:val="single" w:sz="8" w:color="auto"/>
            </w:tcBorders>
            <w:shd w:val="clear" w:color="auto" w:fill="CCEEFF"/>
          </w:tcPr>
          <w:p>
            <w:pPr>
              <w:spacing w:after="0"/>
              <w:rPr>
                <w:sz w:val="18"/>
                <w:szCs w:val="18"/>
                <w:color w:val="auto"/>
              </w:rPr>
            </w:pPr>
          </w:p>
        </w:tc>
        <w:tc>
          <w:tcPr>
            <w:tcW w:w="212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62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100" w:type="dxa"/>
            <w:vAlign w:val="bottom"/>
            <w:tcBorders>
              <w:bottom w:val="single" w:sz="8" w:color="CCEEFF"/>
              <w:right w:val="single" w:sz="8" w:color="auto"/>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1600" w:type="dxa"/>
            <w:vAlign w:val="bottom"/>
            <w:tcBorders>
              <w:bottom w:val="single" w:sz="8" w:color="CCEEFF"/>
              <w:right w:val="single" w:sz="8" w:color="auto"/>
            </w:tcBorders>
            <w:shd w:val="clear" w:color="auto" w:fill="CCEEFF"/>
          </w:tcPr>
          <w:p>
            <w:pPr>
              <w:spacing w:after="0"/>
              <w:rPr>
                <w:sz w:val="22"/>
                <w:szCs w:val="22"/>
                <w:color w:val="auto"/>
              </w:rPr>
            </w:pPr>
          </w:p>
        </w:tc>
        <w:tc>
          <w:tcPr>
            <w:tcW w:w="2120" w:type="dxa"/>
            <w:vAlign w:val="bottom"/>
            <w:tcBorders>
              <w:bottom w:val="single" w:sz="8" w:color="CCEEFF"/>
              <w:right w:val="single" w:sz="8" w:color="auto"/>
            </w:tcBorders>
            <w:shd w:val="clear" w:color="auto" w:fill="CCEEFF"/>
          </w:tcPr>
          <w:p>
            <w:pPr>
              <w:spacing w:after="0"/>
              <w:rPr>
                <w:sz w:val="22"/>
                <w:szCs w:val="22"/>
                <w:color w:val="auto"/>
              </w:rPr>
            </w:pPr>
          </w:p>
        </w:tc>
        <w:tc>
          <w:tcPr>
            <w:tcW w:w="208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Directors</w:t>
            </w:r>
          </w:p>
        </w:tc>
        <w:tc>
          <w:tcPr>
            <w:tcW w:w="2100" w:type="dxa"/>
            <w:vAlign w:val="bottom"/>
            <w:tcBorders>
              <w:top w:val="single" w:sz="8" w:color="auto"/>
              <w:right w:val="single" w:sz="8" w:color="auto"/>
            </w:tcBorders>
          </w:tcPr>
          <w:p>
            <w:pPr>
              <w:spacing w:after="0"/>
              <w:rPr>
                <w:sz w:val="21"/>
                <w:szCs w:val="21"/>
                <w:color w:val="auto"/>
              </w:rPr>
            </w:pPr>
          </w:p>
        </w:tc>
        <w:tc>
          <w:tcPr>
            <w:tcW w:w="1720" w:type="dxa"/>
            <w:vAlign w:val="bottom"/>
            <w:tcBorders>
              <w:top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20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7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Athanasios Thanopoulos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Ilias A. Iliopoulos</w:t>
            </w: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Jean Haramis</w:t>
            </w: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Officers</w:t>
            </w: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Compliance</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Konstantinos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Andreou</w:t>
            </w: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Reporting</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Elly G. Eleftheriou</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 Neapoleos str.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Ceres Shipping Ltd.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0"/>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Officer</w:t>
            </w:r>
          </w:p>
        </w:tc>
        <w:tc>
          <w:tcPr>
            <w:tcW w:w="21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15123 Athens</w:t>
            </w:r>
          </w:p>
        </w:tc>
        <w:tc>
          <w:tcPr>
            <w:tcW w:w="16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Legal Counsel</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Secretary</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Conyers Corporate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Services (Bermuda)</w:t>
            </w:r>
          </w:p>
        </w:tc>
        <w:tc>
          <w:tcPr>
            <w:tcW w:w="1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17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4. Purpose of Transaction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Entry into the Merger Agreement</w:t>
      </w:r>
    </w:p>
    <w:p>
      <w:pPr>
        <w:spacing w:after="0" w:line="233"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Pursuant to, and subject to the terms and conditions of, the Merger Agreement, Merger Sub will be merged with and into the Issuer (the “</w:t>
      </w:r>
      <w:r>
        <w:rPr>
          <w:rFonts w:ascii="Arial" w:cs="Arial" w:eastAsia="Arial" w:hAnsi="Arial"/>
          <w:sz w:val="21"/>
          <w:szCs w:val="21"/>
          <w:b w:val="1"/>
          <w:bCs w:val="1"/>
          <w:color w:val="auto"/>
        </w:rPr>
        <w:t>Merger</w:t>
      </w:r>
      <w:r>
        <w:rPr>
          <w:rFonts w:ascii="Arial" w:cs="Arial" w:eastAsia="Arial" w:hAnsi="Arial"/>
          <w:sz w:val="21"/>
          <w:szCs w:val="21"/>
          <w:color w:val="auto"/>
        </w:rPr>
        <w:t>”), the separate corporate existence of Merger Sub will cease and the Issuer will be the surviving company in the Merger (the “</w:t>
      </w:r>
      <w:r>
        <w:rPr>
          <w:rFonts w:ascii="Arial" w:cs="Arial" w:eastAsia="Arial" w:hAnsi="Arial"/>
          <w:sz w:val="21"/>
          <w:szCs w:val="21"/>
          <w:b w:val="1"/>
          <w:bCs w:val="1"/>
          <w:color w:val="auto"/>
        </w:rPr>
        <w:t>Surviving Company</w:t>
      </w:r>
      <w:r>
        <w:rPr>
          <w:rFonts w:ascii="Arial" w:cs="Arial" w:eastAsia="Arial" w:hAnsi="Arial"/>
          <w:sz w:val="21"/>
          <w:szCs w:val="21"/>
          <w:color w:val="auto"/>
        </w:rPr>
        <w:t>”). Under the terms of the Merger Agreement, each Share issued and outstanding immediately prior to the effective time of the Merger (the “</w:t>
      </w:r>
      <w:r>
        <w:rPr>
          <w:rFonts w:ascii="Arial" w:cs="Arial" w:eastAsia="Arial" w:hAnsi="Arial"/>
          <w:sz w:val="21"/>
          <w:szCs w:val="21"/>
          <w:b w:val="1"/>
          <w:bCs w:val="1"/>
          <w:color w:val="auto"/>
        </w:rPr>
        <w:t>Effective Time</w:t>
      </w:r>
      <w:r>
        <w:rPr>
          <w:rFonts w:ascii="Arial" w:cs="Arial" w:eastAsia="Arial" w:hAnsi="Arial"/>
          <w:sz w:val="21"/>
          <w:szCs w:val="21"/>
          <w:color w:val="auto"/>
        </w:rPr>
        <w:t xml:space="preserve">”) will, by virtue of the Merger, be canceled and converted into the right to receive $5.80 per Share, without interest, except for any shares that, as of immediately prior to the Effective Time of the Merger, are held by (i) the Rolling Shareholders, (ii) any of the Additional Rolling Shareholders (as defined in the Rollover Agreement, the </w:t>
      </w:r>
      <w:r>
        <w:rPr>
          <w:rFonts w:ascii="Arial" w:cs="Arial" w:eastAsia="Arial" w:hAnsi="Arial"/>
          <w:sz w:val="21"/>
          <w:szCs w:val="21"/>
          <w:b w:val="1"/>
          <w:bCs w:val="1"/>
          <w:color w:val="auto"/>
        </w:rPr>
        <w:t>“Additional Rolling Shareholders</w:t>
      </w:r>
      <w:r>
        <w:rPr>
          <w:rFonts w:ascii="Arial" w:cs="Arial" w:eastAsia="Arial" w:hAnsi="Arial"/>
          <w:sz w:val="21"/>
          <w:szCs w:val="21"/>
          <w:color w:val="auto"/>
        </w:rPr>
        <w:t>”), (iii) any direct or indirect wholly owned subsidiary of the Issuer or (iv) the Issuer as treasury shares (the “</w:t>
      </w:r>
      <w:r>
        <w:rPr>
          <w:rFonts w:ascii="Arial" w:cs="Arial" w:eastAsia="Arial" w:hAnsi="Arial"/>
          <w:sz w:val="21"/>
          <w:szCs w:val="21"/>
          <w:b w:val="1"/>
          <w:bCs w:val="1"/>
          <w:color w:val="auto"/>
        </w:rPr>
        <w:t>Transaction</w:t>
      </w:r>
      <w:r>
        <w:rPr>
          <w:rFonts w:ascii="Arial" w:cs="Arial" w:eastAsia="Arial" w:hAnsi="Arial"/>
          <w:sz w:val="21"/>
          <w:szCs w:val="21"/>
          <w:color w:val="auto"/>
        </w:rPr>
        <w:t>”).</w:t>
      </w:r>
    </w:p>
    <w:p>
      <w:pPr>
        <w:spacing w:after="0" w:line="20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Prior to the consummation of the Transaction, each Rolling Shareholder (other than Blenheim Holdings Ltd. and Olympic LNG Investments Ltd.) and each Additional Rolling Shareholder intend to contribute its Shares to BSIH such that immediately prior to the consummation of the Transaction, BSIH will directly hold 10,660,198 Shares. Blenheim Holdings Ltd. and Olympic LNG Investments Ltd. will continue to directly hold 30,800,000 Shares and 11,164,904 Shares,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Promptly after consummation of the Transaction, the Shares will be delisted from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9" w:name="page10"/>
    <w:bookmarkEnd w:id="9"/>
    <w:p>
      <w:pPr>
        <w:ind w:right="100" w:firstLine="648"/>
        <w:spacing w:after="0"/>
        <w:rPr>
          <w:sz w:val="20"/>
          <w:szCs w:val="20"/>
          <w:color w:val="auto"/>
        </w:rPr>
      </w:pPr>
      <w:r>
        <w:rPr>
          <w:rFonts w:ascii="Arial" w:cs="Arial" w:eastAsia="Arial" w:hAnsi="Arial"/>
          <w:sz w:val="22"/>
          <w:szCs w:val="22"/>
          <w:color w:val="auto"/>
        </w:rPr>
        <w:t>The information disclosed in this paragraph is qualified in its entirety by reference to the Merger Agreement, a copy of which has been filed as Exhibit 2.1 to the Form 6-K filed by the Issuer on March 3, 2021 and is incorporated herein by reference in its entirety.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Entry into the Rollover Agreement</w:t>
      </w:r>
    </w:p>
    <w:p>
      <w:pPr>
        <w:spacing w:after="0" w:line="23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Concurrently with the execution of the Merger Agreement, the Parent, the Issuer and the Rolling Shareholders entered into the Rollover Agreement. Pursuant to the Rollover Agreement, (a) each Rolling Shareholder has agreed to vote or cause to be voted any Shares and preference shares beneficially owned by such Rolling Shareholder in favor of adopting the Merger Agreement, the Transaction and any other actions contemplated thereby for which approval of the Issuer’s shareholders is requested, (b) each Rolling Shareholder has agreed that their Shares and preference shares will remain outstanding as shares and preference shares, respectively, of the Surviving Company following consummation of the Transaction and (c) BSIH may acquire from each of the Additional Rolling Shareholders their Shares which will remain outstanding as surviving company shares following consummation of the Transaction.</w:t>
      </w:r>
    </w:p>
    <w:p>
      <w:pPr>
        <w:spacing w:after="0" w:line="207"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In addition, at the consummation of the Transaction, the Issuer, GEPIF, Blenheim Holdings Ltd., BSIH and Olympic LNG Investments Ltd. agreed to enter into a shareholders’ agreement with respect to the governance of the Issuer following the consummation of the Transaction, a form of which is attached as Exhibit B to the Rollover Agreement (the “</w:t>
      </w:r>
      <w:r>
        <w:rPr>
          <w:rFonts w:ascii="Arial" w:cs="Arial" w:eastAsia="Arial" w:hAnsi="Arial"/>
          <w:sz w:val="19"/>
          <w:szCs w:val="19"/>
          <w:b w:val="1"/>
          <w:bCs w:val="1"/>
          <w:color w:val="auto"/>
        </w:rPr>
        <w:t>Shareholders’</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Pursuant to the Shareholders’ Agreement and following the consummation of the Transaction,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 the Issuer will be reduced to five persons, and the Rolling Shareholders that are party to the Shareholders’ Agreement will appoint a majority of the Issuer’s board of directors in accordance with the terms of the Shareholders’ Agreement. In addition, Peter G. Livanos, following consummation of the Transaction, will hold a proxy to vote the Shares of the Rolling Shareholders under the terms of the Shareholders’ Agreement and, as a result of holding such proxy, will control more than a majority of the voting stock of the Surviving Company and will control the right to appoint a majority of the board of the Surviving Company. Following consummation of the Transaction, the Issuer’s bye-laws will be amended and restated to be in the form attached as Exhibit B to the Merger Agreement.</w:t>
      </w:r>
    </w:p>
    <w:p>
      <w:pPr>
        <w:spacing w:after="0" w:line="200" w:lineRule="exact"/>
        <w:rPr>
          <w:sz w:val="20"/>
          <w:szCs w:val="20"/>
          <w:color w:val="auto"/>
        </w:rPr>
      </w:pPr>
    </w:p>
    <w:p>
      <w:pPr>
        <w:spacing w:after="0" w:line="231"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The information disclosed in this paragraph is qualified in its entirety by reference to the Rollover Agreement, a copy of which is filed as Exhibit 2.2 to the Form 6-K filed by the Issuer on March 3, 2021 and is incorporated herein by reference in its entirety.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5. Interest in Securities of the Issuer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Sections (a), (b) and (c) of Item 5 are amended as follows:</w:t>
      </w:r>
    </w:p>
    <w:p>
      <w:pPr>
        <w:spacing w:after="0" w:line="233" w:lineRule="exact"/>
        <w:rPr>
          <w:sz w:val="20"/>
          <w:szCs w:val="20"/>
          <w:color w:val="auto"/>
        </w:rPr>
      </w:pPr>
    </w:p>
    <w:p>
      <w:pPr>
        <w:ind w:right="840" w:firstLine="656"/>
        <w:spacing w:after="0" w:line="250" w:lineRule="auto"/>
        <w:tabs>
          <w:tab w:leader="none" w:pos="942" w:val="left"/>
        </w:tabs>
        <w:numPr>
          <w:ilvl w:val="0"/>
          <w:numId w:val="9"/>
        </w:numPr>
        <w:rPr>
          <w:rFonts w:ascii="Arial" w:cs="Arial" w:eastAsia="Arial" w:hAnsi="Arial"/>
          <w:sz w:val="22"/>
          <w:szCs w:val="22"/>
          <w:color w:val="auto"/>
        </w:rPr>
      </w:pPr>
      <w:r>
        <w:rPr>
          <w:rFonts w:ascii="Arial" w:cs="Arial" w:eastAsia="Arial" w:hAnsi="Arial"/>
          <w:sz w:val="22"/>
          <w:szCs w:val="22"/>
          <w:color w:val="auto"/>
        </w:rPr>
        <w:t>See Items 11 and 13 on Cover Pages to this Amendment No. 10. Percentages are based on 95,192,812 Shares outstanding as of February 17, 2021.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Peter G. Livanos</w:t>
      </w:r>
      <w:r>
        <w:rPr>
          <w:rFonts w:ascii="Arial" w:cs="Arial" w:eastAsia="Arial" w:hAnsi="Arial"/>
          <w:sz w:val="22"/>
          <w:szCs w:val="22"/>
          <w:color w:val="auto"/>
        </w:rPr>
        <w:t>. Peter G. Livanos does not directly own any Shares.</w:t>
      </w:r>
    </w:p>
    <w:p>
      <w:pPr>
        <w:spacing w:after="0" w:line="227"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u w:val="single" w:color="auto"/>
          <w:color w:val="auto"/>
        </w:rPr>
        <w:t>Ceres Shipping Ltd. (“</w:t>
      </w:r>
      <w:r>
        <w:rPr>
          <w:rFonts w:ascii="Arial" w:cs="Arial" w:eastAsia="Arial" w:hAnsi="Arial"/>
          <w:sz w:val="22"/>
          <w:szCs w:val="22"/>
          <w:b w:val="1"/>
          <w:bCs w:val="1"/>
          <w:u w:val="single" w:color="auto"/>
          <w:color w:val="auto"/>
        </w:rPr>
        <w:t>Ceres</w:t>
      </w:r>
      <w:r>
        <w:rPr>
          <w:rFonts w:ascii="Arial" w:cs="Arial" w:eastAsia="Arial" w:hAnsi="Arial"/>
          <w:sz w:val="22"/>
          <w:szCs w:val="22"/>
          <w:u w:val="single" w:color="auto"/>
          <w:color w:val="auto"/>
        </w:rPr>
        <w:t>”)</w:t>
      </w:r>
      <w:r>
        <w:rPr>
          <w:rFonts w:ascii="Arial" w:cs="Arial" w:eastAsia="Arial" w:hAnsi="Arial"/>
          <w:sz w:val="22"/>
          <w:szCs w:val="22"/>
          <w:color w:val="auto"/>
        </w:rPr>
        <w:t>. Mr. Livanos beneficially owns 100% of the share capital of Ceres. Ceres does not directly own any Shares.</w:t>
      </w:r>
    </w:p>
    <w:p>
      <w:pPr>
        <w:spacing w:after="0" w:line="189" w:lineRule="exact"/>
        <w:rPr>
          <w:sz w:val="20"/>
          <w:szCs w:val="20"/>
          <w:color w:val="auto"/>
        </w:rPr>
      </w:pPr>
    </w:p>
    <w:p>
      <w:pPr>
        <w:ind w:right="380" w:firstLine="648"/>
        <w:spacing w:after="0" w:line="256" w:lineRule="auto"/>
        <w:rPr>
          <w:sz w:val="20"/>
          <w:szCs w:val="20"/>
          <w:color w:val="auto"/>
        </w:rPr>
      </w:pPr>
      <w:r>
        <w:rPr>
          <w:rFonts w:ascii="Arial" w:cs="Arial" w:eastAsia="Arial" w:hAnsi="Arial"/>
          <w:sz w:val="22"/>
          <w:szCs w:val="22"/>
          <w:u w:val="single" w:color="auto"/>
          <w:color w:val="auto"/>
        </w:rPr>
        <w:t>Blenheim Holdings Ltd. (“</w:t>
      </w:r>
      <w:r>
        <w:rPr>
          <w:rFonts w:ascii="Arial" w:cs="Arial" w:eastAsia="Arial" w:hAnsi="Arial"/>
          <w:sz w:val="22"/>
          <w:szCs w:val="22"/>
          <w:b w:val="1"/>
          <w:bCs w:val="1"/>
          <w:u w:val="single" w:color="auto"/>
          <w:color w:val="auto"/>
        </w:rPr>
        <w:t>Blenheim</w:t>
      </w:r>
      <w:r>
        <w:rPr>
          <w:rFonts w:ascii="Arial" w:cs="Arial" w:eastAsia="Arial" w:hAnsi="Arial"/>
          <w:sz w:val="22"/>
          <w:szCs w:val="22"/>
          <w:u w:val="single" w:color="auto"/>
          <w:color w:val="auto"/>
        </w:rPr>
        <w:t>”)</w:t>
      </w:r>
      <w:r>
        <w:rPr>
          <w:rFonts w:ascii="Arial" w:cs="Arial" w:eastAsia="Arial" w:hAnsi="Arial"/>
          <w:sz w:val="22"/>
          <w:szCs w:val="22"/>
          <w:color w:val="auto"/>
        </w:rPr>
        <w:t>. Blenheim is the direct owner of 30,800,000 Shares. Ceres beneficially owns a majority of the share capital of Blenheim, and, pursuant to the by-laws of Blenheim:</w:t>
      </w:r>
    </w:p>
    <w:p>
      <w:pPr>
        <w:spacing w:after="0" w:line="195" w:lineRule="exact"/>
        <w:rPr>
          <w:sz w:val="20"/>
          <w:szCs w:val="20"/>
          <w:color w:val="auto"/>
        </w:rPr>
      </w:pPr>
    </w:p>
    <w:p>
      <w:pPr>
        <w:ind w:left="660" w:right="260"/>
        <w:spacing w:after="0" w:line="236" w:lineRule="auto"/>
        <w:rPr>
          <w:sz w:val="20"/>
          <w:szCs w:val="20"/>
          <w:color w:val="auto"/>
        </w:rPr>
      </w:pPr>
      <w:r>
        <w:rPr>
          <w:rFonts w:ascii="Arial" w:cs="Arial" w:eastAsia="Arial" w:hAnsi="Arial"/>
          <w:sz w:val="22"/>
          <w:szCs w:val="22"/>
          <w:color w:val="auto"/>
        </w:rPr>
        <w:t>“any question relevant to the voting or the sale, transfer or other disposal of any shares of [the Issuer] held from time to time by [Blenheim], and the disposition of any proceeds thereof, . . . shall be decided by a resolution adopted by [the holders] of a majority of the issued and outstanding shares”.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Ceres may be deemed to beneficially own the Shares directly held by Blenheim.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 w:name="page11"/>
    <w:bookmarkEnd w:id="10"/>
    <w:p>
      <w:pPr>
        <w:ind w:right="200" w:firstLine="648"/>
        <w:spacing w:after="0" w:line="274" w:lineRule="auto"/>
        <w:rPr>
          <w:sz w:val="20"/>
          <w:szCs w:val="20"/>
          <w:color w:val="auto"/>
        </w:rPr>
      </w:pPr>
      <w:r>
        <w:rPr>
          <w:rFonts w:ascii="Arial" w:cs="Arial" w:eastAsia="Arial" w:hAnsi="Arial"/>
          <w:sz w:val="21"/>
          <w:szCs w:val="21"/>
          <w:u w:val="single" w:color="auto"/>
          <w:color w:val="auto"/>
        </w:rPr>
        <w:t>Blenheim Special Investments Holding Ltd</w:t>
      </w:r>
      <w:r>
        <w:rPr>
          <w:rFonts w:ascii="Arial" w:cs="Arial" w:eastAsia="Arial" w:hAnsi="Arial"/>
          <w:sz w:val="21"/>
          <w:szCs w:val="21"/>
          <w:color w:val="auto"/>
        </w:rPr>
        <w:t>. Pursuant to the Rollover Agreement, BSIH will become the direct owner of 10,660,198 Shares prior to the consummation of the Transaction. BSIH is wholly owned by Blenheim.</w:t>
      </w:r>
    </w:p>
    <w:p>
      <w:pPr>
        <w:spacing w:after="0" w:line="172" w:lineRule="exact"/>
        <w:rPr>
          <w:sz w:val="20"/>
          <w:szCs w:val="20"/>
          <w:color w:val="auto"/>
        </w:rPr>
      </w:pPr>
    </w:p>
    <w:p>
      <w:pPr>
        <w:ind w:right="460" w:firstLine="648"/>
        <w:spacing w:after="0" w:line="239" w:lineRule="auto"/>
        <w:rPr>
          <w:sz w:val="20"/>
          <w:szCs w:val="20"/>
          <w:color w:val="auto"/>
        </w:rPr>
      </w:pPr>
      <w:r>
        <w:rPr>
          <w:rFonts w:ascii="Arial" w:cs="Arial" w:eastAsia="Arial" w:hAnsi="Arial"/>
          <w:sz w:val="22"/>
          <w:szCs w:val="22"/>
          <w:color w:val="auto"/>
        </w:rPr>
        <w:t>Mr. Livanos also beneficially owns 100% of the share capital of the following entities (the “</w:t>
      </w:r>
      <w:r>
        <w:rPr>
          <w:rFonts w:ascii="Arial" w:cs="Arial" w:eastAsia="Arial" w:hAnsi="Arial"/>
          <w:sz w:val="22"/>
          <w:szCs w:val="22"/>
          <w:b w:val="1"/>
          <w:bCs w:val="1"/>
          <w:color w:val="auto"/>
        </w:rPr>
        <w:t>Owned Entities</w:t>
      </w:r>
      <w:r>
        <w:rPr>
          <w:rFonts w:ascii="Arial" w:cs="Arial" w:eastAsia="Arial" w:hAnsi="Arial"/>
          <w:sz w:val="22"/>
          <w:szCs w:val="22"/>
          <w:color w:val="auto"/>
        </w:rPr>
        <w:t>”) which directly own an aggregate 3,343,544 Shares, which shares shall be transferred to BSIH prior to the consummation of the Transaction:</w:t>
      </w:r>
    </w:p>
    <w:tbl>
      <w:tblPr>
        <w:tblLayout w:type="fixed"/>
        <w:tblInd w:w="1420" w:type="dxa"/>
        <w:tblCellMar>
          <w:top w:w="0" w:type="dxa"/>
          <w:left w:w="0" w:type="dxa"/>
          <w:bottom w:w="0" w:type="dxa"/>
          <w:right w:w="0" w:type="dxa"/>
        </w:tblCellMar>
      </w:tblPr>
      <w:tr>
        <w:trPr>
          <w:trHeight w:val="198"/>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120"/>
              <w:spacing w:after="0" w:line="199" w:lineRule="exact"/>
              <w:rPr>
                <w:sz w:val="20"/>
                <w:szCs w:val="20"/>
                <w:color w:val="auto"/>
              </w:rPr>
            </w:pPr>
            <w:r>
              <w:rPr>
                <w:rFonts w:ascii="Arial" w:cs="Arial" w:eastAsia="Arial" w:hAnsi="Arial"/>
                <w:sz w:val="18"/>
                <w:szCs w:val="18"/>
                <w:b w:val="1"/>
                <w:bCs w:val="1"/>
                <w:color w:val="auto"/>
                <w:w w:val="93"/>
              </w:rPr>
              <w:t>Number of</w:t>
            </w:r>
          </w:p>
        </w:tc>
      </w:t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Directly</w:t>
            </w:r>
          </w:p>
        </w:tc>
      </w:tr>
      <w:tr>
        <w:trPr>
          <w:trHeight w:val="24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Entity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Ash Tree SA</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Maple Tree Holdings Ltd.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2,239,044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Acer Tree SA</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214,500</w:t>
            </w:r>
          </w:p>
        </w:tc>
      </w:tr>
    </w:tbl>
    <w:p>
      <w:pPr>
        <w:spacing w:after="0" w:line="216" w:lineRule="exact"/>
        <w:rPr>
          <w:sz w:val="20"/>
          <w:szCs w:val="20"/>
          <w:color w:val="auto"/>
        </w:rPr>
      </w:pPr>
    </w:p>
    <w:p>
      <w:pPr>
        <w:ind w:right="100"/>
        <w:spacing w:after="0" w:line="300" w:lineRule="auto"/>
        <w:rPr>
          <w:sz w:val="20"/>
          <w:szCs w:val="20"/>
          <w:color w:val="auto"/>
        </w:rPr>
      </w:pPr>
      <w:r>
        <w:rPr>
          <w:rFonts w:ascii="Arial" w:cs="Arial" w:eastAsia="Arial" w:hAnsi="Arial"/>
          <w:sz w:val="19"/>
          <w:szCs w:val="19"/>
          <w:color w:val="auto"/>
        </w:rPr>
        <w:t>Mr. Livanos is an officer, member of the board of directors and/or settlor of the following entities (the “</w:t>
      </w:r>
      <w:r>
        <w:rPr>
          <w:rFonts w:ascii="Arial" w:cs="Arial" w:eastAsia="Arial" w:hAnsi="Arial"/>
          <w:sz w:val="19"/>
          <w:szCs w:val="19"/>
          <w:b w:val="1"/>
          <w:bCs w:val="1"/>
          <w:color w:val="auto"/>
        </w:rPr>
        <w:t>Controlled Entities</w:t>
      </w:r>
      <w:r>
        <w:rPr>
          <w:rFonts w:ascii="Arial" w:cs="Arial" w:eastAsia="Arial" w:hAnsi="Arial"/>
          <w:sz w:val="19"/>
          <w:szCs w:val="19"/>
          <w:color w:val="auto"/>
        </w:rPr>
        <w:t>”) which directly own an aggregate 5,276,000 Shares for the benefit of Mr. Livanos and members of his family (as set forth below), accordingly he may be deemed to have shared voting and/or dispositive power over such Shares as of the date hereof.</w:t>
      </w:r>
    </w:p>
    <w:p>
      <w:pPr>
        <w:spacing w:after="0" w:line="16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Directly</w:t>
            </w:r>
          </w:p>
        </w:tc>
      </w:tr>
      <w:tr>
        <w:trPr>
          <w:trHeight w:val="24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Entity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Falconera Navigation Inc.</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Chiara Holdings S. de R.L.</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181,000</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Thatcher Investments Limited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623,250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Eleanor Investments Holdings Limited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623,250</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Nelson Equity Limited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623,250</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JP Jones Holdings Limited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623,250</w:t>
            </w:r>
          </w:p>
        </w:tc>
      </w:tr>
    </w:tbl>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Upon the contribution of Shares held by each of the Rolling Shareholders (other than Blenheim Holdings Ltd. and Olympic LNG Investments Ltd.) to BSIH, Mr. Livanos will be deemed to become the beneficial owner of 5,276,000 Shares. Until such contributions are made, Mr. Livanos disclaims beneficial ownership of the Shares owned by the Controlled Entities, and the Controlled Entities disclaim beneficial ownership of the Shares owned by Mr. Livanos and the Owned Entities. Except as set forth in this Item 5(a), none of the Reporting Persons owns beneficially any Shares.</w:t>
      </w:r>
    </w:p>
    <w:p>
      <w:pPr>
        <w:spacing w:after="0" w:line="205" w:lineRule="exact"/>
        <w:rPr>
          <w:sz w:val="20"/>
          <w:szCs w:val="20"/>
          <w:color w:val="auto"/>
        </w:rPr>
      </w:pPr>
    </w:p>
    <w:p>
      <w:pPr>
        <w:ind w:left="960" w:hanging="304"/>
        <w:spacing w:after="0"/>
        <w:tabs>
          <w:tab w:leader="none" w:pos="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each Reporting Person has:</w:t>
      </w:r>
    </w:p>
    <w:p>
      <w:pPr>
        <w:spacing w:after="0" w:line="8" w:lineRule="exact"/>
        <w:rPr>
          <w:rFonts w:ascii="Arial" w:cs="Arial" w:eastAsia="Arial" w:hAnsi="Arial"/>
          <w:sz w:val="22"/>
          <w:szCs w:val="22"/>
          <w:color w:val="auto"/>
        </w:rPr>
      </w:pPr>
    </w:p>
    <w:p>
      <w:pPr>
        <w:ind w:left="1580" w:hanging="276"/>
        <w:spacing w:after="0" w:line="230" w:lineRule="auto"/>
        <w:tabs>
          <w:tab w:leader="none" w:pos="15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vote or to direct the vote: See item 7 on Cover Pages to this Amendment No. 10.</w:t>
      </w:r>
    </w:p>
    <w:p>
      <w:pPr>
        <w:ind w:left="1620" w:hanging="316"/>
        <w:spacing w:after="0" w:line="230" w:lineRule="auto"/>
        <w:tabs>
          <w:tab w:leader="none" w:pos="16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vote or to direct the vote: See item 8 on Cover Pages to this Amendment No. 10.</w:t>
      </w:r>
    </w:p>
    <w:p>
      <w:pPr>
        <w:ind w:left="1680" w:hanging="376"/>
        <w:spacing w:after="0"/>
        <w:tabs>
          <w:tab w:leader="none" w:pos="1680" w:val="left"/>
        </w:tabs>
        <w:numPr>
          <w:ilvl w:val="1"/>
          <w:numId w:val="10"/>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See item 9 on Cover Pages to this Amendment No. 10.</w:t>
      </w:r>
    </w:p>
    <w:p>
      <w:pPr>
        <w:spacing w:after="0" w:line="24" w:lineRule="exact"/>
        <w:rPr>
          <w:rFonts w:ascii="Arial" w:cs="Arial" w:eastAsia="Arial" w:hAnsi="Arial"/>
          <w:sz w:val="19"/>
          <w:szCs w:val="19"/>
          <w:color w:val="auto"/>
        </w:rPr>
      </w:pPr>
    </w:p>
    <w:p>
      <w:pPr>
        <w:ind w:left="1680" w:hanging="376"/>
        <w:spacing w:after="0"/>
        <w:tabs>
          <w:tab w:leader="none" w:pos="1680" w:val="left"/>
        </w:tabs>
        <w:numPr>
          <w:ilvl w:val="1"/>
          <w:numId w:val="10"/>
        </w:numPr>
        <w:rPr>
          <w:rFonts w:ascii="Arial" w:cs="Arial" w:eastAsia="Arial" w:hAnsi="Arial"/>
          <w:sz w:val="21"/>
          <w:szCs w:val="21"/>
          <w:color w:val="auto"/>
        </w:rPr>
      </w:pPr>
      <w:r>
        <w:rPr>
          <w:rFonts w:ascii="Arial" w:cs="Arial" w:eastAsia="Arial" w:hAnsi="Arial"/>
          <w:sz w:val="21"/>
          <w:szCs w:val="21"/>
          <w:color w:val="auto"/>
        </w:rPr>
        <w:t>Shared power to dispose or to direct the vote: See item 10 on Cover Pages to this Amendment No. 10.</w:t>
      </w:r>
    </w:p>
    <w:p>
      <w:pPr>
        <w:spacing w:after="0" w:line="226" w:lineRule="exact"/>
        <w:rPr>
          <w:rFonts w:ascii="Arial" w:cs="Arial" w:eastAsia="Arial" w:hAnsi="Arial"/>
          <w:sz w:val="21"/>
          <w:szCs w:val="21"/>
          <w:color w:val="auto"/>
        </w:rPr>
      </w:pPr>
    </w:p>
    <w:p>
      <w:pPr>
        <w:ind w:right="20" w:firstLine="656"/>
        <w:spacing w:after="0" w:line="328" w:lineRule="auto"/>
        <w:tabs>
          <w:tab w:leader="none" w:pos="942" w:val="left"/>
        </w:tabs>
        <w:numPr>
          <w:ilvl w:val="0"/>
          <w:numId w:val="10"/>
        </w:numPr>
        <w:rPr>
          <w:rFonts w:ascii="Arial" w:cs="Arial" w:eastAsia="Arial" w:hAnsi="Arial"/>
          <w:sz w:val="19"/>
          <w:szCs w:val="19"/>
          <w:color w:val="auto"/>
        </w:rPr>
      </w:pPr>
      <w:r>
        <w:rPr>
          <w:rFonts w:ascii="Arial" w:cs="Arial" w:eastAsia="Arial" w:hAnsi="Arial"/>
          <w:sz w:val="19"/>
          <w:szCs w:val="19"/>
          <w:color w:val="auto"/>
        </w:rPr>
        <w:t>Other than as described herein, including as set forth below, to the best of their knowledge, the Reporting Persons have not effected any transactions in the Shares since filing Amendment No. 9 with the Commission on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9"/>
          <w:szCs w:val="19"/>
          <w:b w:val="1"/>
          <w:bCs w:val="1"/>
          <w:i w:val="1"/>
          <w:iCs w:val="1"/>
          <w:color w:val="auto"/>
        </w:rPr>
        <w:t>Item 6. Contracts, Arrangements, Understandings or Relationships with Respect to Securities of the Issuer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of this Amendment No. 10 is incorporated herein by reference.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7. Material to be Filed as Exhibits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Exhibit 1 Agreement and Plan of Merger by and among GasLog Ltd., GEPIF III Crown Bidco L.P. and GEPIF III Crown MergerCo Limited, dated as of February 21, 2021 (incorporated by reference to Exhibit 2.1 to the Form 6-K filed by GasLog Ltd. on March 3, 2021).</w:t>
      </w:r>
    </w:p>
    <w:p>
      <w:pPr>
        <w:spacing w:after="0" w:line="21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Exhibit 2 Rollover Agreement by and among GasLog Ltd., GEPIF III Crown Bidco L.P. and the Rolling Shareholders (as defined herein), dated as of February 21, 2021 (incorporated by reference to Exhibit 2.2 to the Form 6-K filed by GasLog Ltd. on 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2" w:name="page13"/>
    <w:bookmarkEnd w:id="12"/>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4, 2021</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Peter G. Livanos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Ceres Shipping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Blenheim Holdings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Blenheim Special Investments Holding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Attorney-in-fact</w:t>
      </w:r>
    </w:p>
    <w:sectPr>
      <w:pgSz w:w="11900" w:h="16838" w:orient="portrait"/>
      <w:cols w:equalWidth="0" w:num="1">
        <w:col w:w="10480"/>
      </w:cols>
      <w:pgMar w:left="320" w:top="35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6"/>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2021-03-05T05:58:29Z</dcterms:created>
  <dcterms:modified xsi:type="dcterms:W3CDTF">2021-03-05T05:58:29Z</dcterms:modified>
</cp:coreProperties>
</file>