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452"/>
        </w:trPr>
        <w:tc>
          <w:tcPr>
            <w:tcW w:w="101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20" w:type="dxa"/>
            <w:vAlign w:val="bottom"/>
          </w:tcPr>
          <w:p>
            <w:pPr>
              <w:spacing w:after="0"/>
              <w:rPr>
                <w:sz w:val="24"/>
                <w:szCs w:val="24"/>
                <w:color w:val="auto"/>
              </w:rPr>
            </w:pPr>
          </w:p>
        </w:tc>
      </w:tr>
      <w:tr>
        <w:trPr>
          <w:trHeight w:val="41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8"/>
        </w:trPr>
        <w:tc>
          <w:tcPr>
            <w:tcW w:w="101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The press release issued by GasLog Ltd. on May 14, 2019 relating to the pricing of its public offering of senior unsecured notes due 2022 is included as Exhibit 99.1 and is incorporated herein by reference.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May 14, 2019</w:t>
      </w:r>
    </w:p>
    <w:p>
      <w:pPr>
        <w:spacing w:after="0" w:line="2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GASLOG LTD.,</w:t>
      </w:r>
    </w:p>
    <w:p>
      <w:pPr>
        <w:spacing w:after="0" w:line="211" w:lineRule="exact"/>
        <w:rPr>
          <w:sz w:val="20"/>
          <w:szCs w:val="20"/>
          <w:color w:val="auto"/>
        </w:rPr>
      </w:pPr>
    </w:p>
    <w:p>
      <w:pPr>
        <w:ind w:left="5620"/>
        <w:spacing w:after="0"/>
        <w:tabs>
          <w:tab w:leader="none" w:pos="6020" w:val="left"/>
        </w:tabs>
        <w:rPr>
          <w:sz w:val="20"/>
          <w:szCs w:val="20"/>
          <w:color w:val="auto"/>
        </w:rPr>
      </w:pPr>
      <w:r>
        <w:rPr>
          <w:rFonts w:ascii="Arial" w:cs="Arial" w:eastAsia="Arial" w:hAnsi="Arial"/>
          <w:sz w:val="18"/>
          <w:szCs w:val="18"/>
          <w:color w:val="auto"/>
        </w:rPr>
        <w:t>by</w:t>
        <w:tab/>
        <w:t>/s/ Paul Wogan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0" w:type="dxa"/>
            <w:vAlign w:val="bottom"/>
          </w:tcPr>
          <w:p>
            <w:pPr>
              <w:spacing w:after="0"/>
              <w:rPr>
                <w:sz w:val="16"/>
                <w:szCs w:val="16"/>
                <w:color w:val="auto"/>
              </w:rPr>
            </w:pPr>
          </w:p>
        </w:tc>
        <w:tc>
          <w:tcPr>
            <w:tcW w:w="7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Paul Wogan</w:t>
            </w:r>
          </w:p>
        </w:tc>
        <w:tc>
          <w:tcPr>
            <w:tcW w:w="40" w:type="dxa"/>
            <w:vAlign w:val="bottom"/>
          </w:tcPr>
          <w:p>
            <w:pPr>
              <w:spacing w:after="0"/>
              <w:rPr>
                <w:sz w:val="16"/>
                <w:szCs w:val="16"/>
                <w:color w:val="auto"/>
              </w:rPr>
            </w:pPr>
          </w:p>
        </w:tc>
      </w:tr>
      <w:tr>
        <w:trPr>
          <w:trHeight w:val="230"/>
        </w:trPr>
        <w:tc>
          <w:tcPr>
            <w:tcW w:w="600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Title:</w:t>
            </w:r>
          </w:p>
        </w:tc>
        <w:tc>
          <w:tcPr>
            <w:tcW w:w="472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0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ind w:left="1038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Pricing of Public Offering of 8.875% Senior Notes Due 2022 At A Price of 102.5% of Par</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MONACO — May 14, 2019 — </w:t>
      </w:r>
      <w:r>
        <w:rPr>
          <w:rFonts w:ascii="Arial" w:cs="Arial" w:eastAsia="Arial" w:hAnsi="Arial"/>
          <w:sz w:val="18"/>
          <w:szCs w:val="18"/>
          <w:color w:val="auto"/>
        </w:rPr>
        <w:t>GasLog Ltd. (“GasLog” or the “Company”) (NYSE:GLOG), an international owner, operator and manager of liquefied</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gas (“LNG”) carriers, announced today that it has priced its public offering of an additional $75.0 million (the “Notes”) of its 8.875% Senior Notes due 2022 at a price of 102.5% of the underlying principal amount. The yield to maturity of the Notes is 7.885% at the offer price. The Notes were an issuance of further notes of the same series under the indenture pursuant to which the Company previously issued $250.0 million aggregate principal amount of the Company’s 8.875% Senior Notes due 2022 (the “Existing Notes”). The Notes will mature on March 22, 2022 and will bear interest at a rate of 8.875% of the underlying principal amount per annum from March 30, 2019, payable quarterly in arrears on March 30, June 30, September 30 and December 30 of each year.</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proceeds from the offering after deducting the underwriting discount and estimated offering expenses are expected to be approximately $75.3 million. The Company plans to use the net proceeds from the offering to partially fund the Company’s committed growth capital program and for general corporate purposes, including working capital.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Suisse Securities (USA) LLC, DNB Markets, Inc. and Stifel, Nicolaus &amp; Company, Incorporated are acting as joint book-running managers of the offering. The offering is expected to close on or about May 16, 2019.</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offering is being made only by means of a prospectus supplement and accompanying base prospectus. When available, the prospectus supplement and accompanying base prospectus relating to the offering may be obtained from: Credit Suisse Securities (USA) LLC, Attention: Prospectus Department, One Madison Avenue, New York, New York 10010, telephone: (800) 221-1037, email: usa.prospectus@credit-suisse.com; DNB Markets, Inc., 200 Park Ave, Floor 31, New York, NY 10166, telephone: (212) 681-3800; or Stifel, Nicolaus &amp; Company, Incorporated, Attention: Syndicate Department, One South Street, 15th Floor, Baltimore, MD 21202, telephone: (855) 300-7136, email: syndprospectus@stifel.com.</w:t>
      </w:r>
    </w:p>
    <w:p>
      <w:pPr>
        <w:spacing w:after="0" w:line="1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34 LNG carriers and an additional LNG carrier which was sold to a subsidiary of Mitsui Co. Ltd. and leased back under a long-term bareboat charter. 20 of these vessels (12 ships on the water and eight on order) are owned by GasLog with the remaining 15 LNG carriers being owned by the Company’s subsidiary, GasLog Partners. GasLog’s principal executive offices are at Gildo Pastor Center, 7 Rue du Gabian, MC 98000, Monaco.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statements in this press release that are not statements of historical fact are “forward-looking statements” within the meaning of the U.S. Private Securities Litigation Reform Act of 1995. Forward-looking statements include statements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73" w:lineRule="auto"/>
        <w:rPr>
          <w:sz w:val="20"/>
          <w:szCs w:val="20"/>
          <w:color w:val="auto"/>
        </w:rPr>
      </w:pPr>
      <w:r>
        <w:rPr>
          <w:rFonts w:ascii="Arial" w:cs="Arial" w:eastAsia="Arial" w:hAnsi="Arial"/>
          <w:sz w:val="17"/>
          <w:szCs w:val="17"/>
          <w:color w:val="auto"/>
        </w:rPr>
        <w:t>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79" w:lineRule="exact"/>
        <w:rPr>
          <w:sz w:val="20"/>
          <w:szCs w:val="20"/>
          <w:color w:val="auto"/>
        </w:rPr>
      </w:pPr>
    </w:p>
    <w:p>
      <w:pPr>
        <w:ind w:left="660" w:right="120" w:hanging="328"/>
        <w:spacing w:after="0" w:line="258"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660" w:right="92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60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ind w:left="660" w:right="700" w:hanging="328"/>
        <w:spacing w:after="0" w:line="261"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5, 2019 and available at </w:t>
      </w:r>
      <w:r>
        <w:rPr>
          <w:rFonts w:ascii="Arial" w:cs="Arial" w:eastAsia="Arial" w:hAnsi="Arial"/>
          <w:sz w:val="18"/>
          <w:szCs w:val="18"/>
          <w:u w:val="single" w:color="auto"/>
          <w:color w:val="0000FF"/>
        </w:rPr>
        <w:t>http://www.sec.gov</w:t>
      </w:r>
      <w:r>
        <w:rPr>
          <w:rFonts w:ascii="Arial" w:cs="Arial" w:eastAsia="Arial" w:hAnsi="Arial"/>
          <w:sz w:val="18"/>
          <w:szCs w:val="18"/>
          <w:color w:val="000000"/>
        </w:rPr>
        <w:t>.</w:t>
      </w:r>
    </w:p>
    <w:p>
      <w:pPr>
        <w:spacing w:after="0" w:line="238"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160"/>
      </w:cols>
      <w:pgMar w:left="240" w:top="34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2019-12-02T19:26:23Z</dcterms:created>
  <dcterms:modified xsi:type="dcterms:W3CDTF">2019-12-02T19:26:23Z</dcterms:modified>
</cp:coreProperties>
</file>