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 PURSUANT TO RULE 13a-16 OR</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15d-16 UNDER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February,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400" w:firstLine="942"/>
        <w:spacing w:after="0" w:line="277" w:lineRule="auto"/>
        <w:rPr>
          <w:sz w:val="20"/>
          <w:szCs w:val="20"/>
          <w:color w:val="auto"/>
        </w:rPr>
      </w:pPr>
      <w:r>
        <w:rPr>
          <w:rFonts w:ascii="Arial" w:cs="Arial" w:eastAsia="Arial" w:hAnsi="Arial"/>
          <w:sz w:val="18"/>
          <w:szCs w:val="18"/>
          <w:color w:val="auto"/>
        </w:rPr>
        <w:t>The press release issued by GasLog Ltd. on February 28, 2018 announcing the availability of its Annual Report on Form 20-F is included as Exhibit 99.1 and is incorporated herein by reference.</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February 28, 2018</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20" w:firstLine="9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5920"/>
        <w:spacing w:after="0"/>
        <w:tabs>
          <w:tab w:leader="none" w:pos="628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3249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ind w:left="6300"/>
              <w:spacing w:after="0"/>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rPr>
                <w:sz w:val="20"/>
                <w:szCs w:val="20"/>
                <w:color w:val="auto"/>
              </w:rPr>
            </w:pPr>
            <w:r>
              <w:rPr>
                <w:rFonts w:ascii="Arial" w:cs="Arial" w:eastAsia="Arial" w:hAnsi="Arial"/>
                <w:sz w:val="18"/>
                <w:szCs w:val="18"/>
                <w:color w:val="auto"/>
              </w:rPr>
              <w:t>Paul A. Wogan</w:t>
            </w:r>
          </w:p>
        </w:tc>
      </w:tr>
      <w:tr>
        <w:trPr>
          <w:trHeight w:val="230"/>
        </w:trPr>
        <w:tc>
          <w:tcPr>
            <w:tcW w:w="6920" w:type="dxa"/>
            <w:vAlign w:val="bottom"/>
          </w:tcPr>
          <w:p>
            <w:pPr>
              <w:ind w:left="6300"/>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432"/>
        </w:trPr>
        <w:tc>
          <w:tcPr>
            <w:tcW w:w="6920" w:type="dxa"/>
            <w:vAlign w:val="bottom"/>
          </w:tcPr>
          <w:p>
            <w:pPr>
              <w:jc w:val="right"/>
              <w:ind w:right="1070"/>
              <w:spacing w:after="0"/>
              <w:rPr>
                <w:sz w:val="20"/>
                <w:szCs w:val="20"/>
                <w:color w:val="auto"/>
              </w:rPr>
            </w:pPr>
            <w:r>
              <w:rPr>
                <w:rFonts w:ascii="Arial" w:cs="Arial" w:eastAsia="Arial" w:hAnsi="Arial"/>
                <w:sz w:val="18"/>
                <w:szCs w:val="18"/>
                <w:color w:val="auto"/>
              </w:rPr>
              <w:t>3</w:t>
            </w:r>
          </w:p>
        </w:tc>
        <w:tc>
          <w:tcPr>
            <w:tcW w:w="4540" w:type="dxa"/>
            <w:vAlign w:val="bottom"/>
          </w:tcPr>
          <w:p>
            <w:pPr>
              <w:spacing w:after="0"/>
              <w:rPr>
                <w:sz w:val="24"/>
                <w:szCs w:val="24"/>
                <w:color w:val="auto"/>
              </w:rPr>
            </w:pPr>
          </w:p>
        </w:tc>
      </w:tr>
      <w:tr>
        <w:trPr>
          <w:trHeight w:val="132"/>
        </w:trPr>
        <w:tc>
          <w:tcPr>
            <w:tcW w:w="692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Announces Availability of its Annual Report on Form 20-F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MONACO — February 28, 2018 </w:t>
      </w:r>
      <w:r>
        <w:rPr>
          <w:rFonts w:ascii="Arial" w:cs="Arial" w:eastAsia="Arial" w:hAnsi="Arial"/>
          <w:sz w:val="18"/>
          <w:szCs w:val="18"/>
          <w:color w:val="auto"/>
        </w:rPr>
        <w:t>- GasLog Ltd. (GasLog) (NYSE: GLOG), an international owner, operator and manager of liquefied natural gas (“LNG”)</w:t>
      </w:r>
      <w:r>
        <w:rPr>
          <w:rFonts w:ascii="Arial" w:cs="Arial" w:eastAsia="Arial" w:hAnsi="Arial"/>
          <w:sz w:val="18"/>
          <w:szCs w:val="18"/>
          <w:b w:val="1"/>
          <w:bCs w:val="1"/>
          <w:color w:val="auto"/>
        </w:rPr>
        <w:t xml:space="preserve"> </w:t>
      </w:r>
      <w:r>
        <w:rPr>
          <w:rFonts w:ascii="Arial" w:cs="Arial" w:eastAsia="Arial" w:hAnsi="Arial"/>
          <w:sz w:val="18"/>
          <w:szCs w:val="18"/>
          <w:color w:val="auto"/>
        </w:rPr>
        <w:t>carriers, announced today that its Annual Report on Form 20-F for the fiscal year ended December 31, 2017 (the “Annual Report”) has been filed with the U.S. Securities and Exchange Commission and can be accessed on the Company’s website, http://www.gaslogltd.com, in the “Investor Relations” section under “SEC Filings”.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Shareholders may also request a hard copy of the Annual Report, which includes the Company’s complete 2017 audited financial statements, free of charge by contacting Phil Corbett 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28 LNG carriers (23 ships on the water and five on order). GasLog also has an additional LNG carrier which was sold to a subsidiary of Mitsui Co. Ltd. and leased back under a long-term bareboat charter. GasLog’s consolidated fleet includes 12 LNG carriers in operation owned by GasLog’s subsidiary, GasLog Partners. GasLog’s principal executive offices are at Gildo Pastor Center, 7 Rue du Gabian, MC 98000, Monaco.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2019-12-08T01:35:29Z</dcterms:created>
  <dcterms:modified xsi:type="dcterms:W3CDTF">2019-12-08T01:35:29Z</dcterms:modified>
</cp:coreProperties>
</file>