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For the month of May 2017</w:t>
            </w:r>
          </w:p>
        </w:tc>
        <w:tc>
          <w:tcPr>
            <w:tcW w:w="1800" w:type="dxa"/>
            <w:vAlign w:val="bottom"/>
          </w:tcPr>
          <w:p>
            <w:pPr>
              <w:spacing w:after="0"/>
              <w:rPr>
                <w:sz w:val="20"/>
                <w:szCs w:val="20"/>
                <w:color w:val="auto"/>
              </w:rPr>
            </w:pPr>
          </w:p>
        </w:tc>
      </w:tr>
      <w:tr>
        <w:trPr>
          <w:trHeight w:val="432"/>
        </w:trPr>
        <w:tc>
          <w:tcPr>
            <w:tcW w:w="96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800" w:type="dxa"/>
            <w:vAlign w:val="bottom"/>
          </w:tcPr>
          <w:p>
            <w:pPr>
              <w:spacing w:after="0"/>
              <w:rPr>
                <w:sz w:val="24"/>
                <w:szCs w:val="24"/>
                <w:color w:val="auto"/>
              </w:rPr>
            </w:pPr>
          </w:p>
        </w:tc>
      </w:tr>
      <w:tr>
        <w:trPr>
          <w:trHeight w:val="418"/>
        </w:trPr>
        <w:tc>
          <w:tcPr>
            <w:tcW w:w="962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GasLog Ltd.</w:t>
            </w:r>
          </w:p>
        </w:tc>
        <w:tc>
          <w:tcPr>
            <w:tcW w:w="1800" w:type="dxa"/>
            <w:vAlign w:val="bottom"/>
          </w:tcPr>
          <w:p>
            <w:pPr>
              <w:spacing w:after="0"/>
              <w:rPr>
                <w:sz w:val="24"/>
                <w:szCs w:val="24"/>
                <w:color w:val="auto"/>
              </w:rPr>
            </w:pPr>
          </w:p>
        </w:tc>
      </w:tr>
      <w:tr>
        <w:trPr>
          <w:trHeight w:val="230"/>
        </w:trPr>
        <w:tc>
          <w:tcPr>
            <w:tcW w:w="9620" w:type="dxa"/>
            <w:vAlign w:val="bottom"/>
          </w:tcPr>
          <w:p>
            <w:pPr>
              <w:jc w:val="center"/>
              <w:ind w:left="1730"/>
              <w:spacing w:after="0"/>
              <w:rPr>
                <w:sz w:val="20"/>
                <w:szCs w:val="20"/>
                <w:color w:val="auto"/>
              </w:rPr>
            </w:pPr>
            <w:r>
              <w:rPr>
                <w:rFonts w:ascii="Arial" w:cs="Arial" w:eastAsia="Arial" w:hAnsi="Arial"/>
                <w:sz w:val="18"/>
                <w:szCs w:val="18"/>
                <w:color w:val="auto"/>
                <w:w w:val="91"/>
              </w:rPr>
              <w:t>(Translation of registrant’s name into English)</w:t>
            </w:r>
          </w:p>
        </w:tc>
        <w:tc>
          <w:tcPr>
            <w:tcW w:w="1800" w:type="dxa"/>
            <w:vAlign w:val="bottom"/>
          </w:tcPr>
          <w:p>
            <w:pPr>
              <w:spacing w:after="0"/>
              <w:rPr>
                <w:sz w:val="20"/>
                <w:szCs w:val="20"/>
                <w:color w:val="auto"/>
              </w:rPr>
            </w:pPr>
          </w:p>
        </w:tc>
      </w:tr>
      <w:tr>
        <w:trPr>
          <w:trHeight w:val="418"/>
        </w:trPr>
        <w:tc>
          <w:tcPr>
            <w:tcW w:w="9620" w:type="dxa"/>
            <w:vAlign w:val="bottom"/>
          </w:tcPr>
          <w:p>
            <w:pPr>
              <w:jc w:val="center"/>
              <w:ind w:left="1730"/>
              <w:spacing w:after="0"/>
              <w:rPr>
                <w:sz w:val="20"/>
                <w:szCs w:val="20"/>
                <w:color w:val="auto"/>
              </w:rPr>
            </w:pPr>
            <w:r>
              <w:rPr>
                <w:rFonts w:ascii="Arial" w:cs="Arial" w:eastAsia="Arial" w:hAnsi="Arial"/>
                <w:sz w:val="18"/>
                <w:szCs w:val="18"/>
                <w:color w:val="auto"/>
                <w:w w:val="92"/>
              </w:rPr>
              <w:t>c/o GasLog Monaco S.A.M.</w:t>
            </w:r>
          </w:p>
        </w:tc>
        <w:tc>
          <w:tcPr>
            <w:tcW w:w="1800" w:type="dxa"/>
            <w:vAlign w:val="bottom"/>
          </w:tcPr>
          <w:p>
            <w:pPr>
              <w:spacing w:after="0"/>
              <w:rPr>
                <w:sz w:val="24"/>
                <w:szCs w:val="24"/>
                <w:color w:val="auto"/>
              </w:rPr>
            </w:pPr>
          </w:p>
        </w:tc>
      </w:tr>
      <w:tr>
        <w:trPr>
          <w:trHeight w:val="216"/>
        </w:trPr>
        <w:tc>
          <w:tcPr>
            <w:tcW w:w="9620" w:type="dxa"/>
            <w:vAlign w:val="bottom"/>
          </w:tcPr>
          <w:p>
            <w:pPr>
              <w:jc w:val="center"/>
              <w:ind w:left="1710"/>
              <w:spacing w:after="0"/>
              <w:rPr>
                <w:sz w:val="20"/>
                <w:szCs w:val="20"/>
                <w:color w:val="auto"/>
              </w:rPr>
            </w:pPr>
            <w:r>
              <w:rPr>
                <w:rFonts w:ascii="Arial" w:cs="Arial" w:eastAsia="Arial" w:hAnsi="Arial"/>
                <w:sz w:val="18"/>
                <w:szCs w:val="18"/>
                <w:color w:val="auto"/>
                <w:w w:val="89"/>
              </w:rPr>
              <w:t>Gildo Pastor Center</w:t>
            </w:r>
          </w:p>
        </w:tc>
        <w:tc>
          <w:tcPr>
            <w:tcW w:w="1800" w:type="dxa"/>
            <w:vAlign w:val="bottom"/>
          </w:tcPr>
          <w:p>
            <w:pPr>
              <w:spacing w:after="0"/>
              <w:rPr>
                <w:sz w:val="18"/>
                <w:szCs w:val="18"/>
                <w:color w:val="auto"/>
              </w:rPr>
            </w:pPr>
          </w:p>
        </w:tc>
      </w:tr>
      <w:tr>
        <w:trPr>
          <w:trHeight w:val="216"/>
        </w:trPr>
        <w:tc>
          <w:tcPr>
            <w:tcW w:w="9620" w:type="dxa"/>
            <w:vAlign w:val="bottom"/>
          </w:tcPr>
          <w:p>
            <w:pPr>
              <w:jc w:val="center"/>
              <w:ind w:left="1710"/>
              <w:spacing w:after="0"/>
              <w:rPr>
                <w:sz w:val="20"/>
                <w:szCs w:val="20"/>
                <w:color w:val="auto"/>
              </w:rPr>
            </w:pPr>
            <w:r>
              <w:rPr>
                <w:rFonts w:ascii="Arial" w:cs="Arial" w:eastAsia="Arial" w:hAnsi="Arial"/>
                <w:sz w:val="18"/>
                <w:szCs w:val="18"/>
                <w:color w:val="auto"/>
                <w:w w:val="89"/>
              </w:rPr>
              <w:t>7 Rue du Gabian</w:t>
            </w:r>
          </w:p>
        </w:tc>
        <w:tc>
          <w:tcPr>
            <w:tcW w:w="1800" w:type="dxa"/>
            <w:vAlign w:val="bottom"/>
          </w:tcPr>
          <w:p>
            <w:pPr>
              <w:spacing w:after="0"/>
              <w:rPr>
                <w:sz w:val="18"/>
                <w:szCs w:val="18"/>
                <w:color w:val="auto"/>
              </w:rPr>
            </w:pPr>
          </w:p>
        </w:tc>
      </w:tr>
      <w:tr>
        <w:trPr>
          <w:trHeight w:val="216"/>
        </w:trPr>
        <w:tc>
          <w:tcPr>
            <w:tcW w:w="9620" w:type="dxa"/>
            <w:vAlign w:val="bottom"/>
          </w:tcPr>
          <w:p>
            <w:pPr>
              <w:jc w:val="center"/>
              <w:ind w:left="1710"/>
              <w:spacing w:after="0"/>
              <w:rPr>
                <w:sz w:val="20"/>
                <w:szCs w:val="20"/>
                <w:color w:val="auto"/>
              </w:rPr>
            </w:pPr>
            <w:r>
              <w:rPr>
                <w:rFonts w:ascii="Arial" w:cs="Arial" w:eastAsia="Arial" w:hAnsi="Arial"/>
                <w:sz w:val="18"/>
                <w:szCs w:val="18"/>
                <w:color w:val="auto"/>
                <w:w w:val="92"/>
              </w:rPr>
              <w:t>MC 98000, Monaco</w:t>
            </w:r>
          </w:p>
        </w:tc>
        <w:tc>
          <w:tcPr>
            <w:tcW w:w="1800" w:type="dxa"/>
            <w:vAlign w:val="bottom"/>
          </w:tcPr>
          <w:p>
            <w:pPr>
              <w:spacing w:after="0"/>
              <w:rPr>
                <w:sz w:val="18"/>
                <w:szCs w:val="18"/>
                <w:color w:val="auto"/>
              </w:rPr>
            </w:pPr>
          </w:p>
        </w:tc>
      </w:tr>
      <w:tr>
        <w:trPr>
          <w:trHeight w:val="230"/>
        </w:trPr>
        <w:tc>
          <w:tcPr>
            <w:tcW w:w="9620" w:type="dxa"/>
            <w:vAlign w:val="bottom"/>
          </w:tcPr>
          <w:p>
            <w:pPr>
              <w:jc w:val="center"/>
              <w:ind w:left="1710"/>
              <w:spacing w:after="0"/>
              <w:rPr>
                <w:sz w:val="20"/>
                <w:szCs w:val="20"/>
                <w:color w:val="auto"/>
              </w:rPr>
            </w:pPr>
            <w:r>
              <w:rPr>
                <w:rFonts w:ascii="Arial" w:cs="Arial" w:eastAsia="Arial" w:hAnsi="Arial"/>
                <w:sz w:val="18"/>
                <w:szCs w:val="18"/>
                <w:color w:val="auto"/>
                <w:w w:val="92"/>
              </w:rPr>
              <w:t>(Address of principal executive office)</w:t>
            </w:r>
          </w:p>
        </w:tc>
        <w:tc>
          <w:tcPr>
            <w:tcW w:w="1800" w:type="dxa"/>
            <w:vAlign w:val="bottom"/>
          </w:tcPr>
          <w:p>
            <w:pPr>
              <w:spacing w:after="0"/>
              <w:rPr>
                <w:sz w:val="20"/>
                <w:szCs w:val="20"/>
                <w:color w:val="auto"/>
              </w:rPr>
            </w:pPr>
          </w:p>
        </w:tc>
      </w:tr>
      <w:tr>
        <w:trPr>
          <w:trHeight w:val="432"/>
        </w:trPr>
        <w:tc>
          <w:tcPr>
            <w:tcW w:w="96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800" w:type="dxa"/>
            <w:vAlign w:val="bottom"/>
          </w:tcPr>
          <w:p>
            <w:pPr>
              <w:spacing w:after="0"/>
              <w:rPr>
                <w:sz w:val="24"/>
                <w:szCs w:val="24"/>
                <w:color w:val="auto"/>
              </w:rPr>
            </w:pPr>
          </w:p>
        </w:tc>
      </w:tr>
      <w:tr>
        <w:trPr>
          <w:trHeight w:val="452"/>
        </w:trPr>
        <w:tc>
          <w:tcPr>
            <w:tcW w:w="96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800" w:type="dxa"/>
            <w:vAlign w:val="bottom"/>
          </w:tcPr>
          <w:p>
            <w:pPr>
              <w:spacing w:after="0"/>
              <w:rPr>
                <w:sz w:val="24"/>
                <w:szCs w:val="24"/>
                <w:color w:val="auto"/>
              </w:rPr>
            </w:pPr>
          </w:p>
        </w:tc>
      </w:tr>
      <w:tr>
        <w:trPr>
          <w:trHeight w:val="412"/>
        </w:trPr>
        <w:tc>
          <w:tcPr>
            <w:tcW w:w="9620" w:type="dxa"/>
            <w:vAlign w:val="bottom"/>
          </w:tcPr>
          <w:p>
            <w:pPr>
              <w:spacing w:after="0"/>
              <w:rPr>
                <w:sz w:val="20"/>
                <w:szCs w:val="20"/>
                <w:color w:val="auto"/>
              </w:rPr>
            </w:pPr>
            <w:r>
              <w:rPr>
                <w:rFonts w:ascii="Arial" w:cs="Arial" w:eastAsia="Arial" w:hAnsi="Arial"/>
                <w:sz w:val="18"/>
                <w:szCs w:val="18"/>
                <w:color w:val="auto"/>
                <w:w w:val="98"/>
              </w:rPr>
              <w:t>Indicate by check mark if the registrant is submitting the Form 6-K in paper as permitted by Regulation S-T Rule 101(b)(1):</w:t>
            </w:r>
          </w:p>
        </w:tc>
        <w:tc>
          <w:tcPr>
            <w:tcW w:w="1800" w:type="dxa"/>
            <w:vAlign w:val="bottom"/>
          </w:tcPr>
          <w:p>
            <w:pPr>
              <w:ind w:left="660"/>
              <w:spacing w:after="0"/>
              <w:rPr>
                <w:sz w:val="20"/>
                <w:szCs w:val="20"/>
                <w:color w:val="auto"/>
              </w:rPr>
            </w:pPr>
            <w:r>
              <w:rPr>
                <w:rFonts w:ascii="Arial" w:cs="Arial" w:eastAsia="Arial" w:hAnsi="Arial"/>
                <w:sz w:val="18"/>
                <w:szCs w:val="18"/>
                <w:color w:val="auto"/>
              </w:rPr>
              <w:t>o</w:t>
            </w:r>
          </w:p>
        </w:tc>
      </w:tr>
      <w:tr>
        <w:trPr>
          <w:trHeight w:val="432"/>
        </w:trPr>
        <w:tc>
          <w:tcPr>
            <w:tcW w:w="9620" w:type="dxa"/>
            <w:vAlign w:val="bottom"/>
          </w:tcPr>
          <w:p>
            <w:pPr>
              <w:spacing w:after="0"/>
              <w:rPr>
                <w:sz w:val="20"/>
                <w:szCs w:val="20"/>
                <w:color w:val="auto"/>
              </w:rPr>
            </w:pPr>
            <w:r>
              <w:rPr>
                <w:rFonts w:ascii="Arial" w:cs="Arial" w:eastAsia="Arial" w:hAnsi="Arial"/>
                <w:sz w:val="18"/>
                <w:szCs w:val="18"/>
                <w:color w:val="auto"/>
                <w:w w:val="98"/>
              </w:rPr>
              <w:t>Indicate by check mark if the registrant is submitting the Form 6-K in paper as permitted by Regulation S-T Rule 101(b)(7):</w:t>
            </w:r>
          </w:p>
        </w:tc>
        <w:tc>
          <w:tcPr>
            <w:tcW w:w="1800" w:type="dxa"/>
            <w:vAlign w:val="bottom"/>
          </w:tcPr>
          <w:p>
            <w:pPr>
              <w:ind w:left="660"/>
              <w:spacing w:after="0"/>
              <w:rPr>
                <w:sz w:val="20"/>
                <w:szCs w:val="20"/>
                <w:color w:val="auto"/>
              </w:rPr>
            </w:pPr>
            <w:r>
              <w:rPr>
                <w:rFonts w:ascii="Arial" w:cs="Arial" w:eastAsia="Arial" w:hAnsi="Arial"/>
                <w:sz w:val="18"/>
                <w:szCs w:val="18"/>
                <w:color w:val="auto"/>
              </w:rPr>
              <w:t>o</w:t>
            </w:r>
          </w:p>
        </w:tc>
      </w:tr>
      <w:tr>
        <w:trPr>
          <w:trHeight w:val="277"/>
        </w:trPr>
        <w:tc>
          <w:tcPr>
            <w:tcW w:w="962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140" w:firstLine="356"/>
        <w:spacing w:after="0" w:line="277" w:lineRule="auto"/>
        <w:rPr>
          <w:sz w:val="20"/>
          <w:szCs w:val="20"/>
          <w:color w:val="auto"/>
        </w:rPr>
      </w:pPr>
      <w:r>
        <w:rPr>
          <w:rFonts w:ascii="Arial" w:cs="Arial" w:eastAsia="Arial" w:hAnsi="Arial"/>
          <w:sz w:val="18"/>
          <w:szCs w:val="18"/>
          <w:color w:val="auto"/>
        </w:rPr>
        <w:t>The press release issued by GasLog Ltd. on May 5, 2017 relating to its results for the first quarter of 2017 and the related financial report are attached hereto as Exhibits 99.1 and 99.2, respectively.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76"/>
        <w:spacing w:after="0" w:line="276" w:lineRule="auto"/>
        <w:rPr>
          <w:sz w:val="20"/>
          <w:szCs w:val="20"/>
          <w:color w:val="auto"/>
        </w:rPr>
      </w:pPr>
      <w:r>
        <w:rPr>
          <w:rFonts w:ascii="Arial" w:cs="Arial" w:eastAsia="Arial" w:hAnsi="Arial"/>
          <w:sz w:val="17"/>
          <w:szCs w:val="17"/>
          <w:color w:val="auto"/>
        </w:rPr>
        <w:t>Exhibit 99.2 to this Report on Form 6-K shall be incorporated by reference into our registration statements on Form F-3 (File Nos. 333-188817, 333-194894 and 333-210169),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5, 2017</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Financial Report for the Three Months Ended March 31, 2017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Discussion and Analysis of Financial Condition and Results of Operation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Unaudited Condensed Consolidated Financial Statements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80"/>
        <w:spacing w:after="0"/>
        <w:tabs>
          <w:tab w:leader="none" w:pos="6620" w:val="left"/>
        </w:tabs>
        <w:rPr>
          <w:sz w:val="20"/>
          <w:szCs w:val="20"/>
          <w:color w:val="auto"/>
        </w:rPr>
      </w:pPr>
      <w:r>
        <w:rPr>
          <w:rFonts w:ascii="Arial" w:cs="Arial" w:eastAsia="Arial" w:hAnsi="Arial"/>
          <w:sz w:val="18"/>
          <w:szCs w:val="18"/>
          <w:color w:val="auto"/>
        </w:rPr>
        <w:t>by</w:t>
        <w:tab/>
        <w:t>/s/ Paul Wogan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315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0"/>
          </w:cols>
          <w:pgMar w:left="240" w:top="409"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Ended March 31, 2017</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Monaco, May 5, 2017, GasLog Ltd. and its subsidiaries (“GasLog” or “Group” or “Company”) (NYSE: GLOG)</w:t>
      </w:r>
      <w:r>
        <w:rPr>
          <w:rFonts w:ascii="Arial" w:cs="Arial" w:eastAsia="Arial" w:hAnsi="Arial"/>
          <w:sz w:val="18"/>
          <w:szCs w:val="18"/>
          <w:color w:val="auto"/>
        </w:rPr>
        <w:t>, an international owner, operator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of liquefied natural gas (“LNG”) carriers, today reported its financial results for the quarter ended March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700" w:right="22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the dropdown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to GasLog Partners LP (“GasLog Partners” or the “Partnership”) for $219.0 million. In January 2017, GasLog Partners successfully completed an equity offering of 3,870,000 common units raising net proceeds of $78.0 million, which will be used to fund the dropdown of </w:t>
      </w:r>
      <w:r>
        <w:rPr>
          <w:rFonts w:ascii="Arial" w:cs="Arial" w:eastAsia="Arial" w:hAnsi="Arial"/>
          <w:sz w:val="18"/>
          <w:szCs w:val="18"/>
          <w:i w:val="1"/>
          <w:iCs w:val="1"/>
          <w:color w:val="auto"/>
        </w:rPr>
        <w:t>GasLog Greece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right="14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Announced the completion of a public offering of $250.0 million of 8.875% senior unsecured notes due in 2022 (the “8.875% Senior Notes”). Post quarter end, $150.0 million of the net proceeds were used for the partial prepayment of the junior tranche of the credit agreement entered into in February 18, 2016 (the “Five Vessel Refinancing”), originally due in April 2018.</w:t>
      </w:r>
    </w:p>
    <w:p>
      <w:pPr>
        <w:spacing w:after="0" w:line="181" w:lineRule="exact"/>
        <w:rPr>
          <w:rFonts w:ascii="Arial" w:cs="Arial" w:eastAsia="Arial" w:hAnsi="Arial"/>
          <w:sz w:val="18"/>
          <w:szCs w:val="18"/>
          <w:color w:val="auto"/>
        </w:rPr>
      </w:pPr>
    </w:p>
    <w:p>
      <w:pPr>
        <w:ind w:left="700" w:right="6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Announced the closing of the acquisition of a twenty percent (20%) shareholding in Gastrade S.A. (“Gastrade”), a private limited company licensed to develop an independent natural gas system offshore Alexandroupolis in Northern Greece utilizing a floating storage and regasification unit (“FSRU”) along with other fixed infrastructure.</w:t>
      </w:r>
    </w:p>
    <w:p>
      <w:pPr>
        <w:spacing w:after="0" w:line="62"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Revenues of $128.3 million (Q1 2016: $104.4 million), Profit of $23.4 million (Q1 2016: loss of $5.3 million) and Earnings per share of $0.08</w:t>
      </w:r>
      <w:r>
        <w:rPr>
          <w:rFonts w:ascii="Arial" w:cs="Arial" w:eastAsia="Arial" w:hAnsi="Arial"/>
          <w:sz w:val="28"/>
          <w:szCs w:val="28"/>
          <w:color w:val="auto"/>
          <w:vertAlign w:val="superscript"/>
        </w:rPr>
        <w:t>(1)</w:t>
      </w:r>
    </w:p>
    <w:p>
      <w:pPr>
        <w:ind w:left="700"/>
        <w:spacing w:after="0"/>
        <w:rPr>
          <w:rFonts w:ascii="Arial" w:cs="Arial" w:eastAsia="Arial" w:hAnsi="Arial"/>
          <w:sz w:val="34"/>
          <w:szCs w:val="34"/>
          <w:color w:val="auto"/>
          <w:vertAlign w:val="superscript"/>
        </w:rPr>
      </w:pPr>
      <w:r>
        <w:rPr>
          <w:rFonts w:ascii="Arial" w:cs="Arial" w:eastAsia="Arial" w:hAnsi="Arial"/>
          <w:sz w:val="18"/>
          <w:szCs w:val="18"/>
          <w:color w:val="auto"/>
        </w:rPr>
        <w:t>(Q1 2016: loss of $0.23), for the quarter ended March 31, 2017.</w:t>
      </w:r>
    </w:p>
    <w:p>
      <w:pPr>
        <w:spacing w:after="0" w:line="131"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$21.9 million (Q1 2016: $6.2 million),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$89.1 million (Q1 2016: $62.3 million), Adjusted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$89.3</w:t>
      </w:r>
    </w:p>
    <w:p>
      <w:pPr>
        <w:ind w:left="700" w:right="160"/>
        <w:spacing w:after="0" w:line="187" w:lineRule="auto"/>
        <w:rPr>
          <w:rFonts w:ascii="Arial" w:cs="Arial" w:eastAsia="Arial" w:hAnsi="Arial"/>
          <w:sz w:val="34"/>
          <w:szCs w:val="34"/>
          <w:color w:val="auto"/>
          <w:vertAlign w:val="superscript"/>
        </w:rPr>
      </w:pPr>
      <w:r>
        <w:rPr>
          <w:rFonts w:ascii="Arial" w:cs="Arial" w:eastAsia="Arial" w:hAnsi="Arial"/>
          <w:sz w:val="18"/>
          <w:szCs w:val="18"/>
          <w:color w:val="auto"/>
        </w:rPr>
        <w:t>million (Q1 2016: $62.2 million) and Adjusted Earnings per share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$0.06</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(Q1 2016: Adjusted Loss per share of $0.09) for the quarter ended March 31, 2017.</w:t>
      </w:r>
    </w:p>
    <w:p>
      <w:pPr>
        <w:spacing w:after="0" w:line="202"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May 25, 2017.</w:t>
      </w:r>
    </w:p>
    <w:p>
      <w:pPr>
        <w:spacing w:after="0" w:line="221" w:lineRule="exact"/>
        <w:rPr>
          <w:sz w:val="20"/>
          <w:szCs w:val="20"/>
          <w:color w:val="auto"/>
        </w:rPr>
      </w:pPr>
    </w:p>
    <w:p>
      <w:pPr>
        <w:ind w:left="240" w:hanging="232"/>
        <w:spacing w:after="0" w:line="253"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Earnings/Loss per share (“EPS”) and Adjusted EPS are net of the profit attributable to the non-controlling interest of $14.6 million and the dividend on preferred stock of $2.5 million for the quarter ended March 31, 2017 ($10.6 million and $2.5 million, respectively, for the quarter ended March 31, 2016).</w:t>
      </w:r>
    </w:p>
    <w:p>
      <w:pPr>
        <w:spacing w:after="0" w:line="106" w:lineRule="exact"/>
        <w:rPr>
          <w:rFonts w:ascii="Arial" w:cs="Arial" w:eastAsia="Arial" w:hAnsi="Arial"/>
          <w:sz w:val="12"/>
          <w:szCs w:val="12"/>
          <w:color w:val="auto"/>
        </w:rPr>
      </w:pPr>
    </w:p>
    <w:p>
      <w:pPr>
        <w:jc w:val="both"/>
        <w:ind w:left="240" w:hanging="232"/>
        <w:spacing w:after="0" w:line="238"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Paul Wogan, Chief Executive Officer, stated: “GasLog had another active quarter, achieving record revenues and EBITDA for the Company. During the period, GasLog Partners raised $78.0 million in new equity and we subsequently announced the sale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to GasLog Partners for $219.0 million. This second dropdown transaction in six months demonstrates GasLog Partner’s ability to recycle capital through the business to support GasLog’s ambitious LNG carrier and FSRU growth plans.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we execute further dropdowns from our extensive pipeline of contracted vessels, GasLog will increase its share of the cash flows distributed by GasLog Partners, further enhancing the ability of GasLog to fund its growth.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were pleased to execute a $250.0 million U.S. bond offering during the quarter which provides GasLog with access to a new and liquid pool of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also enables the Company to push out most of its 2018 debt maturities to 2022, creating additional liquidity for growth.</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short-term shipping market, spot rates fell from the highs seen during the Northern Hemisphere winter. We believe this rate sensitivity to seasonal changes in demand demonstrates that the market is tightening. We expect the current marginal vessel oversupply to be absorbed in the coming months as new liquefaction projects come online, leading to a recovery in rates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Equity Offering and Dropdown of the </w:t>
      </w:r>
      <w:r>
        <w:rPr>
          <w:rFonts w:ascii="Arial" w:cs="Arial" w:eastAsia="Arial" w:hAnsi="Arial"/>
          <w:sz w:val="18"/>
          <w:szCs w:val="18"/>
          <w:b w:val="1"/>
          <w:bCs w:val="1"/>
          <w:i w:val="1"/>
          <w:iCs w:val="1"/>
          <w:u w:val="single" w:color="auto"/>
          <w:color w:val="auto"/>
        </w:rPr>
        <w:t>GasLog Greece</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On January 27, 2017, GasLog Partners completed an equity offering of 3,750,000 common units at a public offering price of $20.50 per unit. In addition, the option to purchase additional shares was partially exercised by the underwriter on February 24, 2017, resulting in 120,000 additional units being sold at the same price. The aggregate net proceeds from this offering, including the partial exercise by the underwriters of the option to purchase additional shares, after deducting underwriting discounts and other offering expenses, were $78.0 million. Proceeds from the public offering will be used to finance the acquisition from GasLog of 100% of the ownership interest in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for an aggregate purchase price of $219.0 million, which includes $1.0 million for positive net working capital balances transferred with the vessel. The acquisition closed on May 3,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2017, GasLog entered into three new interest rate swap agreements with a notional value of $300.0 million in aggregate, maturing in 2022.</w:t>
      </w:r>
    </w:p>
    <w:p>
      <w:pPr>
        <w:sectPr>
          <w:pgSz w:w="11900" w:h="16838" w:orient="portrait"/>
          <w:cols w:equalWidth="0" w:num="1">
            <w:col w:w="11420"/>
          </w:cols>
          <w:pgMar w:left="240" w:top="121"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both"/>
        <w:ind w:right="100"/>
        <w:spacing w:after="0" w:line="264" w:lineRule="auto"/>
        <w:rPr>
          <w:sz w:val="20"/>
          <w:szCs w:val="20"/>
          <w:color w:val="auto"/>
        </w:rPr>
      </w:pPr>
      <w:r>
        <w:rPr>
          <w:rFonts w:ascii="Arial" w:cs="Arial" w:eastAsia="Arial" w:hAnsi="Arial"/>
          <w:sz w:val="18"/>
          <w:szCs w:val="18"/>
          <w:color w:val="auto"/>
        </w:rPr>
        <w:t>On March 22, 2017, GasLog announced the closing of a public offering of $250.0 million aggregate principal amount of 8.875% Senior Notes due in 2022 at a public offering price of 100% of the principal amount. The net proceeds from the offering after deducting the underwriting discount and offering expenses were $245.3 million.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April 5, 2017, GasLog used $150.0 million of the proceeds from the offering of the 8.875% Senior Notes to partially prepay the junior tranche of the Five Vessel Refinancing, originally due in April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 Gastrade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9, 2017, GasLog closed the acquisition of a twenty percent (20%) shareholding in Gastrade, a private limited company licensed to develop an independent natural gas system offshore Alexandroupolis in Northern Greece utilizing a FSRU along with other fixed infrastructure. GasLog, as well as being a shareholder, will provide operations and maintenance (“O&amp;M”) services for the FSRU through an O&amp;M agreement. Gastrade is currently in discussions with a number of additional potential investors, including DEPA, the Greek state owned gas company, Bulgarian Energy Holding, the holding company of the Bulgarian Ministry of Energy, and major gas suppliers in Bulgaria, and targets to take a final investment decision (“FID”) by the end of 2017 with the FSRU scheduled to be operational by the end of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Amendment of the </w:t>
      </w:r>
      <w:r>
        <w:rPr>
          <w:rFonts w:ascii="Arial" w:cs="Arial" w:eastAsia="Arial" w:hAnsi="Arial"/>
          <w:sz w:val="18"/>
          <w:szCs w:val="18"/>
          <w:b w:val="1"/>
          <w:bCs w:val="1"/>
          <w:i w:val="1"/>
          <w:iCs w:val="1"/>
          <w:u w:val="single" w:color="auto"/>
          <w:color w:val="auto"/>
        </w:rPr>
        <w:t>GasLog Skagen</w:t>
      </w:r>
      <w:r>
        <w:rPr>
          <w:rFonts w:ascii="Arial" w:cs="Arial" w:eastAsia="Arial" w:hAnsi="Arial"/>
          <w:sz w:val="18"/>
          <w:szCs w:val="18"/>
          <w:b w:val="1"/>
          <w:bCs w:val="1"/>
          <w:u w:val="single" w:color="auto"/>
          <w:color w:val="auto"/>
        </w:rPr>
        <w:t xml:space="preserve"> seasonal charter party agreement</w:t>
      </w:r>
    </w:p>
    <w:p>
      <w:pPr>
        <w:spacing w:after="0" w:line="22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 xml:space="preserve">On April 28, 2017, the Group signed an amendment to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seasonal time charter agreement, pursuant to which the seasonal charter of the vessel was replaced by a continuous time charter for a duration of 2.4 years ending in August 2019. The amended continuous charter will cover the same number of fixed days as the previous seasonal charter and will eliminate redelivery risk at the beginning and end of each seasonal period. In addition, the amended charter will provide assurance of revenue through August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End of Subordination Period</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subordination period on the existing 9,822,358 subordinated units of GasLog Partners held by GasLog will extend until the second business day following the GasLog Partners’ cash distribution for the first quarter of 2017 on May 12, 2017. Upon expiration of the subordination period, each outstanding subordinated unit (100% held by GasLog) will automatically convert into one common unit and will then participate pro rata with the other common units in distributions of available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March 9, 2017, the board of directors declared a dividend on the Series A Preference Shares of $0.546875 per share, or $2.5 million in the aggregate, payable on April 3, 2017 to holders of record as of March 31, 2017. GasLog paid the declared dividend to the transfer agent on March 31, 2017.</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4, 2017, the board of directors declared a quarterly cash dividend of $0.14 per common share, or $11.3 million in the aggregate, payable on May 25, 2017 to shareholders of record as of May 15,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Financial Summary</w:t>
            </w:r>
          </w:p>
        </w:tc>
        <w:tc>
          <w:tcPr>
            <w:tcW w:w="4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5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per share data</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15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0"/>
              </w:rPr>
              <w:t>March 31, 2016</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592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22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104,377</w:t>
            </w:r>
          </w:p>
        </w:tc>
        <w:tc>
          <w:tcPr>
            <w:tcW w:w="460" w:type="dxa"/>
            <w:vAlign w:val="bottom"/>
            <w:tcBorders>
              <w:top w:val="single" w:sz="8" w:color="E5FFFF"/>
            </w:tcBorders>
            <w:shd w:val="clear" w:color="auto" w:fill="E5FFFF"/>
          </w:tcPr>
          <w:p>
            <w:pPr>
              <w:spacing w:after="0"/>
              <w:rPr>
                <w:sz w:val="18"/>
                <w:szCs w:val="18"/>
                <w:color w:val="auto"/>
              </w:rPr>
            </w:pPr>
          </w:p>
        </w:tc>
        <w:tc>
          <w:tcPr>
            <w:tcW w:w="420" w:type="dxa"/>
            <w:vAlign w:val="bottom"/>
            <w:tcBorders>
              <w:top w:val="single" w:sz="8" w:color="auto"/>
            </w:tcBorders>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128,285</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(Loss)/Profit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(5,298)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23,392</w:t>
            </w:r>
          </w:p>
        </w:tc>
      </w:tr>
      <w:tr>
        <w:trPr>
          <w:trHeight w:val="257"/>
        </w:trPr>
        <w:tc>
          <w:tcPr>
            <w:tcW w:w="59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6,190</w:t>
            </w:r>
          </w:p>
        </w:tc>
        <w:tc>
          <w:tcPr>
            <w:tcW w:w="460" w:type="dxa"/>
            <w:vAlign w:val="bottom"/>
            <w:shd w:val="clear" w:color="auto" w:fill="E5FFFF"/>
          </w:tcPr>
          <w:p>
            <w:pPr>
              <w:spacing w:after="0"/>
              <w:rPr>
                <w:sz w:val="22"/>
                <w:szCs w:val="22"/>
                <w:color w:val="auto"/>
              </w:rPr>
            </w:pPr>
          </w:p>
        </w:tc>
        <w:tc>
          <w:tcPr>
            <w:tcW w:w="4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21,922</w:t>
            </w:r>
          </w:p>
        </w:tc>
      </w:tr>
      <w:tr>
        <w:trPr>
          <w:trHeight w:val="257"/>
        </w:trPr>
        <w:tc>
          <w:tcPr>
            <w:tcW w:w="59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62,257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89,069</w:t>
            </w:r>
          </w:p>
        </w:tc>
      </w:tr>
      <w:tr>
        <w:trPr>
          <w:trHeight w:val="257"/>
        </w:trPr>
        <w:tc>
          <w:tcPr>
            <w:tcW w:w="59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62,213</w:t>
            </w:r>
          </w:p>
        </w:tc>
        <w:tc>
          <w:tcPr>
            <w:tcW w:w="4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89,338</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(Loss)/profit attributable to the owners of GasLog</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(15,898)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8,752</w:t>
            </w:r>
          </w:p>
        </w:tc>
      </w:tr>
      <w:tr>
        <w:trPr>
          <w:trHeight w:val="216"/>
        </w:trPr>
        <w:tc>
          <w:tcPr>
            <w:tcW w:w="5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 basic</w:t>
            </w:r>
          </w:p>
        </w:tc>
        <w:tc>
          <w:tcPr>
            <w:tcW w:w="2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(0.23)</w:t>
            </w:r>
          </w:p>
        </w:tc>
        <w:tc>
          <w:tcPr>
            <w:tcW w:w="42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0.08</w:t>
            </w:r>
          </w:p>
        </w:tc>
      </w:tr>
      <w:tr>
        <w:trPr>
          <w:trHeight w:val="390"/>
        </w:trPr>
        <w:tc>
          <w:tcPr>
            <w:tcW w:w="592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(0.09)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bl>
    <w:p>
      <w:pPr>
        <w:spacing w:after="0" w:line="64" w:lineRule="exact"/>
        <w:rPr>
          <w:sz w:val="20"/>
          <w:szCs w:val="20"/>
          <w:color w:val="auto"/>
        </w:rPr>
      </w:pPr>
    </w:p>
    <w:p>
      <w:pPr>
        <w:jc w:val="both"/>
        <w:ind w:left="240" w:hanging="232"/>
        <w:spacing w:after="0" w:line="238"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There were 2,070 operating days for the quarter ended March 31, 2017, as compared to 1,643 operating days for the quarter ended March 31, 2016. The increase in operating days resulted mainly from the deliveries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on March 29, 2016, June 30, 2016, September 30, 2016 and October 31, 2016, respectively.</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Profit was $23.4 million for the quarter ended March 31, 2017 ($5.3 million loss for the quarter ended March 31, 2016). This increase in profit is mainly attributable to the increased profit from operations mainly due to the higher number of operating days, as well as a positive movement in mark-to-market valuations of our derivative financial instruments in the first quarter of 2017.</w:t>
      </w:r>
    </w:p>
    <w:p>
      <w:pPr>
        <w:spacing w:after="0" w:line="185" w:lineRule="exact"/>
        <w:rPr>
          <w:sz w:val="20"/>
          <w:szCs w:val="20"/>
          <w:color w:val="auto"/>
        </w:rPr>
      </w:pPr>
    </w:p>
    <w:p>
      <w:pPr>
        <w:ind w:right="120"/>
        <w:spacing w:after="0" w:line="210" w:lineRule="auto"/>
        <w:rPr>
          <w:sz w:val="20"/>
          <w:szCs w:val="20"/>
          <w:color w:val="auto"/>
        </w:rPr>
      </w:pPr>
      <w:r>
        <w:rPr>
          <w:rFonts w:ascii="Arial" w:cs="Arial" w:eastAsia="Arial" w:hAnsi="Arial"/>
          <w:sz w:val="18"/>
          <w:szCs w:val="18"/>
          <w:color w:val="auto"/>
        </w:rPr>
        <w:t>Adjusted Profit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$21.9 million for the quarter ended March 31, 2017 ($6.2 million for the quarter ended March 31, 2016) adjusted for the effects of the non-cash gain on swaps and the net foreign exchange losses.</w:t>
      </w:r>
    </w:p>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Profit attributable to the owners of GasLog was $8.8 million for the quarter ended March 31, 2017 (loss of $15.9 million for the quarter ended March 31, 2016). The increase in profit attributable to the owners of GasLog resulted mainly from the respective movements in profit mentioned above,</w:t>
      </w:r>
    </w:p>
    <w:p>
      <w:pPr>
        <w:sectPr>
          <w:pgSz w:w="11900" w:h="16838" w:orient="portrait"/>
          <w:cols w:equalWidth="0" w:num="1">
            <w:col w:w="11420"/>
          </w:cols>
          <w:pgMar w:left="240" w:top="409" w:right="239" w:bottom="651"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651"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partially offset by the increased amount allocated to third parties as a result of the GasLog Partners’ equity offerings in August 2016 and January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$89.1 million for the quarter ended March 31, 2017 ($62.3 million for the quarter ended March 31,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$89.3 million for the quarter ended March 31, 2017 ($62.2 million for the quarter ended March 31, 2016).</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EPS was $0.08 for the quarter ended March 31, 2017 (a loss of $0.23 for the quarter ended March 31, 2016). The increase in earnings per share is mainly attributable to the respective movements in profit attributable to the owners of GasLog discussed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$0.06 for the quarter ended March 31, 2017 (a loss of $0.09 for the quarter ended March 31, 2016).</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Revenues were $128.3 million for the quarter ended March 31, 2017 ($104.4 million for the quarter ended March 31, 2016). The increase was mainly driven by the new deliveries in our fleet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full operation of the </w:t>
      </w:r>
      <w:r>
        <w:rPr>
          <w:rFonts w:ascii="Arial" w:cs="Arial" w:eastAsia="Arial" w:hAnsi="Arial"/>
          <w:sz w:val="18"/>
          <w:szCs w:val="18"/>
          <w:i w:val="1"/>
          <w:iCs w:val="1"/>
          <w:color w:val="auto"/>
        </w:rPr>
        <w:t>GasLog Greece</w:t>
      </w:r>
      <w:r>
        <w:rPr>
          <w:rFonts w:ascii="Arial" w:cs="Arial" w:eastAsia="Arial" w:hAnsi="Arial"/>
          <w:sz w:val="18"/>
          <w:szCs w:val="18"/>
          <w:color w:val="auto"/>
        </w:rPr>
        <w:t>, increased revenues from vessels operating in the spot market and fewer off-hire days due to dry-docking (no dry-dockings in the first quarter of 2017 as opposed to one dry-docking in the same quarter in 2016).</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Vessel operating and supervision costs were $27.5 million for the quarter ended March 31, 2017 ($28.5 million for the quarter ended March 31, 2016). The decrease was mainly driven by the decrease in scheduled technical maintenance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Voyage expenses and commissions were $2.0 million for the quarter ended March 31, 2017 ($5.3 million for the quarter ended March 31,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$33.7 million for the quarter ended March 31, 2017 ($28.2 million for the quarter ended March 31, 2016).</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General and administrative expenses were $10.1 million for the quarter ended March 31, 2017 ($8.7 million for the quarter ended March 31, 2016). The increase is mainly attributable to an increase in employee costs, in foreign exchange differences and in non-cash share-based compensation expenses.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Financial costs were $32.5 million for the quarter ended March 31, 2017 ($29.2 million for the quarter ended March 31, 2016). An analysis of financial costs is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March 31, 2016</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March 31, 2017</w:t>
            </w:r>
          </w:p>
        </w:tc>
      </w:tr>
      <w:tr>
        <w:trPr>
          <w:trHeight w:val="210"/>
        </w:trPr>
        <w:tc>
          <w:tcPr>
            <w:tcW w:w="7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98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Amortization of deferred loan issuance costs and premium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(6,027)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(3,459)</w:t>
            </w:r>
          </w:p>
        </w:tc>
      </w:tr>
      <w:tr>
        <w:trPr>
          <w:trHeight w:val="216"/>
        </w:trPr>
        <w:tc>
          <w:tcPr>
            <w:tcW w:w="714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(18,313)</w:t>
            </w:r>
          </w:p>
        </w:tc>
        <w:tc>
          <w:tcPr>
            <w:tcW w:w="44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(22,482)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 expense on senior unsecured notes and realized loss on cross-currency swaps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(2,825)</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(3,520)</w:t>
            </w:r>
          </w:p>
        </w:tc>
      </w:tr>
      <w:tr>
        <w:trPr>
          <w:trHeight w:val="216"/>
        </w:trPr>
        <w:tc>
          <w:tcPr>
            <w:tcW w:w="714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9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(1,067)</w:t>
            </w:r>
          </w:p>
        </w:tc>
        <w:tc>
          <w:tcPr>
            <w:tcW w:w="44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(2,714)</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Other financial costs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(947)</w:t>
            </w: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(29,179</w:t>
            </w:r>
          </w:p>
        </w:tc>
        <w:tc>
          <w:tcPr>
            <w:tcW w:w="460" w:type="dxa"/>
            <w:vAlign w:val="bottom"/>
            <w:tcBorders>
              <w:top w:val="single" w:sz="8" w:color="E5FFFF"/>
              <w:bottom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top w:val="single" w:sz="8" w:color="auto"/>
              <w:bottom w:val="single" w:sz="8" w:color="auto"/>
            </w:tcBorders>
            <w:shd w:val="clear" w:color="auto" w:fill="E5FF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(32,524</w:t>
            </w:r>
          </w:p>
        </w:tc>
        <w:tc>
          <w:tcPr>
            <w:tcW w:w="10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Gain on swaps was $0.2 million for the quarter ended March 31, 2017 ($10.4 million loss for the quarter ended March 31, 2016). An analysis of gain/loss on swaps is set forth below. The increase in gain on swaps in the first quarter of 2017 as compared to the first quarter of 2016 is mainly attributable to an increase of $10.5 million in gain from mark-to-market valuation of our derivative financial instruments carried at fair value through profit or loss. The $2.3 million gain from mark-to-market valuation of our derivative financial instruments in the first quarter of 2017 derived from the fact that the London Interbank Offered Rate (“LIBOR”) yield curve, which was used to estimate the present value of the estimated future cash flows, was higher than the contracted fixed interest rates resulting in a decrease in derivative liabilities from derivative financial instruments held for trading as compared to December 31, 2016.</w:t>
      </w:r>
    </w:p>
    <w:p>
      <w:pPr>
        <w:sectPr>
          <w:pgSz w:w="11900" w:h="16838" w:orient="portrait"/>
          <w:cols w:equalWidth="0" w:num="1">
            <w:col w:w="11420"/>
          </w:cols>
          <w:pgMar w:left="240" w:top="409"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(Loss)/gain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Realized loss on interest rate swaps held for trading</w:t>
      </w:r>
    </w:p>
    <w:p>
      <w:pPr>
        <w:spacing w:after="0" w:line="9" w:lineRule="exact"/>
        <w:rPr>
          <w:sz w:val="20"/>
          <w:szCs w:val="20"/>
          <w:color w:val="auto"/>
        </w:rPr>
      </w:pPr>
    </w:p>
    <w:p>
      <w:pPr>
        <w:ind w:right="2080"/>
        <w:spacing w:after="0" w:line="265" w:lineRule="auto"/>
        <w:rPr>
          <w:sz w:val="20"/>
          <w:szCs w:val="20"/>
          <w:color w:val="auto"/>
        </w:rPr>
      </w:pPr>
      <w:r>
        <w:rPr>
          <w:rFonts w:ascii="Arial" w:cs="Arial" w:eastAsia="Arial" w:hAnsi="Arial"/>
          <w:sz w:val="17"/>
          <w:szCs w:val="17"/>
          <w:color w:val="auto"/>
        </w:rPr>
        <w:t>Unrealized (loss)/gain on derivative financial instruments held for trading Recycled loss of cash flow hedges reclassified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March 31, 2016</w:t>
            </w:r>
          </w:p>
        </w:tc>
        <w:tc>
          <w:tcPr>
            <w:tcW w:w="46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March 31, 2017</w:t>
            </w:r>
          </w:p>
        </w:tc>
        <w:tc>
          <w:tcPr>
            <w:tcW w:w="60" w:type="dxa"/>
            <w:vAlign w:val="bottom"/>
            <w:gridSpan w:val="2"/>
          </w:tcPr>
          <w:p>
            <w:pPr>
              <w:spacing w:after="0"/>
              <w:rPr>
                <w:sz w:val="20"/>
                <w:szCs w:val="20"/>
                <w:color w:val="auto"/>
              </w:rPr>
            </w:pPr>
          </w:p>
        </w:tc>
      </w:tr>
      <w:tr>
        <w:trPr>
          <w:trHeight w:val="411"/>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(1,928)</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(2,151)</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(8,137)</w:t>
            </w:r>
          </w:p>
        </w:tc>
        <w:tc>
          <w:tcPr>
            <w:tcW w:w="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860" w:type="dxa"/>
            <w:vAlign w:val="bottom"/>
          </w:tcPr>
          <w:p>
            <w:pPr>
              <w:spacing w:after="0"/>
              <w:rPr>
                <w:sz w:val="21"/>
                <w:szCs w:val="2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(10,414</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400" w:space="720"/>
            <w:col w:w="3300"/>
          </w:cols>
          <w:pgMar w:left="240" w:top="409" w:right="239" w:bottom="1440" w:gutter="0" w:footer="0" w:header="0"/>
          <w:type w:val="continuous"/>
        </w:sectPr>
      </w:pPr>
    </w:p>
    <w:p>
      <w:pPr>
        <w:spacing w:after="0" w:line="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GasLog’s contracted charter revenues are estimated to increase from $444.5 million for the fiscal year 2016 to $486.5 million for the fiscal year 2019, based on contracts in effect as of March 31, 2017, without giving effect to the recently signed amendment of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seasonal charter party agreement</w:t>
      </w:r>
    </w:p>
    <w:p>
      <w:pPr>
        <w:ind w:right="200"/>
        <w:spacing w:after="0" w:line="205" w:lineRule="auto"/>
        <w:rPr>
          <w:sz w:val="20"/>
          <w:szCs w:val="20"/>
          <w:color w:val="auto"/>
        </w:rPr>
      </w:pPr>
      <w:r>
        <w:rPr>
          <w:rFonts w:ascii="Arial" w:cs="Arial" w:eastAsia="Arial" w:hAnsi="Arial"/>
          <w:sz w:val="18"/>
          <w:szCs w:val="18"/>
          <w:color w:val="auto"/>
        </w:rPr>
        <w:t>and excluding any extension options. As of March 31, 2017, the total future firm contracted revenue stood at $3.5 billion</w:t>
      </w:r>
      <w:r>
        <w:rPr>
          <w:rFonts w:ascii="Arial" w:cs="Arial" w:eastAsia="Arial" w:hAnsi="Arial"/>
          <w:sz w:val="30"/>
          <w:szCs w:val="30"/>
          <w:color w:val="auto"/>
          <w:vertAlign w:val="superscript"/>
        </w:rPr>
        <w:t>(1)</w:t>
      </w:r>
      <w:r>
        <w:rPr>
          <w:rFonts w:ascii="Arial" w:cs="Arial" w:eastAsia="Arial" w:hAnsi="Arial"/>
          <w:sz w:val="18"/>
          <w:szCs w:val="18"/>
          <w:color w:val="auto"/>
        </w:rPr>
        <w:t>, including the vessels owned by GasLog Partners but excluding the vessels operating in the spot market.</w:t>
      </w:r>
    </w:p>
    <w:p>
      <w:pPr>
        <w:spacing w:after="0" w:line="239" w:lineRule="exact"/>
        <w:rPr>
          <w:sz w:val="20"/>
          <w:szCs w:val="20"/>
          <w:color w:val="auto"/>
        </w:rPr>
      </w:pPr>
    </w:p>
    <w:p>
      <w:pPr>
        <w:ind w:right="220" w:firstLine="8"/>
        <w:spacing w:after="0" w:line="230" w:lineRule="auto"/>
        <w:tabs>
          <w:tab w:leader="none" w:pos="17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ectPr>
          <w:pgSz w:w="11900" w:h="16838" w:orient="portrait"/>
          <w:cols w:equalWidth="0" w:num="1">
            <w:col w:w="11420"/>
          </w:cols>
          <w:pgMar w:left="240" w:top="409" w:right="2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2017, GasLog had $532.8 million of cash and cash equivalents, of which $266.3 million was held in time deposits and the remaining balance in current accounts. Moreover, as of March 31, 2017, GasLog had $10.0 million held in time deposits with an initial duration of more than three months but less than a year that have been classified as short-term investments.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As of March 31, 2017, GasLog had an aggregate of $2.9 billion of indebtedness outstanding under its credit facilities and bond agreements, of which $297.9 million was repayable within one year, and a $218.7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$6.0 million was repayable within one year.</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March 31, 2017, $150.0 million under the junior tranche of the Five Vessel Refinancing that subsidiaries of GasLog and GasLog Partners entered into on February 18, 2016 was reclassified under “Borrowings – current portion” following a notice of prepayment issued by the respective subsidiaries on March 24, 2017 and was prepaid on April 5, 2017, using part of the proceeds from the offering of the 8.875% Senior Notes.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2017, there was undrawn available capacity of $58.4 million under the revolving credit facility of the credit agreement of up to $1.1 billion entered into on July 19, 2016 (the “Legacy Facility Refinancing”).</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March 31, 2017, GasLog’s commitments for capital expenditures are related to the five LNG carriers on order, which have a gross aggregate contract price of approximately $1.0 billion. As of March 31, 2017, the total remaining balance of the contract prices of the aforementioned newbuildings was $936.6 million that GasLog expects to be funded with the $664.0 million undrawn capacity under the financing agreement entered into on October 16, 2015, as well as cash balances, cash from operations and borrowings under new debt agreements.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2017, GasLog’s current assets totalled $565.7 million while current liabilities totalled $407.4 million, resulting in a positive working capital position of $158.3 million.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GasLog has hedged 49.2% of its expected floating interest rate exposure on its outstanding debt (excluding the finance lease liability and the 8.875% Senior Notes) as of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GasLog has three newbuildings on order at Samsung Heavy Industries Co. Ltd. (“Samsung”) and two newbuildings on order at Hyundai Heavy Industries Co., Ltd. (“Hyundai”). Our vessels presently under construction are on schedule and within budget. The expected delivery dates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Hulls</w:t>
            </w: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Delivery date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3"/>
              </w:rPr>
              <w:t>Shipyard</w:t>
            </w:r>
          </w:p>
        </w:tc>
      </w:tr>
      <w:tr>
        <w:trPr>
          <w:trHeight w:val="216"/>
        </w:trPr>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Hull No. 2130</w:t>
            </w:r>
          </w:p>
        </w:tc>
        <w:tc>
          <w:tcPr>
            <w:tcW w:w="280" w:type="dxa"/>
            <w:vAlign w:val="bottom"/>
            <w:tcBorders>
              <w:top w:val="single" w:sz="8" w:color="E5FFFF"/>
            </w:tcBorders>
            <w:shd w:val="clear" w:color="auto" w:fill="E5FFFF"/>
          </w:tcPr>
          <w:p>
            <w:pPr>
              <w:spacing w:after="0"/>
              <w:rPr>
                <w:sz w:val="18"/>
                <w:szCs w:val="18"/>
                <w:color w:val="auto"/>
              </w:rPr>
            </w:pPr>
          </w:p>
        </w:tc>
        <w:tc>
          <w:tcPr>
            <w:tcW w:w="2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2"/>
              </w:rPr>
              <w:t>Q1 2018</w:t>
            </w:r>
          </w:p>
        </w:tc>
        <w:tc>
          <w:tcPr>
            <w:tcW w:w="260" w:type="dxa"/>
            <w:vAlign w:val="bottom"/>
            <w:tcBorders>
              <w:top w:val="single" w:sz="8" w:color="E5FFFF"/>
            </w:tcBorders>
            <w:shd w:val="clear" w:color="auto" w:fill="E5FFFF"/>
          </w:tcPr>
          <w:p>
            <w:pPr>
              <w:spacing w:after="0"/>
              <w:rPr>
                <w:sz w:val="18"/>
                <w:szCs w:val="18"/>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Hull No. 2800</w:t>
            </w: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Q1 2018</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280" w:type="dxa"/>
            <w:vAlign w:val="bottom"/>
            <w:gridSpan w:val="2"/>
            <w:shd w:val="clear" w:color="auto" w:fill="E5FFFF"/>
          </w:tcPr>
          <w:p>
            <w:pPr>
              <w:jc w:val="center"/>
              <w:ind w:right="260"/>
              <w:spacing w:after="0"/>
              <w:rPr>
                <w:sz w:val="20"/>
                <w:szCs w:val="20"/>
                <w:color w:val="auto"/>
              </w:rPr>
            </w:pPr>
            <w:r>
              <w:rPr>
                <w:rFonts w:ascii="Arial" w:cs="Arial" w:eastAsia="Arial" w:hAnsi="Arial"/>
                <w:sz w:val="18"/>
                <w:szCs w:val="18"/>
                <w:color w:val="auto"/>
                <w:w w:val="93"/>
              </w:rPr>
              <w:t>Hull No. 2801</w:t>
            </w:r>
          </w:p>
        </w:tc>
        <w:tc>
          <w:tcPr>
            <w:tcW w:w="2580" w:type="dxa"/>
            <w:vAlign w:val="bottom"/>
            <w:gridSpan w:val="2"/>
            <w:shd w:val="clear" w:color="auto" w:fill="E5FFFF"/>
          </w:tcPr>
          <w:p>
            <w:pPr>
              <w:jc w:val="center"/>
              <w:ind w:right="260"/>
              <w:spacing w:after="0"/>
              <w:rPr>
                <w:sz w:val="20"/>
                <w:szCs w:val="20"/>
                <w:color w:val="auto"/>
              </w:rPr>
            </w:pPr>
            <w:r>
              <w:rPr>
                <w:rFonts w:ascii="Arial" w:cs="Arial" w:eastAsia="Arial" w:hAnsi="Arial"/>
                <w:sz w:val="18"/>
                <w:szCs w:val="18"/>
                <w:color w:val="auto"/>
                <w:w w:val="92"/>
              </w:rPr>
              <w:t>Q1 2018</w:t>
            </w:r>
          </w:p>
        </w:tc>
        <w:tc>
          <w:tcPr>
            <w:tcW w:w="20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Hull No. 2131</w:t>
            </w: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Q1 2019</w:t>
            </w: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280" w:type="dxa"/>
            <w:vAlign w:val="bottom"/>
            <w:gridSpan w:val="2"/>
            <w:shd w:val="clear" w:color="auto" w:fill="E5FFFF"/>
          </w:tcPr>
          <w:p>
            <w:pPr>
              <w:jc w:val="center"/>
              <w:ind w:right="260"/>
              <w:spacing w:after="0"/>
              <w:rPr>
                <w:sz w:val="20"/>
                <w:szCs w:val="20"/>
                <w:color w:val="auto"/>
              </w:rPr>
            </w:pPr>
            <w:r>
              <w:rPr>
                <w:rFonts w:ascii="Arial" w:cs="Arial" w:eastAsia="Arial" w:hAnsi="Arial"/>
                <w:sz w:val="18"/>
                <w:szCs w:val="18"/>
                <w:color w:val="auto"/>
                <w:w w:val="93"/>
              </w:rPr>
              <w:t>Hull No. 2212</w:t>
            </w:r>
          </w:p>
        </w:tc>
        <w:tc>
          <w:tcPr>
            <w:tcW w:w="2580" w:type="dxa"/>
            <w:vAlign w:val="bottom"/>
            <w:gridSpan w:val="2"/>
            <w:shd w:val="clear" w:color="auto" w:fill="E5FFFF"/>
          </w:tcPr>
          <w:p>
            <w:pPr>
              <w:jc w:val="center"/>
              <w:ind w:right="260"/>
              <w:spacing w:after="0"/>
              <w:rPr>
                <w:sz w:val="20"/>
                <w:szCs w:val="20"/>
                <w:color w:val="auto"/>
              </w:rPr>
            </w:pPr>
            <w:r>
              <w:rPr>
                <w:rFonts w:ascii="Arial" w:cs="Arial" w:eastAsia="Arial" w:hAnsi="Arial"/>
                <w:sz w:val="18"/>
                <w:szCs w:val="18"/>
                <w:color w:val="auto"/>
                <w:w w:val="92"/>
              </w:rPr>
              <w:t>Q2 2019</w:t>
            </w:r>
          </w:p>
        </w:tc>
        <w:tc>
          <w:tcPr>
            <w:tcW w:w="20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subsidiaries that own two of the vessels expected to be delivered in 2018 and one vessel expected to be delivered in 2019 have entered into 9.5 year time charters with Methane Services Limited (“MSL”). Our subsidiary that owns the remaining vessel expected to be delivered in 2018 entered into a seven-year time charter with Total Gas &amp; Power Chartering Limited (“Total”) in July 2016. Finally, our subsidiary that owns the last vessel expected to be delivered in 2019 entered into a seven-year time charter with Pioneer Shipping Limited, a wholly owned subsidiary of Centrica plc. (“Centrica”) in October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quarter, there has been continued momentum in the start-up of new LNG liquefaction capacity with the third trains at both Gorgon and Sabine Pass commencing production. In addition, the world’s first floating liquefaction terminal, the Petronas-owned PFLNG Satu, loaded its first cargo in Malaysia. Later this year, Wheatstone, Cove Point and Sabine Pass Train 4 are all expected to start production. Wood Mackenzie estimates that there will be projects with approximately 34 million tons per annum (“mtpa”) of nameplate capacity coming online in 2017.</w:t>
      </w:r>
    </w:p>
    <w:p>
      <w:pPr>
        <w:spacing w:after="0" w:line="1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Some off-takers of these projects are yet to secure all of their shipping requirements. In addition to newbuild LNG carriers, we expect a number of vessels for these projects to be sourced from vessels currently operating in the short-term market, which should be positive for the overall shipping supply and demand balance. In the 2017-2020 period, Wood Mackenzie expects approximately 120 mtpa of new nameplate capacity to come online around the world. We believe that this new supply will create significant demand for LNG carriers over and above those available in the market and on order today.</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Looking at the longer term, there have been a number of encouraging developments recently: ExxonMobil purchased a 25% interest in Area 4 in Mozambique; ENI’s Coral FLNG has reached the final stages of a multi stage FID process; Total made a $207.0 million investment in Tellurian to develop the Driftwood LNG project; and Qatar Petroleum announced the lifting of the moratorium on incremental production from its North Field.</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2016 saw significant increases in LNG demand from a number of new markets such as Pakistan, Poland, Lithuania and Jordan as well as major energy growth markets such as China and India. This trend has continued into the first quarter of 2017 with further strong increases in demand from</w:t>
      </w:r>
    </w:p>
    <w:p>
      <w:pPr>
        <w:sectPr>
          <w:pgSz w:w="11900" w:h="16838" w:orient="portrait"/>
          <w:cols w:equalWidth="0" w:num="1">
            <w:col w:w="11420"/>
          </w:cols>
          <w:pgMar w:left="240" w:top="40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China (+23% year-on-year to end March 2017) as well as in large conventional markets such as Japan (+13% year-on-year) and South Korea (+18% year-on-year) following the cold winter and slow progress with nuclear re-starts.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 number of markets that do not currently import gas are exploring LNG as an alternative to oil and coal or to replace declining domestic supply. Many countries with growing power demand, such as Ivory Coast, South Africa, Bangladesh and Myanmar, are looking at FSRUs as a quick-to-market, cost-effective solution to import LNG. Other countries with FSRUs already in place are looking at expanding their use of FSRUs due to the successful commissioning and effective operations of the existing units. FSRUs continue to dominate new import markets as a quicker to build, more flexible and low cost alternative to an onshore facility. Many of the current and future LNG sellers are focusing their attention on FSRUs as a key enabler in creating new markets for their LNG.</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shipping market, short-term charter rates declined in February and March largely due to seasonally lower LNG demand following the Northern Hemisphere winter. A high number of “re-lets” during the quarter also weighed on the market. We expect this trend to reverse as we enter the summer cooling season in the Middle East, Europe and Asia and the Southern Hemisphere winter.</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While the recovery in charter rates and utilization in the LNG shipping market is taking longer than we had anticipated, we are seeing some initial signs of increased short-term and long-term activity, and we continue to believe that the longer term fundamentals point to a strengthening market in 2017 and beyond.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GasLog will host a conference call to discuss its results for the first quarter of 2017 at 8:30 a.m. EDT (1:30 p.m. BST) on Friday, May 5, 2017. Paul Wogan, Chief Executive Officer, and Alastair Maxwell,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+1 855 282 5963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4429094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live webcast of the conference call will also be available on the investor relations page of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BST) on Friday, May 5, 2017 until 11:59 p.m. EDT (4:59 a.m. BST) on Friday, May 12,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4429094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replay will also be available via a webcast in the investor relations page of the Company’s website at </w:t>
      </w:r>
      <w:r>
        <w:rPr>
          <w:rFonts w:ascii="Arial" w:cs="Arial" w:eastAsia="Arial" w:hAnsi="Arial"/>
          <w:sz w:val="17"/>
          <w:szCs w:val="17"/>
          <w:u w:val="single" w:color="auto"/>
          <w:color w:val="auto"/>
        </w:rPr>
        <w:t>http://www.gaslogltd.com/investor-relations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five on order). GasLog also has an additional LNG carrier which was sold to a subsidiary of Mitsui &amp; Co. Ltd. and leased back under a long-term bareboat charter. GasLog’s consolidated fleet includes ten LNG carriers in operation owned by GasLog Partners.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ectPr>
          <w:pgSz w:w="11900" w:h="16838" w:orient="portrait"/>
          <w:cols w:equalWidth="0" w:num="1">
            <w:col w:w="11420"/>
          </w:cols>
          <w:pgMar w:left="240" w:top="409"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8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8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6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 2017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6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As of December 31, 2016 and March 31, 2017</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2016</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38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9,511</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6,265</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38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12,045</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12,788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7,856</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Tangible fixed assets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3,889,047</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3,857,076</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38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96,356</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111,457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222,004</w:t>
            </w: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220,111</w:t>
            </w:r>
          </w:p>
        </w:tc>
        <w:tc>
          <w:tcPr>
            <w:tcW w:w="0" w:type="dxa"/>
            <w:vAlign w:val="bottom"/>
          </w:tcPr>
          <w:p>
            <w:pPr>
              <w:spacing w:after="0"/>
              <w:rPr>
                <w:sz w:val="1"/>
                <w:szCs w:val="1"/>
                <w:color w:val="auto"/>
              </w:rPr>
            </w:pPr>
          </w:p>
        </w:tc>
      </w:tr>
      <w:tr>
        <w:trPr>
          <w:trHeight w:val="210"/>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3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4,244,908</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4,242,197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9,256</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Inventories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8,461</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4,326</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4380" w:type="dxa"/>
            <w:vAlign w:val="bottom"/>
            <w:gridSpan w:val="3"/>
          </w:tcPr>
          <w:p>
            <w:pPr>
              <w:jc w:val="right"/>
              <w:ind w:right="460"/>
              <w:spacing w:after="0"/>
              <w:rPr>
                <w:sz w:val="20"/>
                <w:szCs w:val="20"/>
                <w:color w:val="auto"/>
              </w:rPr>
            </w:pPr>
            <w:r>
              <w:rPr>
                <w:rFonts w:ascii="Arial" w:cs="Arial" w:eastAsia="Arial" w:hAnsi="Arial"/>
                <w:sz w:val="18"/>
                <w:szCs w:val="18"/>
                <w:color w:val="auto"/>
              </w:rPr>
              <w:t>18,000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227,024</w:t>
            </w: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532,778</w:t>
            </w:r>
          </w:p>
        </w:tc>
        <w:tc>
          <w:tcPr>
            <w:tcW w:w="0" w:type="dxa"/>
            <w:vAlign w:val="bottom"/>
          </w:tcPr>
          <w:p>
            <w:pPr>
              <w:spacing w:after="0"/>
              <w:rPr>
                <w:sz w:val="1"/>
                <w:szCs w:val="1"/>
                <w:color w:val="auto"/>
              </w:rPr>
            </w:pPr>
          </w:p>
        </w:tc>
      </w:tr>
      <w:tr>
        <w:trPr>
          <w:trHeight w:val="210"/>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23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270,256</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565,720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Borders>
              <w:bottom w:val="single" w:sz="8" w:color="E5FFFF"/>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46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4,807,917</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2300" w:type="dxa"/>
            <w:vAlign w:val="bottom"/>
            <w:shd w:val="clear" w:color="auto" w:fill="E5FFFF"/>
          </w:tcPr>
          <w:p>
            <w:pPr>
              <w:spacing w:after="0"/>
              <w:rPr>
                <w:sz w:val="17"/>
                <w:szCs w:val="17"/>
                <w:color w:val="auto"/>
              </w:rPr>
            </w:pPr>
          </w:p>
        </w:tc>
        <w:tc>
          <w:tcPr>
            <w:tcW w:w="16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Share capital</w:t>
            </w:r>
          </w:p>
        </w:tc>
        <w:tc>
          <w:tcPr>
            <w:tcW w:w="4380" w:type="dxa"/>
            <w:vAlign w:val="bottom"/>
            <w:gridSpan w:val="3"/>
          </w:tcPr>
          <w:p>
            <w:pPr>
              <w:jc w:val="right"/>
              <w:ind w:right="460"/>
              <w:spacing w:after="0"/>
              <w:rPr>
                <w:sz w:val="20"/>
                <w:szCs w:val="20"/>
                <w:color w:val="auto"/>
              </w:rPr>
            </w:pPr>
            <w:r>
              <w:rPr>
                <w:rFonts w:ascii="Arial" w:cs="Arial" w:eastAsia="Arial" w:hAnsi="Arial"/>
                <w:sz w:val="18"/>
                <w:szCs w:val="18"/>
                <w:color w:val="auto"/>
              </w:rPr>
              <w:t>810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966,974</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953,180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Reserves</w:t>
            </w:r>
          </w:p>
        </w:tc>
        <w:tc>
          <w:tcPr>
            <w:tcW w:w="4380" w:type="dxa"/>
            <w:vAlign w:val="bottom"/>
            <w:gridSpan w:val="3"/>
          </w:tcPr>
          <w:p>
            <w:pPr>
              <w:jc w:val="right"/>
              <w:ind w:right="460"/>
              <w:spacing w:after="0"/>
              <w:rPr>
                <w:sz w:val="20"/>
                <w:szCs w:val="20"/>
                <w:color w:val="auto"/>
              </w:rPr>
            </w:pPr>
            <w:r>
              <w:rPr>
                <w:rFonts w:ascii="Arial" w:cs="Arial" w:eastAsia="Arial" w:hAnsi="Arial"/>
                <w:sz w:val="18"/>
                <w:szCs w:val="18"/>
                <w:color w:val="auto"/>
              </w:rPr>
              <w:t>10,160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11,045</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4380" w:type="dxa"/>
            <w:vAlign w:val="bottom"/>
            <w:gridSpan w:val="3"/>
            <w:shd w:val="clear" w:color="auto" w:fill="E5FFFF"/>
          </w:tcPr>
          <w:p>
            <w:pPr>
              <w:jc w:val="right"/>
              <w:ind w:right="400"/>
              <w:spacing w:after="0"/>
              <w:rPr>
                <w:sz w:val="20"/>
                <w:szCs w:val="20"/>
                <w:color w:val="auto"/>
              </w:rPr>
            </w:pPr>
            <w:r>
              <w:rPr>
                <w:rFonts w:ascii="Arial" w:cs="Arial" w:eastAsia="Arial" w:hAnsi="Arial"/>
                <w:sz w:val="18"/>
                <w:szCs w:val="18"/>
                <w:color w:val="auto"/>
              </w:rPr>
              <w:t>(10,861)</w:t>
            </w:r>
          </w:p>
        </w:tc>
        <w:tc>
          <w:tcPr>
            <w:tcW w:w="16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deficit</w:t>
            </w:r>
          </w:p>
        </w:tc>
        <w:tc>
          <w:tcPr>
            <w:tcW w:w="4380" w:type="dxa"/>
            <w:vAlign w:val="bottom"/>
            <w:gridSpan w:val="3"/>
          </w:tcPr>
          <w:p>
            <w:pPr>
              <w:jc w:val="right"/>
              <w:ind w:right="400"/>
              <w:spacing w:after="0"/>
              <w:rPr>
                <w:sz w:val="20"/>
                <w:szCs w:val="20"/>
                <w:color w:val="auto"/>
              </w:rPr>
            </w:pPr>
            <w:r>
              <w:rPr>
                <w:rFonts w:ascii="Arial" w:cs="Arial" w:eastAsia="Arial" w:hAnsi="Arial"/>
                <w:sz w:val="18"/>
                <w:szCs w:val="18"/>
                <w:color w:val="auto"/>
              </w:rPr>
              <w:t>(21,486)</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10"/>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3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941,486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564,039</w:t>
            </w: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642,906</w:t>
            </w:r>
          </w:p>
        </w:tc>
        <w:tc>
          <w:tcPr>
            <w:tcW w:w="0" w:type="dxa"/>
            <w:vAlign w:val="bottom"/>
          </w:tcPr>
          <w:p>
            <w:pPr>
              <w:spacing w:after="0"/>
              <w:rPr>
                <w:sz w:val="1"/>
                <w:szCs w:val="1"/>
                <w:color w:val="auto"/>
              </w:rPr>
            </w:pPr>
          </w:p>
        </w:tc>
      </w:tr>
      <w:tr>
        <w:trPr>
          <w:trHeight w:val="210"/>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23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1,509,682</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1,584,392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7,255</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4380" w:type="dxa"/>
            <w:vAlign w:val="bottom"/>
            <w:gridSpan w:val="3"/>
          </w:tcPr>
          <w:p>
            <w:pPr>
              <w:jc w:val="right"/>
              <w:ind w:right="460"/>
              <w:spacing w:after="0"/>
              <w:rPr>
                <w:sz w:val="20"/>
                <w:szCs w:val="20"/>
                <w:color w:val="auto"/>
              </w:rPr>
            </w:pPr>
            <w:r>
              <w:rPr>
                <w:rFonts w:ascii="Arial" w:cs="Arial" w:eastAsia="Arial" w:hAnsi="Arial"/>
                <w:sz w:val="18"/>
                <w:szCs w:val="18"/>
                <w:color w:val="auto"/>
              </w:rPr>
              <w:t>841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438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105</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7,854</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438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93,386</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82,031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147,448</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297,905</w:t>
            </w:r>
          </w:p>
        </w:tc>
        <w:tc>
          <w:tcPr>
            <w:tcW w:w="0" w:type="dxa"/>
            <w:vAlign w:val="bottom"/>
          </w:tcPr>
          <w:p>
            <w:pPr>
              <w:spacing w:after="0"/>
              <w:rPr>
                <w:sz w:val="1"/>
                <w:szCs w:val="1"/>
                <w:color w:val="auto"/>
              </w:rPr>
            </w:pPr>
          </w:p>
        </w:tc>
      </w:tr>
      <w:tr>
        <w:trPr>
          <w:trHeight w:val="230"/>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5,946</w:t>
            </w:r>
          </w:p>
        </w:tc>
        <w:tc>
          <w:tcPr>
            <w:tcW w:w="46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3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407,438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2300" w:type="dxa"/>
            <w:vAlign w:val="bottom"/>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380" w:type="dxa"/>
            <w:vAlign w:val="bottom"/>
            <w:gridSpan w:val="3"/>
          </w:tcPr>
          <w:p>
            <w:pPr>
              <w:jc w:val="right"/>
              <w:ind w:right="460"/>
              <w:spacing w:after="0"/>
              <w:rPr>
                <w:sz w:val="20"/>
                <w:szCs w:val="20"/>
                <w:color w:val="auto"/>
              </w:rPr>
            </w:pPr>
            <w:r>
              <w:rPr>
                <w:rFonts w:ascii="Arial" w:cs="Arial" w:eastAsia="Arial" w:hAnsi="Arial"/>
                <w:sz w:val="18"/>
                <w:szCs w:val="18"/>
                <w:color w:val="auto"/>
              </w:rPr>
              <w:t>22,485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20,951</w:t>
            </w:r>
          </w:p>
        </w:tc>
        <w:tc>
          <w:tcPr>
            <w:tcW w:w="0" w:type="dxa"/>
            <w:vAlign w:val="bottom"/>
          </w:tcPr>
          <w:p>
            <w:pPr>
              <w:spacing w:after="0"/>
              <w:rPr>
                <w:sz w:val="1"/>
                <w:szCs w:val="1"/>
                <w:color w:val="auto"/>
              </w:rPr>
            </w:pPr>
          </w:p>
        </w:tc>
      </w:tr>
      <w:tr>
        <w:trPr>
          <w:trHeight w:val="216"/>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2,504,578</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2,581,203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214,455</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212,682</w:t>
            </w:r>
          </w:p>
        </w:tc>
        <w:tc>
          <w:tcPr>
            <w:tcW w:w="0" w:type="dxa"/>
            <w:vAlign w:val="bottom"/>
          </w:tcPr>
          <w:p>
            <w:pPr>
              <w:spacing w:after="0"/>
              <w:rPr>
                <w:sz w:val="1"/>
                <w:szCs w:val="1"/>
                <w:color w:val="auto"/>
              </w:rPr>
            </w:pPr>
          </w:p>
        </w:tc>
      </w:tr>
      <w:tr>
        <w:trPr>
          <w:trHeight w:val="230"/>
        </w:trPr>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3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1,129</w:t>
            </w:r>
          </w:p>
        </w:tc>
        <w:tc>
          <w:tcPr>
            <w:tcW w:w="46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3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2,816,087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2300" w:type="dxa"/>
            <w:vAlign w:val="bottom"/>
            <w:tcBorders>
              <w:bottom w:val="single" w:sz="8" w:color="E5FFFF"/>
            </w:tcBorders>
            <w:shd w:val="clear" w:color="auto" w:fill="E5FFFF"/>
          </w:tcPr>
          <w:p>
            <w:pPr>
              <w:spacing w:after="0"/>
              <w:rPr>
                <w:sz w:val="19"/>
                <w:szCs w:val="19"/>
                <w:color w:val="auto"/>
              </w:rPr>
            </w:pP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4,515,164</w:t>
            </w:r>
          </w:p>
        </w:tc>
        <w:tc>
          <w:tcPr>
            <w:tcW w:w="46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4,807,917</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00" w:type="dxa"/>
            <w:vAlign w:val="bottom"/>
            <w:vMerge w:val="restart"/>
          </w:tcPr>
          <w:p>
            <w:pPr>
              <w:jc w:val="right"/>
              <w:ind w:right="1770"/>
              <w:spacing w:after="0"/>
              <w:rPr>
                <w:sz w:val="20"/>
                <w:szCs w:val="20"/>
                <w:color w:val="auto"/>
              </w:rPr>
            </w:pPr>
            <w:r>
              <w:rPr>
                <w:rFonts w:ascii="Arial" w:cs="Arial" w:eastAsia="Arial" w:hAnsi="Arial"/>
                <w:sz w:val="18"/>
                <w:szCs w:val="18"/>
                <w:color w:val="auto"/>
              </w:rPr>
              <w:t>10</w:t>
            </w: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0C0C0"/>
            </w:tcBorders>
          </w:tcPr>
          <w:p>
            <w:pPr>
              <w:spacing w:after="0"/>
              <w:rPr>
                <w:sz w:val="21"/>
                <w:szCs w:val="21"/>
                <w:color w:val="auto"/>
              </w:rPr>
            </w:pPr>
          </w:p>
        </w:tc>
        <w:tc>
          <w:tcPr>
            <w:tcW w:w="230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7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312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104,377</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128,285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5200" w:type="dxa"/>
            <w:vAlign w:val="bottom"/>
            <w:gridSpan w:val="3"/>
          </w:tcPr>
          <w:p>
            <w:pPr>
              <w:jc w:val="right"/>
              <w:ind w:right="320"/>
              <w:spacing w:after="0"/>
              <w:rPr>
                <w:sz w:val="20"/>
                <w:szCs w:val="20"/>
                <w:color w:val="auto"/>
              </w:rPr>
            </w:pPr>
            <w:r>
              <w:rPr>
                <w:rFonts w:ascii="Arial" w:cs="Arial" w:eastAsia="Arial" w:hAnsi="Arial"/>
                <w:sz w:val="18"/>
                <w:szCs w:val="18"/>
                <w:color w:val="auto"/>
              </w:rPr>
              <w:t>(28,457)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52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(5,263)</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5200" w:type="dxa"/>
            <w:vAlign w:val="bottom"/>
            <w:gridSpan w:val="3"/>
          </w:tcPr>
          <w:p>
            <w:pPr>
              <w:jc w:val="right"/>
              <w:ind w:right="320"/>
              <w:spacing w:after="0"/>
              <w:rPr>
                <w:sz w:val="20"/>
                <w:szCs w:val="20"/>
                <w:color w:val="auto"/>
              </w:rPr>
            </w:pPr>
            <w:r>
              <w:rPr>
                <w:rFonts w:ascii="Arial" w:cs="Arial" w:eastAsia="Arial" w:hAnsi="Arial"/>
                <w:sz w:val="18"/>
                <w:szCs w:val="18"/>
                <w:color w:val="auto"/>
              </w:rPr>
              <w:t>(28,164)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52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(8,734)</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312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33,759</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54,899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3120" w:type="dxa"/>
            <w:vAlign w:val="bottom"/>
            <w:shd w:val="clear" w:color="auto" w:fill="E5FFFF"/>
          </w:tcPr>
          <w:p>
            <w:pPr>
              <w:spacing w:after="0"/>
              <w:rPr>
                <w:sz w:val="18"/>
                <w:szCs w:val="18"/>
                <w:color w:val="auto"/>
              </w:rPr>
            </w:pP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(32,524)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Financial income</w:t>
            </w:r>
          </w:p>
        </w:tc>
        <w:tc>
          <w:tcPr>
            <w:tcW w:w="5200" w:type="dxa"/>
            <w:vAlign w:val="bottom"/>
            <w:gridSpan w:val="3"/>
          </w:tcPr>
          <w:p>
            <w:pPr>
              <w:jc w:val="right"/>
              <w:ind w:right="380"/>
              <w:spacing w:after="0"/>
              <w:rPr>
                <w:sz w:val="20"/>
                <w:szCs w:val="20"/>
                <w:color w:val="auto"/>
              </w:rPr>
            </w:pPr>
            <w:r>
              <w:rPr>
                <w:rFonts w:ascii="Arial" w:cs="Arial" w:eastAsia="Arial" w:hAnsi="Arial"/>
                <w:sz w:val="18"/>
                <w:szCs w:val="18"/>
                <w:color w:val="auto"/>
              </w:rPr>
              <w:t>202</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(Loss)/gain on swaps</w:t>
            </w:r>
          </w:p>
        </w:tc>
        <w:tc>
          <w:tcPr>
            <w:tcW w:w="52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(10,414)</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5200" w:type="dxa"/>
            <w:vAlign w:val="bottom"/>
            <w:gridSpan w:val="3"/>
          </w:tcPr>
          <w:p>
            <w:pPr>
              <w:jc w:val="right"/>
              <w:ind w:right="380"/>
              <w:spacing w:after="0"/>
              <w:rPr>
                <w:sz w:val="20"/>
                <w:szCs w:val="20"/>
                <w:color w:val="auto"/>
              </w:rPr>
            </w:pPr>
            <w:r>
              <w:rPr>
                <w:rFonts w:ascii="Arial" w:cs="Arial" w:eastAsia="Arial" w:hAnsi="Arial"/>
                <w:sz w:val="18"/>
                <w:szCs w:val="18"/>
                <w:color w:val="auto"/>
              </w:rPr>
              <w:t>334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312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(39,057</w:t>
            </w:r>
          </w:p>
        </w:tc>
        <w:tc>
          <w:tcPr>
            <w:tcW w:w="460" w:type="dxa"/>
            <w:vAlign w:val="bottom"/>
            <w:tcBorders>
              <w:top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(31,507</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(Loss)/profit for the period</w:t>
            </w:r>
          </w:p>
        </w:tc>
        <w:tc>
          <w:tcPr>
            <w:tcW w:w="3120" w:type="dxa"/>
            <w:vAlign w:val="bottom"/>
            <w:tcBorders>
              <w:bottom w:val="single" w:sz="8" w:color="E5FFFF"/>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3120" w:type="dxa"/>
            <w:vAlign w:val="bottom"/>
            <w:shd w:val="clear" w:color="auto" w:fill="E5FFFF"/>
          </w:tcPr>
          <w:p>
            <w:pPr>
              <w:spacing w:after="0"/>
              <w:rPr>
                <w:sz w:val="17"/>
                <w:szCs w:val="17"/>
                <w:color w:val="auto"/>
              </w:rPr>
            </w:pPr>
          </w:p>
        </w:tc>
        <w:tc>
          <w:tcPr>
            <w:tcW w:w="16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Owners of the Group</w:t>
            </w:r>
          </w:p>
        </w:tc>
        <w:tc>
          <w:tcPr>
            <w:tcW w:w="5200" w:type="dxa"/>
            <w:vAlign w:val="bottom"/>
            <w:gridSpan w:val="3"/>
          </w:tcPr>
          <w:p>
            <w:pPr>
              <w:jc w:val="right"/>
              <w:ind w:right="320"/>
              <w:spacing w:after="0"/>
              <w:rPr>
                <w:sz w:val="20"/>
                <w:szCs w:val="20"/>
                <w:color w:val="auto"/>
              </w:rPr>
            </w:pPr>
            <w:r>
              <w:rPr>
                <w:rFonts w:ascii="Arial" w:cs="Arial" w:eastAsia="Arial" w:hAnsi="Arial"/>
                <w:sz w:val="18"/>
                <w:szCs w:val="18"/>
                <w:color w:val="auto"/>
              </w:rPr>
              <w:t>(15,898)</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520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10,600</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5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(Loss)/earnings per share – basic and diluted</w:t>
            </w:r>
          </w:p>
        </w:tc>
        <w:tc>
          <w:tcPr>
            <w:tcW w:w="52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(0.23)</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120" w:type="dxa"/>
            <w:vAlign w:val="bottom"/>
          </w:tcPr>
          <w:p>
            <w:pPr>
              <w:jc w:val="right"/>
              <w:ind w:right="1770"/>
              <w:spacing w:after="0"/>
              <w:rPr>
                <w:sz w:val="20"/>
                <w:szCs w:val="20"/>
                <w:color w:val="auto"/>
              </w:rPr>
            </w:pPr>
            <w:r>
              <w:rPr>
                <w:rFonts w:ascii="Arial" w:cs="Arial" w:eastAsia="Arial" w:hAnsi="Arial"/>
                <w:sz w:val="18"/>
                <w:szCs w:val="18"/>
                <w:color w:val="auto"/>
              </w:rPr>
              <w:t>11</w:t>
            </w: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0C0C0"/>
            </w:tcBorders>
          </w:tcPr>
          <w:p>
            <w:pPr>
              <w:spacing w:after="0"/>
              <w:rPr>
                <w:sz w:val="21"/>
                <w:szCs w:val="21"/>
                <w:color w:val="auto"/>
              </w:rPr>
            </w:pPr>
          </w:p>
        </w:tc>
        <w:tc>
          <w:tcPr>
            <w:tcW w:w="312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37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2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7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(5,298)</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23,392</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6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Depreciation</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28,164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20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(334)</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Financial income</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29,179</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32,524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Unrealized foreign exchange gains on cash and cash equivalents</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loss/(gain) on derivative financial instruments held for trading</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8,137</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349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763</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60,555</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87,393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7,687</w:t>
            </w:r>
          </w:p>
        </w:tc>
        <w:tc>
          <w:tcPr>
            <w:tcW w:w="460" w:type="dxa"/>
            <w:vAlign w:val="bottom"/>
            <w:shd w:val="clear" w:color="auto" w:fill="E5FFFF"/>
          </w:tcPr>
          <w:p>
            <w:pPr>
              <w:spacing w:after="0"/>
              <w:rPr>
                <w:sz w:val="18"/>
                <w:szCs w:val="18"/>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68,242</w:t>
            </w:r>
          </w:p>
        </w:tc>
        <w:tc>
          <w:tcPr>
            <w:tcW w:w="46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84,921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(23,953</w:t>
            </w:r>
          </w:p>
        </w:tc>
        <w:tc>
          <w:tcPr>
            <w:tcW w:w="460" w:type="dxa"/>
            <w:vAlign w:val="bottom"/>
            <w:shd w:val="clear" w:color="auto" w:fill="E5FFFF"/>
          </w:tcPr>
          <w:p>
            <w:pPr>
              <w:jc w:val="right"/>
              <w:ind w:right="320"/>
              <w:spacing w:after="0"/>
              <w:rPr>
                <w:sz w:val="20"/>
                <w:szCs w:val="20"/>
                <w:color w:val="auto"/>
              </w:rPr>
            </w:pPr>
            <w:r>
              <w:rPr>
                <w:rFonts w:ascii="Arial" w:cs="Arial" w:eastAsia="Arial" w:hAnsi="Arial"/>
                <w:sz w:val="16"/>
                <w:szCs w:val="16"/>
                <w:color w:val="auto"/>
                <w:w w:val="74"/>
              </w:rPr>
              <w:t>)</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44,289</w:t>
            </w:r>
          </w:p>
        </w:tc>
        <w:tc>
          <w:tcPr>
            <w:tcW w:w="46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49,508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(197,797)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925</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Payments for investment in associate</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20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(1,500)</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4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218</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(192,154</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(18,064</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620" w:type="dxa"/>
            <w:vAlign w:val="bottom"/>
          </w:tcPr>
          <w:p>
            <w:pPr>
              <w:jc w:val="right"/>
              <w:spacing w:after="0"/>
              <w:rPr>
                <w:sz w:val="20"/>
                <w:szCs w:val="20"/>
                <w:color w:val="auto"/>
              </w:rPr>
            </w:pPr>
            <w:r>
              <w:rPr>
                <w:rFonts w:ascii="Arial" w:cs="Arial" w:eastAsia="Arial" w:hAnsi="Arial"/>
                <w:sz w:val="18"/>
                <w:szCs w:val="18"/>
                <w:color w:val="auto"/>
              </w:rPr>
              <w:t>162,967</w:t>
            </w:r>
          </w:p>
        </w:tc>
        <w:tc>
          <w:tcPr>
            <w:tcW w:w="46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217,000</w:t>
            </w:r>
          </w:p>
        </w:tc>
        <w:tc>
          <w:tcPr>
            <w:tcW w:w="46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Bank loan repayments</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(253,610)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(52,416)</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20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(12,328)</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w w:val="98"/>
              </w:rPr>
              <w:t>Proceeds from GasLog Partners’ public offerings (net of underwriting discounts and commissions)</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78,522</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39,095</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20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(24,138)</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(27,592)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(284)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stock options exercise</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128,702</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E5FFFF"/>
          </w:tcPr>
          <w:p>
            <w:pPr>
              <w:spacing w:after="0"/>
              <w:rPr>
                <w:sz w:val="18"/>
                <w:szCs w:val="18"/>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(18,960</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305,754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302,988</w:t>
            </w:r>
          </w:p>
        </w:tc>
        <w:tc>
          <w:tcPr>
            <w:tcW w:w="460" w:type="dxa"/>
            <w:vAlign w:val="bottom"/>
            <w:shd w:val="clear" w:color="auto" w:fill="E5FFFF"/>
          </w:tcPr>
          <w:p>
            <w:pPr>
              <w:spacing w:after="0"/>
              <w:rPr>
                <w:sz w:val="18"/>
                <w:szCs w:val="18"/>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227,024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284,028</w:t>
            </w:r>
          </w:p>
        </w:tc>
        <w:tc>
          <w:tcPr>
            <w:tcW w:w="4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EBITDA is defined as earnings before depreciation, amortization, interest income and expense, gain/loss on swaps and taxes. Adjusted EBITDA is defined as EBITDA before foreign exchange gains/losses. Adjusted Profit represents earnings before write-off and accelerated amortization of unamortized loan fees, foreign exchange gains/losses and non-cash gain/loss on swaps that includes (if any) (a) unrealized gain/loss on derivative financial instruments held for trading and (b) recycled loss of cash flow hedges reclassified to profit or loss. Adjusted EPS represents earnings attributable to owners of the Group before non-cash gain/loss on swaps as defined above, foreign exchange gains/losses and write-off and accelerated amortization of unamortized loan fees,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financial costs,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Loss/Profit: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19"/>
                <w:szCs w:val="19"/>
                <w:color w:val="auto"/>
              </w:rPr>
            </w:pPr>
          </w:p>
        </w:tc>
        <w:tc>
          <w:tcPr>
            <w:tcW w:w="37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660" w:type="dxa"/>
            <w:vAlign w:val="bottom"/>
          </w:tcPr>
          <w:p>
            <w:pPr>
              <w:spacing w:after="0"/>
              <w:rPr>
                <w:sz w:val="20"/>
                <w:szCs w:val="20"/>
                <w:color w:val="auto"/>
              </w:rPr>
            </w:pPr>
          </w:p>
        </w:tc>
        <w:tc>
          <w:tcPr>
            <w:tcW w:w="2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2016</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7660" w:type="dxa"/>
            <w:vAlign w:val="bottom"/>
            <w:tcBorders>
              <w:top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(Loss)/profit for the period</w:t>
            </w: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(5,298)</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23,392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28,164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33,708</w:t>
            </w:r>
          </w:p>
        </w:tc>
        <w:tc>
          <w:tcPr>
            <w:tcW w:w="80" w:type="dxa"/>
            <w:vAlign w:val="bottom"/>
          </w:tcPr>
          <w:p>
            <w:pPr>
              <w:spacing w:after="0"/>
              <w:rPr>
                <w:sz w:val="18"/>
                <w:szCs w:val="18"/>
                <w:color w:val="auto"/>
              </w:rPr>
            </w:pPr>
          </w:p>
        </w:tc>
      </w:tr>
      <w:tr>
        <w:trPr>
          <w:trHeight w:val="216"/>
        </w:trPr>
        <w:tc>
          <w:tcPr>
            <w:tcW w:w="76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Financial costs</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29,179</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32,524</w:t>
            </w:r>
          </w:p>
        </w:tc>
        <w:tc>
          <w:tcPr>
            <w:tcW w:w="80" w:type="dxa"/>
            <w:vAlign w:val="bottom"/>
            <w:shd w:val="clear" w:color="auto" w:fill="E5FFFF"/>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(391)</w:t>
            </w:r>
          </w:p>
        </w:tc>
      </w:tr>
      <w:tr>
        <w:trPr>
          <w:trHeight w:val="230"/>
        </w:trPr>
        <w:tc>
          <w:tcPr>
            <w:tcW w:w="7660" w:type="dxa"/>
            <w:vAlign w:val="bottom"/>
            <w:shd w:val="clear" w:color="auto" w:fill="E5FFFF"/>
          </w:tcPr>
          <w:p>
            <w:pPr>
              <w:ind w:left="20"/>
              <w:spacing w:after="0"/>
              <w:rPr>
                <w:sz w:val="20"/>
                <w:szCs w:val="20"/>
                <w:color w:val="auto"/>
              </w:rPr>
            </w:pPr>
            <w:r>
              <w:rPr>
                <w:rFonts w:ascii="Arial" w:cs="Arial" w:eastAsia="Arial" w:hAnsi="Arial"/>
                <w:sz w:val="18"/>
                <w:szCs w:val="18"/>
                <w:color w:val="auto"/>
              </w:rPr>
              <w:t>Loss/(gain) on swaps</w:t>
            </w:r>
          </w:p>
        </w:tc>
        <w:tc>
          <w:tcPr>
            <w:tcW w:w="20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10,414</w:t>
            </w:r>
          </w:p>
        </w:tc>
        <w:tc>
          <w:tcPr>
            <w:tcW w:w="16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(164)</w:t>
            </w:r>
          </w:p>
        </w:tc>
      </w:tr>
      <w:tr>
        <w:trPr>
          <w:trHeight w:val="210"/>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62,257</w:t>
            </w:r>
          </w:p>
        </w:tc>
        <w:tc>
          <w:tcPr>
            <w:tcW w:w="460" w:type="dxa"/>
            <w:vAlign w:val="bottom"/>
            <w:tcBorders>
              <w:bottom w:val="single" w:sz="8" w:color="E5FF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89,069</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766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(gains)/losses, net</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E5FFFF"/>
          </w:tcPr>
          <w:p>
            <w:pPr>
              <w:jc w:val="right"/>
              <w:ind w:right="320"/>
              <w:spacing w:after="0"/>
              <w:rPr>
                <w:sz w:val="20"/>
                <w:szCs w:val="20"/>
                <w:color w:val="auto"/>
              </w:rPr>
            </w:pPr>
            <w:r>
              <w:rPr>
                <w:rFonts w:ascii="Arial" w:cs="Arial" w:eastAsia="Arial" w:hAnsi="Arial"/>
                <w:sz w:val="16"/>
                <w:szCs w:val="16"/>
                <w:color w:val="auto"/>
                <w:w w:val="74"/>
              </w:rPr>
              <w:t>)</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62,213</w:t>
            </w:r>
          </w:p>
        </w:tc>
        <w:tc>
          <w:tcPr>
            <w:tcW w:w="4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Profit to Loss/Profit: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ectPr>
          <w:pgSz w:w="11900" w:h="16838" w:orient="portrait"/>
          <w:cols w:equalWidth="0" w:num="1">
            <w:col w:w="11420"/>
          </w:cols>
          <w:pgMar w:left="240" w:top="4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(Loss)/profit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Non-cash loss/(gain) on swaps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Write-off and accelerated amortization of unamortized loan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(gains)/losses,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2016</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March 31, 2017</w:t>
            </w:r>
          </w:p>
        </w:tc>
      </w:tr>
      <w:tr>
        <w:trPr>
          <w:trHeight w:val="195"/>
        </w:trPr>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(5,298)</w:t>
            </w:r>
          </w:p>
        </w:tc>
        <w:tc>
          <w:tcPr>
            <w:tcW w:w="460" w:type="dxa"/>
            <w:vAlign w:val="bottom"/>
          </w:tcPr>
          <w:p>
            <w:pPr>
              <w:spacing w:after="0"/>
              <w:rPr>
                <w:sz w:val="16"/>
                <w:szCs w:val="16"/>
                <w:color w:val="auto"/>
              </w:rPr>
            </w:pPr>
          </w:p>
        </w:tc>
        <w:tc>
          <w:tcPr>
            <w:tcW w:w="1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23,392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20" w:type="dxa"/>
            <w:vAlign w:val="bottom"/>
          </w:tcPr>
          <w:p>
            <w:pPr>
              <w:jc w:val="right"/>
              <w:spacing w:after="0"/>
              <w:rPr>
                <w:sz w:val="20"/>
                <w:szCs w:val="20"/>
                <w:color w:val="auto"/>
              </w:rPr>
            </w:pPr>
            <w:r>
              <w:rPr>
                <w:rFonts w:ascii="Arial" w:cs="Arial" w:eastAsia="Arial" w:hAnsi="Arial"/>
                <w:sz w:val="18"/>
                <w:szCs w:val="18"/>
                <w:color w:val="auto"/>
              </w:rPr>
              <w:t>8,486</w:t>
            </w:r>
          </w:p>
        </w:tc>
        <w:tc>
          <w:tcPr>
            <w:tcW w:w="4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(2,315)</w:t>
            </w:r>
          </w:p>
        </w:tc>
      </w:tr>
      <w:tr>
        <w:trPr>
          <w:trHeight w:val="216"/>
        </w:trPr>
        <w:tc>
          <w:tcPr>
            <w:tcW w:w="1620" w:type="dxa"/>
            <w:vAlign w:val="bottom"/>
          </w:tcPr>
          <w:p>
            <w:pPr>
              <w:jc w:val="right"/>
              <w:spacing w:after="0"/>
              <w:rPr>
                <w:sz w:val="20"/>
                <w:szCs w:val="20"/>
                <w:color w:val="auto"/>
              </w:rPr>
            </w:pPr>
            <w:r>
              <w:rPr>
                <w:rFonts w:ascii="Arial" w:cs="Arial" w:eastAsia="Arial" w:hAnsi="Arial"/>
                <w:sz w:val="18"/>
                <w:szCs w:val="18"/>
                <w:color w:val="auto"/>
              </w:rPr>
              <w:t>3,046</w:t>
            </w:r>
          </w:p>
        </w:tc>
        <w:tc>
          <w:tcPr>
            <w:tcW w:w="4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r>
      <w:tr>
        <w:trPr>
          <w:trHeight w:val="244"/>
        </w:trPr>
        <w:tc>
          <w:tcPr>
            <w:tcW w:w="20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1"/>
                <w:szCs w:val="21"/>
                <w:color w:val="auto"/>
              </w:rPr>
            </w:pPr>
          </w:p>
        </w:tc>
      </w:tr>
      <w:tr>
        <w:trPr>
          <w:trHeight w:val="223"/>
        </w:trPr>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6,190</w:t>
            </w:r>
          </w:p>
        </w:tc>
        <w:tc>
          <w:tcPr>
            <w:tcW w:w="46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21,922</w:t>
            </w:r>
          </w:p>
        </w:tc>
        <w:tc>
          <w:tcPr>
            <w:tcW w:w="40" w:type="dxa"/>
            <w:vAlign w:val="bottom"/>
          </w:tcPr>
          <w:p>
            <w:pPr>
              <w:spacing w:after="0"/>
              <w:rPr>
                <w:sz w:val="19"/>
                <w:szCs w:val="19"/>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6940" w:space="720"/>
            <w:col w:w="3760"/>
          </w:cols>
          <w:pgMar w:left="240" w:top="40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Reconciliation of Adjusted (Loss)/Earnings Per Share to (Loss)/Earnings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20"/>
        <w:spacing w:after="0" w:line="258" w:lineRule="auto"/>
        <w:rPr>
          <w:sz w:val="20"/>
          <w:szCs w:val="20"/>
          <w:color w:val="auto"/>
        </w:rPr>
      </w:pPr>
      <w:r>
        <w:rPr>
          <w:rFonts w:ascii="Arial" w:cs="Arial" w:eastAsia="Arial" w:hAnsi="Arial"/>
          <w:sz w:val="18"/>
          <w:szCs w:val="18"/>
          <w:color w:val="auto"/>
        </w:rPr>
        <w:t>(Loss)/profit for the period attributable to owners of the Group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on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right="840"/>
        <w:spacing w:after="0" w:line="266" w:lineRule="auto"/>
        <w:rPr>
          <w:sz w:val="20"/>
          <w:szCs w:val="20"/>
          <w:color w:val="auto"/>
        </w:rPr>
      </w:pPr>
      <w:r>
        <w:rPr>
          <w:rFonts w:ascii="Arial" w:cs="Arial" w:eastAsia="Arial" w:hAnsi="Arial"/>
          <w:sz w:val="18"/>
          <w:szCs w:val="18"/>
          <w:color w:val="auto"/>
        </w:rPr>
        <w:t>(Loss)/profit for the period available to owners of the Group used in EPS calculation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(Loss)/earnings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(Loss)/profit for the period available to owners of the Group used in EPS calculation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loss/(gain)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 and accelerated amortization of unamortized loan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(gains)/losses,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ind w:left="220"/>
        <w:spacing w:after="0"/>
        <w:tabs>
          <w:tab w:leader="none" w:pos="2240" w:val="left"/>
        </w:tabs>
        <w:rPr>
          <w:sz w:val="20"/>
          <w:szCs w:val="20"/>
          <w:color w:val="auto"/>
        </w:rPr>
      </w:pPr>
      <w:r>
        <w:rPr>
          <w:rFonts w:ascii="Arial" w:cs="Arial" w:eastAsia="Arial" w:hAnsi="Arial"/>
          <w:sz w:val="18"/>
          <w:szCs w:val="18"/>
          <w:b w:val="1"/>
          <w:bCs w:val="1"/>
          <w:color w:val="auto"/>
        </w:rPr>
        <w:t>March 31, 2016</w:t>
      </w:r>
      <w:r>
        <w:rPr>
          <w:sz w:val="20"/>
          <w:szCs w:val="20"/>
          <w:color w:val="auto"/>
        </w:rPr>
        <w:tab/>
      </w:r>
      <w:r>
        <w:rPr>
          <w:rFonts w:ascii="Arial" w:cs="Arial" w:eastAsia="Arial" w:hAnsi="Arial"/>
          <w:sz w:val="16"/>
          <w:szCs w:val="16"/>
          <w:b w:val="1"/>
          <w:bCs w:val="1"/>
          <w:color w:val="auto"/>
        </w:rPr>
        <w:t>March 31, 2017</w:t>
      </w:r>
    </w:p>
    <w:p>
      <w:pPr>
        <w:spacing w:after="0" w:line="23" w:lineRule="exact"/>
        <w:rPr>
          <w:sz w:val="20"/>
          <w:szCs w:val="20"/>
          <w:color w:val="auto"/>
        </w:rPr>
      </w:pPr>
    </w:p>
    <w:p>
      <w:pPr>
        <w:ind w:left="1060"/>
        <w:spacing w:after="0"/>
        <w:tabs>
          <w:tab w:leader="none" w:pos="3220" w:val="left"/>
        </w:tabs>
        <w:rPr>
          <w:sz w:val="20"/>
          <w:szCs w:val="20"/>
          <w:color w:val="auto"/>
        </w:rPr>
      </w:pPr>
      <w:r>
        <w:rPr>
          <w:rFonts w:ascii="Arial" w:cs="Arial" w:eastAsia="Arial" w:hAnsi="Arial"/>
          <w:sz w:val="18"/>
          <w:szCs w:val="18"/>
          <w:color w:val="auto"/>
        </w:rPr>
        <w:t>(15,898)</w:t>
      </w:r>
      <w:r>
        <w:rPr>
          <w:sz w:val="20"/>
          <w:szCs w:val="20"/>
          <w:color w:val="auto"/>
        </w:rPr>
        <w:tab/>
      </w:r>
      <w:r>
        <w:rPr>
          <w:rFonts w:ascii="Arial" w:cs="Arial" w:eastAsia="Arial" w:hAnsi="Arial"/>
          <w:sz w:val="18"/>
          <w:szCs w:val="18"/>
          <w:color w:val="auto"/>
        </w:rPr>
        <w:t>8,752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(2,515)</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80,561,353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c>
          <w:tcPr>
            <w:tcW w:w="460" w:type="dxa"/>
            <w:vAlign w:val="bottom"/>
            <w:vMerge w:val="continue"/>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620" w:type="dxa"/>
            <w:vAlign w:val="bottom"/>
          </w:tcPr>
          <w:p>
            <w:pPr>
              <w:jc w:val="right"/>
              <w:spacing w:after="0"/>
              <w:rPr>
                <w:sz w:val="20"/>
                <w:szCs w:val="20"/>
                <w:color w:val="auto"/>
              </w:rPr>
            </w:pPr>
            <w:r>
              <w:rPr>
                <w:rFonts w:ascii="Arial" w:cs="Arial" w:eastAsia="Arial" w:hAnsi="Arial"/>
                <w:sz w:val="18"/>
                <w:szCs w:val="18"/>
                <w:color w:val="auto"/>
              </w:rPr>
              <w:t>(18,413)</w:t>
            </w:r>
          </w:p>
        </w:tc>
        <w:tc>
          <w:tcPr>
            <w:tcW w:w="46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6,236</w:t>
            </w: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620" w:type="dxa"/>
            <w:vAlign w:val="bottom"/>
          </w:tcPr>
          <w:p>
            <w:pPr>
              <w:jc w:val="right"/>
              <w:spacing w:after="0"/>
              <w:rPr>
                <w:sz w:val="20"/>
                <w:szCs w:val="20"/>
                <w:color w:val="auto"/>
              </w:rPr>
            </w:pPr>
            <w:r>
              <w:rPr>
                <w:rFonts w:ascii="Arial" w:cs="Arial" w:eastAsia="Arial" w:hAnsi="Arial"/>
                <w:sz w:val="18"/>
                <w:szCs w:val="18"/>
                <w:color w:val="auto"/>
              </w:rPr>
              <w:t>8,486</w:t>
            </w:r>
          </w:p>
        </w:tc>
        <w:tc>
          <w:tcPr>
            <w:tcW w:w="4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1620" w:type="dxa"/>
            <w:vAlign w:val="bottom"/>
          </w:tcPr>
          <w:p>
            <w:pPr>
              <w:jc w:val="right"/>
              <w:spacing w:after="0"/>
              <w:rPr>
                <w:sz w:val="20"/>
                <w:szCs w:val="20"/>
                <w:color w:val="auto"/>
              </w:rPr>
            </w:pPr>
            <w:r>
              <w:rPr>
                <w:rFonts w:ascii="Arial" w:cs="Arial" w:eastAsia="Arial" w:hAnsi="Arial"/>
                <w:sz w:val="18"/>
                <w:szCs w:val="18"/>
                <w:color w:val="auto"/>
              </w:rPr>
              <w:t>3,046</w:t>
            </w:r>
          </w:p>
        </w:tc>
        <w:tc>
          <w:tcPr>
            <w:tcW w:w="4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40" w:space="720"/>
            <w:col w:w="376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Adjusted (loss)/profit attributable to owners of the Group</w:t>
            </w:r>
          </w:p>
        </w:tc>
        <w:tc>
          <w:tcPr>
            <w:tcW w:w="278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278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80,561,353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Adjusted (loss)/earnings per share</w:t>
            </w:r>
          </w:p>
        </w:tc>
        <w:tc>
          <w:tcPr>
            <w:tcW w:w="27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460" w:type="dxa"/>
            <w:vAlign w:val="bottom"/>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780" w:type="dxa"/>
            <w:vAlign w:val="bottom"/>
            <w:vMerge w:val="restart"/>
          </w:tcPr>
          <w:p>
            <w:pPr>
              <w:jc w:val="right"/>
              <w:ind w:right="1770"/>
              <w:spacing w:after="0"/>
              <w:rPr>
                <w:sz w:val="20"/>
                <w:szCs w:val="20"/>
                <w:color w:val="auto"/>
              </w:rPr>
            </w:pPr>
            <w:r>
              <w:rPr>
                <w:rFonts w:ascii="Arial" w:cs="Arial" w:eastAsia="Arial" w:hAnsi="Arial"/>
                <w:sz w:val="18"/>
                <w:szCs w:val="18"/>
                <w:color w:val="auto"/>
              </w:rPr>
              <w:t>14</w:t>
            </w: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278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Months Ended March 31,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three-month periods ended March 31, 2016 and March 31, 2017.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 2017.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400" w:hanging="328"/>
        <w:spacing w:after="0" w:line="25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and technological advancements and opportunities for the profitable operation of LNG carriers;</w:t>
      </w: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301"/>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right="140" w:hanging="301"/>
        <w:spacing w:after="0" w:line="250"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660" w:hanging="328"/>
        <w:spacing w:after="0" w:line="261"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 2017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ectPr>
          <w:pgSz w:w="11900" w:h="16838" w:orient="portrait"/>
          <w:cols w:equalWidth="0" w:num="1">
            <w:col w:w="11420"/>
          </w:cols>
          <w:pgMar w:left="240" w:top="121"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an international owner, operator and manager of LNG carriers. Our wholly owned fleet as of May 5, 2017, consists of 17 LNG carriers, including twelve ships in operation, three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ten LNG carriers. In addition, GasLog has leased back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24 LNG carriers including 11 of our wholly owned ships in operation (one is managed by a subsidiary of Royal Dutch Shell plc (“Shell”)), the ten ships contributed or sold to the Partnership, the bareboat vessel, one ship owned by Methane Services Limited (“MSL”), a subsidiary of BG Group plc. (“BG Group”) and one additional LNG carrier in which we have a 25% interest. BG Group was acquired by Shell on February 15, 2016. We are also supervising the construction of our newbuildings.</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secured multi-year time charter contracts for seven of our operating ships, the ten ships owned by the Partnership, the bareboat vessel and our five newbuildings on order. As of March 31, 2017, these contracts are expected to provide total contracted revenue of approximately $3.5 billion during their initial terms, which expire between 2018 and 2029. Contracted revenue calculations assume: (a) 365 revenue days per annum, with 30 off-hire days when the ship undergoes scheduled dry-docking, (b) all LNG carriers on order are delivered on schedule, and (c) no exercise of any option to extend the term of charters. Five of our ships are currently operating in the spot/short-term market. GasLog has entered into a pool agreement (the “Pool Agreement”) with Dynagas Ltd. (“Dynagas”) and Golar LNG Ltd. (“Golar”) establishing The Cool Pool Limited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We also have a 25% interest in an additional ship,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owned by Egypt LNG Shipping Ltd. (“Egypt LNG”) and technically managed by us. It is currently operating under a 20-year time charter to a subsidiary of Shell.</w:t>
      </w:r>
    </w:p>
    <w:p>
      <w:pPr>
        <w:spacing w:after="0" w:line="170" w:lineRule="exact"/>
        <w:rPr>
          <w:sz w:val="20"/>
          <w:szCs w:val="20"/>
          <w:color w:val="auto"/>
        </w:rPr>
      </w:pPr>
    </w:p>
    <w:p>
      <w:pPr>
        <w:jc w:val="both"/>
        <w:ind w:right="460" w:firstLine="324"/>
        <w:spacing w:after="0" w:line="286" w:lineRule="auto"/>
        <w:rPr>
          <w:sz w:val="20"/>
          <w:szCs w:val="20"/>
          <w:color w:val="auto"/>
        </w:rPr>
      </w:pPr>
      <w:r>
        <w:rPr>
          <w:rFonts w:ascii="Arial" w:cs="Arial" w:eastAsia="Arial" w:hAnsi="Arial"/>
          <w:sz w:val="17"/>
          <w:szCs w:val="17"/>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Equity Offering and Dropdown of the </w:t>
      </w:r>
      <w:r>
        <w:rPr>
          <w:rFonts w:ascii="Arial" w:cs="Arial" w:eastAsia="Arial" w:hAnsi="Arial"/>
          <w:sz w:val="18"/>
          <w:szCs w:val="18"/>
          <w:b w:val="1"/>
          <w:bCs w:val="1"/>
          <w:i w:val="1"/>
          <w:iCs w:val="1"/>
          <w:u w:val="single" w:color="auto"/>
          <w:color w:val="auto"/>
        </w:rPr>
        <w:t>GasLog Greece</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On January 27, 2017, GasLog Partners completed an equity offering of 3,750,000 common units at a public offering price of $20.5 per unit. In addition, the option to purchase additional shares was partially exercised by the underwriter on February 24, 2017, resulting in 120,000 additional units being issued at the same price. The aggregate net proceeds from this offering, including the partial exercise by the underwriters of the option to purchase additional shares, after deducting underwriting discounts and other offering expenses were $78.0 million. Proceeds from the public offering will be used to finance the acquisition from GasLog of 100% of the ownership interest in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for an aggregate purchase price of $219.0 million, including $1.0 million of positive net working capital balances transferred with the vessel. The acquisition closed on May 3,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2017, GasLog entered into three new interest rate swap agreements with a notional value of $300.0 million in aggregate, maturing in 2022.</w:t>
      </w:r>
    </w:p>
    <w:p>
      <w:pPr>
        <w:spacing w:after="0" w:line="24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March 22, 2017, GasLog announced the closing of a public offering of $250.0 million aggregate principal amount of 8.875% senior unsecured notes due in 2022 (the “8.875% Senior Notes”) at a public offering price of 100% of the principal amount. The net proceeds from the offering after deducting the underwriting discount and offering expenses were $245.3 million.</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April 5, 2017, GasLog used $150.0 million of the proceeds from the offering of the 8.875% Senior Notes to partially prepay the junior tranche of the credit agreement entered into in February 18, 2016 (the “Five Vessel Refinancing”), originally due in April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 Gastrade S.A (“Gastrade”)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February 9, 2017, GasLog closed the acquisition of a twenty percent (20%) shareholding in Gastrade, a private limited company licensed to develop an independent natural gas system offshore Alexandroupolis in Northern Greece utilizing a floating storage and regasification unit (“FSRU”) along with other fixed infrastructure. GasLog, as well as being a shareholder, will provide operations and maintenance (“O&amp;M”) services for the FSRU through an O&amp;M agreement. Gastrade is currently in discussions with a number of additional potential investors, including DEPA, the Greek state owned gas company, Bulgarian Energy Holding, the holding company of the Bulgarian Ministry of Energy, and major gas suppliers in Bulgaria, and targets to take a final investment decision (“FID”) by the end of 2017 with the FSRU scheduled to be operational by the end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Amendment of the </w:t>
      </w:r>
      <w:r>
        <w:rPr>
          <w:rFonts w:ascii="Arial" w:cs="Arial" w:eastAsia="Arial" w:hAnsi="Arial"/>
          <w:sz w:val="18"/>
          <w:szCs w:val="18"/>
          <w:b w:val="1"/>
          <w:bCs w:val="1"/>
          <w:i w:val="1"/>
          <w:iCs w:val="1"/>
          <w:u w:val="single" w:color="auto"/>
          <w:color w:val="auto"/>
        </w:rPr>
        <w:t>GasLog Skagen</w:t>
      </w:r>
      <w:r>
        <w:rPr>
          <w:rFonts w:ascii="Arial" w:cs="Arial" w:eastAsia="Arial" w:hAnsi="Arial"/>
          <w:sz w:val="18"/>
          <w:szCs w:val="18"/>
          <w:b w:val="1"/>
          <w:bCs w:val="1"/>
          <w:u w:val="single" w:color="auto"/>
          <w:color w:val="auto"/>
        </w:rPr>
        <w:t xml:space="preserve"> seasonal charter party agreement</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On April 28, 2017, the Group signed an amendment to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seasonal time charter agreement, pursuant to which the seasonal charter of the vessel was replaced by a continuous time charter for a duration of 2.4 years ending in August 2019. The amended continuous charter will cover the same number of fixed days as the previous seasonal charter and will eliminate redelivery risk at the beginning and end of each seasonal period. In addition, the amended charter will provide assurance of revenue through August 2019.</w:t>
      </w:r>
    </w:p>
    <w:p>
      <w:pPr>
        <w:sectPr>
          <w:pgSz w:w="11900" w:h="16838" w:orient="portrait"/>
          <w:cols w:equalWidth="0" w:num="1">
            <w:col w:w="11400"/>
          </w:cols>
          <w:pgMar w:left="240" w:top="405" w:right="259" w:bottom="1014"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014"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End of Subordination Period</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subordination period on the existing 9,822,358 subordinated units of GasLog Partners held by GasLog will extend until the second business day following the GasLog Partners’ cash distribution for the first quarter of 2017 on May 12, 2017. Upon expiration of the subordination period, each outstanding subordinated unit (100% held by GasLog) will automatically convert into one common unit and will then participate pro rata with the other common units in distributions of available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March 9, 2017, the board of directors declared a dividend on the Series A Preference Shares of $0.546875 per share, or $2.5 million in the aggregate, payable on April 3, 2017 to holders of record as of March 31, 2017. GasLog paid the declared dividend to the transfer agent on March 31, 2017.</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May 4, 2017, the board of directors declared a quarterly cash dividend of $0.14 per common share, or $11.3 million in the aggregate, payable on May 25, 2017 to shareholders of record as of May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our wholly owned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8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(cbm)</w:t>
            </w:r>
          </w:p>
        </w:tc>
        <w:tc>
          <w:tcPr>
            <w:tcW w:w="120" w:type="dxa"/>
            <w:vAlign w:val="bottom"/>
            <w:tcBorders>
              <w:bottom w:val="single" w:sz="8" w:color="E5FFFF"/>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82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3"/>
              </w:rPr>
              <w:t xml:space="preserve">Spot Market </w:t>
            </w:r>
            <w:r>
              <w:rPr>
                <w:rFonts w:ascii="Arial" w:cs="Arial" w:eastAsia="Arial" w:hAnsi="Arial"/>
                <w:sz w:val="28"/>
                <w:szCs w:val="28"/>
                <w:color w:val="auto"/>
                <w:w w:val="93"/>
                <w:vertAlign w:val="superscript"/>
              </w:rPr>
              <w:t>(3)</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306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8"/>
              </w:rPr>
              <w:t>August 2019</w:t>
            </w:r>
            <w:r>
              <w:rPr>
                <w:rFonts w:ascii="Arial" w:cs="Arial" w:eastAsia="Arial" w:hAnsi="Arial"/>
                <w:sz w:val="29"/>
                <w:szCs w:val="29"/>
                <w:color w:val="auto"/>
                <w:w w:val="88"/>
                <w:vertAlign w:val="superscript"/>
              </w:rPr>
              <w:t>(4)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306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153,600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06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tcPr>
          <w:p>
            <w:pPr>
              <w:ind w:left="1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October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306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2024</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2027-2029</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060" w:type="dxa"/>
            <w:vAlign w:val="bottom"/>
            <w:gridSpan w:val="2"/>
          </w:tcPr>
          <w:p>
            <w:pPr>
              <w:ind w:left="80"/>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color w:val="auto"/>
                <w:vertAlign w:val="superscript"/>
              </w:rPr>
              <w:t>(5)</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22"/>
                <w:szCs w:val="2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2031</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Glasgow</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7"/>
              </w:rPr>
              <w:t>June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06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Geneva</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2023</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2028-2031</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13</w:t>
            </w:r>
          </w:p>
        </w:tc>
        <w:tc>
          <w:tcPr>
            <w:tcW w:w="306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Gibraltar</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October 2023</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2028-2031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the Partnership’s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ind w:left="280"/>
              <w:spacing w:after="0"/>
              <w:rPr>
                <w:sz w:val="20"/>
                <w:szCs w:val="20"/>
                <w:color w:val="auto"/>
              </w:rPr>
            </w:pPr>
            <w:r>
              <w:rPr>
                <w:rFonts w:ascii="Arial" w:cs="Arial" w:eastAsia="Arial" w:hAnsi="Arial"/>
                <w:sz w:val="18"/>
                <w:szCs w:val="18"/>
                <w:b w:val="1"/>
                <w:bCs w:val="1"/>
                <w:color w:val="auto"/>
              </w:rPr>
              <w:t>Optional</w:t>
            </w:r>
          </w:p>
        </w:tc>
      </w:tr>
      <w:tr>
        <w:trPr>
          <w:trHeight w:val="271"/>
        </w:trPr>
        <w:tc>
          <w:tcPr>
            <w:tcW w:w="220" w:type="dxa"/>
            <w:vAlign w:val="bottom"/>
          </w:tcPr>
          <w:p>
            <w:pPr>
              <w:spacing w:after="0"/>
              <w:rPr>
                <w:sz w:val="23"/>
                <w:szCs w:val="23"/>
                <w:color w:val="auto"/>
              </w:rPr>
            </w:pPr>
          </w:p>
        </w:tc>
        <w:tc>
          <w:tcPr>
            <w:tcW w:w="3120" w:type="dxa"/>
            <w:vAlign w:val="bottom"/>
            <w:gridSpan w:val="2"/>
          </w:tcPr>
          <w:p>
            <w:pPr>
              <w:ind w:left="920"/>
              <w:spacing w:after="0"/>
              <w:rPr>
                <w:sz w:val="20"/>
                <w:szCs w:val="20"/>
                <w:color w:val="auto"/>
              </w:rPr>
            </w:pPr>
            <w:r>
              <w:rPr>
                <w:rFonts w:ascii="Arial" w:cs="Arial" w:eastAsia="Arial" w:hAnsi="Arial"/>
                <w:sz w:val="18"/>
                <w:szCs w:val="18"/>
                <w:b w:val="1"/>
                <w:bCs w:val="1"/>
                <w:color w:val="auto"/>
              </w:rPr>
              <w:t>Vessel Name</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auto"/>
              </w:rPr>
              <w:t>Built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(cbm)</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Charterer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Propulsion</w:t>
            </w:r>
          </w:p>
        </w:tc>
        <w:tc>
          <w:tcPr>
            <w:tcW w:w="2040" w:type="dxa"/>
            <w:vAlign w:val="bottom"/>
            <w:gridSpan w:val="2"/>
          </w:tcPr>
          <w:p>
            <w:pPr>
              <w:jc w:val="center"/>
              <w:ind w:right="120"/>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240" w:type="dxa"/>
            <w:vAlign w:val="bottom"/>
          </w:tcPr>
          <w:p>
            <w:pPr>
              <w:ind w:left="280"/>
              <w:spacing w:after="0" w:line="271"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r>
      <w:tr>
        <w:trPr>
          <w:trHeight w:val="210"/>
        </w:trPr>
        <w:tc>
          <w:tcPr>
            <w:tcW w:w="2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00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8"/>
                <w:szCs w:val="18"/>
                <w:i w:val="1"/>
                <w:iCs w:val="1"/>
                <w:color w:val="auto"/>
              </w:rPr>
              <w:t>GasLog Shanghai</w:t>
            </w:r>
          </w:p>
        </w:tc>
        <w:tc>
          <w:tcPr>
            <w:tcW w:w="120" w:type="dxa"/>
            <w:vAlign w:val="bottom"/>
            <w:tcBorders>
              <w:top w:val="single" w:sz="8" w:color="E5FFFF"/>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Shell</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TFDE</w:t>
            </w:r>
          </w:p>
        </w:tc>
        <w:tc>
          <w:tcPr>
            <w:tcW w:w="10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May 2018</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12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Santiago</w:t>
            </w:r>
          </w:p>
        </w:tc>
        <w:tc>
          <w:tcPr>
            <w:tcW w:w="580" w:type="dxa"/>
            <w:vAlign w:val="bottom"/>
          </w:tcPr>
          <w:p>
            <w:pPr>
              <w:ind w:left="1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2018</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12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Sydney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September 2018</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12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Seattle</w:t>
            </w:r>
          </w:p>
        </w:tc>
        <w:tc>
          <w:tcPr>
            <w:tcW w:w="580" w:type="dxa"/>
            <w:vAlign w:val="bottom"/>
          </w:tcPr>
          <w:p>
            <w:pPr>
              <w:ind w:left="1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2025-2030</w:t>
            </w: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12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Rita Andrea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6"/>
              </w:rPr>
              <w:t>April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12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Jane Elizabeth</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2022-2024</w:t>
            </w: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12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Alison Victoria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12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Shirley Elisabeth</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12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Heather Sally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ind w:left="280"/>
              <w:spacing w:after="0"/>
              <w:rPr>
                <w:sz w:val="20"/>
                <w:szCs w:val="20"/>
                <w:color w:val="auto"/>
              </w:rPr>
            </w:pPr>
            <w:r>
              <w:rPr>
                <w:rFonts w:ascii="Arial" w:cs="Arial" w:eastAsia="Arial" w:hAnsi="Arial"/>
                <w:sz w:val="18"/>
                <w:szCs w:val="18"/>
                <w:b w:val="1"/>
                <w:bCs w:val="1"/>
                <w:color w:val="auto"/>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(cbm)</w:t>
            </w:r>
          </w:p>
        </w:tc>
        <w:tc>
          <w:tcPr>
            <w:tcW w:w="120" w:type="dxa"/>
            <w:vAlign w:val="bottom"/>
            <w:tcBorders>
              <w:bottom w:val="single" w:sz="8" w:color="E5FFFF"/>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ind w:left="280"/>
              <w:spacing w:after="0" w:line="271"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r>
      <w:tr>
        <w:trPr>
          <w:trHeight w:val="250"/>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000" w:type="dxa"/>
            <w:vAlign w:val="bottom"/>
            <w:shd w:val="clear" w:color="auto" w:fill="E5FFFF"/>
          </w:tcPr>
          <w:p>
            <w:pPr>
              <w:ind w:left="140"/>
              <w:spacing w:after="0" w:line="250" w:lineRule="exact"/>
              <w:rPr>
                <w:sz w:val="20"/>
                <w:szCs w:val="20"/>
                <w:color w:val="auto"/>
              </w:rPr>
            </w:pPr>
            <w:r>
              <w:rPr>
                <w:rFonts w:ascii="Arial" w:cs="Arial" w:eastAsia="Arial" w:hAnsi="Arial"/>
                <w:sz w:val="17"/>
                <w:szCs w:val="17"/>
                <w:i w:val="1"/>
                <w:iCs w:val="1"/>
                <w:color w:val="auto"/>
              </w:rPr>
              <w:t xml:space="preserve">Methane Julia Louise </w:t>
            </w:r>
            <w:r>
              <w:rPr>
                <w:rFonts w:ascii="Arial" w:cs="Arial" w:eastAsia="Arial" w:hAnsi="Arial"/>
                <w:sz w:val="28"/>
                <w:szCs w:val="28"/>
                <w:color w:val="auto"/>
                <w:vertAlign w:val="superscript"/>
              </w:rPr>
              <w:t>(6)</w:t>
            </w: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shd w:val="clear" w:color="auto" w:fill="E5FFFF"/>
          </w:tcPr>
          <w:p>
            <w:pPr>
              <w:spacing w:after="0"/>
              <w:rPr>
                <w:sz w:val="21"/>
                <w:szCs w:val="21"/>
                <w:color w:val="auto"/>
              </w:rPr>
            </w:pPr>
          </w:p>
        </w:tc>
        <w:tc>
          <w:tcPr>
            <w:tcW w:w="192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2029-2031</w:t>
            </w:r>
          </w:p>
        </w:tc>
      </w:tr>
    </w:tbl>
    <w:p>
      <w:pPr>
        <w:spacing w:after="0" w:line="184"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3" w:lineRule="exact"/>
        <w:rPr>
          <w:rFonts w:ascii="Arial" w:cs="Arial" w:eastAsia="Arial" w:hAnsi="Arial"/>
          <w:sz w:val="12"/>
          <w:szCs w:val="12"/>
          <w:color w:val="auto"/>
        </w:rPr>
      </w:pPr>
    </w:p>
    <w:p>
      <w:pPr>
        <w:ind w:left="200" w:right="40" w:hanging="192"/>
        <w:spacing w:after="0" w:line="242" w:lineRule="auto"/>
        <w:tabs>
          <w:tab w:leader="none" w:pos="200" w:val="left"/>
        </w:tabs>
        <w:numPr>
          <w:ilvl w:val="0"/>
          <w:numId w:val="7"/>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unilateral options to extend the term of the time charter for periods ranging from five to ten years,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Methane Lydon Volney</w:t>
      </w:r>
      <w:r>
        <w:rPr>
          <w:rFonts w:ascii="Arial" w:cs="Arial" w:eastAsia="Arial" w:hAnsi="Arial"/>
          <w:sz w:val="13"/>
          <w:szCs w:val="13"/>
          <w:color w:val="auto"/>
        </w:rPr>
        <w:t xml:space="preserve"> has a unilateral option to extend the term for a period of either three or five years at its election. In addition, the charterer of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Heather Sally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Alison Victoria </w:t>
      </w:r>
      <w:r>
        <w:rPr>
          <w:rFonts w:ascii="Arial" w:cs="Arial" w:eastAsia="Arial" w:hAnsi="Arial"/>
          <w:sz w:val="13"/>
          <w:szCs w:val="13"/>
          <w:color w:val="auto"/>
        </w:rPr>
        <w:t>has a unilateral option to extend the term of two of the related time charters for a period of either three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five years at its election. The charterer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a unilateral option to extend the term of the time charters for a period of either three or five years at its election.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w:t>
      </w:r>
    </w:p>
    <w:p>
      <w:pPr>
        <w:sectPr>
          <w:pgSz w:w="11900" w:h="16838" w:orient="portrait"/>
          <w:cols w:equalWidth="0" w:num="1">
            <w:col w:w="11420"/>
          </w:cols>
          <w:pgMar w:left="240" w:top="405" w:right="239" w:bottom="555"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555" w:gutter="0" w:footer="0" w:header="0"/>
          <w:type w:val="continuous"/>
        </w:sectPr>
      </w:pPr>
    </w:p>
    <w:bookmarkStart w:id="17" w:name="page18"/>
    <w:bookmarkEnd w:id="17"/>
    <w:p>
      <w:pPr>
        <w:ind w:left="200" w:hanging="192"/>
        <w:spacing w:after="0"/>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Vessels operating in the spot market that participate in the Cool Pool.</w:t>
      </w:r>
    </w:p>
    <w:p>
      <w:pPr>
        <w:spacing w:after="0" w:line="13" w:lineRule="exact"/>
        <w:rPr>
          <w:rFonts w:ascii="Arial" w:cs="Arial" w:eastAsia="Arial" w:hAnsi="Arial"/>
          <w:sz w:val="12"/>
          <w:szCs w:val="12"/>
          <w:color w:val="auto"/>
        </w:rPr>
      </w:pPr>
    </w:p>
    <w:p>
      <w:pPr>
        <w:ind w:left="200" w:right="280" w:hanging="192"/>
        <w:spacing w:after="0" w:line="221"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 xml:space="preserve">On April 28, 2017, the Group signed an amendment to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seasonal time charter agreement, pursuant to which the seasonal charter of the vessel was replaced by a continuous time charter for a period of 2.4 years ending in August 2019.</w:t>
      </w:r>
    </w:p>
    <w:p>
      <w:pPr>
        <w:ind w:left="200" w:right="100" w:hanging="192"/>
        <w:spacing w:after="0" w:line="221"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 xml:space="preserve">On March 23, 2017, GasLog Partners signed an agreement to acquire 100% of the shares in the entity that owns and charters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from GasLog. The acquisition closed on May 3, 2017.</w:t>
      </w:r>
    </w:p>
    <w:p>
      <w:pPr>
        <w:ind w:left="200" w:right="60" w:hanging="192"/>
        <w:spacing w:after="0" w:line="229"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within 36 months after we notify the Partnership’s board of directors of the vessel’s acceptance by their charterers, (ii) the </w:t>
      </w:r>
      <w:r>
        <w:rPr>
          <w:rFonts w:ascii="Arial" w:cs="Arial" w:eastAsia="Arial" w:hAnsi="Arial"/>
          <w:sz w:val="17"/>
          <w:szCs w:val="17"/>
          <w:i w:val="1"/>
          <w:iCs w:val="1"/>
          <w:color w:val="auto"/>
        </w:rPr>
        <w:t>Methane Lydon Volney</w:t>
      </w:r>
      <w:r>
        <w:rPr>
          <w:rFonts w:ascii="Arial" w:cs="Arial" w:eastAsia="Arial" w:hAnsi="Arial"/>
          <w:sz w:val="17"/>
          <w:szCs w:val="17"/>
          <w:color w:val="auto"/>
        </w:rPr>
        <w:t xml:space="preserve"> within 36 months after the closing of GasLog Partners’ initial public offering on May 12, 2014 which option will expire in May 2017 if not extended, and (iii) as provided for under the addendum to the omnibus agreement dated April 21, 2015, among GasLog, GasLog Partners, GasLog Partners GP and GasLog Partners Holdings LLC,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right to acquire GAS-twenty six Ltd. with its long-term bareboat charter of (and the right to acquire)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(which is subject to a multi-year charter to MSL) within 36 months after the completion of its acquisition by GasLog on March 31, 2015. In each case, GasLog Partners’ option to purchase is at fair market value as determined pursuant to the omnibus agreement.</w:t>
      </w:r>
    </w:p>
    <w:p>
      <w:pPr>
        <w:spacing w:after="0" w:line="1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GasLog Partners also has a right of first offer from us to purchase any other LNG carriers with cargo capacities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five remaining newbuildings (Hull Nos. 2130, 2131, 2800, 2801 and 2212) will each qualify as a Five-Year Vessel upon commencement of their charters,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Five-Year Vessel.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 xml:space="preserve">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began upon delivery of the ships in January 2013, March 2013 and May 2013, respectively, and were due to terminate in January 2018, March 2018 and May 2019, as applicable, with Methane Services Limited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were each extended by four months to May 2018 and July 2018, respectively, whilst the initial term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is due to come off charter in May 2018 plus or minus 30 days, the </w:t>
      </w:r>
      <w:r>
        <w:rPr>
          <w:rFonts w:ascii="Arial" w:cs="Arial" w:eastAsia="Arial" w:hAnsi="Arial"/>
          <w:sz w:val="17"/>
          <w:szCs w:val="17"/>
          <w:i w:val="1"/>
          <w:iCs w:val="1"/>
          <w:color w:val="auto"/>
        </w:rPr>
        <w:t xml:space="preserve">GasLog Santiago </w:t>
      </w:r>
      <w:r>
        <w:rPr>
          <w:rFonts w:ascii="Arial" w:cs="Arial" w:eastAsia="Arial" w:hAnsi="Arial"/>
          <w:sz w:val="17"/>
          <w:szCs w:val="17"/>
          <w:color w:val="auto"/>
        </w:rPr>
        <w:t>is due to come off charter in July 2018 plus or minus 30 days and the</w:t>
      </w:r>
      <w:r>
        <w:rPr>
          <w:rFonts w:ascii="Arial" w:cs="Arial" w:eastAsia="Arial" w:hAnsi="Arial"/>
          <w:sz w:val="17"/>
          <w:szCs w:val="17"/>
          <w:i w:val="1"/>
          <w:iCs w:val="1"/>
          <w:color w:val="auto"/>
        </w:rPr>
        <w:t xml:space="preserve"> GasLog Sydney </w:t>
      </w:r>
      <w:r>
        <w:rPr>
          <w:rFonts w:ascii="Arial" w:cs="Arial" w:eastAsia="Arial" w:hAnsi="Arial"/>
          <w:sz w:val="17"/>
          <w:szCs w:val="17"/>
          <w:color w:val="auto"/>
        </w:rPr>
        <w:t>is due to come off charter in September 2018 plus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minus 30 days. GasLog Partners is considering several options for these vessels which include fixing new multi-year charters with third parties or trading such vessels on an interim basis in the spot market, and will pursue the most advantageous redeployment depending on evolving market conditions. In accordance with the agreement entered into in April 2015 between GasLog and GasLog Partners, if GasLog Partners does not enter into a multi-year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w w:val="90"/>
              </w:rPr>
              <w:t>Three-month period ended March 31, 2016 compared to the three-month period ended March 31, 2017</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35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9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104,377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128,285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(28,457)</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(5,263)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(28,164)</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(8,734)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33,759</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54,899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Financial costs</w:t>
            </w:r>
          </w:p>
        </w:tc>
        <w:tc>
          <w:tcPr>
            <w:tcW w:w="1500" w:type="dxa"/>
            <w:vAlign w:val="bottom"/>
          </w:tcPr>
          <w:p>
            <w:pPr>
              <w:jc w:val="right"/>
              <w:spacing w:after="0"/>
              <w:rPr>
                <w:sz w:val="20"/>
                <w:szCs w:val="20"/>
                <w:color w:val="auto"/>
              </w:rPr>
            </w:pPr>
            <w:r>
              <w:rPr>
                <w:rFonts w:ascii="Arial" w:cs="Arial" w:eastAsia="Arial" w:hAnsi="Arial"/>
                <w:sz w:val="18"/>
                <w:szCs w:val="18"/>
                <w:color w:val="auto"/>
              </w:rPr>
              <w:t>(29,179)</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202</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(Loss)/gain on swaps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(10,414)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334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(39,057</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(31,507</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for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(5,298</w:t>
            </w:r>
          </w:p>
        </w:tc>
        <w:tc>
          <w:tcPr>
            <w:tcW w:w="440" w:type="dxa"/>
            <w:vAlign w:val="bottom"/>
            <w:tcBorders>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900" w:type="dxa"/>
            <w:vAlign w:val="bottom"/>
            <w:tcBorders>
              <w:bottom w:val="single" w:sz="8" w:color="E5FFFF"/>
            </w:tcBorders>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(10,600</w:t>
            </w:r>
          </w:p>
        </w:tc>
        <w:tc>
          <w:tcPr>
            <w:tcW w:w="440" w:type="dxa"/>
            <w:vAlign w:val="bottom"/>
            <w:tcBorders>
              <w:bottom w:val="single" w:sz="8" w:color="E5FFFF"/>
            </w:tcBorders>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(14,640</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(15,898</w:t>
            </w:r>
          </w:p>
        </w:tc>
        <w:tc>
          <w:tcPr>
            <w:tcW w:w="440" w:type="dxa"/>
            <w:vAlign w:val="bottom"/>
            <w:tcBorders>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8,752</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three-month period ended March 31, 2016 we had an average of 19.0 ships operating in our owned and bareboat fleet (including ships</w:t>
      </w:r>
    </w:p>
    <w:p>
      <w:pPr>
        <w:sectPr>
          <w:pgSz w:w="11900" w:h="16838" w:orient="portrait"/>
          <w:cols w:equalWidth="0" w:num="1">
            <w:col w:w="11420"/>
          </w:cols>
          <w:pgMar w:left="240" w:top="404"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type w:val="continuous"/>
        </w:sectPr>
      </w:pPr>
    </w:p>
    <w:bookmarkStart w:id="18" w:name="page19"/>
    <w:bookmarkEnd w:id="18"/>
    <w:p>
      <w:pPr>
        <w:ind w:right="140"/>
        <w:spacing w:after="0" w:line="259" w:lineRule="auto"/>
        <w:rPr>
          <w:sz w:val="20"/>
          <w:szCs w:val="20"/>
          <w:color w:val="auto"/>
        </w:rPr>
      </w:pPr>
      <w:r>
        <w:rPr>
          <w:rFonts w:ascii="Arial" w:cs="Arial" w:eastAsia="Arial" w:hAnsi="Arial"/>
          <w:sz w:val="18"/>
          <w:szCs w:val="18"/>
          <w:color w:val="auto"/>
        </w:rPr>
        <w:t>owned by the Partnership), having 1,643 operating days and an average of 22.0 ships operating under our technical management (including our 18.0 owned and bareboat ships). During the three-month period ended March 31, 2017, we had an average of 23.0 ships operating in our owned and bareboat fleet (including ships owned by the Partnership), having 2,070 operating days and an average of 24.1 ships operating under our technical management (including 22.0 of our owned and bareboat ships).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 xml:space="preserve">Revenues increased by 22.9%, or $23.9 million, from $104.4 million during the three-month period ended March 31, 2016, to $128.3 million during the three-month period ended March 31, 2017. The increase is mainly attributable to an increase in revenues of $22.1 million due to the deliveries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on June 30, 2016, September 30, 2016 and October 31, 2016, respectively and an increase of $7.4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from the full operation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in the three-month period ended March 31, 2017. The abovementioned facts resulted in an increase in operating days. There was also an increase of $3.1 million in earnings from our vessels operating in the spot market and an increase of $1.5 million due to 24 off-hire days for scheduled dry-dockings in the first quarter of 2016 compared to nil in the first quarter of 2017. These increases in revenues were partially offset by a decrease of $8.8 million due to the expiration of two time charter party agreements during 2016 and a decrease of $1.2 million in revenues from the remaining vessels. The average daily hire rate decreased from $63,252 for the three-month period ended March 31, 2016 to $61,863 for the three-month period ended March 31, 2017 mainly due to the expiration of the two time charter party agreements. There was also a decrease of $0.2 million in revenues from technical management services mainly due to the decrease in the average number of the managed vessels owned by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Vessel operating and supervision costs decreased by 3.5%, or $1.0 million, from $28.5 million during the three-month period ended March 31, 2016, to $27.5 million during the three-month period ended March 31, 2017. The decrease is primarily attributable to the decrease in scheduled technical maintenance expenses such as scheduled main engine overhauls and various planned repairs, partially offset by the increase in our fleet in the quarter ended March 31, 2017 compared to the same quarter in 2016. As a result, the average daily operating cost per vessel decreased from $16,440 per day during the three-month period ended March 31, 2016 to $13,884 per day during the three-month period ended March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Voyage expenses and commissions decreased by 62.3%, or $3.3 million, from $5.3 million during the three-month period ended March 31, 2016, to $2.0 million during the three-month period ended March 31, 2017. The decrease is primarily attributable to the movement in net allocation of the Cool Pool results of $3.3 million in the three-month period ended March 31, 2017 in accordance with the profit sharing terms specified in the Pool Agreement entered into with Dynagas and Golar and a decrease of $0.3 million in bunkers consumption of the vessels operating in the spot market, partially offset by an increase of $0.3 million in brokers’ commissions.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Depreciation increased by 19.5%, or $5.5 million, from $28.2 million during the three-month period ended March 31, 2016, to $33.7 million during the three-month period ended March 31, 2017. The increase in depreciation resulted mainly from the increase in the average number of vessels in our fleet in the quarter ended March 31, 2017, compared to same quarter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General and administrative expenses increased by 16.1%, or $1.4 million, from $8.7 million during the three-month period ended March 31, 2016, to $10.1 million during the three-month period ended March 31, 2017. The increase is mainly attributable to an increase of $0.7 million in employee costs, an increase of $0.4 million in foreign exchange differences mainly due to the unfavorable movement of the EUR/USD and GBP/USD exchange rates in 2017 and an increase of $0.2 million in non-cash share-based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Financial costs increased by 11.3%, or $3.3 million, from $29.2 million during the three-month period ended March 31, 2016, to $32.5 million during the three-month period ended March 31, 2017. The increase is attributable to an increase of $4.9 million in interest expense on loans, bonds and cash flow hedges and an increase of $1.6 million in finance lease charges in 2017, partially offset by a decrease of $2.6 million in amortization of deferred loan fees mainly driven by a decrease in accelerated amortization and write-offs and a decrease of $0.6 million in other financial costs. During the quarter ended March 31, 2017, we had an average of $2,736.0 million of outstanding indebtedness, with a weighted average interest rate of 3.8%, while during the quarter ended March 31, 2016, we had an average of $2,615.2 million of outstanding indebtedness having an aggregate weighted average interest rate of 3.2%. These weighted average interest rates include interest expense on loans and cash flow hedges and interest expense on senior unsecured notes and cross-currency swaps (“CCSs”).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Swaps: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Gain on swaps increased by $10.6 million, from a $10.4 million loss during the three-month period ended March 31, 2016, to a $0.2 million gain during the three-month period ended March 31, 2017. The increase is mainly attributable to an increase of $10.5 million in gain from mark-to-market valuation of our derivative financial instruments carried at fair value through profit or loss, which reflected a gain of $2.3 million for the quarter ended March 31, 2017 as compared to a loss of $8.1 million for the quarter ended March 31, 2016 and a decrease of $0.3 million in loss that was reclassified from equity to the statement of profit or loss related to the interest rate swaps which were terminated in 2016, partially offset by an increase of $0.2 million in realized loss from interest rate swaps held for trading.</w:t>
      </w:r>
    </w:p>
    <w:p>
      <w:pPr>
        <w:sectPr>
          <w:pgSz w:w="11900" w:h="16838" w:orient="portrait"/>
          <w:cols w:equalWidth="0" w:num="1">
            <w:col w:w="11380"/>
          </w:cols>
          <w:pgMar w:left="240" w:top="409" w:right="27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(Loss)/Profit for the Period:</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Profit for the period increased by $28.7 million, from a loss of $5.3 million for the three-month period ended March 31, 2016, to a profit of $23.4 million for the three-month period ended March 31, 2017,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(Loss)/Profit Attributable to Owners of the Group:</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Profit attributable to owners of the Group increased by $24.7 million, from a loss of $15.9 million for the three-month period ended March 31, 2016, to $8.8 million profit for the three-month period ended March 31, 2017. The increase in profit attributable to the owners of the Group resulted mainly from the increase in profit mentioned above offset by the increase in profit attributable to the non-controlling interest (non-controlling unitholders of GasLog Partners) following the dropdown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in November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the three-month period ended March 31, 2017, we received 94.1% of our revenues from Shell, 5.7% of our revenues from various charterers in the spot/short-term market and 0.2% of our revenues from Egypt LNG, an entity in which we have a 25% ownership interest. For the three-month period ended March 31, 2016, we received 83.7% of our revenues from MSL, a subsidiary of BG Group, 12.2% of our revenues from Shell and 4.1% of our revenues from various charterers in the spot/short-term market. BG Group was acquired by Shell on February 15,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Since our owned ships are mainly employed under multi-year, fixed-rate charter arrangements, seasonal trends do not materially impact the revenues earned by our vessels during the year. In relation to our vessels participating in the Cool Pool, seasonality may have an impact on revenues but this is not currently material. Seasonality also does not have a significant impact on revenues earned by our management services, as we provide technical ship management and ship construction supervision services under fixed-rate agreements.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primary liquidity needs are to fund our ship-operating expenses, finance the purchase and construction of our newbuildings and conversions,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budget overruns, if any.</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funding and treasury activities are intended to balance investment returns in order to maintain appropriate liquidity. Cash and cash equivalents are held primarily in U.S. dollars.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As of March 31, 2017, GasLog had $532.8 million of cash and cash equivalents, of which $266.3 million was held in time deposits and the remaining balance in current accounts. Moreover, as of March 31, 2017, GasLog had $10.0 million held in time deposits with an initial duration of more than three months but less than a year that have been classified as short-term investments.</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 xml:space="preserve">As of March 31, 2017, GasLog had an aggregate of $2.9 billion of indebtedness outstanding under its credit facilities and bond agreements, of which $297.9 million was repayable within one year, and a $218.7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$6.0 million was repayable within one year.</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of March 31, 2017, $150.0 million under the junior tranche of the credit agreement that subsidiaries of GasLog and GasLog Partners entered into on February 18, 2016 was reclassified under “Borrowings – current portion” following a notice of prepayment issued by the respective subsidiaries on March 24, 2017 and was prepaid on April 5, 2017, using the proceeds from the offering of the 8.875% Senior Notes.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March 31, 2017, there was undrawn available capacity of $58.4 million under the revolving credit facility of the credit agreement of up to $1.1 billion entered into on July 19, 2016 (the “Legacy Facility Refinancing”).</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of March 31, 2017, GasLog’s commitments for capital expenditures are related to the five LNG carriers on order, which have a gross aggregate contract price of approximately $1.0 billion. As of March 31, 2017, the total remaining balance of the contract prices of the aforementioned newbuildings was $936.6 million that GasLog expects to be funded with the $664.0 million undrawn capacity under the financing agreement entered into on October 16, 2015, as well as cash balances, cash from operations and borrowings under new debt agreements.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GasLog has hedged 49.2% of its expected floating interest rate exposure on its outstanding debt (excluding the finance lease liability and the 8.875% Senior Notes as of March 31, 2017.</w:t>
      </w:r>
    </w:p>
    <w:p>
      <w:pPr>
        <w:spacing w:after="0" w:line="17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Our credit facilities are described in Note 13 of our annual audited consolidated financial statements included in our Annual Report on Form 20-F filed with the SEC on March 1, 2017 and Note 6 of our unaudited condensed consolidated financial statements included elsewhere in this report.</w:t>
      </w:r>
    </w:p>
    <w:p>
      <w:pPr>
        <w:sectPr>
          <w:pgSz w:w="11900" w:h="16838" w:orient="portrait"/>
          <w:cols w:equalWidth="0" w:num="1">
            <w:col w:w="11420"/>
          </w:cols>
          <w:pgMar w:left="240" w:top="409" w:right="239" w:bottom="798"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798"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March 31, 2017, GasLog’s current assets totalled $565.7 million while current liabilities totalled $407.4 million, resulting in a positive working capital position of $158.3 million.</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all other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March 31, 2016 compared to the three-month period ended March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7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4240" w:type="dxa"/>
            <w:vAlign w:val="bottom"/>
          </w:tcPr>
          <w:p>
            <w:pPr>
              <w:spacing w:after="0"/>
              <w:rPr>
                <w:sz w:val="20"/>
                <w:szCs w:val="20"/>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2016</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4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70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6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44,289</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49,508</w:t>
            </w:r>
          </w:p>
        </w:tc>
      </w:tr>
      <w:tr>
        <w:trPr>
          <w:trHeight w:val="216"/>
        </w:trPr>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(192,154)</w:t>
            </w:r>
          </w:p>
        </w:tc>
        <w:tc>
          <w:tcPr>
            <w:tcW w:w="1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(18,064)</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128,702</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274,235</w:t>
            </w:r>
          </w:p>
        </w:tc>
      </w:tr>
    </w:tbl>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Net cash provided by operating activities increased by $5.2 million, from $44.3 million during the three-month period ended March 31, 2016, to $49.5 million during the three-month period ended March 31, 2017. The increase was mainly due to an increase of $23.9 million in revenues and a decrease of $3.2 million in voyage expenses and commissions which were partially offset by an increase of $11.5 million in cash paid for interest including the interest paid for finance leases and a decrease of $10.2 million caused by movements in working capital accounts.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cash used in investing activities decreased by $174.1 million, from $192.2 million in the three-month period ended March 31, 2016, to $18.1 million in the three-month period ended March 31, 2017. The decrease is mainly attributable to a decrease of $184.5 million in payments for the construction costs of newbuildings and other fixed assets, a net increase of $3.5 million in short-term investments and an increase of $0.1 million in cash from interest income. The above movements were partially offset by the $13.8 million in payments made for the investment in Gastrade and the decrease of $0.2 million in dividends received from Egypt LNG.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Net cash provided by financing activities increased by $145.5 million, from $128.7 million in the three-month period ended March 31, 2016, to $274.2 million in the three-month period ended March 31, 2017. The increase is mainly attributable to a decrease in bank loan repayments of $201.2 million, an increase of $117.0 million in proceeds from our borrowings, an increase of $78.5 million in proceeds from the GasLog Partners’ public offering, a decrease of $8.1 million in payments of loan issuance costs and a decrease of $0.3 million in payments for finance lease assets. The above movements were partially offset by the decrease of $217.0 million related to the proceeds from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the increase of $39.1 million in restricted cash and an increase of $3.5 million in dividend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The following table summarizes GasLog’s (including the vessels contributed or sold to GasLog Partners) contracted charter revenues and vessel utilization as of March 31, 2017, without giving effect to the amendment of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seasonal charter party agreement which was signed in April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On and</w:t>
            </w:r>
          </w:p>
        </w:tc>
        <w:tc>
          <w:tcPr>
            <w:tcW w:w="592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98"/>
              </w:rPr>
              <w:t>Contracted Charter Revenues and Days from Time Charters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after April</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w w:val="90"/>
              </w:rPr>
              <w:t>For the years ending December 31,</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2022-2029</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w w:val="98"/>
              </w:rPr>
              <w:t>(in millions of U.S. dollars, except days and percentages)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13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353.76</w:t>
            </w:r>
          </w:p>
        </w:tc>
        <w:tc>
          <w:tcPr>
            <w:tcW w:w="120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465.83</w:t>
            </w:r>
          </w:p>
        </w:tc>
        <w:tc>
          <w:tcPr>
            <w:tcW w:w="88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486.50</w:t>
            </w:r>
          </w:p>
        </w:tc>
        <w:tc>
          <w:tcPr>
            <w:tcW w:w="12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444.43</w:t>
            </w:r>
          </w:p>
        </w:tc>
        <w:tc>
          <w:tcPr>
            <w:tcW w:w="1080" w:type="dxa"/>
            <w:vAlign w:val="bottom"/>
            <w:shd w:val="clear" w:color="auto" w:fill="E5FFFF"/>
          </w:tcPr>
          <w:p>
            <w:pPr>
              <w:jc w:val="right"/>
              <w:ind w:right="290"/>
              <w:spacing w:after="0"/>
              <w:rPr>
                <w:sz w:val="20"/>
                <w:szCs w:val="20"/>
                <w:color w:val="auto"/>
              </w:rPr>
            </w:pPr>
            <w:r>
              <w:rPr>
                <w:rFonts w:ascii="Arial" w:cs="Arial" w:eastAsia="Arial" w:hAnsi="Arial"/>
                <w:sz w:val="18"/>
                <w:szCs w:val="18"/>
                <w:color w:val="auto"/>
              </w:rPr>
              <w:t>338.74</w:t>
            </w:r>
          </w:p>
        </w:tc>
        <w:tc>
          <w:tcPr>
            <w:tcW w:w="154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1,361.24</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3,450.50</w:t>
            </w:r>
          </w:p>
        </w:tc>
        <w:tc>
          <w:tcPr>
            <w:tcW w:w="0" w:type="dxa"/>
            <w:vAlign w:val="bottom"/>
          </w:tcPr>
          <w:p>
            <w:pPr>
              <w:spacing w:after="0"/>
              <w:rPr>
                <w:sz w:val="1"/>
                <w:szCs w:val="1"/>
                <w:color w:val="auto"/>
              </w:rPr>
            </w:pPr>
          </w:p>
        </w:tc>
      </w:tr>
      <w:tr>
        <w:trPr>
          <w:trHeight w:val="257"/>
        </w:trPr>
        <w:tc>
          <w:tcPr>
            <w:tcW w:w="3180" w:type="dxa"/>
            <w:vAlign w:val="bottom"/>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4,767</w:t>
            </w:r>
          </w:p>
        </w:tc>
        <w:tc>
          <w:tcPr>
            <w:tcW w:w="160" w:type="dxa"/>
            <w:vAlign w:val="bottom"/>
          </w:tcPr>
          <w:p>
            <w:pPr>
              <w:spacing w:after="0"/>
              <w:rPr>
                <w:sz w:val="22"/>
                <w:szCs w:val="22"/>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6,258</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6,463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5,738</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4,196</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16,609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44,031</w:t>
            </w:r>
          </w:p>
        </w:tc>
        <w:tc>
          <w:tcPr>
            <w:tcW w:w="0" w:type="dxa"/>
            <w:vAlign w:val="bottom"/>
          </w:tcPr>
          <w:p>
            <w:pPr>
              <w:spacing w:after="0"/>
              <w:rPr>
                <w:sz w:val="1"/>
                <w:szCs w:val="1"/>
                <w:color w:val="auto"/>
              </w:rPr>
            </w:pPr>
          </w:p>
        </w:tc>
      </w:tr>
      <w:tr>
        <w:trPr>
          <w:trHeight w:val="257"/>
        </w:trPr>
        <w:tc>
          <w:tcPr>
            <w:tcW w:w="31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6,295</w:t>
            </w:r>
          </w:p>
        </w:tc>
        <w:tc>
          <w:tcPr>
            <w:tcW w:w="160" w:type="dxa"/>
            <w:vAlign w:val="bottom"/>
            <w:shd w:val="clear" w:color="auto" w:fill="E5FFFF"/>
          </w:tcPr>
          <w:p>
            <w:pPr>
              <w:spacing w:after="0"/>
              <w:rPr>
                <w:sz w:val="22"/>
                <w:szCs w:val="22"/>
                <w:color w:val="auto"/>
              </w:rPr>
            </w:pPr>
          </w:p>
        </w:tc>
        <w:tc>
          <w:tcPr>
            <w:tcW w:w="120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9,216</w:t>
            </w:r>
          </w:p>
        </w:tc>
        <w:tc>
          <w:tcPr>
            <w:tcW w:w="88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9,918</w:t>
            </w:r>
          </w:p>
        </w:tc>
        <w:tc>
          <w:tcPr>
            <w:tcW w:w="122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9,978</w:t>
            </w:r>
          </w:p>
        </w:tc>
        <w:tc>
          <w:tcPr>
            <w:tcW w:w="1080" w:type="dxa"/>
            <w:vAlign w:val="bottom"/>
            <w:shd w:val="clear" w:color="auto" w:fill="E5FFFF"/>
          </w:tcPr>
          <w:p>
            <w:pPr>
              <w:jc w:val="right"/>
              <w:ind w:right="290"/>
              <w:spacing w:after="0"/>
              <w:rPr>
                <w:sz w:val="20"/>
                <w:szCs w:val="20"/>
                <w:color w:val="auto"/>
              </w:rPr>
            </w:pPr>
            <w:r>
              <w:rPr>
                <w:rFonts w:ascii="Arial" w:cs="Arial" w:eastAsia="Arial" w:hAnsi="Arial"/>
                <w:sz w:val="18"/>
                <w:szCs w:val="18"/>
                <w:color w:val="auto"/>
              </w:rPr>
              <w:t>10,040</w:t>
            </w:r>
          </w:p>
        </w:tc>
        <w:tc>
          <w:tcPr>
            <w:tcW w:w="154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80,585</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126,032</w:t>
            </w:r>
          </w:p>
        </w:tc>
        <w:tc>
          <w:tcPr>
            <w:tcW w:w="0" w:type="dxa"/>
            <w:vAlign w:val="bottom"/>
          </w:tcPr>
          <w:p>
            <w:pPr>
              <w:spacing w:after="0"/>
              <w:rPr>
                <w:sz w:val="1"/>
                <w:szCs w:val="1"/>
                <w:color w:val="auto"/>
              </w:rPr>
            </w:pPr>
          </w:p>
        </w:tc>
      </w:tr>
      <w:tr>
        <w:trPr>
          <w:trHeight w:val="257"/>
        </w:trPr>
        <w:tc>
          <w:tcPr>
            <w:tcW w:w="3180" w:type="dxa"/>
            <w:vAlign w:val="bottom"/>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22"/>
                <w:szCs w:val="22"/>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2,958</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3,455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4,240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5,844</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63,976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82,001</w:t>
            </w:r>
          </w:p>
        </w:tc>
        <w:tc>
          <w:tcPr>
            <w:tcW w:w="0" w:type="dxa"/>
            <w:vAlign w:val="bottom"/>
          </w:tcPr>
          <w:p>
            <w:pPr>
              <w:spacing w:after="0"/>
              <w:rPr>
                <w:sz w:val="1"/>
                <w:szCs w:val="1"/>
                <w:color w:val="auto"/>
              </w:rPr>
            </w:pPr>
          </w:p>
        </w:tc>
      </w:tr>
      <w:tr>
        <w:trPr>
          <w:trHeight w:val="202"/>
        </w:trPr>
        <w:tc>
          <w:tcPr>
            <w:tcW w:w="31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Percentage of total contracted days/total</w:t>
            </w:r>
          </w:p>
        </w:tc>
        <w:tc>
          <w:tcPr>
            <w:tcW w:w="1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available days</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75.73%</w:t>
            </w:r>
          </w:p>
        </w:tc>
        <w:tc>
          <w:tcPr>
            <w:tcW w:w="120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67.90%</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65.16%</w:t>
            </w:r>
          </w:p>
        </w:tc>
        <w:tc>
          <w:tcPr>
            <w:tcW w:w="12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57.51%</w:t>
            </w:r>
          </w:p>
        </w:tc>
        <w:tc>
          <w:tcPr>
            <w:tcW w:w="108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41.79%</w:t>
            </w:r>
          </w:p>
        </w:tc>
        <w:tc>
          <w:tcPr>
            <w:tcW w:w="15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20.61%</w:t>
            </w: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05" w:right="239" w:bottom="1440" w:gutter="0" w:footer="0" w:header="0"/>
        </w:sect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21" w:name="page22"/>
    <w:bookmarkEnd w:id="21"/>
    <w:p>
      <w:pPr>
        <w:jc w:val="both"/>
        <w:ind w:left="200" w:right="20" w:hanging="192"/>
        <w:spacing w:after="0" w:line="265" w:lineRule="auto"/>
        <w:tabs>
          <w:tab w:leader="none" w:pos="200" w:val="left"/>
        </w:tabs>
        <w:numPr>
          <w:ilvl w:val="0"/>
          <w:numId w:val="9"/>
        </w:numPr>
        <w:rPr>
          <w:rFonts w:ascii="Arial" w:cs="Arial" w:eastAsia="Arial" w:hAnsi="Arial"/>
          <w:sz w:val="10"/>
          <w:szCs w:val="1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t xml:space="preserve">Reflects time charter revenues and contracted days for seven of our wholly owned ships, the ten ships owned by the Partnership, the bareboat vessel and our five newbuildings on order for which we have secured time charters. Does not include charter revenues for the vessels operating in the spot/short-term market under the Cool Pool agreement and the </w:t>
      </w:r>
      <w:r>
        <w:rPr>
          <w:rFonts w:ascii="Arial" w:cs="Arial" w:eastAsia="Arial" w:hAnsi="Arial"/>
          <w:sz w:val="12"/>
          <w:szCs w:val="12"/>
          <w:i w:val="1"/>
          <w:iCs w:val="1"/>
          <w:color w:val="auto"/>
        </w:rPr>
        <w:t>Methane Nile Eagle</w:t>
      </w:r>
      <w:r>
        <w:rPr>
          <w:rFonts w:ascii="Arial" w:cs="Arial" w:eastAsia="Arial" w:hAnsi="Arial"/>
          <w:sz w:val="12"/>
          <w:szCs w:val="12"/>
          <w:color w:val="auto"/>
        </w:rPr>
        <w:t>, in which we hold a 25% minority interest. Contracted revenue calculations assume: (a) 365 revenue days per annum, with 30 off-hire days when the ship undergoes scheduled dry-docking (every five years);</w:t>
      </w:r>
    </w:p>
    <w:p>
      <w:pPr>
        <w:ind w:left="200" w:right="20" w:hanging="3"/>
        <w:spacing w:after="0" w:line="221" w:lineRule="auto"/>
        <w:tabs>
          <w:tab w:leader="none" w:pos="404" w:val="left"/>
        </w:tabs>
        <w:numPr>
          <w:ilvl w:val="1"/>
          <w:numId w:val="9"/>
        </w:numPr>
        <w:rPr>
          <w:rFonts w:ascii="Arial" w:cs="Arial" w:eastAsia="Arial" w:hAnsi="Arial"/>
          <w:sz w:val="14"/>
          <w:szCs w:val="14"/>
          <w:color w:val="auto"/>
        </w:rPr>
      </w:pPr>
      <w:r>
        <w:rPr>
          <w:rFonts w:ascii="Arial" w:cs="Arial" w:eastAsia="Arial" w:hAnsi="Arial"/>
          <w:sz w:val="14"/>
          <w:szCs w:val="14"/>
          <w:color w:val="auto"/>
        </w:rPr>
        <w:t>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 w:lineRule="exact"/>
        <w:rPr>
          <w:rFonts w:ascii="Arial" w:cs="Arial" w:eastAsia="Arial" w:hAnsi="Arial"/>
          <w:sz w:val="14"/>
          <w:szCs w:val="14"/>
          <w:color w:val="auto"/>
        </w:rPr>
      </w:pPr>
    </w:p>
    <w:p>
      <w:pPr>
        <w:ind w:left="200" w:right="140" w:hanging="192"/>
        <w:spacing w:after="0" w:line="221"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ind w:left="200" w:right="120" w:hanging="192"/>
        <w:spacing w:after="0" w:line="237"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8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The table provides information about our contracted charter revenues based on contracts in effect as of March 31, 2017 for (a) the seven ships in our wholly owned fleet, the ten ships in the GasLog Partners’ fleet and the bareboat vessel for which we have secured time charters and (b) our five newbuildings on order. Other than the assumptions reflected in the footnotes to the table, including our assumption that our newbuildings are delivered on schedule, the table does not reflect events occurring after March 31, 2017.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any additional ships we may acquire or the exercise of options extending the terms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2017.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1, 2017 and Note 2 of our unaudited condensed consolidated financial statements included elsewhere in this report.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3"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2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Unaudited condensed consolidated statements of financial position as of December 31, 2016 and March 31, 2017</w:t>
              </w:r>
            </w:hyperlink>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F-2</w:t>
            </w:r>
          </w:p>
        </w:tc>
      </w:tr>
      <w:tr>
        <w:trPr>
          <w:trHeight w:val="20"/>
        </w:trPr>
        <w:tc>
          <w:tcPr>
            <w:tcW w:w="488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3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Unaudited condensed consolidated statements of profit or loss for the three months ended March 31, 2016 and 2017</w:t>
              </w:r>
            </w:hyperlink>
          </w:p>
        </w:tc>
        <w:tc>
          <w:tcPr>
            <w:tcW w:w="2260" w:type="dxa"/>
            <w:vAlign w:val="bottom"/>
            <w:gridSpan w:val="3"/>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620" w:type="dxa"/>
            <w:vAlign w:val="bottom"/>
            <w:gridSpan w:val="7"/>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Unaudited condensed consolidated statements of comprehensive income or loss for the three months ended March 31, 2016 and 2017</w:t>
              </w:r>
            </w:hyperlink>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F-4</w:t>
            </w:r>
          </w:p>
        </w:tc>
      </w:tr>
      <w:tr>
        <w:trPr>
          <w:trHeight w:val="196"/>
        </w:trPr>
        <w:tc>
          <w:tcPr>
            <w:tcW w:w="8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Unaudited condensed consolidated statements of changes in equity for the three months ended March 31, 2016 and 2017</w:t>
              </w:r>
            </w:hyperlink>
          </w:p>
        </w:tc>
        <w:tc>
          <w:tcPr>
            <w:tcW w:w="92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620" w:type="dxa"/>
            <w:vAlign w:val="bottom"/>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Unaudited condensed consolidated statements of cash flows for the three months ended March 31, 2016 and 2017</w:t>
              </w:r>
            </w:hyperlink>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F-6</w:t>
            </w:r>
          </w:p>
        </w:tc>
      </w:tr>
      <w:tr>
        <w:trPr>
          <w:trHeight w:val="196"/>
        </w:trPr>
        <w:tc>
          <w:tcPr>
            <w:tcW w:w="82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Notes to the unaudited condensed consolidated financial statements</w:t>
              </w:r>
            </w:hyperlink>
          </w:p>
        </w:tc>
        <w:tc>
          <w:tcPr>
            <w:tcW w:w="2380" w:type="dxa"/>
            <w:vAlign w:val="bottom"/>
            <w:gridSpan w:val="4"/>
          </w:tcPr>
          <w:p>
            <w:pPr>
              <w:spacing w:after="0"/>
              <w:rPr>
                <w:sz w:val="17"/>
                <w:szCs w:val="17"/>
                <w:color w:val="auto"/>
              </w:rPr>
            </w:pPr>
          </w:p>
        </w:tc>
        <w:tc>
          <w:tcPr>
            <w:tcW w:w="8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F-7</w:t>
            </w:r>
          </w:p>
        </w:tc>
      </w:tr>
      <w:tr>
        <w:trPr>
          <w:trHeight w:val="426"/>
        </w:trPr>
        <w:tc>
          <w:tcPr>
            <w:tcW w:w="4880" w:type="dxa"/>
            <w:vAlign w:val="bottom"/>
            <w:tcBorders>
              <w:top w:val="single" w:sz="8" w:color="0000EE"/>
            </w:tcBorders>
          </w:tcPr>
          <w:p>
            <w:pPr>
              <w:spacing w:after="0"/>
              <w:rPr>
                <w:sz w:val="24"/>
                <w:szCs w:val="24"/>
                <w:color w:val="auto"/>
              </w:rPr>
            </w:pPr>
          </w:p>
        </w:tc>
        <w:tc>
          <w:tcPr>
            <w:tcW w:w="57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2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5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As of December 31, 2016 and March 31, 2017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5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2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December 31, 2016</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9,511</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6,265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12,045</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12,788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1,824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7,856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9,887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3,889,047</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3,857,076</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96,356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111,457</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222,004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220,111</w:t>
            </w: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4,244,908</w:t>
            </w: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4,242,197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9,256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6,420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3,065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2,183</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82</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8,461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9,322</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4,326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4,415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18,000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42</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43</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227,024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532,778</w:t>
            </w: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270,256</w:t>
            </w: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565,720</w:t>
            </w:r>
          </w:p>
        </w:tc>
        <w:tc>
          <w:tcPr>
            <w:tcW w:w="100" w:type="dxa"/>
            <w:vAlign w:val="bottom"/>
            <w:tcBorders>
              <w:top w:val="single" w:sz="8" w:color="E5FFFF"/>
            </w:tcBorders>
            <w:shd w:val="clear" w:color="auto" w:fill="E5FFFF"/>
          </w:tcPr>
          <w:p>
            <w:pPr>
              <w:spacing w:after="0"/>
              <w:rPr>
                <w:sz w:val="18"/>
                <w:szCs w:val="18"/>
                <w:color w:val="auto"/>
              </w:rPr>
            </w:pPr>
          </w:p>
        </w:tc>
      </w:tr>
      <w:tr>
        <w:trPr>
          <w:trHeight w:val="263"/>
        </w:trPr>
        <w:tc>
          <w:tcPr>
            <w:tcW w:w="65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E5FFFF"/>
            </w:tcBorders>
          </w:tcPr>
          <w:p>
            <w:pPr>
              <w:spacing w:after="0"/>
              <w:rPr>
                <w:sz w:val="22"/>
                <w:szCs w:val="22"/>
                <w:color w:val="auto"/>
              </w:rPr>
            </w:pPr>
          </w:p>
        </w:tc>
        <w:tc>
          <w:tcPr>
            <w:tcW w:w="360" w:type="dxa"/>
            <w:vAlign w:val="bottom"/>
            <w:tcBorders>
              <w:bottom w:val="single" w:sz="8" w:color="E5FF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340" w:type="dxa"/>
            <w:vAlign w:val="bottom"/>
            <w:tcBorders>
              <w:bottom w:val="single" w:sz="8" w:color="E5FF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4,807,917</w:t>
            </w:r>
          </w:p>
        </w:tc>
        <w:tc>
          <w:tcPr>
            <w:tcW w:w="100" w:type="dxa"/>
            <w:vAlign w:val="bottom"/>
            <w:tcBorders>
              <w:bottom w:val="single" w:sz="8" w:color="E5FFFF"/>
            </w:tcBorders>
          </w:tcPr>
          <w:p>
            <w:pPr>
              <w:spacing w:after="0"/>
              <w:rPr>
                <w:sz w:val="22"/>
                <w:szCs w:val="22"/>
                <w:color w:val="auto"/>
              </w:rPr>
            </w:pPr>
          </w:p>
        </w:tc>
      </w:tr>
      <w:tr>
        <w:trPr>
          <w:trHeight w:val="197"/>
        </w:trPr>
        <w:tc>
          <w:tcPr>
            <w:tcW w:w="65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 capital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810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966,974</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953,180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Reserves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10,160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11,045</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11</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(10,861)</w:t>
            </w:r>
          </w:p>
        </w:tc>
        <w:tc>
          <w:tcPr>
            <w:tcW w:w="1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(10,861)</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(21,486)</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(12,734)</w:t>
            </w: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941,486</w:t>
            </w:r>
          </w:p>
        </w:tc>
        <w:tc>
          <w:tcPr>
            <w:tcW w:w="100" w:type="dxa"/>
            <w:vAlign w:val="bottom"/>
            <w:tcBorders>
              <w:top w:val="single" w:sz="8" w:color="E5FFFF"/>
            </w:tcBorders>
            <w:shd w:val="clear" w:color="auto" w:fill="E5FF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564,039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642,906</w:t>
            </w: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1,509,682</w:t>
            </w: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1,584,392</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7,255</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11,137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8</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105</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7,854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8,890</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10</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93,386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82,031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147,448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297,905</w:t>
            </w:r>
          </w:p>
        </w:tc>
      </w:tr>
      <w:tr>
        <w:trPr>
          <w:trHeight w:val="230"/>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5,946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6,032</w:t>
            </w:r>
          </w:p>
        </w:tc>
      </w:tr>
      <w:tr>
        <w:trPr>
          <w:trHeight w:val="210"/>
        </w:trPr>
        <w:tc>
          <w:tcPr>
            <w:tcW w:w="65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34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407,438</w:t>
            </w:r>
          </w:p>
        </w:tc>
        <w:tc>
          <w:tcPr>
            <w:tcW w:w="100" w:type="dxa"/>
            <w:vAlign w:val="bottom"/>
            <w:tcBorders>
              <w:bottom w:val="single" w:sz="8" w:color="E5FFFF"/>
            </w:tcBorders>
          </w:tcPr>
          <w:p>
            <w:pPr>
              <w:spacing w:after="0"/>
              <w:rPr>
                <w:sz w:val="18"/>
                <w:szCs w:val="18"/>
                <w:color w:val="auto"/>
              </w:rPr>
            </w:pPr>
          </w:p>
        </w:tc>
      </w:tr>
      <w:tr>
        <w:trPr>
          <w:trHeight w:val="210"/>
        </w:trPr>
        <w:tc>
          <w:tcPr>
            <w:tcW w:w="6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22,485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20,951</w:t>
            </w: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7</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2,504,578</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2,581,203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6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214,455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212,682</w:t>
            </w:r>
          </w:p>
        </w:tc>
      </w:tr>
      <w:tr>
        <w:trPr>
          <w:trHeight w:val="230"/>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1,129</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1,251</w:t>
            </w:r>
          </w:p>
        </w:tc>
      </w:tr>
      <w:tr>
        <w:trPr>
          <w:trHeight w:val="210"/>
        </w:trPr>
        <w:tc>
          <w:tcPr>
            <w:tcW w:w="65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34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2,816,087</w:t>
            </w:r>
          </w:p>
        </w:tc>
        <w:tc>
          <w:tcPr>
            <w:tcW w:w="100" w:type="dxa"/>
            <w:vAlign w:val="bottom"/>
            <w:tcBorders>
              <w:bottom w:val="single" w:sz="8" w:color="E5FFFF"/>
            </w:tcBorders>
          </w:tcPr>
          <w:p>
            <w:pPr>
              <w:spacing w:after="0"/>
              <w:rPr>
                <w:sz w:val="18"/>
                <w:szCs w:val="18"/>
                <w:color w:val="auto"/>
              </w:rPr>
            </w:pPr>
          </w:p>
        </w:tc>
      </w:tr>
      <w:tr>
        <w:trPr>
          <w:trHeight w:val="223"/>
        </w:trPr>
        <w:tc>
          <w:tcPr>
            <w:tcW w:w="6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680" w:type="dxa"/>
            <w:vAlign w:val="bottom"/>
            <w:tcBorders>
              <w:bottom w:val="single" w:sz="8" w:color="E5FFFF"/>
            </w:tcBorders>
            <w:shd w:val="clear" w:color="auto" w:fill="E5FFFF"/>
          </w:tcPr>
          <w:p>
            <w:pPr>
              <w:spacing w:after="0"/>
              <w:rPr>
                <w:sz w:val="19"/>
                <w:szCs w:val="19"/>
                <w:color w:val="auto"/>
              </w:rPr>
            </w:pPr>
          </w:p>
        </w:tc>
        <w:tc>
          <w:tcPr>
            <w:tcW w:w="3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4,515,164</w:t>
            </w:r>
          </w:p>
        </w:tc>
        <w:tc>
          <w:tcPr>
            <w:tcW w:w="34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4,807,917</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2180" w:type="dxa"/>
            <w:vAlign w:val="bottom"/>
            <w:gridSpan w:val="3"/>
          </w:tcPr>
          <w:p>
            <w:pPr>
              <w:ind w:left="260"/>
              <w:spacing w:after="0"/>
              <w:rPr>
                <w:sz w:val="20"/>
                <w:szCs w:val="20"/>
                <w:color w:val="auto"/>
              </w:rPr>
            </w:pPr>
            <w:r>
              <w:rPr>
                <w:rFonts w:ascii="Arial" w:cs="Arial" w:eastAsia="Arial" w:hAnsi="Arial"/>
                <w:sz w:val="18"/>
                <w:szCs w:val="18"/>
                <w:b w:val="1"/>
                <w:bCs w:val="1"/>
                <w:color w:val="auto"/>
              </w:rPr>
              <w:t>March 31, 2016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202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104,377</w:t>
            </w:r>
          </w:p>
        </w:tc>
        <w:tc>
          <w:tcPr>
            <w:tcW w:w="3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128,285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(28,457)</w:t>
            </w:r>
          </w:p>
        </w:tc>
        <w:tc>
          <w:tcPr>
            <w:tcW w:w="1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20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(5,263)</w:t>
            </w:r>
          </w:p>
        </w:tc>
        <w:tc>
          <w:tcPr>
            <w:tcW w:w="14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w:t>
            </w:r>
          </w:p>
        </w:tc>
        <w:tc>
          <w:tcPr>
            <w:tcW w:w="2700" w:type="dxa"/>
            <w:vAlign w:val="bottom"/>
            <w:gridSpan w:val="2"/>
          </w:tcPr>
          <w:p>
            <w:pPr>
              <w:jc w:val="center"/>
              <w:ind w:left="1930"/>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(28,164)</w:t>
            </w:r>
          </w:p>
        </w:tc>
        <w:tc>
          <w:tcPr>
            <w:tcW w:w="1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2700" w:type="dxa"/>
            <w:vAlign w:val="bottom"/>
            <w:gridSpan w:val="2"/>
            <w:shd w:val="clear" w:color="auto" w:fill="E5FFFF"/>
          </w:tcPr>
          <w:p>
            <w:pPr>
              <w:jc w:val="center"/>
              <w:ind w:left="1930"/>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(8,734)</w:t>
            </w:r>
          </w:p>
        </w:tc>
        <w:tc>
          <w:tcPr>
            <w:tcW w:w="140" w:type="dxa"/>
            <w:vAlign w:val="bottom"/>
            <w:shd w:val="clear" w:color="auto" w:fill="E5FFFF"/>
          </w:tcPr>
          <w:p>
            <w:pPr>
              <w:spacing w:after="0"/>
              <w:rPr>
                <w:sz w:val="19"/>
                <w:szCs w:val="19"/>
                <w:color w:val="auto"/>
              </w:rPr>
            </w:pPr>
          </w:p>
        </w:tc>
        <w:tc>
          <w:tcPr>
            <w:tcW w:w="16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2020" w:type="dxa"/>
            <w:vAlign w:val="bottom"/>
            <w:tcBorders>
              <w:bottom w:val="single" w:sz="8" w:color="E5FFFF"/>
            </w:tcBorders>
          </w:tcPr>
          <w:p>
            <w:pPr>
              <w:spacing w:after="0"/>
              <w:rPr>
                <w:sz w:val="18"/>
                <w:szCs w:val="18"/>
                <w:color w:val="auto"/>
              </w:rPr>
            </w:pP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33,759</w:t>
            </w:r>
          </w:p>
        </w:tc>
        <w:tc>
          <w:tcPr>
            <w:tcW w:w="34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54,899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2700" w:type="dxa"/>
            <w:vAlign w:val="bottom"/>
            <w:gridSpan w:val="2"/>
            <w:shd w:val="clear" w:color="auto" w:fill="E5FFFF"/>
          </w:tcPr>
          <w:p>
            <w:pPr>
              <w:jc w:val="center"/>
              <w:ind w:left="1910"/>
              <w:spacing w:after="0"/>
              <w:rPr>
                <w:sz w:val="20"/>
                <w:szCs w:val="20"/>
                <w:color w:val="auto"/>
              </w:rPr>
            </w:pPr>
            <w:r>
              <w:rPr>
                <w:rFonts w:ascii="Arial" w:cs="Arial" w:eastAsia="Arial" w:hAnsi="Arial"/>
                <w:sz w:val="18"/>
                <w:szCs w:val="18"/>
                <w:color w:val="auto"/>
                <w:w w:val="89"/>
              </w:rPr>
              <w:t>14</w:t>
            </w: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3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(32,524)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Financial income</w:t>
            </w: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color w:val="auto"/>
              </w:rPr>
              <w:t>(Loss)/gain on swaps</w:t>
            </w:r>
          </w:p>
        </w:tc>
        <w:tc>
          <w:tcPr>
            <w:tcW w:w="2700" w:type="dxa"/>
            <w:vAlign w:val="bottom"/>
            <w:gridSpan w:val="2"/>
            <w:shd w:val="clear" w:color="auto" w:fill="E5FFFF"/>
          </w:tcPr>
          <w:p>
            <w:pPr>
              <w:jc w:val="center"/>
              <w:ind w:left="1910"/>
              <w:spacing w:after="0"/>
              <w:rPr>
                <w:sz w:val="20"/>
                <w:szCs w:val="20"/>
                <w:color w:val="auto"/>
              </w:rPr>
            </w:pPr>
            <w:r>
              <w:rPr>
                <w:rFonts w:ascii="Arial" w:cs="Arial" w:eastAsia="Arial" w:hAnsi="Arial"/>
                <w:sz w:val="18"/>
                <w:szCs w:val="18"/>
                <w:color w:val="auto"/>
                <w:w w:val="89"/>
              </w:rPr>
              <w:t>14</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(10,414)</w:t>
            </w:r>
          </w:p>
        </w:tc>
        <w:tc>
          <w:tcPr>
            <w:tcW w:w="14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202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(39,057</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(31,507</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(Loss)/profit for the period</w:t>
            </w:r>
          </w:p>
        </w:tc>
        <w:tc>
          <w:tcPr>
            <w:tcW w:w="2020" w:type="dxa"/>
            <w:vAlign w:val="bottom"/>
            <w:tcBorders>
              <w:bottom w:val="single" w:sz="8" w:color="E5FFFF"/>
            </w:tcBorders>
          </w:tcPr>
          <w:p>
            <w:pPr>
              <w:spacing w:after="0"/>
              <w:rPr>
                <w:sz w:val="22"/>
                <w:szCs w:val="22"/>
                <w:color w:val="auto"/>
              </w:rPr>
            </w:pPr>
          </w:p>
        </w:tc>
        <w:tc>
          <w:tcPr>
            <w:tcW w:w="680" w:type="dxa"/>
            <w:vAlign w:val="bottom"/>
            <w:tcBorders>
              <w:bottom w:val="single" w:sz="8" w:color="E5FFFF"/>
            </w:tcBorders>
          </w:tcPr>
          <w:p>
            <w:pPr>
              <w:spacing w:after="0"/>
              <w:rPr>
                <w:sz w:val="22"/>
                <w:szCs w:val="22"/>
                <w:color w:val="auto"/>
              </w:rPr>
            </w:pPr>
          </w:p>
        </w:tc>
        <w:tc>
          <w:tcPr>
            <w:tcW w:w="360" w:type="dxa"/>
            <w:vAlign w:val="bottom"/>
            <w:tcBorders>
              <w:bottom w:val="single" w:sz="8" w:color="E5FFFF"/>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20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5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Owners of the Group</w:t>
            </w: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(15,898)</w:t>
            </w: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202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10,600</w:t>
            </w:r>
          </w:p>
        </w:tc>
        <w:tc>
          <w:tcPr>
            <w:tcW w:w="140" w:type="dxa"/>
            <w:vAlign w:val="bottom"/>
            <w:shd w:val="clear" w:color="auto" w:fill="E5FFFF"/>
          </w:tcPr>
          <w:p>
            <w:pPr>
              <w:spacing w:after="0"/>
              <w:rPr>
                <w:sz w:val="19"/>
                <w:szCs w:val="19"/>
                <w:color w:val="auto"/>
              </w:rPr>
            </w:pPr>
          </w:p>
        </w:tc>
        <w:tc>
          <w:tcPr>
            <w:tcW w:w="16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(Loss)/earnings per share – basic and diluted</w:t>
            </w:r>
          </w:p>
        </w:tc>
        <w:tc>
          <w:tcPr>
            <w:tcW w:w="2700" w:type="dxa"/>
            <w:vAlign w:val="bottom"/>
            <w:gridSpan w:val="2"/>
            <w:shd w:val="clear" w:color="auto" w:fill="E5FFFF"/>
          </w:tcPr>
          <w:p>
            <w:pPr>
              <w:jc w:val="center"/>
              <w:ind w:left="1910"/>
              <w:spacing w:after="0"/>
              <w:rPr>
                <w:sz w:val="20"/>
                <w:szCs w:val="20"/>
                <w:color w:val="auto"/>
              </w:rPr>
            </w:pPr>
            <w:r>
              <w:rPr>
                <w:rFonts w:ascii="Arial" w:cs="Arial" w:eastAsia="Arial" w:hAnsi="Arial"/>
                <w:sz w:val="18"/>
                <w:szCs w:val="18"/>
                <w:color w:val="auto"/>
                <w:w w:val="89"/>
              </w:rPr>
              <w:t>17</w:t>
            </w: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(0.23)</w:t>
            </w:r>
          </w:p>
        </w:tc>
        <w:tc>
          <w:tcPr>
            <w:tcW w:w="14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40" w:type="dxa"/>
            <w:vAlign w:val="bottom"/>
            <w:gridSpan w:val="7"/>
          </w:tcPr>
          <w:p>
            <w:pPr>
              <w:jc w:val="center"/>
              <w:ind w:left="1570"/>
              <w:spacing w:after="0"/>
              <w:rPr>
                <w:sz w:val="20"/>
                <w:szCs w:val="20"/>
                <w:color w:val="auto"/>
              </w:rPr>
            </w:pPr>
            <w:r>
              <w:rPr>
                <w:rFonts w:ascii="Arial" w:cs="Arial" w:eastAsia="Arial" w:hAnsi="Arial"/>
                <w:sz w:val="18"/>
                <w:szCs w:val="18"/>
                <w:color w:val="auto"/>
                <w:w w:val="89"/>
              </w:rPr>
              <w:t>The accompanying notes are an integral part of these unaudited condensed consolidated financial statements.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60" w:type="dxa"/>
            <w:vAlign w:val="bottom"/>
            <w:gridSpan w:val="3"/>
          </w:tcPr>
          <w:p>
            <w:pPr>
              <w:jc w:val="center"/>
              <w:ind w:right="680"/>
              <w:spacing w:after="0"/>
              <w:rPr>
                <w:sz w:val="20"/>
                <w:szCs w:val="20"/>
                <w:color w:val="auto"/>
              </w:rPr>
            </w:pPr>
            <w:r>
              <w:rPr>
                <w:rFonts w:ascii="Arial" w:cs="Arial" w:eastAsia="Arial" w:hAnsi="Arial"/>
                <w:sz w:val="18"/>
                <w:szCs w:val="18"/>
                <w:color w:val="auto"/>
                <w:w w:val="96"/>
              </w:rPr>
              <w:t>F-3</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Borders>
              <w:bottom w:val="single" w:sz="8" w:color="C0C0C0"/>
            </w:tcBorders>
          </w:tcPr>
          <w:p>
            <w:pPr>
              <w:spacing w:after="0"/>
              <w:rPr>
                <w:sz w:val="21"/>
                <w:szCs w:val="21"/>
                <w:color w:val="auto"/>
              </w:rPr>
            </w:pPr>
          </w:p>
        </w:tc>
        <w:tc>
          <w:tcPr>
            <w:tcW w:w="202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7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40" w:type="dxa"/>
            <w:vAlign w:val="bottom"/>
          </w:tcPr>
          <w:p>
            <w:pPr>
              <w:spacing w:after="0"/>
              <w:rPr>
                <w:sz w:val="20"/>
                <w:szCs w:val="20"/>
                <w:color w:val="auto"/>
              </w:rPr>
            </w:pPr>
            <w:r>
              <w:rPr>
                <w:rFonts w:ascii="Arial" w:cs="Arial" w:eastAsia="Arial" w:hAnsi="Arial"/>
                <w:sz w:val="18"/>
                <w:szCs w:val="18"/>
                <w:b w:val="1"/>
                <w:bCs w:val="1"/>
                <w:color w:val="auto"/>
                <w:w w:val="93"/>
              </w:rPr>
              <w:t>Unaudited condensed consolidated statements of comprehensive income or loss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For the three months ended March 31, 2016 and 2017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Note</w:t>
            </w:r>
          </w:p>
        </w:tc>
        <w:tc>
          <w:tcPr>
            <w:tcW w:w="2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 2016</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6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for the period</w:t>
            </w: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(5,298)</w:t>
            </w: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23,392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Effective portion of changes in fair value of cash flow hedges, net of amounts</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Arial" w:cs="Arial" w:eastAsia="Arial" w:hAnsi="Arial"/>
                <w:sz w:val="18"/>
                <w:szCs w:val="18"/>
                <w:color w:val="auto"/>
              </w:rPr>
              <w:t>recycled to profit or loss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(4,438)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w:t>
            </w: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349</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loss for the period</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(loss)/profit for the period</w:t>
            </w:r>
          </w:p>
        </w:tc>
        <w:tc>
          <w:tcPr>
            <w:tcW w:w="680" w:type="dxa"/>
            <w:vAlign w:val="bottom"/>
            <w:tcBorders>
              <w:bottom w:val="single" w:sz="8" w:color="E5FFFF"/>
            </w:tcBorders>
            <w:shd w:val="clear" w:color="auto" w:fill="E5FFFF"/>
          </w:tcPr>
          <w:p>
            <w:pPr>
              <w:spacing w:after="0"/>
              <w:rPr>
                <w:sz w:val="19"/>
                <w:szCs w:val="19"/>
                <w:color w:val="auto"/>
              </w:rPr>
            </w:pPr>
          </w:p>
        </w:tc>
        <w:tc>
          <w:tcPr>
            <w:tcW w:w="3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(9,387</w:t>
            </w:r>
          </w:p>
        </w:tc>
        <w:tc>
          <w:tcPr>
            <w:tcW w:w="340" w:type="dxa"/>
            <w:vAlign w:val="bottom"/>
            <w:tcBorders>
              <w:bottom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23,348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5FFFF"/>
          </w:tcPr>
          <w:p>
            <w:pPr>
              <w:spacing w:after="0"/>
              <w:rPr>
                <w:sz w:val="20"/>
                <w:szCs w:val="20"/>
                <w:color w:val="auto"/>
              </w:rPr>
            </w:pPr>
            <w:r>
              <w:rPr>
                <w:rFonts w:ascii="Arial" w:cs="Arial" w:eastAsia="Arial" w:hAnsi="Arial"/>
                <w:sz w:val="18"/>
                <w:szCs w:val="18"/>
                <w:color w:val="auto"/>
              </w:rPr>
              <w:t>Owners of the Group</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(19,987)</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10,600</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23"/>
        </w:trPr>
        <w:tc>
          <w:tcPr>
            <w:tcW w:w="6540" w:type="dxa"/>
            <w:vAlign w:val="bottom"/>
            <w:tcBorders>
              <w:top w:val="single" w:sz="8" w:color="E5FFFF"/>
              <w:bottom w:val="single" w:sz="8" w:color="E5FFFF"/>
            </w:tcBorders>
            <w:shd w:val="clear" w:color="auto" w:fill="E5FFFF"/>
          </w:tcPr>
          <w:p>
            <w:pPr>
              <w:spacing w:after="0"/>
              <w:rPr>
                <w:sz w:val="19"/>
                <w:szCs w:val="19"/>
                <w:color w:val="auto"/>
              </w:rPr>
            </w:pPr>
          </w:p>
        </w:tc>
        <w:tc>
          <w:tcPr>
            <w:tcW w:w="680" w:type="dxa"/>
            <w:vAlign w:val="bottom"/>
            <w:tcBorders>
              <w:top w:val="single" w:sz="8" w:color="E5FFFF"/>
              <w:bottom w:val="single" w:sz="8" w:color="E5FFFF"/>
            </w:tcBorders>
            <w:shd w:val="clear" w:color="auto" w:fill="E5FFFF"/>
          </w:tcPr>
          <w:p>
            <w:pPr>
              <w:spacing w:after="0"/>
              <w:rPr>
                <w:sz w:val="19"/>
                <w:szCs w:val="19"/>
                <w:color w:val="auto"/>
              </w:rPr>
            </w:pP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(9,387</w:t>
            </w:r>
          </w:p>
        </w:tc>
        <w:tc>
          <w:tcPr>
            <w:tcW w:w="340" w:type="dxa"/>
            <w:vAlign w:val="bottom"/>
            <w:tcBorders>
              <w:top w:val="single" w:sz="8" w:color="E5FFFF"/>
              <w:bottom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23,348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Share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Preference</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Contributed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1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Retained</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Attributable</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Non -</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112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earnings/</w:t>
            </w:r>
          </w:p>
        </w:tc>
        <w:tc>
          <w:tcPr>
            <w:tcW w:w="10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(Note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surplus</w:t>
            </w:r>
          </w:p>
        </w:tc>
        <w:tc>
          <w:tcPr>
            <w:tcW w:w="7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83"/>
              </w:rPr>
              <w:t>Reserves</w:t>
            </w:r>
          </w:p>
        </w:tc>
        <w:tc>
          <w:tcPr>
            <w:tcW w:w="120" w:type="dxa"/>
            <w:vAlign w:val="bottom"/>
          </w:tcPr>
          <w:p>
            <w:pPr>
              <w:spacing w:after="0"/>
              <w:rPr>
                <w:sz w:val="12"/>
                <w:szCs w:val="12"/>
                <w:color w:val="auto"/>
              </w:rPr>
            </w:pPr>
          </w:p>
        </w:tc>
        <w:tc>
          <w:tcPr>
            <w:tcW w:w="74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(Note</w:t>
            </w:r>
          </w:p>
        </w:tc>
        <w:tc>
          <w:tcPr>
            <w:tcW w:w="1240" w:type="dxa"/>
            <w:vAlign w:val="bottom"/>
            <w:gridSpan w:val="3"/>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11)</w:t>
            </w:r>
          </w:p>
        </w:tc>
        <w:tc>
          <w:tcPr>
            <w:tcW w:w="3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11)</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11)</w:t>
            </w:r>
          </w:p>
        </w:tc>
        <w:tc>
          <w:tcPr>
            <w:tcW w:w="720" w:type="dxa"/>
            <w:vAlign w:val="bottom"/>
            <w:gridSpan w:val="2"/>
            <w:vMerge w:val="continue"/>
          </w:tcPr>
          <w:p>
            <w:pPr>
              <w:spacing w:after="0"/>
              <w:rPr>
                <w:sz w:val="14"/>
                <w:szCs w:val="14"/>
                <w:color w:val="auto"/>
              </w:rPr>
            </w:pPr>
          </w:p>
        </w:tc>
        <w:tc>
          <w:tcPr>
            <w:tcW w:w="6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8"/>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deficit)</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Group</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Balance as of January 1, 2016</w:t>
            </w: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300" w:type="dxa"/>
            <w:vAlign w:val="bottom"/>
            <w:tcBorders>
              <w:top w:val="single" w:sz="8" w:color="E5FFFF"/>
            </w:tcBorders>
            <w:shd w:val="clear" w:color="auto" w:fill="E5FFFF"/>
          </w:tcPr>
          <w:p>
            <w:pPr>
              <w:spacing w:after="0"/>
              <w:rPr>
                <w:sz w:val="12"/>
                <w:szCs w:val="12"/>
                <w:color w:val="auto"/>
              </w:rPr>
            </w:pP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30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1,020,292</w:t>
            </w:r>
          </w:p>
        </w:tc>
        <w:tc>
          <w:tcPr>
            <w:tcW w:w="300" w:type="dxa"/>
            <w:vAlign w:val="bottom"/>
            <w:tcBorders>
              <w:top w:val="single" w:sz="8" w:color="E5FFFF"/>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(8,829</w:t>
            </w:r>
          </w:p>
        </w:tc>
        <w:tc>
          <w:tcPr>
            <w:tcW w:w="180" w:type="dxa"/>
            <w:vAlign w:val="bottom"/>
            <w:tcBorders>
              <w:top w:val="single" w:sz="8" w:color="E5FFFF"/>
            </w:tcBorders>
            <w:shd w:val="clear" w:color="auto" w:fill="E5FFFF"/>
          </w:tcPr>
          <w:p>
            <w:pPr>
              <w:jc w:val="right"/>
              <w:ind w:right="48"/>
              <w:spacing w:after="0" w:line="142" w:lineRule="exact"/>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E5FFFF"/>
            </w:tcBorders>
            <w:shd w:val="clear" w:color="auto" w:fill="E5FFFF"/>
          </w:tcPr>
          <w:p>
            <w:pPr>
              <w:spacing w:after="0"/>
              <w:rPr>
                <w:sz w:val="12"/>
                <w:szCs w:val="12"/>
                <w:color w:val="auto"/>
              </w:rPr>
            </w:pPr>
          </w:p>
        </w:tc>
        <w:tc>
          <w:tcPr>
            <w:tcW w:w="5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(12,491</w:t>
            </w:r>
          </w:p>
        </w:tc>
        <w:tc>
          <w:tcPr>
            <w:tcW w:w="18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tcBorders>
            <w:shd w:val="clear" w:color="auto" w:fill="E5FFFF"/>
          </w:tcPr>
          <w:p>
            <w:pPr>
              <w:spacing w:after="0"/>
              <w:rPr>
                <w:sz w:val="12"/>
                <w:szCs w:val="12"/>
                <w:color w:val="auto"/>
              </w:rPr>
            </w:pPr>
          </w:p>
        </w:tc>
        <w:tc>
          <w:tcPr>
            <w:tcW w:w="8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1,846</w:t>
            </w:r>
          </w:p>
        </w:tc>
        <w:tc>
          <w:tcPr>
            <w:tcW w:w="30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1,001,674</w:t>
            </w:r>
          </w:p>
        </w:tc>
        <w:tc>
          <w:tcPr>
            <w:tcW w:w="300" w:type="dxa"/>
            <w:vAlign w:val="bottom"/>
            <w:tcBorders>
              <w:top w:val="single" w:sz="8" w:color="E5FFFF"/>
            </w:tcBorders>
            <w:shd w:val="clear" w:color="auto" w:fill="E5FFFF"/>
          </w:tcPr>
          <w:p>
            <w:pPr>
              <w:spacing w:after="0"/>
              <w:rPr>
                <w:sz w:val="12"/>
                <w:szCs w:val="12"/>
                <w:color w:val="auto"/>
              </w:rPr>
            </w:pPr>
          </w:p>
        </w:tc>
        <w:tc>
          <w:tcPr>
            <w:tcW w:w="6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506,246</w:t>
            </w:r>
          </w:p>
        </w:tc>
        <w:tc>
          <w:tcPr>
            <w:tcW w:w="300" w:type="dxa"/>
            <w:vAlign w:val="bottom"/>
            <w:tcBorders>
              <w:top w:val="single" w:sz="8" w:color="E5FFFF"/>
            </w:tcBorders>
            <w:shd w:val="clear" w:color="auto" w:fill="E5FFFF"/>
          </w:tcPr>
          <w:p>
            <w:pPr>
              <w:spacing w:after="0"/>
              <w:rPr>
                <w:sz w:val="12"/>
                <w:szCs w:val="12"/>
                <w:color w:val="auto"/>
              </w:rPr>
            </w:pPr>
          </w:p>
        </w:tc>
        <w:tc>
          <w:tcPr>
            <w:tcW w:w="7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1,507,920</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line="142" w:lineRule="exact"/>
              <w:rPr>
                <w:sz w:val="20"/>
                <w:szCs w:val="20"/>
                <w:color w:val="auto"/>
              </w:rPr>
            </w:pPr>
            <w:r>
              <w:rPr>
                <w:rFonts w:ascii="Arial" w:cs="Arial" w:eastAsia="Arial" w:hAnsi="Arial"/>
                <w:sz w:val="14"/>
                <w:szCs w:val="14"/>
                <w:color w:val="auto"/>
                <w:w w:val="98"/>
              </w:rPr>
              <w:t>Dividend paid (common and preference shares)</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(11,939)</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(1,846)</w:t>
            </w:r>
          </w:p>
        </w:tc>
        <w:tc>
          <w:tcPr>
            <w:tcW w:w="3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(13,785)</w:t>
            </w:r>
          </w:p>
        </w:tc>
        <w:tc>
          <w:tcPr>
            <w:tcW w:w="3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(10,353)</w:t>
            </w: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Share-based compensation, net of accrued</w:t>
            </w:r>
          </w:p>
        </w:tc>
        <w:tc>
          <w:tcPr>
            <w:tcW w:w="54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E5FFFF"/>
          </w:tcPr>
          <w:p>
            <w:pPr>
              <w:ind w:left="160"/>
              <w:spacing w:after="0"/>
              <w:rPr>
                <w:sz w:val="20"/>
                <w:szCs w:val="20"/>
                <w:color w:val="auto"/>
              </w:rPr>
            </w:pPr>
            <w:r>
              <w:rPr>
                <w:rFonts w:ascii="Arial" w:cs="Arial" w:eastAsia="Arial" w:hAnsi="Arial"/>
                <w:sz w:val="14"/>
                <w:szCs w:val="14"/>
                <w:color w:val="auto"/>
              </w:rPr>
              <w:t>dividend (Note 16)</w:t>
            </w:r>
          </w:p>
        </w:tc>
        <w:tc>
          <w:tcPr>
            <w:tcW w:w="8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108"/>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E5FFFF"/>
          </w:tcPr>
          <w:p>
            <w:pPr>
              <w:spacing w:after="0"/>
              <w:rPr>
                <w:sz w:val="14"/>
                <w:szCs w:val="14"/>
                <w:color w:val="auto"/>
              </w:rPr>
            </w:pPr>
          </w:p>
        </w:tc>
        <w:tc>
          <w:tcPr>
            <w:tcW w:w="740" w:type="dxa"/>
            <w:vAlign w:val="bottom"/>
            <w:gridSpan w:val="2"/>
            <w:shd w:val="clear" w:color="auto" w:fill="E5FF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735</w:t>
            </w:r>
          </w:p>
        </w:tc>
        <w:tc>
          <w:tcPr>
            <w:tcW w:w="30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(Loss)/profit for the period</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19"/>
              <w:spacing w:after="0" w:line="149" w:lineRule="exact"/>
              <w:rPr>
                <w:sz w:val="20"/>
                <w:szCs w:val="20"/>
                <w:color w:val="auto"/>
              </w:rPr>
            </w:pPr>
            <w:r>
              <w:rPr>
                <w:rFonts w:ascii="Arial" w:cs="Arial" w:eastAsia="Arial" w:hAnsi="Arial"/>
                <w:sz w:val="14"/>
                <w:szCs w:val="14"/>
                <w:color w:val="auto"/>
              </w:rPr>
              <w:t>(15,898)</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(15,898)</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10,600</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(5,298)</w:t>
            </w:r>
          </w:p>
        </w:tc>
        <w:tc>
          <w:tcPr>
            <w:tcW w:w="0" w:type="dxa"/>
            <w:vAlign w:val="bottom"/>
          </w:tcPr>
          <w:p>
            <w:pPr>
              <w:spacing w:after="0"/>
              <w:rPr>
                <w:sz w:val="1"/>
                <w:szCs w:val="1"/>
                <w:color w:val="auto"/>
              </w:rPr>
            </w:pPr>
          </w:p>
        </w:tc>
      </w:tr>
      <w:tr>
        <w:trPr>
          <w:trHeight w:val="162"/>
        </w:trPr>
        <w:tc>
          <w:tcPr>
            <w:tcW w:w="2940" w:type="dxa"/>
            <w:vAlign w:val="bottom"/>
            <w:shd w:val="clear" w:color="auto" w:fill="E5FFFF"/>
          </w:tcPr>
          <w:p>
            <w:pPr>
              <w:spacing w:after="0"/>
              <w:rPr>
                <w:sz w:val="20"/>
                <w:szCs w:val="20"/>
                <w:color w:val="auto"/>
              </w:rPr>
            </w:pPr>
            <w:r>
              <w:rPr>
                <w:rFonts w:ascii="Arial" w:cs="Arial" w:eastAsia="Arial" w:hAnsi="Arial"/>
                <w:sz w:val="14"/>
                <w:szCs w:val="14"/>
                <w:color w:val="auto"/>
              </w:rPr>
              <w:t>Other comprehensive loss for the period</w:t>
            </w:r>
          </w:p>
        </w:tc>
        <w:tc>
          <w:tcPr>
            <w:tcW w:w="8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48"/>
              <w:spacing w:after="0"/>
              <w:rPr>
                <w:sz w:val="20"/>
                <w:szCs w:val="20"/>
                <w:color w:val="auto"/>
              </w:rPr>
            </w:pPr>
            <w:r>
              <w:rPr>
                <w:rFonts w:ascii="Arial" w:cs="Arial" w:eastAsia="Arial" w:hAnsi="Arial"/>
                <w:sz w:val="14"/>
                <w:szCs w:val="14"/>
                <w:color w:val="auto"/>
              </w:rPr>
              <w:t>(4,089)</w:t>
            </w:r>
          </w:p>
        </w:tc>
        <w:tc>
          <w:tcPr>
            <w:tcW w:w="120" w:type="dxa"/>
            <w:vAlign w:val="bottom"/>
            <w:shd w:val="clear" w:color="auto" w:fill="E5FFFF"/>
          </w:tcPr>
          <w:p>
            <w:pPr>
              <w:spacing w:after="0"/>
              <w:rPr>
                <w:sz w:val="14"/>
                <w:szCs w:val="14"/>
                <w:color w:val="auto"/>
              </w:rPr>
            </w:pPr>
          </w:p>
        </w:tc>
        <w:tc>
          <w:tcPr>
            <w:tcW w:w="740" w:type="dxa"/>
            <w:vAlign w:val="bottom"/>
            <w:gridSpan w:val="2"/>
            <w:shd w:val="clear" w:color="auto" w:fill="E5FF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(4,089)</w:t>
            </w: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r>
        <w:trPr>
          <w:trHeight w:val="106"/>
        </w:trPr>
        <w:tc>
          <w:tcPr>
            <w:tcW w:w="294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 (loss)/income for the</w:t>
            </w: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40" w:type="dxa"/>
            <w:vAlign w:val="bottom"/>
          </w:tcPr>
          <w:p>
            <w:pPr>
              <w:ind w:left="160"/>
              <w:spacing w:after="0"/>
              <w:rPr>
                <w:sz w:val="20"/>
                <w:szCs w:val="20"/>
                <w:color w:val="auto"/>
              </w:rPr>
            </w:pPr>
            <w:r>
              <w:rPr>
                <w:rFonts w:ascii="Arial" w:cs="Arial" w:eastAsia="Arial" w:hAnsi="Arial"/>
                <w:sz w:val="14"/>
                <w:szCs w:val="14"/>
                <w:b w:val="1"/>
                <w:bCs w:val="1"/>
                <w:color w:val="auto"/>
              </w:rPr>
              <w:t>period</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(4,089)</w:t>
            </w:r>
          </w:p>
        </w:tc>
        <w:tc>
          <w:tcPr>
            <w:tcW w:w="120" w:type="dxa"/>
            <w:vAlign w:val="bottom"/>
          </w:tcPr>
          <w:p>
            <w:pPr>
              <w:spacing w:after="0"/>
              <w:rPr>
                <w:sz w:val="16"/>
                <w:szCs w:val="16"/>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(15,898)</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(19,987)</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10,600</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(9,387)</w:t>
            </w:r>
          </w:p>
        </w:tc>
        <w:tc>
          <w:tcPr>
            <w:tcW w:w="0" w:type="dxa"/>
            <w:vAlign w:val="bottom"/>
          </w:tcPr>
          <w:p>
            <w:pPr>
              <w:spacing w:after="0"/>
              <w:rPr>
                <w:sz w:val="1"/>
                <w:szCs w:val="1"/>
                <w:color w:val="auto"/>
              </w:rPr>
            </w:pPr>
          </w:p>
        </w:tc>
      </w:tr>
      <w:tr>
        <w:trPr>
          <w:trHeight w:val="142"/>
        </w:trPr>
        <w:tc>
          <w:tcPr>
            <w:tcW w:w="29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Balance as of March 31, 2016</w:t>
            </w: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300" w:type="dxa"/>
            <w:vAlign w:val="bottom"/>
            <w:tcBorders>
              <w:top w:val="single" w:sz="8" w:color="E5FFFF"/>
            </w:tcBorders>
            <w:shd w:val="clear" w:color="auto" w:fill="E5FFFF"/>
          </w:tcPr>
          <w:p>
            <w:pPr>
              <w:spacing w:after="0"/>
              <w:rPr>
                <w:sz w:val="12"/>
                <w:szCs w:val="12"/>
                <w:color w:val="auto"/>
              </w:rPr>
            </w:pP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30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1,008,353</w:t>
            </w:r>
          </w:p>
        </w:tc>
        <w:tc>
          <w:tcPr>
            <w:tcW w:w="300" w:type="dxa"/>
            <w:vAlign w:val="bottom"/>
            <w:tcBorders>
              <w:top w:val="single" w:sz="8" w:color="E5FFFF"/>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(12,183</w:t>
            </w:r>
          </w:p>
        </w:tc>
        <w:tc>
          <w:tcPr>
            <w:tcW w:w="180" w:type="dxa"/>
            <w:vAlign w:val="bottom"/>
            <w:tcBorders>
              <w:top w:val="single" w:sz="8" w:color="E5FFFF"/>
            </w:tcBorders>
            <w:shd w:val="clear" w:color="auto" w:fill="E5FFFF"/>
          </w:tcPr>
          <w:p>
            <w:pPr>
              <w:jc w:val="right"/>
              <w:ind w:right="48"/>
              <w:spacing w:after="0" w:line="142" w:lineRule="exact"/>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E5FFFF"/>
            </w:tcBorders>
            <w:shd w:val="clear" w:color="auto" w:fill="E5FFFF"/>
          </w:tcPr>
          <w:p>
            <w:pPr>
              <w:spacing w:after="0"/>
              <w:rPr>
                <w:sz w:val="12"/>
                <w:szCs w:val="12"/>
                <w:color w:val="auto"/>
              </w:rPr>
            </w:pPr>
          </w:p>
        </w:tc>
        <w:tc>
          <w:tcPr>
            <w:tcW w:w="5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(12,491</w:t>
            </w:r>
          </w:p>
        </w:tc>
        <w:tc>
          <w:tcPr>
            <w:tcW w:w="180" w:type="dxa"/>
            <w:vAlign w:val="bottom"/>
            <w:tcBorders>
              <w:top w:val="single" w:sz="8" w:color="E5FFFF"/>
            </w:tcBorders>
            <w:shd w:val="clear" w:color="auto" w:fill="E5FFFF"/>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tcBorders>
            <w:shd w:val="clear" w:color="auto" w:fill="E5FFFF"/>
          </w:tcPr>
          <w:p>
            <w:pPr>
              <w:spacing w:after="0"/>
              <w:rPr>
                <w:sz w:val="12"/>
                <w:szCs w:val="12"/>
                <w:color w:val="auto"/>
              </w:rPr>
            </w:pPr>
          </w:p>
        </w:tc>
        <w:tc>
          <w:tcPr>
            <w:tcW w:w="8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(15,898</w:t>
            </w:r>
          </w:p>
        </w:tc>
        <w:tc>
          <w:tcPr>
            <w:tcW w:w="300" w:type="dxa"/>
            <w:vAlign w:val="bottom"/>
            <w:tcBorders>
              <w:top w:val="single" w:sz="8" w:color="E5FFFF"/>
            </w:tcBorders>
            <w:shd w:val="clear" w:color="auto" w:fill="E5FFFF"/>
          </w:tcPr>
          <w:p>
            <w:pPr>
              <w:jc w:val="right"/>
              <w:ind w:right="21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968,637</w:t>
            </w:r>
          </w:p>
        </w:tc>
        <w:tc>
          <w:tcPr>
            <w:tcW w:w="300" w:type="dxa"/>
            <w:vAlign w:val="bottom"/>
            <w:tcBorders>
              <w:top w:val="single" w:sz="8" w:color="E5FFFF"/>
            </w:tcBorders>
            <w:shd w:val="clear" w:color="auto" w:fill="E5FFFF"/>
          </w:tcPr>
          <w:p>
            <w:pPr>
              <w:spacing w:after="0"/>
              <w:rPr>
                <w:sz w:val="12"/>
                <w:szCs w:val="12"/>
                <w:color w:val="auto"/>
              </w:rPr>
            </w:pPr>
          </w:p>
        </w:tc>
        <w:tc>
          <w:tcPr>
            <w:tcW w:w="6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506,493</w:t>
            </w:r>
          </w:p>
        </w:tc>
        <w:tc>
          <w:tcPr>
            <w:tcW w:w="300" w:type="dxa"/>
            <w:vAlign w:val="bottom"/>
            <w:tcBorders>
              <w:top w:val="single" w:sz="8" w:color="E5FFFF"/>
            </w:tcBorders>
            <w:shd w:val="clear" w:color="auto" w:fill="E5FFFF"/>
          </w:tcPr>
          <w:p>
            <w:pPr>
              <w:spacing w:after="0"/>
              <w:rPr>
                <w:sz w:val="12"/>
                <w:szCs w:val="12"/>
                <w:color w:val="auto"/>
              </w:rPr>
            </w:pPr>
          </w:p>
        </w:tc>
        <w:tc>
          <w:tcPr>
            <w:tcW w:w="7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1,475,130</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January 1, 2017</w:t>
            </w:r>
          </w:p>
        </w:tc>
        <w:tc>
          <w:tcPr>
            <w:tcW w:w="54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vMerge w:val="restart"/>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vMerge w:val="restart"/>
          </w:tcPr>
          <w:p>
            <w:pPr>
              <w:jc w:val="right"/>
              <w:ind w:right="21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E5FFFF"/>
            </w:tcBorders>
            <w:vMerge w:val="continue"/>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300" w:type="dxa"/>
            <w:vAlign w:val="bottom"/>
            <w:tcBorders>
              <w:bottom w:val="single" w:sz="8" w:color="E5FFFF"/>
            </w:tcBorders>
            <w:vMerge w:val="continue"/>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300" w:type="dxa"/>
            <w:vAlign w:val="bottom"/>
            <w:tcBorders>
              <w:bottom w:val="single" w:sz="8" w:color="E5FF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966,974</w:t>
            </w:r>
          </w:p>
        </w:tc>
        <w:tc>
          <w:tcPr>
            <w:tcW w:w="300" w:type="dxa"/>
            <w:vAlign w:val="bottom"/>
            <w:tcBorders>
              <w:bottom w:val="single" w:sz="8" w:color="E5FFFF"/>
            </w:tcBorders>
            <w:vMerge w:val="continue"/>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10,160</w:t>
            </w:r>
          </w:p>
        </w:tc>
        <w:tc>
          <w:tcPr>
            <w:tcW w:w="180" w:type="dxa"/>
            <w:vAlign w:val="bottom"/>
            <w:tcBorders>
              <w:bottom w:val="single" w:sz="8" w:color="E5FFFF"/>
            </w:tcBorders>
            <w:vMerge w:val="continue"/>
          </w:tcPr>
          <w:p>
            <w:pPr>
              <w:spacing w:after="0"/>
              <w:rPr>
                <w:sz w:val="12"/>
                <w:szCs w:val="12"/>
                <w:color w:val="auto"/>
              </w:rPr>
            </w:pPr>
          </w:p>
        </w:tc>
        <w:tc>
          <w:tcPr>
            <w:tcW w:w="120" w:type="dxa"/>
            <w:vAlign w:val="bottom"/>
            <w:tcBorders>
              <w:bottom w:val="single" w:sz="8" w:color="E5FFFF"/>
            </w:tcBorders>
            <w:vMerge w:val="continue"/>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(10,861</w:t>
            </w:r>
          </w:p>
        </w:tc>
        <w:tc>
          <w:tcPr>
            <w:tcW w:w="180" w:type="dxa"/>
            <w:vAlign w:val="bottom"/>
            <w:tcBorders>
              <w:bottom w:val="single" w:sz="8" w:color="E5FFFF"/>
            </w:tcBorders>
            <w:vMerge w:val="continue"/>
          </w:tcPr>
          <w:p>
            <w:pPr>
              <w:spacing w:after="0"/>
              <w:rPr>
                <w:sz w:val="12"/>
                <w:szCs w:val="12"/>
                <w:color w:val="auto"/>
              </w:rPr>
            </w:pPr>
          </w:p>
        </w:tc>
        <w:tc>
          <w:tcPr>
            <w:tcW w:w="120" w:type="dxa"/>
            <w:vAlign w:val="bottom"/>
            <w:tcBorders>
              <w:bottom w:val="single" w:sz="8" w:color="E5FFFF"/>
            </w:tcBorders>
            <w:vMerge w:val="continue"/>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(21,486</w:t>
            </w:r>
          </w:p>
        </w:tc>
        <w:tc>
          <w:tcPr>
            <w:tcW w:w="300" w:type="dxa"/>
            <w:vAlign w:val="bottom"/>
            <w:tcBorders>
              <w:bottom w:val="single" w:sz="8" w:color="E5FFFF"/>
            </w:tcBorders>
            <w:vMerge w:val="continue"/>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945,643</w:t>
            </w:r>
          </w:p>
        </w:tc>
        <w:tc>
          <w:tcPr>
            <w:tcW w:w="300" w:type="dxa"/>
            <w:vAlign w:val="bottom"/>
            <w:tcBorders>
              <w:bottom w:val="single" w:sz="8" w:color="E5FFFF"/>
            </w:tcBorders>
            <w:vMerge w:val="continue"/>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564,039</w:t>
            </w:r>
          </w:p>
        </w:tc>
        <w:tc>
          <w:tcPr>
            <w:tcW w:w="300" w:type="dxa"/>
            <w:vAlign w:val="bottom"/>
            <w:tcBorders>
              <w:bottom w:val="single" w:sz="8" w:color="E5FFFF"/>
            </w:tcBorders>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1,509,682</w:t>
            </w:r>
          </w:p>
        </w:tc>
        <w:tc>
          <w:tcPr>
            <w:tcW w:w="100" w:type="dxa"/>
            <w:vAlign w:val="bottom"/>
            <w:tcBorders>
              <w:bottom w:val="single" w:sz="8" w:color="E5FF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940" w:type="dxa"/>
            <w:vAlign w:val="bottom"/>
            <w:shd w:val="clear" w:color="auto" w:fill="E5FFFF"/>
          </w:tcPr>
          <w:p>
            <w:pPr>
              <w:spacing w:after="0" w:line="110" w:lineRule="exact"/>
              <w:rPr>
                <w:sz w:val="20"/>
                <w:szCs w:val="20"/>
                <w:color w:val="auto"/>
              </w:rPr>
            </w:pPr>
            <w:r>
              <w:rPr>
                <w:rFonts w:ascii="Arial" w:cs="Arial" w:eastAsia="Arial" w:hAnsi="Arial"/>
                <w:sz w:val="12"/>
                <w:szCs w:val="12"/>
                <w:color w:val="auto"/>
              </w:rPr>
              <w:t>Net proceeds from GasLog Partners’ public</w:t>
            </w:r>
          </w:p>
        </w:tc>
        <w:tc>
          <w:tcPr>
            <w:tcW w:w="54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64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54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60" w:type="dxa"/>
            <w:vAlign w:val="bottom"/>
            <w:shd w:val="clear" w:color="auto" w:fill="E5FFFF"/>
          </w:tcPr>
          <w:p>
            <w:pPr>
              <w:spacing w:after="0"/>
              <w:rPr>
                <w:sz w:val="9"/>
                <w:szCs w:val="9"/>
                <w:color w:val="auto"/>
              </w:rPr>
            </w:pPr>
          </w:p>
        </w:tc>
        <w:tc>
          <w:tcPr>
            <w:tcW w:w="18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82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7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660" w:type="dxa"/>
            <w:vAlign w:val="bottom"/>
            <w:shd w:val="clear" w:color="auto" w:fill="E5FFFF"/>
          </w:tcPr>
          <w:p>
            <w:pPr>
              <w:spacing w:after="0"/>
              <w:rPr>
                <w:sz w:val="9"/>
                <w:szCs w:val="9"/>
                <w:color w:val="auto"/>
              </w:rPr>
            </w:pPr>
          </w:p>
        </w:tc>
        <w:tc>
          <w:tcPr>
            <w:tcW w:w="300" w:type="dxa"/>
            <w:vAlign w:val="bottom"/>
            <w:shd w:val="clear" w:color="auto" w:fill="E5FFFF"/>
          </w:tcPr>
          <w:p>
            <w:pPr>
              <w:spacing w:after="0"/>
              <w:rPr>
                <w:sz w:val="9"/>
                <w:szCs w:val="9"/>
                <w:color w:val="auto"/>
              </w:rPr>
            </w:pPr>
          </w:p>
        </w:tc>
        <w:tc>
          <w:tcPr>
            <w:tcW w:w="70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E5FFFF"/>
          </w:tcPr>
          <w:p>
            <w:pPr>
              <w:ind w:left="160"/>
              <w:spacing w:after="0"/>
              <w:rPr>
                <w:sz w:val="20"/>
                <w:szCs w:val="20"/>
                <w:color w:val="auto"/>
              </w:rPr>
            </w:pPr>
            <w:r>
              <w:rPr>
                <w:rFonts w:ascii="Arial" w:cs="Arial" w:eastAsia="Arial" w:hAnsi="Arial"/>
                <w:sz w:val="14"/>
                <w:szCs w:val="14"/>
                <w:color w:val="auto"/>
              </w:rPr>
              <w:t>offering (Note 3)</w:t>
            </w:r>
          </w:p>
        </w:tc>
        <w:tc>
          <w:tcPr>
            <w:tcW w:w="8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740" w:type="dxa"/>
            <w:vAlign w:val="bottom"/>
            <w:gridSpan w:val="2"/>
            <w:shd w:val="clear" w:color="auto" w:fill="E5FF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78,025</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78,025</w:t>
            </w:r>
          </w:p>
        </w:tc>
        <w:tc>
          <w:tcPr>
            <w:tcW w:w="0" w:type="dxa"/>
            <w:vAlign w:val="bottom"/>
          </w:tcPr>
          <w:p>
            <w:pPr>
              <w:spacing w:after="0"/>
              <w:rPr>
                <w:sz w:val="1"/>
                <w:szCs w:val="1"/>
                <w:color w:val="auto"/>
              </w:rPr>
            </w:pPr>
          </w:p>
        </w:tc>
      </w:tr>
      <w:tr>
        <w:trPr>
          <w:trHeight w:val="130"/>
        </w:trPr>
        <w:tc>
          <w:tcPr>
            <w:tcW w:w="2940" w:type="dxa"/>
            <w:vAlign w:val="bottom"/>
          </w:tcPr>
          <w:p>
            <w:pPr>
              <w:spacing w:after="0" w:line="130" w:lineRule="exact"/>
              <w:rPr>
                <w:sz w:val="20"/>
                <w:szCs w:val="20"/>
                <w:color w:val="auto"/>
              </w:rPr>
            </w:pPr>
            <w:r>
              <w:rPr>
                <w:rFonts w:ascii="Arial" w:cs="Arial" w:eastAsia="Arial" w:hAnsi="Arial"/>
                <w:sz w:val="14"/>
                <w:szCs w:val="14"/>
                <w:color w:val="auto"/>
                <w:w w:val="98"/>
              </w:rPr>
              <w:t>Dividend paid (common and preference shares)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160"/>
              <w:spacing w:after="0"/>
              <w:rPr>
                <w:sz w:val="20"/>
                <w:szCs w:val="20"/>
                <w:color w:val="auto"/>
              </w:rPr>
            </w:pPr>
            <w:r>
              <w:rPr>
                <w:rFonts w:ascii="Arial" w:cs="Arial" w:eastAsia="Arial" w:hAnsi="Arial"/>
                <w:sz w:val="14"/>
                <w:szCs w:val="14"/>
                <w:color w:val="auto"/>
              </w:rPr>
              <w:t>(Note 11)</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(13,794)</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(13,794)</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(13,798)</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(27,592)</w:t>
            </w:r>
          </w:p>
        </w:tc>
        <w:tc>
          <w:tcPr>
            <w:tcW w:w="0" w:type="dxa"/>
            <w:vAlign w:val="bottom"/>
          </w:tcPr>
          <w:p>
            <w:pPr>
              <w:spacing w:after="0"/>
              <w:rPr>
                <w:sz w:val="1"/>
                <w:szCs w:val="1"/>
                <w:color w:val="auto"/>
              </w:rPr>
            </w:pPr>
          </w:p>
        </w:tc>
      </w:tr>
      <w:tr>
        <w:trPr>
          <w:trHeight w:val="130"/>
        </w:trPr>
        <w:tc>
          <w:tcPr>
            <w:tcW w:w="294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Share-based compensation, net of accrued</w:t>
            </w:r>
          </w:p>
        </w:tc>
        <w:tc>
          <w:tcPr>
            <w:tcW w:w="54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5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70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E5FFFF"/>
          </w:tcPr>
          <w:p>
            <w:pPr>
              <w:ind w:left="160"/>
              <w:spacing w:after="0"/>
              <w:rPr>
                <w:sz w:val="20"/>
                <w:szCs w:val="20"/>
                <w:color w:val="auto"/>
              </w:rPr>
            </w:pPr>
            <w:r>
              <w:rPr>
                <w:rFonts w:ascii="Arial" w:cs="Arial" w:eastAsia="Arial" w:hAnsi="Arial"/>
                <w:sz w:val="14"/>
                <w:szCs w:val="14"/>
                <w:color w:val="auto"/>
              </w:rPr>
              <w:t>dividend (Note 16)</w:t>
            </w:r>
          </w:p>
        </w:tc>
        <w:tc>
          <w:tcPr>
            <w:tcW w:w="8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108"/>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E5FFFF"/>
          </w:tcPr>
          <w:p>
            <w:pPr>
              <w:spacing w:after="0"/>
              <w:rPr>
                <w:sz w:val="14"/>
                <w:szCs w:val="14"/>
                <w:color w:val="auto"/>
              </w:rPr>
            </w:pPr>
          </w:p>
        </w:tc>
        <w:tc>
          <w:tcPr>
            <w:tcW w:w="740" w:type="dxa"/>
            <w:vAlign w:val="bottom"/>
            <w:gridSpan w:val="2"/>
            <w:shd w:val="clear" w:color="auto" w:fill="E5FF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929</w:t>
            </w:r>
          </w:p>
        </w:tc>
        <w:tc>
          <w:tcPr>
            <w:tcW w:w="300" w:type="dxa"/>
            <w:vAlign w:val="bottom"/>
            <w:shd w:val="clear" w:color="auto" w:fill="E5FFFF"/>
          </w:tcPr>
          <w:p>
            <w:pPr>
              <w:spacing w:after="0"/>
              <w:rPr>
                <w:sz w:val="14"/>
                <w:szCs w:val="14"/>
                <w:color w:val="auto"/>
              </w:rPr>
            </w:pP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Profit for the period</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59"/>
              <w:spacing w:after="0" w:line="149" w:lineRule="exact"/>
              <w:rPr>
                <w:sz w:val="20"/>
                <w:szCs w:val="20"/>
                <w:color w:val="auto"/>
              </w:rPr>
            </w:pPr>
            <w:r>
              <w:rPr>
                <w:rFonts w:ascii="Arial" w:cs="Arial" w:eastAsia="Arial" w:hAnsi="Arial"/>
                <w:sz w:val="14"/>
                <w:szCs w:val="14"/>
                <w:color w:val="auto"/>
              </w:rPr>
              <w:t>8,752</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8,752</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14,640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23,392</w:t>
            </w:r>
          </w:p>
        </w:tc>
        <w:tc>
          <w:tcPr>
            <w:tcW w:w="0" w:type="dxa"/>
            <w:vAlign w:val="bottom"/>
          </w:tcPr>
          <w:p>
            <w:pPr>
              <w:spacing w:after="0"/>
              <w:rPr>
                <w:sz w:val="1"/>
                <w:szCs w:val="1"/>
                <w:color w:val="auto"/>
              </w:rPr>
            </w:pPr>
          </w:p>
        </w:tc>
      </w:tr>
      <w:tr>
        <w:trPr>
          <w:trHeight w:val="162"/>
        </w:trPr>
        <w:tc>
          <w:tcPr>
            <w:tcW w:w="2940" w:type="dxa"/>
            <w:vAlign w:val="bottom"/>
            <w:shd w:val="clear" w:color="auto" w:fill="E5FFFF"/>
          </w:tcPr>
          <w:p>
            <w:pPr>
              <w:spacing w:after="0"/>
              <w:rPr>
                <w:sz w:val="20"/>
                <w:szCs w:val="20"/>
                <w:color w:val="auto"/>
              </w:rPr>
            </w:pPr>
            <w:r>
              <w:rPr>
                <w:rFonts w:ascii="Arial" w:cs="Arial" w:eastAsia="Arial" w:hAnsi="Arial"/>
                <w:sz w:val="14"/>
                <w:szCs w:val="14"/>
                <w:color w:val="auto"/>
              </w:rPr>
              <w:t>Other comprehensive loss for the period</w:t>
            </w:r>
          </w:p>
        </w:tc>
        <w:tc>
          <w:tcPr>
            <w:tcW w:w="8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E5FF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E5FFFF"/>
          </w:tcPr>
          <w:p>
            <w:pPr>
              <w:spacing w:after="0"/>
              <w:rPr>
                <w:sz w:val="14"/>
                <w:szCs w:val="14"/>
                <w:color w:val="auto"/>
              </w:rPr>
            </w:pPr>
          </w:p>
        </w:tc>
        <w:tc>
          <w:tcPr>
            <w:tcW w:w="740" w:type="dxa"/>
            <w:vAlign w:val="bottom"/>
            <w:gridSpan w:val="2"/>
            <w:shd w:val="clear" w:color="auto" w:fill="E5FFFF"/>
          </w:tcPr>
          <w:p>
            <w:pPr>
              <w:jc w:val="right"/>
              <w:ind w:right="13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120" w:type="dxa"/>
            <w:vAlign w:val="bottom"/>
            <w:gridSpan w:val="2"/>
            <w:shd w:val="clear" w:color="auto" w:fill="E5FFFF"/>
          </w:tcPr>
          <w:p>
            <w:pPr>
              <w:jc w:val="right"/>
              <w:ind w:right="25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(44)</w:t>
            </w:r>
          </w:p>
        </w:tc>
        <w:tc>
          <w:tcPr>
            <w:tcW w:w="960" w:type="dxa"/>
            <w:vAlign w:val="bottom"/>
            <w:gridSpan w:val="2"/>
            <w:shd w:val="clear" w:color="auto" w:fill="E5FF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06"/>
        </w:trPr>
        <w:tc>
          <w:tcPr>
            <w:tcW w:w="294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 (loss)/income for the</w:t>
            </w: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40" w:type="dxa"/>
            <w:vAlign w:val="bottom"/>
          </w:tcPr>
          <w:p>
            <w:pPr>
              <w:ind w:left="160"/>
              <w:spacing w:after="0"/>
              <w:rPr>
                <w:sz w:val="20"/>
                <w:szCs w:val="20"/>
                <w:color w:val="auto"/>
              </w:rPr>
            </w:pPr>
            <w:r>
              <w:rPr>
                <w:rFonts w:ascii="Arial" w:cs="Arial" w:eastAsia="Arial" w:hAnsi="Arial"/>
                <w:sz w:val="14"/>
                <w:szCs w:val="14"/>
                <w:b w:val="1"/>
                <w:bCs w:val="1"/>
                <w:color w:val="auto"/>
              </w:rPr>
              <w:t>period</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16"/>
                <w:szCs w:val="16"/>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8,752</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8,708</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14,640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23,348</w:t>
            </w:r>
          </w:p>
        </w:tc>
        <w:tc>
          <w:tcPr>
            <w:tcW w:w="0" w:type="dxa"/>
            <w:vAlign w:val="bottom"/>
          </w:tcPr>
          <w:p>
            <w:pPr>
              <w:spacing w:after="0"/>
              <w:rPr>
                <w:sz w:val="1"/>
                <w:szCs w:val="1"/>
                <w:color w:val="auto"/>
              </w:rPr>
            </w:pPr>
          </w:p>
        </w:tc>
      </w:tr>
      <w:tr>
        <w:trPr>
          <w:trHeight w:val="156"/>
        </w:trPr>
        <w:tc>
          <w:tcPr>
            <w:tcW w:w="294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Balance as of March 31, 2017</w:t>
            </w:r>
          </w:p>
        </w:tc>
        <w:tc>
          <w:tcPr>
            <w:tcW w:w="5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810</w:t>
            </w:r>
          </w:p>
        </w:tc>
        <w:tc>
          <w:tcPr>
            <w:tcW w:w="300" w:type="dxa"/>
            <w:vAlign w:val="bottom"/>
            <w:tcBorders>
              <w:top w:val="single" w:sz="8" w:color="E5FFFF"/>
              <w:bottom w:val="single" w:sz="8" w:color="E5FFFF"/>
            </w:tcBorders>
            <w:shd w:val="clear" w:color="auto" w:fill="E5FFFF"/>
          </w:tcPr>
          <w:p>
            <w:pPr>
              <w:spacing w:after="0"/>
              <w:rPr>
                <w:sz w:val="13"/>
                <w:szCs w:val="13"/>
                <w:color w:val="auto"/>
              </w:rPr>
            </w:pPr>
          </w:p>
        </w:tc>
        <w:tc>
          <w:tcPr>
            <w:tcW w:w="6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300" w:type="dxa"/>
            <w:vAlign w:val="bottom"/>
            <w:tcBorders>
              <w:top w:val="single" w:sz="8" w:color="E5FFFF"/>
              <w:bottom w:val="single" w:sz="8" w:color="E5FFFF"/>
            </w:tcBorders>
            <w:shd w:val="clear" w:color="auto" w:fill="E5FFFF"/>
          </w:tcPr>
          <w:p>
            <w:pPr>
              <w:spacing w:after="0"/>
              <w:rPr>
                <w:sz w:val="13"/>
                <w:szCs w:val="13"/>
                <w:color w:val="auto"/>
              </w:rPr>
            </w:pP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953,180</w:t>
            </w:r>
          </w:p>
        </w:tc>
        <w:tc>
          <w:tcPr>
            <w:tcW w:w="300" w:type="dxa"/>
            <w:vAlign w:val="bottom"/>
            <w:tcBorders>
              <w:top w:val="single" w:sz="8" w:color="E5FFFF"/>
              <w:bottom w:val="single" w:sz="8" w:color="E5FFFF"/>
            </w:tcBorders>
            <w:shd w:val="clear" w:color="auto" w:fill="E5FFFF"/>
          </w:tcPr>
          <w:p>
            <w:pPr>
              <w:spacing w:after="0"/>
              <w:rPr>
                <w:sz w:val="13"/>
                <w:szCs w:val="13"/>
                <w:color w:val="auto"/>
              </w:rPr>
            </w:pPr>
          </w:p>
        </w:tc>
        <w:tc>
          <w:tcPr>
            <w:tcW w:w="5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11,045</w:t>
            </w:r>
          </w:p>
        </w:tc>
        <w:tc>
          <w:tcPr>
            <w:tcW w:w="180" w:type="dxa"/>
            <w:vAlign w:val="bottom"/>
            <w:tcBorders>
              <w:top w:val="single" w:sz="8" w:color="E5FFFF"/>
              <w:bottom w:val="single" w:sz="8" w:color="E5FFFF"/>
            </w:tcBorders>
            <w:shd w:val="clear" w:color="auto" w:fill="E5FFFF"/>
          </w:tcPr>
          <w:p>
            <w:pPr>
              <w:spacing w:after="0"/>
              <w:rPr>
                <w:sz w:val="13"/>
                <w:szCs w:val="13"/>
                <w:color w:val="auto"/>
              </w:rPr>
            </w:pP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5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(10,861</w:t>
            </w:r>
          </w:p>
        </w:tc>
        <w:tc>
          <w:tcPr>
            <w:tcW w:w="180" w:type="dxa"/>
            <w:vAlign w:val="bottom"/>
            <w:tcBorders>
              <w:top w:val="single" w:sz="8" w:color="E5FFFF"/>
              <w:bottom w:val="single" w:sz="8" w:color="E5FFFF"/>
            </w:tcBorders>
            <w:shd w:val="clear" w:color="auto" w:fill="E5FFFF"/>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8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(12,734</w:t>
            </w:r>
          </w:p>
        </w:tc>
        <w:tc>
          <w:tcPr>
            <w:tcW w:w="300" w:type="dxa"/>
            <w:vAlign w:val="bottom"/>
            <w:tcBorders>
              <w:top w:val="single" w:sz="8" w:color="E5FFFF"/>
              <w:bottom w:val="single" w:sz="8" w:color="E5FFFF"/>
            </w:tcBorders>
            <w:shd w:val="clear" w:color="auto" w:fill="E5FFFF"/>
          </w:tcPr>
          <w:p>
            <w:pPr>
              <w:jc w:val="right"/>
              <w:ind w:right="21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941,486</w:t>
            </w:r>
          </w:p>
        </w:tc>
        <w:tc>
          <w:tcPr>
            <w:tcW w:w="300" w:type="dxa"/>
            <w:vAlign w:val="bottom"/>
            <w:tcBorders>
              <w:top w:val="single" w:sz="8" w:color="E5FFFF"/>
              <w:bottom w:val="single" w:sz="8" w:color="E5FFFF"/>
            </w:tcBorders>
            <w:shd w:val="clear" w:color="auto" w:fill="E5FFFF"/>
          </w:tcPr>
          <w:p>
            <w:pPr>
              <w:spacing w:after="0"/>
              <w:rPr>
                <w:sz w:val="13"/>
                <w:szCs w:val="13"/>
                <w:color w:val="auto"/>
              </w:rPr>
            </w:pPr>
          </w:p>
        </w:tc>
        <w:tc>
          <w:tcPr>
            <w:tcW w:w="66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642,906</w:t>
            </w:r>
          </w:p>
        </w:tc>
        <w:tc>
          <w:tcPr>
            <w:tcW w:w="300" w:type="dxa"/>
            <w:vAlign w:val="bottom"/>
            <w:tcBorders>
              <w:top w:val="single" w:sz="8" w:color="E5FFFF"/>
              <w:bottom w:val="single" w:sz="8" w:color="E5FFFF"/>
            </w:tcBorders>
            <w:shd w:val="clear" w:color="auto" w:fill="E5FFFF"/>
          </w:tcPr>
          <w:p>
            <w:pPr>
              <w:spacing w:after="0"/>
              <w:rPr>
                <w:sz w:val="13"/>
                <w:szCs w:val="13"/>
                <w:color w:val="auto"/>
              </w:rPr>
            </w:pPr>
          </w:p>
        </w:tc>
        <w:tc>
          <w:tcPr>
            <w:tcW w:w="70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1,584,392</w:t>
            </w:r>
          </w:p>
        </w:tc>
        <w:tc>
          <w:tcPr>
            <w:tcW w:w="100" w:type="dxa"/>
            <w:vAlign w:val="bottom"/>
            <w:tcBorders>
              <w:top w:val="single" w:sz="8" w:color="E5FFFF"/>
              <w:bottom w:val="single" w:sz="8" w:color="E5FFFF"/>
            </w:tcBorders>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GasLog Ltd. and its Subsidiaries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2016 and 2017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2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 2016</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(5,298)</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28,164</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(334)</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Financial income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29,179</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Unrealized foreign exchange gains on cash and cash equivalents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loss/(gain) on derivative financial instruments held for trading</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8,137</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763</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18"/>
                <w:szCs w:val="18"/>
                <w:color w:val="auto"/>
              </w:rPr>
            </w:pP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60,555</w:t>
            </w:r>
          </w:p>
        </w:tc>
        <w:tc>
          <w:tcPr>
            <w:tcW w:w="34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87,393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7,687</w:t>
            </w:r>
          </w:p>
        </w:tc>
        <w:tc>
          <w:tcPr>
            <w:tcW w:w="34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68,242</w:t>
            </w:r>
          </w:p>
        </w:tc>
        <w:tc>
          <w:tcPr>
            <w:tcW w:w="34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84,921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(23,953</w:t>
            </w:r>
          </w:p>
        </w:tc>
        <w:tc>
          <w:tcPr>
            <w:tcW w:w="340" w:type="dxa"/>
            <w:vAlign w:val="bottom"/>
            <w:shd w:val="clear" w:color="auto" w:fill="E5FFFF"/>
          </w:tcPr>
          <w:p>
            <w:pPr>
              <w:jc w:val="right"/>
              <w:ind w:right="200"/>
              <w:spacing w:after="0"/>
              <w:rPr>
                <w:sz w:val="20"/>
                <w:szCs w:val="20"/>
                <w:color w:val="auto"/>
              </w:rPr>
            </w:pPr>
            <w:r>
              <w:rPr>
                <w:rFonts w:ascii="Arial" w:cs="Arial" w:eastAsia="Arial" w:hAnsi="Arial"/>
                <w:sz w:val="16"/>
                <w:szCs w:val="16"/>
                <w:color w:val="auto"/>
                <w:w w:val="74"/>
              </w:rPr>
              <w:t>)</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(35,413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44,289</w:t>
            </w:r>
          </w:p>
        </w:tc>
        <w:tc>
          <w:tcPr>
            <w:tcW w:w="34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49,508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(197,797)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925</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Payments for investment in associate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(1,500)</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6,000</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218</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(192,154</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(18,064</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162,967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217,000</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Bank loan repayments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(253,610)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(12,328)</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7"/>
              </w:rPr>
              <w:t>Proceeds from GasLog Partners’ public offerings (net of underwriting discounts and</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commissions)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39,095</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(24,138)</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stock options exercise</w:t>
            </w: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128,702</w:t>
            </w:r>
          </w:p>
        </w:tc>
        <w:tc>
          <w:tcPr>
            <w:tcW w:w="34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(Decrease)/increase in cash and cash equivalents</w:t>
            </w:r>
          </w:p>
        </w:tc>
        <w:tc>
          <w:tcPr>
            <w:tcW w:w="6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(18,960</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305,754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302,988</w:t>
            </w:r>
          </w:p>
        </w:tc>
        <w:tc>
          <w:tcPr>
            <w:tcW w:w="340" w:type="dxa"/>
            <w:vAlign w:val="bottom"/>
            <w:shd w:val="clear" w:color="auto" w:fill="E5FFFF"/>
          </w:tcPr>
          <w:p>
            <w:pPr>
              <w:spacing w:after="0"/>
              <w:rPr>
                <w:sz w:val="18"/>
                <w:szCs w:val="18"/>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227,024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284,028</w:t>
            </w:r>
          </w:p>
        </w:tc>
        <w:tc>
          <w:tcPr>
            <w:tcW w:w="3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5,169</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5FFFF"/>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17</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3,673</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Expenditures for vessel held under finance lease included in liabilities at the end of</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E5FFFF"/>
          </w:tcPr>
          <w:p>
            <w:pPr>
              <w:ind w:left="140"/>
              <w:spacing w:after="0"/>
              <w:rPr>
                <w:sz w:val="20"/>
                <w:szCs w:val="20"/>
                <w:color w:val="auto"/>
              </w:rPr>
            </w:pPr>
            <w:r>
              <w:rPr>
                <w:rFonts w:ascii="Arial" w:cs="Arial" w:eastAsia="Arial" w:hAnsi="Arial"/>
                <w:sz w:val="18"/>
                <w:szCs w:val="18"/>
                <w:color w:val="auto"/>
              </w:rPr>
              <w:t>the period</w:t>
            </w:r>
          </w:p>
        </w:tc>
        <w:tc>
          <w:tcPr>
            <w:tcW w:w="68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20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430</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Investment in associates included in liabilities at the end of the period</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March 31, 2017, entities controlled by members of the Livanos family, including GasLog’s chairman, are deemed to beneficially own approximately 40.16% of GasLog’s issued and outstanding common shares. As a result of his ownership of GasLog’s common shares, Mr. Livanos can effectively control the outcome of most matters on which GasLog’s shareholders are entitled to vote.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March 31, 2017, GasLog holds a 27.57% interest (including the 2% interest through general partner units) in GasLog Partners LP (“GasLog Partners” or the “Partnership”). As a result of its 100%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March 31, 2017 is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Cargo</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Place of</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of</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93"/>
              </w:rPr>
              <w:t>incorporation</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incorporation</w:t>
            </w: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Principal activities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(cbm)</w:t>
            </w:r>
          </w:p>
        </w:tc>
        <w:tc>
          <w:tcPr>
            <w:tcW w:w="100" w:type="dxa"/>
            <w:vAlign w:val="bottom"/>
          </w:tcPr>
          <w:p>
            <w:pPr>
              <w:spacing w:after="0"/>
              <w:rPr>
                <w:sz w:val="20"/>
                <w:szCs w:val="20"/>
                <w:color w:val="auto"/>
              </w:rPr>
            </w:pPr>
          </w:p>
        </w:tc>
        <w:tc>
          <w:tcPr>
            <w:tcW w:w="2160" w:type="dxa"/>
            <w:vAlign w:val="bottom"/>
            <w:gridSpan w:val="2"/>
          </w:tcPr>
          <w:p>
            <w:pPr>
              <w:ind w:left="800"/>
              <w:spacing w:after="0"/>
              <w:rPr>
                <w:sz w:val="20"/>
                <w:szCs w:val="20"/>
                <w:color w:val="auto"/>
              </w:rPr>
            </w:pPr>
            <w:r>
              <w:rPr>
                <w:rFonts w:ascii="Arial" w:cs="Arial" w:eastAsia="Arial" w:hAnsi="Arial"/>
                <w:sz w:val="18"/>
                <w:szCs w:val="18"/>
                <w:b w:val="1"/>
                <w:bCs w:val="1"/>
                <w:color w:val="auto"/>
              </w:rPr>
              <w:t>Vessel</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9"/>
              </w:rPr>
              <w:t>Delivery date</w:t>
            </w:r>
          </w:p>
        </w:tc>
      </w:tr>
      <w:tr>
        <w:trPr>
          <w:trHeight w:val="210"/>
        </w:trPr>
        <w:tc>
          <w:tcPr>
            <w:tcW w:w="2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Subsidiaries:</w:t>
            </w:r>
          </w:p>
        </w:tc>
        <w:tc>
          <w:tcPr>
            <w:tcW w:w="1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0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GasLog Investments Ltd.</w:t>
            </w:r>
          </w:p>
        </w:tc>
        <w:tc>
          <w:tcPr>
            <w:tcW w:w="1140" w:type="dxa"/>
            <w:vAlign w:val="bottom"/>
          </w:tcPr>
          <w:p>
            <w:pPr>
              <w:spacing w:after="0"/>
              <w:rPr>
                <w:sz w:val="20"/>
                <w:szCs w:val="20"/>
                <w:color w:val="auto"/>
              </w:rPr>
            </w:pPr>
            <w:r>
              <w:rPr>
                <w:rFonts w:ascii="Arial" w:cs="Arial" w:eastAsia="Arial" w:hAnsi="Arial"/>
                <w:sz w:val="18"/>
                <w:szCs w:val="18"/>
                <w:color w:val="auto"/>
              </w:rPr>
              <w:t>BVI</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2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Carriers Ltd. (“GasLog</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February 2008</w:t>
            </w: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6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Carriers”)</w:t>
            </w:r>
          </w:p>
        </w:tc>
        <w:tc>
          <w:tcPr>
            <w:tcW w:w="1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GasLog Shipping Company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January 2006</w:t>
            </w:r>
          </w:p>
        </w:tc>
        <w:tc>
          <w:tcPr>
            <w:tcW w:w="192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Partners GP LLC</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Marshall</w:t>
            </w:r>
          </w:p>
        </w:tc>
        <w:tc>
          <w:tcPr>
            <w:tcW w:w="14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January 2014</w:t>
            </w: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6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Islands</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GasLog Cyprus Investments Ltd.</w:t>
            </w:r>
          </w:p>
        </w:tc>
        <w:tc>
          <w:tcPr>
            <w:tcW w:w="1140" w:type="dxa"/>
            <w:vAlign w:val="bottom"/>
          </w:tcPr>
          <w:p>
            <w:pPr>
              <w:spacing w:after="0"/>
              <w:rPr>
                <w:sz w:val="20"/>
                <w:szCs w:val="20"/>
                <w:color w:val="auto"/>
              </w:rPr>
            </w:pPr>
            <w:r>
              <w:rPr>
                <w:rFonts w:ascii="Arial" w:cs="Arial" w:eastAsia="Arial" w:hAnsi="Arial"/>
                <w:sz w:val="18"/>
                <w:szCs w:val="18"/>
                <w:color w:val="auto"/>
              </w:rPr>
              <w:t>Cyprus</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w w:val="98"/>
              </w:rPr>
              <w:t>December 2016</w:t>
            </w:r>
          </w:p>
        </w:tc>
        <w:tc>
          <w:tcPr>
            <w:tcW w:w="192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2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Services UK Ltd.</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England and</w:t>
            </w:r>
          </w:p>
        </w:tc>
        <w:tc>
          <w:tcPr>
            <w:tcW w:w="14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May 2014</w:t>
            </w: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Service company</w:t>
            </w:r>
          </w:p>
        </w:tc>
        <w:tc>
          <w:tcPr>
            <w:tcW w:w="6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Wales</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GasLog Services US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May 2014</w:t>
            </w:r>
          </w:p>
        </w:tc>
        <w:tc>
          <w:tcPr>
            <w:tcW w:w="1920" w:type="dxa"/>
            <w:vAlign w:val="bottom"/>
            <w:gridSpan w:val="2"/>
          </w:tcPr>
          <w:p>
            <w:pPr>
              <w:spacing w:after="0"/>
              <w:rPr>
                <w:sz w:val="20"/>
                <w:szCs w:val="20"/>
                <w:color w:val="auto"/>
              </w:rPr>
            </w:pPr>
            <w:r>
              <w:rPr>
                <w:rFonts w:ascii="Arial" w:cs="Arial" w:eastAsia="Arial" w:hAnsi="Arial"/>
                <w:sz w:val="18"/>
                <w:szCs w:val="18"/>
                <w:color w:val="auto"/>
              </w:rPr>
              <w:t>Service company</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Asia Pte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2015</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Service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GasLog LNG Services Ltd.</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August 2004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Vessel management</w:t>
            </w:r>
          </w:p>
        </w:tc>
        <w:tc>
          <w:tcPr>
            <w:tcW w:w="6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Monaco S.A.M.</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Monaco</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2010</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Service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GAS-one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February 2008</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Savannah</w:t>
            </w:r>
          </w:p>
        </w:tc>
        <w:tc>
          <w:tcPr>
            <w:tcW w:w="1140" w:type="dxa"/>
            <w:vAlign w:val="bottom"/>
          </w:tcPr>
          <w:p>
            <w:pPr>
              <w:spacing w:after="0"/>
              <w:rPr>
                <w:sz w:val="20"/>
                <w:szCs w:val="20"/>
                <w:color w:val="auto"/>
              </w:rPr>
            </w:pPr>
            <w:r>
              <w:rPr>
                <w:rFonts w:ascii="Arial" w:cs="Arial" w:eastAsia="Arial" w:hAnsi="Arial"/>
                <w:sz w:val="18"/>
                <w:szCs w:val="18"/>
                <w:color w:val="auto"/>
              </w:rPr>
              <w:t>May 2010</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GAS-two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2008</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GasLog Singapore</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July 2010</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GAS-six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February 2011</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Skagen</w:t>
            </w:r>
          </w:p>
        </w:tc>
        <w:tc>
          <w:tcPr>
            <w:tcW w:w="1140" w:type="dxa"/>
            <w:vAlign w:val="bottom"/>
          </w:tcPr>
          <w:p>
            <w:pPr>
              <w:spacing w:after="0"/>
              <w:rPr>
                <w:sz w:val="20"/>
                <w:szCs w:val="20"/>
                <w:color w:val="auto"/>
              </w:rPr>
            </w:pPr>
            <w:r>
              <w:rPr>
                <w:rFonts w:ascii="Arial" w:cs="Arial" w:eastAsia="Arial" w:hAnsi="Arial"/>
                <w:sz w:val="18"/>
                <w:szCs w:val="18"/>
                <w:color w:val="auto"/>
              </w:rPr>
              <w:t>July 2013</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GAS-eight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March 2011</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Solaris</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2014</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GAS-nine Ltd.</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June 2011</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line="201" w:lineRule="exact"/>
              <w:rPr>
                <w:sz w:val="20"/>
                <w:szCs w:val="20"/>
                <w:color w:val="auto"/>
              </w:rPr>
            </w:pPr>
            <w:r>
              <w:rPr>
                <w:rFonts w:ascii="Arial" w:cs="Arial" w:eastAsia="Arial" w:hAnsi="Arial"/>
                <w:sz w:val="18"/>
                <w:szCs w:val="18"/>
                <w:color w:val="auto"/>
              </w:rPr>
              <w:t>155,000</w:t>
            </w:r>
          </w:p>
        </w:tc>
        <w:tc>
          <w:tcPr>
            <w:tcW w:w="2260" w:type="dxa"/>
            <w:vAlign w:val="bottom"/>
            <w:gridSpan w:val="3"/>
          </w:tcPr>
          <w:p>
            <w:pPr>
              <w:ind w:left="100"/>
              <w:spacing w:after="0" w:line="201" w:lineRule="exact"/>
              <w:rPr>
                <w:sz w:val="20"/>
                <w:szCs w:val="20"/>
                <w:color w:val="auto"/>
              </w:rPr>
            </w:pPr>
            <w:r>
              <w:rPr>
                <w:rFonts w:ascii="Arial" w:cs="Arial" w:eastAsia="Arial" w:hAnsi="Arial"/>
                <w:sz w:val="18"/>
                <w:szCs w:val="18"/>
                <w:i w:val="1"/>
                <w:iCs w:val="1"/>
                <w:color w:val="auto"/>
              </w:rPr>
              <w:t>GasLog Saratoga</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2011</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16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Salem</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2015</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w w:val="98"/>
              </w:rPr>
              <w:t>December 2012</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140" w:type="dxa"/>
            <w:vAlign w:val="bottom"/>
          </w:tcPr>
          <w:p>
            <w:pPr>
              <w:spacing w:after="0"/>
              <w:rPr>
                <w:sz w:val="20"/>
                <w:szCs w:val="20"/>
                <w:color w:val="auto"/>
              </w:rPr>
            </w:pPr>
            <w:r>
              <w:rPr>
                <w:rFonts w:ascii="Arial" w:cs="Arial" w:eastAsia="Arial" w:hAnsi="Arial"/>
                <w:sz w:val="18"/>
                <w:szCs w:val="18"/>
                <w:color w:val="auto"/>
              </w:rPr>
              <w:t>March 2016</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GAS-twelve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w w:val="98"/>
              </w:rPr>
              <w:t>December 2012</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18"/>
                <w:szCs w:val="18"/>
                <w:color w:val="auto"/>
              </w:rPr>
            </w:pPr>
          </w:p>
        </w:tc>
        <w:tc>
          <w:tcPr>
            <w:tcW w:w="216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Glasgow</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2016</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GAS-thirteen Ltd.</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July 2013</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line="201" w:lineRule="exact"/>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GasLog Geneva</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September</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2016</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GAS-fourteen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July 2013</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18"/>
                <w:szCs w:val="18"/>
                <w:color w:val="auto"/>
              </w:rPr>
            </w:pPr>
          </w:p>
        </w:tc>
        <w:tc>
          <w:tcPr>
            <w:tcW w:w="216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Gibraltar</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October 2016</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GAS-fifteen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August 2013</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153,600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Chelsea</w:t>
            </w:r>
          </w:p>
        </w:tc>
        <w:tc>
          <w:tcPr>
            <w:tcW w:w="1140" w:type="dxa"/>
            <w:vAlign w:val="bottom"/>
          </w:tcPr>
          <w:p>
            <w:pPr>
              <w:spacing w:after="0"/>
              <w:rPr>
                <w:sz w:val="20"/>
                <w:szCs w:val="20"/>
                <w:color w:val="auto"/>
              </w:rPr>
            </w:pPr>
            <w:r>
              <w:rPr>
                <w:rFonts w:ascii="Arial" w:cs="Arial" w:eastAsia="Arial" w:hAnsi="Arial"/>
                <w:sz w:val="18"/>
                <w:szCs w:val="18"/>
                <w:color w:val="auto"/>
              </w:rPr>
              <w:t>October 2013</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GAS-eighteen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Methane Lydon Volney</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GAS-twenty two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May 2014</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174,000</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Hull No. 2130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three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2014</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174,000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Hull No. 2131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2019</w:t>
            </w:r>
            <w:r>
              <w:rPr>
                <w:rFonts w:ascii="Arial" w:cs="Arial" w:eastAsia="Arial" w:hAnsi="Arial"/>
                <w:sz w:val="29"/>
                <w:szCs w:val="29"/>
                <w:color w:val="auto"/>
                <w:vertAlign w:val="superscript"/>
              </w:rPr>
              <w:t>(1)</w:t>
            </w: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GAS-twenty four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June 2014</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Hull No. 2800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five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2014</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22"/>
                <w:szCs w:val="22"/>
                <w:color w:val="auto"/>
              </w:rPr>
            </w:pPr>
          </w:p>
        </w:tc>
        <w:tc>
          <w:tcPr>
            <w:tcW w:w="21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2801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05"/>
        </w:trPr>
        <w:tc>
          <w:tcPr>
            <w:tcW w:w="2880" w:type="dxa"/>
            <w:vAlign w:val="bottom"/>
            <w:gridSpan w:val="2"/>
          </w:tcPr>
          <w:p>
            <w:pPr>
              <w:spacing w:after="0" w:line="206" w:lineRule="exact"/>
              <w:rPr>
                <w:sz w:val="20"/>
                <w:szCs w:val="20"/>
                <w:color w:val="auto"/>
              </w:rPr>
            </w:pPr>
            <w:r>
              <w:rPr>
                <w:rFonts w:ascii="Arial" w:cs="Arial" w:eastAsia="Arial" w:hAnsi="Arial"/>
                <w:sz w:val="18"/>
                <w:szCs w:val="18"/>
                <w:color w:val="auto"/>
              </w:rPr>
              <w:t>GAS-twenty six Ltd.</w:t>
            </w:r>
          </w:p>
        </w:tc>
        <w:tc>
          <w:tcPr>
            <w:tcW w:w="1140" w:type="dxa"/>
            <w:vAlign w:val="bottom"/>
          </w:tcPr>
          <w:p>
            <w:pPr>
              <w:spacing w:after="0" w:line="206"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January 2015</w:t>
            </w:r>
          </w:p>
        </w:tc>
        <w:tc>
          <w:tcPr>
            <w:tcW w:w="1920" w:type="dxa"/>
            <w:vAlign w:val="bottom"/>
            <w:gridSpan w:val="2"/>
          </w:tcPr>
          <w:p>
            <w:pPr>
              <w:spacing w:after="0" w:line="206" w:lineRule="exact"/>
              <w:rPr>
                <w:sz w:val="20"/>
                <w:szCs w:val="20"/>
                <w:color w:val="auto"/>
              </w:rPr>
            </w:pPr>
            <w:r>
              <w:rPr>
                <w:rFonts w:ascii="Arial" w:cs="Arial" w:eastAsia="Arial" w:hAnsi="Arial"/>
                <w:sz w:val="18"/>
                <w:szCs w:val="18"/>
                <w:color w:val="auto"/>
              </w:rPr>
              <w:t>Finance lease asset</w:t>
            </w:r>
          </w:p>
        </w:tc>
        <w:tc>
          <w:tcPr>
            <w:tcW w:w="680" w:type="dxa"/>
            <w:vAlign w:val="bottom"/>
          </w:tcPr>
          <w:p>
            <w:pPr>
              <w:spacing w:after="0" w:line="206" w:lineRule="exact"/>
              <w:rPr>
                <w:sz w:val="20"/>
                <w:szCs w:val="20"/>
                <w:color w:val="auto"/>
              </w:rPr>
            </w:pPr>
            <w:r>
              <w:rPr>
                <w:rFonts w:ascii="Arial" w:cs="Arial" w:eastAsia="Arial" w:hAnsi="Arial"/>
                <w:sz w:val="18"/>
                <w:szCs w:val="18"/>
                <w:color w:val="auto"/>
              </w:rPr>
              <w:t>170,000</w:t>
            </w:r>
          </w:p>
        </w:tc>
        <w:tc>
          <w:tcPr>
            <w:tcW w:w="2260" w:type="dxa"/>
            <w:vAlign w:val="bottom"/>
            <w:gridSpan w:val="3"/>
          </w:tcPr>
          <w:p>
            <w:pPr>
              <w:ind w:left="100"/>
              <w:spacing w:after="0" w:line="206" w:lineRule="exact"/>
              <w:rPr>
                <w:sz w:val="20"/>
                <w:szCs w:val="20"/>
                <w:color w:val="auto"/>
              </w:rPr>
            </w:pPr>
            <w:r>
              <w:rPr>
                <w:rFonts w:ascii="Arial" w:cs="Arial" w:eastAsia="Arial" w:hAnsi="Arial"/>
                <w:sz w:val="18"/>
                <w:szCs w:val="18"/>
                <w:i w:val="1"/>
                <w:iCs w:val="1"/>
                <w:color w:val="auto"/>
              </w:rPr>
              <w:t>Methane Julia Louise</w:t>
            </w:r>
          </w:p>
        </w:tc>
        <w:tc>
          <w:tcPr>
            <w:tcW w:w="1140" w:type="dxa"/>
            <w:vAlign w:val="bottom"/>
          </w:tcPr>
          <w:p>
            <w:pPr>
              <w:spacing w:after="0" w:line="206" w:lineRule="exact"/>
              <w:rPr>
                <w:sz w:val="20"/>
                <w:szCs w:val="20"/>
                <w:color w:val="auto"/>
              </w:rPr>
            </w:pPr>
            <w:r>
              <w:rPr>
                <w:rFonts w:ascii="Arial" w:cs="Arial" w:eastAsia="Arial" w:hAnsi="Arial"/>
                <w:sz w:val="18"/>
                <w:szCs w:val="18"/>
                <w:color w:val="auto"/>
              </w:rPr>
              <w:t>March 2015</w:t>
            </w:r>
          </w:p>
        </w:tc>
      </w:tr>
      <w:tr>
        <w:trPr>
          <w:trHeight w:val="267"/>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line="266" w:lineRule="exact"/>
              <w:rPr>
                <w:sz w:val="20"/>
                <w:szCs w:val="20"/>
                <w:color w:val="auto"/>
              </w:rPr>
            </w:pPr>
            <w:r>
              <w:rPr>
                <w:rFonts w:ascii="Arial" w:cs="Arial" w:eastAsia="Arial" w:hAnsi="Arial"/>
                <w:sz w:val="18"/>
                <w:szCs w:val="18"/>
                <w:color w:val="auto"/>
              </w:rPr>
              <w:t xml:space="preserve">company </w:t>
            </w:r>
            <w:r>
              <w:rPr>
                <w:rFonts w:ascii="Arial" w:cs="Arial" w:eastAsia="Arial" w:hAnsi="Arial"/>
                <w:sz w:val="30"/>
                <w:szCs w:val="30"/>
                <w:color w:val="auto"/>
                <w:vertAlign w:val="superscript"/>
              </w:rPr>
              <w:t>(2)</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seven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2015</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170,000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March 2015</w:t>
            </w: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GAS-twenty eight Ltd.</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September</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180,000</w:t>
            </w:r>
          </w:p>
        </w:tc>
        <w:tc>
          <w:tcPr>
            <w:tcW w:w="2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Hull No. 2212</w:t>
            </w:r>
          </w:p>
        </w:tc>
        <w:tc>
          <w:tcPr>
            <w:tcW w:w="1140" w:type="dxa"/>
            <w:vAlign w:val="bottom"/>
          </w:tcPr>
          <w:p>
            <w:pPr>
              <w:spacing w:after="0" w:line="202" w:lineRule="exact"/>
              <w:rPr>
                <w:sz w:val="20"/>
                <w:szCs w:val="20"/>
                <w:color w:val="auto"/>
              </w:rPr>
            </w:pPr>
            <w:r>
              <w:rPr>
                <w:rFonts w:ascii="Arial" w:cs="Arial" w:eastAsia="Arial" w:hAnsi="Arial"/>
                <w:sz w:val="15"/>
                <w:szCs w:val="15"/>
                <w:color w:val="auto"/>
              </w:rPr>
              <w:t>Q2 2019</w:t>
            </w:r>
            <w:r>
              <w:rPr>
                <w:rFonts w:ascii="Arial" w:cs="Arial" w:eastAsia="Arial" w:hAnsi="Arial"/>
                <w:sz w:val="23"/>
                <w:szCs w:val="23"/>
                <w:color w:val="auto"/>
                <w:vertAlign w:val="superscript"/>
              </w:rPr>
              <w:t>(1)</w:t>
            </w:r>
          </w:p>
        </w:tc>
      </w:tr>
      <w:tr>
        <w:trPr>
          <w:trHeight w:val="230"/>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2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GAS-twenty nine Ltd.</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September</w:t>
            </w: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Dormant</w:t>
            </w:r>
          </w:p>
        </w:tc>
        <w:tc>
          <w:tcPr>
            <w:tcW w:w="6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226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26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GasLog Shipping Limited</w:t>
            </w:r>
          </w:p>
        </w:tc>
        <w:tc>
          <w:tcPr>
            <w:tcW w:w="1140" w:type="dxa"/>
            <w:vAlign w:val="bottom"/>
          </w:tcPr>
          <w:p>
            <w:pPr>
              <w:spacing w:after="0"/>
              <w:rPr>
                <w:sz w:val="20"/>
                <w:szCs w:val="20"/>
                <w:color w:val="auto"/>
              </w:rPr>
            </w:pPr>
            <w:r>
              <w:rPr>
                <w:rFonts w:ascii="Arial" w:cs="Arial" w:eastAsia="Arial" w:hAnsi="Arial"/>
                <w:sz w:val="18"/>
                <w:szCs w:val="18"/>
                <w:color w:val="auto"/>
              </w:rPr>
              <w:t>BVI</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20" w:type="dxa"/>
            <w:vAlign w:val="bottom"/>
            <w:gridSpan w:val="2"/>
          </w:tcPr>
          <w:p>
            <w:pPr>
              <w:spacing w:after="0"/>
              <w:rPr>
                <w:sz w:val="20"/>
                <w:szCs w:val="20"/>
                <w:color w:val="auto"/>
              </w:rPr>
            </w:pPr>
            <w:r>
              <w:rPr>
                <w:rFonts w:ascii="Arial" w:cs="Arial" w:eastAsia="Arial" w:hAnsi="Arial"/>
                <w:sz w:val="18"/>
                <w:szCs w:val="18"/>
                <w:color w:val="auto"/>
              </w:rPr>
              <w:t>Dormant</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b w:val="1"/>
                <w:bCs w:val="1"/>
                <w:color w:val="auto"/>
              </w:rPr>
              <w:t>27.57% interest subsidiaries: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GasLog Partners LP</w:t>
            </w:r>
          </w:p>
        </w:tc>
        <w:tc>
          <w:tcPr>
            <w:tcW w:w="1140" w:type="dxa"/>
            <w:vAlign w:val="bottom"/>
          </w:tcPr>
          <w:p>
            <w:pPr>
              <w:spacing w:after="0"/>
              <w:rPr>
                <w:sz w:val="20"/>
                <w:szCs w:val="20"/>
                <w:color w:val="auto"/>
              </w:rPr>
            </w:pPr>
            <w:r>
              <w:rPr>
                <w:rFonts w:ascii="Arial" w:cs="Arial" w:eastAsia="Arial" w:hAnsi="Arial"/>
                <w:sz w:val="18"/>
                <w:szCs w:val="18"/>
                <w:color w:val="auto"/>
              </w:rPr>
              <w:t>Marshall</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January 2014</w:t>
            </w:r>
          </w:p>
        </w:tc>
        <w:tc>
          <w:tcPr>
            <w:tcW w:w="192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bl>
    <w:p>
      <w:pPr>
        <w:sectPr>
          <w:pgSz w:w="11900" w:h="16844" w:orient="portrait"/>
          <w:cols w:equalWidth="0" w:num="1">
            <w:col w:w="11420"/>
          </w:cols>
          <w:pgMar w:left="240" w:top="405" w:right="239" w:bottom="0" w:gutter="0" w:footer="0" w:header="0"/>
        </w:sectPr>
      </w:pPr>
    </w:p>
    <w:bookmarkStart w:id="29" w:name="page30"/>
    <w:bookmarkEnd w:id="29"/>
    <w:p>
      <w:pPr>
        <w:ind w:left="1680"/>
        <w:spacing w:after="0"/>
        <w:rPr>
          <w:sz w:val="20"/>
          <w:szCs w:val="20"/>
          <w:color w:val="auto"/>
        </w:rPr>
      </w:pPr>
      <w:r>
        <w:rPr>
          <w:rFonts w:ascii="Arial" w:cs="Arial" w:eastAsia="Arial" w:hAnsi="Arial"/>
          <w:sz w:val="18"/>
          <w:szCs w:val="18"/>
          <w:color w:val="auto"/>
        </w:rPr>
        <w:t>Islands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159385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Cargo</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Place of</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Date of</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93"/>
              </w:rPr>
              <w:t>incorporation</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incorporation</w:t>
            </w: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Principal activities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(cbm)</w:t>
            </w:r>
          </w:p>
        </w:tc>
        <w:tc>
          <w:tcPr>
            <w:tcW w:w="100" w:type="dxa"/>
            <w:vAlign w:val="bottom"/>
          </w:tcPr>
          <w:p>
            <w:pPr>
              <w:spacing w:after="0"/>
              <w:rPr>
                <w:sz w:val="20"/>
                <w:szCs w:val="20"/>
                <w:color w:val="auto"/>
              </w:rPr>
            </w:pPr>
          </w:p>
        </w:tc>
        <w:tc>
          <w:tcPr>
            <w:tcW w:w="2160" w:type="dxa"/>
            <w:vAlign w:val="bottom"/>
            <w:gridSpan w:val="2"/>
          </w:tcPr>
          <w:p>
            <w:pPr>
              <w:ind w:left="800"/>
              <w:spacing w:after="0"/>
              <w:rPr>
                <w:sz w:val="20"/>
                <w:szCs w:val="20"/>
                <w:color w:val="auto"/>
              </w:rPr>
            </w:pPr>
            <w:r>
              <w:rPr>
                <w:rFonts w:ascii="Arial" w:cs="Arial" w:eastAsia="Arial" w:hAnsi="Arial"/>
                <w:sz w:val="18"/>
                <w:szCs w:val="18"/>
                <w:b w:val="1"/>
                <w:bCs w:val="1"/>
                <w:color w:val="auto"/>
              </w:rPr>
              <w:t>Vessel</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9"/>
              </w:rPr>
              <w:t>Delivery date</w:t>
            </w:r>
          </w:p>
        </w:tc>
      </w:tr>
      <w:tr>
        <w:trPr>
          <w:trHeight w:val="195"/>
        </w:trPr>
        <w:tc>
          <w:tcPr>
            <w:tcW w:w="274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GasLog Partners Holdings</w:t>
            </w:r>
          </w:p>
        </w:tc>
        <w:tc>
          <w:tcPr>
            <w:tcW w:w="14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Marshall</w:t>
            </w:r>
          </w:p>
        </w:tc>
        <w:tc>
          <w:tcPr>
            <w:tcW w:w="12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April 2014</w:t>
            </w:r>
          </w:p>
        </w:tc>
        <w:tc>
          <w:tcPr>
            <w:tcW w:w="140" w:type="dxa"/>
            <w:vAlign w:val="bottom"/>
            <w:tcBorders>
              <w:top w:val="single" w:sz="8" w:color="E5FFFF"/>
            </w:tcBorders>
            <w:shd w:val="clear" w:color="auto" w:fill="E5FFFF"/>
          </w:tcPr>
          <w:p>
            <w:pPr>
              <w:spacing w:after="0"/>
              <w:rPr>
                <w:sz w:val="16"/>
                <w:szCs w:val="16"/>
                <w:color w:val="auto"/>
              </w:rPr>
            </w:pPr>
          </w:p>
        </w:tc>
        <w:tc>
          <w:tcPr>
            <w:tcW w:w="182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Holding company</w:t>
            </w:r>
          </w:p>
        </w:tc>
        <w:tc>
          <w:tcPr>
            <w:tcW w:w="100" w:type="dxa"/>
            <w:vAlign w:val="bottom"/>
            <w:tcBorders>
              <w:top w:val="single" w:sz="8" w:color="E5FFFF"/>
            </w:tcBorders>
            <w:shd w:val="clear" w:color="auto" w:fill="E5FFFF"/>
          </w:tcPr>
          <w:p>
            <w:pPr>
              <w:spacing w:after="0"/>
              <w:rPr>
                <w:sz w:val="16"/>
                <w:szCs w:val="16"/>
                <w:color w:val="auto"/>
              </w:rPr>
            </w:pPr>
          </w:p>
        </w:tc>
        <w:tc>
          <w:tcPr>
            <w:tcW w:w="68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6"/>
                <w:szCs w:val="16"/>
                <w:color w:val="auto"/>
              </w:rPr>
            </w:pPr>
          </w:p>
        </w:tc>
        <w:tc>
          <w:tcPr>
            <w:tcW w:w="206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288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Islands</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April 2010</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Shanghai</w:t>
            </w:r>
          </w:p>
        </w:tc>
        <w:tc>
          <w:tcPr>
            <w:tcW w:w="1140" w:type="dxa"/>
            <w:vAlign w:val="bottom"/>
          </w:tcPr>
          <w:p>
            <w:pPr>
              <w:spacing w:after="0"/>
              <w:rPr>
                <w:sz w:val="20"/>
                <w:szCs w:val="20"/>
                <w:color w:val="auto"/>
              </w:rPr>
            </w:pPr>
            <w:r>
              <w:rPr>
                <w:rFonts w:ascii="Arial" w:cs="Arial" w:eastAsia="Arial" w:hAnsi="Arial"/>
                <w:sz w:val="18"/>
                <w:szCs w:val="18"/>
                <w:color w:val="auto"/>
              </w:rPr>
              <w:t>January 2013</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GAS-four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April 2010</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GasLog Santiago</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March 2013</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February 2011</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155,000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Sydney</w:t>
            </w:r>
          </w:p>
        </w:tc>
        <w:tc>
          <w:tcPr>
            <w:tcW w:w="1140" w:type="dxa"/>
            <w:vAlign w:val="bottom"/>
          </w:tcPr>
          <w:p>
            <w:pPr>
              <w:spacing w:after="0"/>
              <w:rPr>
                <w:sz w:val="20"/>
                <w:szCs w:val="20"/>
                <w:color w:val="auto"/>
              </w:rPr>
            </w:pPr>
            <w:r>
              <w:rPr>
                <w:rFonts w:ascii="Arial" w:cs="Arial" w:eastAsia="Arial" w:hAnsi="Arial"/>
                <w:sz w:val="18"/>
                <w:szCs w:val="18"/>
                <w:color w:val="auto"/>
              </w:rPr>
              <w:t>May 2013</w:t>
            </w:r>
          </w:p>
        </w:tc>
      </w:tr>
      <w:tr>
        <w:trPr>
          <w:trHeight w:val="202"/>
        </w:trPr>
        <w:tc>
          <w:tcPr>
            <w:tcW w:w="28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GAS-seven Ltd.</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March 2011</w:t>
            </w: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155,000</w:t>
            </w:r>
          </w:p>
        </w:tc>
        <w:tc>
          <w:tcPr>
            <w:tcW w:w="226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i w:val="1"/>
                <w:iCs w:val="1"/>
                <w:color w:val="auto"/>
              </w:rPr>
              <w:t>GasLog Seattle</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7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2013</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January 2014</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1140" w:type="dxa"/>
            <w:vAlign w:val="bottom"/>
          </w:tcPr>
          <w:p>
            <w:pPr>
              <w:spacing w:after="0"/>
              <w:rPr>
                <w:sz w:val="20"/>
                <w:szCs w:val="20"/>
                <w:color w:val="auto"/>
              </w:rPr>
            </w:pPr>
            <w:r>
              <w:rPr>
                <w:rFonts w:ascii="Arial" w:cs="Arial" w:eastAsia="Arial" w:hAnsi="Arial"/>
                <w:sz w:val="18"/>
                <w:szCs w:val="18"/>
                <w:color w:val="auto"/>
              </w:rPr>
              <w:t>April 2014</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GAS-seventeen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April 2014</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1140" w:type="dxa"/>
            <w:vAlign w:val="bottom"/>
          </w:tcPr>
          <w:p>
            <w:pPr>
              <w:spacing w:after="0"/>
              <w:rPr>
                <w:sz w:val="20"/>
                <w:szCs w:val="20"/>
                <w:color w:val="auto"/>
              </w:rPr>
            </w:pPr>
            <w:r>
              <w:rPr>
                <w:rFonts w:ascii="Arial" w:cs="Arial" w:eastAsia="Arial" w:hAnsi="Arial"/>
                <w:sz w:val="18"/>
                <w:szCs w:val="18"/>
                <w:color w:val="auto"/>
              </w:rPr>
              <w:t>June 2014</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Ltd.</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April 2014</w:t>
            </w: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shd w:val="clear" w:color="auto" w:fill="E5FFFF"/>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shd w:val="clear" w:color="auto" w:fill="E5FFFF"/>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2014</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1140" w:type="dxa"/>
            <w:vAlign w:val="bottom"/>
          </w:tcPr>
          <w:p>
            <w:pPr>
              <w:spacing w:after="0"/>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April 2014</w:t>
            </w:r>
          </w:p>
        </w:tc>
        <w:tc>
          <w:tcPr>
            <w:tcW w:w="1920" w:type="dxa"/>
            <w:vAlign w:val="bottom"/>
            <w:gridSpan w:val="2"/>
          </w:tcPr>
          <w:p>
            <w:pPr>
              <w:spacing w:after="0"/>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rPr>
                <w:sz w:val="20"/>
                <w:szCs w:val="20"/>
                <w:color w:val="auto"/>
              </w:rPr>
            </w:pPr>
            <w:r>
              <w:rPr>
                <w:rFonts w:ascii="Arial" w:cs="Arial" w:eastAsia="Arial" w:hAnsi="Arial"/>
                <w:sz w:val="18"/>
                <w:szCs w:val="18"/>
                <w:color w:val="auto"/>
              </w:rPr>
              <w:t>145,000</w:t>
            </w:r>
          </w:p>
        </w:tc>
        <w:tc>
          <w:tcPr>
            <w:tcW w:w="226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1140" w:type="dxa"/>
            <w:vAlign w:val="bottom"/>
          </w:tcPr>
          <w:p>
            <w:pPr>
              <w:spacing w:after="0"/>
              <w:rPr>
                <w:sz w:val="20"/>
                <w:szCs w:val="20"/>
                <w:color w:val="auto"/>
              </w:rPr>
            </w:pPr>
            <w:r>
              <w:rPr>
                <w:rFonts w:ascii="Arial" w:cs="Arial" w:eastAsia="Arial" w:hAnsi="Arial"/>
                <w:sz w:val="18"/>
                <w:szCs w:val="18"/>
                <w:color w:val="auto"/>
              </w:rPr>
              <w:t>June 2014</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b w:val="1"/>
                <w:bCs w:val="1"/>
                <w:color w:val="auto"/>
              </w:rPr>
              <w:t>25% interest associate:</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Egypt LNG Shipping Ltd.</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Bermuda</w:t>
            </w:r>
          </w:p>
        </w:tc>
        <w:tc>
          <w:tcPr>
            <w:tcW w:w="14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May 2010</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w w:val="97"/>
              </w:rPr>
              <w:t>Vessel-owning company</w:t>
            </w:r>
          </w:p>
        </w:tc>
        <w:tc>
          <w:tcPr>
            <w:tcW w:w="680" w:type="dxa"/>
            <w:vAlign w:val="bottom"/>
          </w:tcPr>
          <w:p>
            <w:pPr>
              <w:spacing w:after="0" w:line="201" w:lineRule="exact"/>
              <w:rPr>
                <w:sz w:val="20"/>
                <w:szCs w:val="20"/>
                <w:color w:val="auto"/>
              </w:rPr>
            </w:pPr>
            <w:r>
              <w:rPr>
                <w:rFonts w:ascii="Arial" w:cs="Arial" w:eastAsia="Arial" w:hAnsi="Arial"/>
                <w:sz w:val="18"/>
                <w:szCs w:val="18"/>
                <w:color w:val="auto"/>
              </w:rPr>
              <w:t>145,000</w:t>
            </w:r>
          </w:p>
        </w:tc>
        <w:tc>
          <w:tcPr>
            <w:tcW w:w="2260" w:type="dxa"/>
            <w:vAlign w:val="bottom"/>
            <w:gridSpan w:val="3"/>
          </w:tcPr>
          <w:p>
            <w:pPr>
              <w:ind w:left="100"/>
              <w:spacing w:after="0" w:line="201" w:lineRule="exact"/>
              <w:rPr>
                <w:sz w:val="20"/>
                <w:szCs w:val="20"/>
                <w:color w:val="auto"/>
              </w:rPr>
            </w:pPr>
            <w:r>
              <w:rPr>
                <w:rFonts w:ascii="Arial" w:cs="Arial" w:eastAsia="Arial" w:hAnsi="Arial"/>
                <w:sz w:val="18"/>
                <w:szCs w:val="18"/>
                <w:i w:val="1"/>
                <w:iCs w:val="1"/>
                <w:color w:val="auto"/>
              </w:rPr>
              <w:t>Methane Nile Eagle</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b w:val="1"/>
                <w:bCs w:val="1"/>
                <w:color w:val="auto"/>
              </w:rPr>
              <w:t>20% interest associate:</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Gastrade S.A. (“Gastrade”)</w:t>
            </w:r>
          </w:p>
        </w:tc>
        <w:tc>
          <w:tcPr>
            <w:tcW w:w="1140" w:type="dxa"/>
            <w:vAlign w:val="bottom"/>
          </w:tcPr>
          <w:p>
            <w:pPr>
              <w:spacing w:after="0"/>
              <w:rPr>
                <w:sz w:val="20"/>
                <w:szCs w:val="20"/>
                <w:color w:val="auto"/>
              </w:rPr>
            </w:pPr>
            <w:r>
              <w:rPr>
                <w:rFonts w:ascii="Arial" w:cs="Arial" w:eastAsia="Arial" w:hAnsi="Arial"/>
                <w:sz w:val="18"/>
                <w:szCs w:val="18"/>
                <w:color w:val="auto"/>
              </w:rPr>
              <w:t>Greece</w:t>
            </w: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June 2010</w:t>
            </w:r>
          </w:p>
        </w:tc>
        <w:tc>
          <w:tcPr>
            <w:tcW w:w="1920" w:type="dxa"/>
            <w:vAlign w:val="bottom"/>
            <w:gridSpan w:val="2"/>
          </w:tcPr>
          <w:p>
            <w:pPr>
              <w:spacing w:after="0"/>
              <w:rPr>
                <w:sz w:val="20"/>
                <w:szCs w:val="20"/>
                <w:color w:val="auto"/>
              </w:rPr>
            </w:pPr>
            <w:r>
              <w:rPr>
                <w:rFonts w:ascii="Arial" w:cs="Arial" w:eastAsia="Arial" w:hAnsi="Arial"/>
                <w:sz w:val="18"/>
                <w:szCs w:val="18"/>
                <w:color w:val="auto"/>
              </w:rPr>
              <w:t>Service company</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E5FFFF"/>
          </w:tcPr>
          <w:p>
            <w:pPr>
              <w:spacing w:after="0"/>
              <w:rPr>
                <w:sz w:val="20"/>
                <w:szCs w:val="20"/>
                <w:color w:val="auto"/>
              </w:rPr>
            </w:pPr>
            <w:r>
              <w:rPr>
                <w:rFonts w:ascii="Arial" w:cs="Arial" w:eastAsia="Arial" w:hAnsi="Arial"/>
                <w:sz w:val="18"/>
                <w:szCs w:val="18"/>
                <w:b w:val="1"/>
                <w:bCs w:val="1"/>
                <w:color w:val="auto"/>
              </w:rPr>
              <w:t>33.33% joint venture:</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The Cool Pool Limited (the “Cool</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Marshall</w:t>
            </w:r>
          </w:p>
        </w:tc>
        <w:tc>
          <w:tcPr>
            <w:tcW w:w="14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September</w:t>
            </w:r>
          </w:p>
        </w:tc>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Service company</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2" w:lineRule="exact"/>
              <w:rPr>
                <w:sz w:val="20"/>
                <w:szCs w:val="20"/>
                <w:color w:val="auto"/>
              </w:rPr>
            </w:pPr>
            <w:r>
              <w:rPr>
                <w:rFonts w:ascii="Arial" w:cs="Arial" w:eastAsia="Arial" w:hAnsi="Arial"/>
                <w:sz w:val="18"/>
                <w:szCs w:val="18"/>
                <w:color w:val="auto"/>
              </w:rPr>
              <w:t>—</w:t>
            </w:r>
          </w:p>
        </w:tc>
      </w:tr>
      <w:tr>
        <w:trPr>
          <w:trHeight w:val="434"/>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 xml:space="preserve">Pool”) </w:t>
            </w:r>
            <w:r>
              <w:rPr>
                <w:rFonts w:ascii="Arial" w:cs="Arial" w:eastAsia="Arial" w:hAnsi="Arial"/>
                <w:sz w:val="30"/>
                <w:szCs w:val="30"/>
                <w:color w:val="auto"/>
                <w:vertAlign w:val="superscript"/>
              </w:rPr>
              <w:t>(3)</w:t>
            </w:r>
          </w:p>
        </w:tc>
        <w:tc>
          <w:tcPr>
            <w:tcW w:w="1140" w:type="dxa"/>
            <w:vAlign w:val="bottom"/>
          </w:tcPr>
          <w:p>
            <w:pPr>
              <w:spacing w:after="0"/>
              <w:rPr>
                <w:sz w:val="20"/>
                <w:szCs w:val="20"/>
                <w:color w:val="auto"/>
              </w:rPr>
            </w:pPr>
            <w:r>
              <w:rPr>
                <w:rFonts w:ascii="Arial" w:cs="Arial" w:eastAsia="Arial" w:hAnsi="Arial"/>
                <w:sz w:val="18"/>
                <w:szCs w:val="18"/>
                <w:color w:val="auto"/>
              </w:rPr>
              <w:t>Islands</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089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40" w:hanging="232"/>
        <w:spacing w:after="0"/>
        <w:tabs>
          <w:tab w:leader="none" w:pos="240" w:val="left"/>
        </w:tabs>
        <w:numPr>
          <w:ilvl w:val="0"/>
          <w:numId w:val="10"/>
        </w:numPr>
        <w:rPr>
          <w:rFonts w:ascii="Arial" w:cs="Arial" w:eastAsia="Arial" w:hAnsi="Arial"/>
          <w:sz w:val="28"/>
          <w:szCs w:val="28"/>
          <w:color w:val="auto"/>
          <w:vertAlign w:val="superscript"/>
        </w:rPr>
      </w:pPr>
      <w:r>
        <w:rPr>
          <w:rFonts w:ascii="Arial" w:cs="Arial" w:eastAsia="Arial" w:hAnsi="Arial"/>
          <w:sz w:val="14"/>
          <w:szCs w:val="14"/>
          <w:color w:val="auto"/>
        </w:rPr>
        <w:t>For newbuildings, expected delivery quarters as of March 31, 2017 are presented.</w:t>
      </w:r>
    </w:p>
    <w:p>
      <w:pPr>
        <w:spacing w:after="0" w:line="32" w:lineRule="exact"/>
        <w:rPr>
          <w:rFonts w:ascii="Arial" w:cs="Arial" w:eastAsia="Arial" w:hAnsi="Arial"/>
          <w:sz w:val="28"/>
          <w:szCs w:val="28"/>
          <w:color w:val="auto"/>
          <w:vertAlign w:val="superscript"/>
        </w:rPr>
      </w:pPr>
    </w:p>
    <w:p>
      <w:pPr>
        <w:ind w:left="240" w:hanging="232"/>
        <w:spacing w:after="0" w:line="182" w:lineRule="auto"/>
        <w:tabs>
          <w:tab w:leader="none" w:pos="240" w:val="left"/>
        </w:tabs>
        <w:numPr>
          <w:ilvl w:val="0"/>
          <w:numId w:val="10"/>
        </w:numPr>
        <w:rPr>
          <w:rFonts w:ascii="Arial" w:cs="Arial" w:eastAsia="Arial" w:hAnsi="Arial"/>
          <w:sz w:val="17"/>
          <w:szCs w:val="17"/>
          <w:color w:val="auto"/>
          <w:vertAlign w:val="superscript"/>
        </w:rPr>
      </w:pPr>
      <w:r>
        <w:rPr>
          <w:rFonts w:ascii="Arial" w:cs="Arial" w:eastAsia="Arial" w:hAnsi="Arial"/>
          <w:sz w:val="10"/>
          <w:szCs w:val="10"/>
          <w:color w:val="auto"/>
        </w:rPr>
        <w:t xml:space="preserve">On February 24, 2016, GAS-twenty six Ltd. completed the sale and leaseback of the </w:t>
      </w:r>
      <w:r>
        <w:rPr>
          <w:rFonts w:ascii="Arial" w:cs="Arial" w:eastAsia="Arial" w:hAnsi="Arial"/>
          <w:sz w:val="10"/>
          <w:szCs w:val="10"/>
          <w:i w:val="1"/>
          <w:iCs w:val="1"/>
          <w:color w:val="auto"/>
        </w:rPr>
        <w:t>Methane Julia Louise</w:t>
      </w:r>
      <w:r>
        <w:rPr>
          <w:rFonts w:ascii="Arial" w:cs="Arial" w:eastAsia="Arial" w:hAnsi="Arial"/>
          <w:sz w:val="10"/>
          <w:szCs w:val="10"/>
          <w:color w:val="auto"/>
        </w:rPr>
        <w:t xml:space="preserve"> with a subsidiary of Mitsui Co. Ltd. (“Mitsui”). Refer to Note 6.</w:t>
      </w:r>
    </w:p>
    <w:p>
      <w:pPr>
        <w:ind w:left="240" w:right="80" w:hanging="232"/>
        <w:spacing w:after="0" w:line="225" w:lineRule="auto"/>
        <w:tabs>
          <w:tab w:leader="none" w:pos="240" w:val="left"/>
        </w:tabs>
        <w:numPr>
          <w:ilvl w:val="0"/>
          <w:numId w:val="10"/>
        </w:numPr>
        <w:rPr>
          <w:rFonts w:ascii="Arial" w:cs="Arial" w:eastAsia="Arial" w:hAnsi="Arial"/>
          <w:sz w:val="15"/>
          <w:szCs w:val="15"/>
          <w:color w:val="auto"/>
        </w:rPr>
      </w:pPr>
      <w:r>
        <w:rPr>
          <w:rFonts w:ascii="Arial" w:cs="Arial" w:eastAsia="Arial" w:hAnsi="Arial"/>
          <w:sz w:val="14"/>
          <w:szCs w:val="14"/>
          <w:color w:val="auto"/>
        </w:rPr>
        <w:t>On October 1, 2015, GasLog, Dynagas Ltd. (“Dynagas”) and Golar LNG Ltd. (“Golar”) signed a LNG carrier pooling agreement (the “LNG Carrier Pool” or “Pool Agreement”) to market their vessels, which are currently operating in the LNG shipping spot market. As of March 31, 2017, the LNG Carrier Pool – named the “Cool Pool” – consists of 18 modern, high quality and essentially equivalent vessels powered by fuel efficient tri-fuel diesel electric (“TFDE”) propulsion technology. The participation of the three owners’ vessels in the Cool Pool are as follows: Dynagas: three vessels; GasLog: five vessels; and Golar: ten vessels.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2016 filed with the SEC on March 1, 2017. On May 4, 2017, GasLog’s board of directors authorized the unaudited condensed consolidated financial statements for issuance.</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2016.</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to comply with its financial covenants for at least twelve months from the end of the reporting period and therefore it is appropriate to prepare the financial statements on a going concern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In January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Group’s consolidated financial statements; please refer to Notes 6, 7 and 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were in issue but not yet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734" w:gutter="0" w:footer="0" w:header="0"/>
        </w:sectPr>
      </w:pPr>
    </w:p>
    <w:bookmarkStart w:id="31" w:name="page32"/>
    <w:bookmarkEnd w:id="31"/>
    <w:p>
      <w:pPr>
        <w:ind w:right="140" w:firstLine="324"/>
        <w:spacing w:after="0" w:line="270"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anticipates that the implementation of this standard will not have a material impact on the Group’s consolidated financial statements since the vast majority of its revenues are generated by long-term contracts with charterers.</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anticipates that the implementation of this standard will not have a material impact on the Group’s financial statements, since the changes for lessors are fairly minor.</w:t>
      </w:r>
    </w:p>
    <w:p>
      <w:pPr>
        <w:spacing w:after="0" w:line="18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 xml:space="preserve">In June 2016, the IASB issued amendments to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all other IFRS standards and amendments issued but not yet adopted is not expected to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 in GasLog Partners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The net proceeds from this offering after deducting underwriting discounts and other offering expenses were $75,590 (excluding $1,569 from the sale of the general partner units to GasLog) and have been allocated to non-controlling interest. In connection with this offering, the Partnership issued 76,531 general partner units to its general partner in order for GasLog to retain its 2.0% general partner interest.</w:t>
      </w:r>
    </w:p>
    <w:p>
      <w:pPr>
        <w:spacing w:after="0" w:line="187"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On February 24, 2017, GasLog Partners issued 120,000 additional common units and 2,449 general partner units in connection with the exercise of the underwriters’ option to purchase additional shares, resulting in additional net proceeds of $2,435 (excluding $50 from the sale of the general partner units to GasLog).</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profit allocation to non-controlling interest is based on the distribution policy for available cash stated in the Partnership Agreement and is illustrated in the table below:</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rPr>
              <w:t>Marginal Percentage Interest in Distributions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2"/>
          </w:tcPr>
          <w:p>
            <w:pPr>
              <w:jc w:val="center"/>
              <w:ind w:right="640"/>
              <w:spacing w:after="0" w:line="191" w:lineRule="exact"/>
              <w:rPr>
                <w:sz w:val="20"/>
                <w:szCs w:val="20"/>
                <w:color w:val="auto"/>
              </w:rPr>
            </w:pPr>
            <w:r>
              <w:rPr>
                <w:rFonts w:ascii="Arial" w:cs="Arial" w:eastAsia="Arial" w:hAnsi="Arial"/>
                <w:sz w:val="18"/>
                <w:szCs w:val="18"/>
                <w:b w:val="1"/>
                <w:bCs w:val="1"/>
                <w:color w:val="auto"/>
                <w:w w:val="93"/>
              </w:rPr>
              <w:t>Total Quarterly</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5"/>
              </w:rPr>
              <w:t>Distribution</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General</w:t>
            </w:r>
          </w:p>
        </w:tc>
        <w:tc>
          <w:tcPr>
            <w:tcW w:w="160" w:type="dxa"/>
            <w:vAlign w:val="bottom"/>
          </w:tcPr>
          <w:p>
            <w:pPr>
              <w:spacing w:after="0"/>
              <w:rPr>
                <w:sz w:val="19"/>
                <w:szCs w:val="19"/>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Holders of</w:t>
            </w:r>
          </w:p>
        </w:tc>
      </w:tr>
      <w:tr>
        <w:trPr>
          <w:trHeight w:val="234"/>
        </w:trPr>
        <w:tc>
          <w:tcPr>
            <w:tcW w:w="40" w:type="dxa"/>
            <w:vAlign w:val="bottom"/>
            <w:tcBorders>
              <w:bottom w:val="single" w:sz="8" w:color="E5FFFF"/>
            </w:tcBorders>
          </w:tcPr>
          <w:p>
            <w:pPr>
              <w:spacing w:after="0"/>
              <w:rPr>
                <w:sz w:val="20"/>
                <w:szCs w:val="20"/>
                <w:color w:val="auto"/>
              </w:rPr>
            </w:pPr>
          </w:p>
        </w:tc>
        <w:tc>
          <w:tcPr>
            <w:tcW w:w="2780" w:type="dxa"/>
            <w:vAlign w:val="bottom"/>
            <w:tcBorders>
              <w:bottom w:val="single" w:sz="8" w:color="E5FFFF"/>
            </w:tcBorders>
          </w:tcPr>
          <w:p>
            <w:pPr>
              <w:spacing w:after="0"/>
              <w:rPr>
                <w:sz w:val="20"/>
                <w:szCs w:val="20"/>
                <w:color w:val="auto"/>
              </w:rPr>
            </w:pPr>
          </w:p>
        </w:tc>
        <w:tc>
          <w:tcPr>
            <w:tcW w:w="900" w:type="dxa"/>
            <w:vAlign w:val="bottom"/>
            <w:tcBorders>
              <w:bottom w:val="single" w:sz="8" w:color="E5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Target Amount</w:t>
            </w:r>
          </w:p>
        </w:tc>
        <w:tc>
          <w:tcPr>
            <w:tcW w:w="320" w:type="dxa"/>
            <w:vAlign w:val="bottom"/>
            <w:tcBorders>
              <w:bottom w:val="single" w:sz="8" w:color="E5FFFF"/>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Unitholders</w:t>
            </w:r>
          </w:p>
        </w:tc>
        <w:tc>
          <w:tcPr>
            <w:tcW w:w="160" w:type="dxa"/>
            <w:vAlign w:val="bottom"/>
            <w:tcBorders>
              <w:bottom w:val="single" w:sz="8" w:color="E5FFFF"/>
            </w:tcBorders>
          </w:tcPr>
          <w:p>
            <w:pPr>
              <w:spacing w:after="0"/>
              <w:rPr>
                <w:sz w:val="20"/>
                <w:szCs w:val="20"/>
                <w:color w:val="auto"/>
              </w:rPr>
            </w:pPr>
          </w:p>
        </w:tc>
        <w:tc>
          <w:tcPr>
            <w:tcW w:w="340" w:type="dxa"/>
            <w:vAlign w:val="bottom"/>
            <w:tcBorders>
              <w:bottom w:val="single" w:sz="8" w:color="E5FFFF"/>
            </w:tcBorders>
          </w:tcPr>
          <w:p>
            <w:pPr>
              <w:spacing w:after="0"/>
              <w:rPr>
                <w:sz w:val="20"/>
                <w:szCs w:val="20"/>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Partner</w:t>
            </w:r>
          </w:p>
        </w:tc>
        <w:tc>
          <w:tcPr>
            <w:tcW w:w="320" w:type="dxa"/>
            <w:vAlign w:val="bottom"/>
            <w:tcBorders>
              <w:bottom w:val="single" w:sz="8" w:color="E5FFFF"/>
            </w:tcBorders>
          </w:tcPr>
          <w:p>
            <w:pPr>
              <w:spacing w:after="0"/>
              <w:rPr>
                <w:sz w:val="20"/>
                <w:szCs w:val="20"/>
                <w:color w:val="auto"/>
              </w:rPr>
            </w:pPr>
          </w:p>
        </w:tc>
        <w:tc>
          <w:tcPr>
            <w:tcW w:w="160" w:type="dxa"/>
            <w:vAlign w:val="bottom"/>
            <w:tcBorders>
              <w:bottom w:val="single" w:sz="8" w:color="E5FF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IDRs</w:t>
            </w:r>
          </w:p>
        </w:tc>
        <w:tc>
          <w:tcPr>
            <w:tcW w:w="160" w:type="dxa"/>
            <w:vAlign w:val="bottom"/>
            <w:tcBorders>
              <w:bottom w:val="single" w:sz="8" w:color="E5FFFF"/>
            </w:tcBorders>
            <w:gridSpan w:val="2"/>
          </w:tcPr>
          <w:p>
            <w:pPr>
              <w:spacing w:after="0"/>
              <w:rPr>
                <w:sz w:val="20"/>
                <w:szCs w:val="20"/>
                <w:color w:val="auto"/>
              </w:rPr>
            </w:pPr>
          </w:p>
        </w:tc>
      </w:tr>
      <w:tr>
        <w:trPr>
          <w:trHeight w:val="210"/>
        </w:trPr>
        <w:tc>
          <w:tcPr>
            <w:tcW w:w="37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32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3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98.0%</w:t>
            </w:r>
          </w:p>
        </w:tc>
        <w:tc>
          <w:tcPr>
            <w:tcW w:w="340" w:type="dxa"/>
            <w:vAlign w:val="bottom"/>
            <w:shd w:val="clear" w:color="auto" w:fill="E5FFFF"/>
          </w:tcPr>
          <w:p>
            <w:pPr>
              <w:spacing w:after="0"/>
              <w:rPr>
                <w:sz w:val="18"/>
                <w:szCs w:val="18"/>
                <w:color w:val="auto"/>
              </w:rPr>
            </w:pPr>
          </w:p>
        </w:tc>
        <w:tc>
          <w:tcPr>
            <w:tcW w:w="15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E5FFFF"/>
          </w:tcPr>
          <w:p>
            <w:pPr>
              <w:spacing w:after="0"/>
              <w:rPr>
                <w:sz w:val="18"/>
                <w:szCs w:val="18"/>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First Target Distribution</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rPr>
              <w:t>$0.375 up to $0.43125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1860" w:type="dxa"/>
            <w:vAlign w:val="bottom"/>
            <w:gridSpan w:val="4"/>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21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w w:val="90"/>
              </w:rPr>
              <w:t>$0.43125 up to $0.46875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85.0%</w:t>
            </w:r>
          </w:p>
        </w:tc>
        <w:tc>
          <w:tcPr>
            <w:tcW w:w="186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Third Target Distribution</w:t>
            </w:r>
          </w:p>
        </w:tc>
        <w:tc>
          <w:tcPr>
            <w:tcW w:w="21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$0.46875 up to $0.5625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860" w:type="dxa"/>
            <w:vAlign w:val="bottom"/>
            <w:gridSpan w:val="4"/>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40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Thereafter</w:t>
            </w:r>
          </w:p>
        </w:tc>
        <w:tc>
          <w:tcPr>
            <w:tcW w:w="21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Above $0.5625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50.0%</w:t>
            </w:r>
          </w:p>
        </w:tc>
        <w:tc>
          <w:tcPr>
            <w:tcW w:w="186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48.0%</w:t>
            </w:r>
          </w:p>
        </w:tc>
      </w:tr>
      <w:tr>
        <w:trPr>
          <w:trHeight w:val="392"/>
        </w:trPr>
        <w:tc>
          <w:tcPr>
            <w:tcW w:w="4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Allocation of GasLog Partners’ profit</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50"/>
        </w:trPr>
        <w:tc>
          <w:tcPr>
            <w:tcW w:w="40" w:type="dxa"/>
            <w:vAlign w:val="bottom"/>
          </w:tcPr>
          <w:p>
            <w:pPr>
              <w:spacing w:after="0"/>
              <w:rPr>
                <w:sz w:val="21"/>
                <w:szCs w:val="21"/>
                <w:color w:val="auto"/>
              </w:rPr>
            </w:pPr>
          </w:p>
        </w:tc>
        <w:tc>
          <w:tcPr>
            <w:tcW w:w="2780" w:type="dxa"/>
            <w:vAlign w:val="bottom"/>
            <w:tcBorders>
              <w:top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March 31, 2016</w:t>
            </w:r>
          </w:p>
        </w:tc>
        <w:tc>
          <w:tcPr>
            <w:tcW w:w="15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9"/>
              </w:rPr>
              <w:t>March 31, 2017</w:t>
            </w:r>
          </w:p>
        </w:tc>
      </w:tr>
      <w:tr>
        <w:trPr>
          <w:trHeight w:val="210"/>
        </w:trPr>
        <w:tc>
          <w:tcPr>
            <w:tcW w:w="404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Partnership’s profit attributable to:</w:t>
            </w:r>
          </w:p>
        </w:tc>
        <w:tc>
          <w:tcPr>
            <w:tcW w:w="18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Common unitholders</w:t>
            </w: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10,679</w:t>
            </w:r>
          </w:p>
        </w:tc>
        <w:tc>
          <w:tcPr>
            <w:tcW w:w="32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14,724</w:t>
            </w:r>
          </w:p>
        </w:tc>
      </w:tr>
      <w:tr>
        <w:trPr>
          <w:trHeight w:val="216"/>
        </w:trPr>
        <w:tc>
          <w:tcPr>
            <w:tcW w:w="40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18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54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4,807</w:t>
            </w:r>
          </w:p>
        </w:tc>
        <w:tc>
          <w:tcPr>
            <w:tcW w:w="320" w:type="dxa"/>
            <w:vAlign w:val="bottom"/>
            <w:shd w:val="clear" w:color="auto" w:fill="E5FFFF"/>
          </w:tcPr>
          <w:p>
            <w:pPr>
              <w:spacing w:after="0"/>
              <w:rPr>
                <w:sz w:val="18"/>
                <w:szCs w:val="18"/>
                <w:color w:val="auto"/>
              </w:rPr>
            </w:pPr>
          </w:p>
        </w:tc>
        <w:tc>
          <w:tcPr>
            <w:tcW w:w="15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5,085</w:t>
            </w: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General partner</w:t>
            </w: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420</w:t>
            </w:r>
          </w:p>
        </w:tc>
      </w:tr>
      <w:tr>
        <w:trPr>
          <w:trHeight w:val="230"/>
        </w:trPr>
        <w:tc>
          <w:tcPr>
            <w:tcW w:w="40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Incentive distribution rights (“IDRs”)</w:t>
            </w:r>
          </w:p>
        </w:tc>
        <w:tc>
          <w:tcPr>
            <w:tcW w:w="18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2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54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E5FFFF"/>
          </w:tcPr>
          <w:p>
            <w:pPr>
              <w:spacing w:after="0"/>
              <w:rPr>
                <w:sz w:val="19"/>
                <w:szCs w:val="19"/>
                <w:color w:val="auto"/>
              </w:rPr>
            </w:pPr>
          </w:p>
        </w:tc>
        <w:tc>
          <w:tcPr>
            <w:tcW w:w="15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793</w:t>
            </w:r>
          </w:p>
        </w:tc>
      </w:tr>
      <w:tr>
        <w:trPr>
          <w:trHeight w:val="263"/>
        </w:trPr>
        <w:tc>
          <w:tcPr>
            <w:tcW w:w="40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E5FFFF"/>
            </w:tcBorders>
          </w:tcPr>
          <w:p>
            <w:pPr>
              <w:spacing w:after="0"/>
              <w:rPr>
                <w:sz w:val="22"/>
                <w:szCs w:val="22"/>
                <w:color w:val="auto"/>
              </w:rPr>
            </w:pPr>
          </w:p>
        </w:tc>
        <w:tc>
          <w:tcPr>
            <w:tcW w:w="320" w:type="dxa"/>
            <w:vAlign w:val="bottom"/>
            <w:tcBorders>
              <w:bottom w:val="single" w:sz="8" w:color="E5FFFF"/>
            </w:tcBorders>
          </w:tcPr>
          <w:p>
            <w:pPr>
              <w:spacing w:after="0"/>
              <w:rPr>
                <w:sz w:val="22"/>
                <w:szCs w:val="22"/>
                <w:color w:val="auto"/>
              </w:rPr>
            </w:pPr>
          </w:p>
        </w:tc>
        <w:tc>
          <w:tcPr>
            <w:tcW w:w="1200" w:type="dxa"/>
            <w:vAlign w:val="bottom"/>
            <w:tcBorders>
              <w:bottom w:val="single" w:sz="8" w:color="E5FFFF"/>
            </w:tcBorders>
          </w:tcPr>
          <w:p>
            <w:pPr>
              <w:spacing w:after="0"/>
              <w:rPr>
                <w:sz w:val="22"/>
                <w:szCs w:val="22"/>
                <w:color w:val="auto"/>
              </w:rPr>
            </w:pPr>
          </w:p>
        </w:tc>
        <w:tc>
          <w:tcPr>
            <w:tcW w:w="160" w:type="dxa"/>
            <w:vAlign w:val="bottom"/>
            <w:tcBorders>
              <w:bottom w:val="single" w:sz="8" w:color="E5FFFF"/>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16,191</w:t>
            </w:r>
          </w:p>
        </w:tc>
        <w:tc>
          <w:tcPr>
            <w:tcW w:w="120" w:type="dxa"/>
            <w:vAlign w:val="bottom"/>
            <w:tcBorders>
              <w:bottom w:val="single" w:sz="8" w:color="E5FFFF"/>
            </w:tcBorders>
          </w:tcPr>
          <w:p>
            <w:pPr>
              <w:spacing w:after="0"/>
              <w:rPr>
                <w:sz w:val="22"/>
                <w:szCs w:val="22"/>
                <w:color w:val="auto"/>
              </w:rPr>
            </w:pPr>
          </w:p>
        </w:tc>
        <w:tc>
          <w:tcPr>
            <w:tcW w:w="320" w:type="dxa"/>
            <w:vAlign w:val="bottom"/>
            <w:tcBorders>
              <w:bottom w:val="single" w:sz="8" w:color="E5FFFF"/>
            </w:tcBorders>
          </w:tcPr>
          <w:p>
            <w:pPr>
              <w:spacing w:after="0"/>
              <w:rPr>
                <w:sz w:val="22"/>
                <w:szCs w:val="22"/>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21,022</w:t>
            </w:r>
          </w:p>
        </w:tc>
        <w:tc>
          <w:tcPr>
            <w:tcW w:w="100" w:type="dxa"/>
            <w:vAlign w:val="bottom"/>
            <w:tcBorders>
              <w:bottom w:val="single" w:sz="8" w:color="E5FFFF"/>
            </w:tcBorders>
          </w:tcPr>
          <w:p>
            <w:pPr>
              <w:spacing w:after="0"/>
              <w:rPr>
                <w:sz w:val="22"/>
                <w:szCs w:val="22"/>
                <w:color w:val="auto"/>
              </w:rPr>
            </w:pPr>
          </w:p>
        </w:tc>
      </w:tr>
      <w:tr>
        <w:trPr>
          <w:trHeight w:val="197"/>
        </w:trPr>
        <w:tc>
          <w:tcPr>
            <w:tcW w:w="404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Partnership’s profit allocated to GasLog</w:t>
            </w:r>
          </w:p>
        </w:tc>
        <w:tc>
          <w:tcPr>
            <w:tcW w:w="1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5,591</w:t>
            </w: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2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6,382</w:t>
            </w:r>
          </w:p>
        </w:tc>
        <w:tc>
          <w:tcPr>
            <w:tcW w:w="100" w:type="dxa"/>
            <w:vAlign w:val="bottom"/>
            <w:shd w:val="clear" w:color="auto" w:fill="E5FFFF"/>
          </w:tcPr>
          <w:p>
            <w:pPr>
              <w:spacing w:after="0"/>
              <w:rPr>
                <w:sz w:val="17"/>
                <w:szCs w:val="17"/>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w w:val="92"/>
              </w:rPr>
              <w:t>Partnership’s profit allocated to non-controlling interest</w:t>
            </w: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10,600</w:t>
            </w:r>
          </w:p>
        </w:tc>
        <w:tc>
          <w:tcPr>
            <w:tcW w:w="320" w:type="dxa"/>
            <w:vAlign w:val="bottom"/>
          </w:tcPr>
          <w:p>
            <w:pPr>
              <w:spacing w:after="0"/>
              <w:rPr>
                <w:sz w:val="19"/>
                <w:szCs w:val="19"/>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14,640</w:t>
            </w:r>
          </w:p>
        </w:tc>
      </w:tr>
      <w:tr>
        <w:trPr>
          <w:trHeight w:val="223"/>
        </w:trPr>
        <w:tc>
          <w:tcPr>
            <w:tcW w:w="404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0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16,191</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21,022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00"/>
          </w:cols>
          <w:pgMar w:left="240" w:top="409" w:right="259" w:bottom="0" w:gutter="0" w:footer="0" w:header="0"/>
        </w:sect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409" w:right="259" w:bottom="0" w:gutter="0" w:footer="0" w:header="0"/>
          <w:type w:val="continuous"/>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4. Investment in Associates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The movements in investment in associates are reported in the following table:</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March 31, 2017</w:t>
            </w:r>
          </w:p>
        </w:tc>
      </w:tr>
      <w:tr>
        <w:trPr>
          <w:trHeight w:val="210"/>
        </w:trPr>
        <w:tc>
          <w:tcPr>
            <w:tcW w:w="340" w:type="dxa"/>
            <w:vAlign w:val="bottom"/>
          </w:tcPr>
          <w:p>
            <w:pPr>
              <w:spacing w:after="0"/>
              <w:rPr>
                <w:sz w:val="18"/>
                <w:szCs w:val="18"/>
                <w:color w:val="auto"/>
              </w:rPr>
            </w:pPr>
          </w:p>
        </w:tc>
        <w:tc>
          <w:tcPr>
            <w:tcW w:w="9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As of January 1, 2017</w:t>
            </w: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6,265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13,944</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42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shd w:val="clear" w:color="auto" w:fill="E5FF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Return of investment from associate</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30"/>
        </w:trPr>
        <w:tc>
          <w:tcPr>
            <w:tcW w:w="340" w:type="dxa"/>
            <w:vAlign w:val="bottom"/>
          </w:tcPr>
          <w:p>
            <w:pPr>
              <w:spacing w:after="0"/>
              <w:rPr>
                <w:sz w:val="19"/>
                <w:szCs w:val="19"/>
                <w:color w:val="auto"/>
              </w:rPr>
            </w:pPr>
          </w:p>
        </w:tc>
        <w:tc>
          <w:tcPr>
            <w:tcW w:w="9420" w:type="dxa"/>
            <w:vAlign w:val="bottom"/>
            <w:shd w:val="clear" w:color="auto" w:fill="E5FFFF"/>
          </w:tcPr>
          <w:p>
            <w:pPr>
              <w:spacing w:after="0"/>
              <w:rPr>
                <w:sz w:val="20"/>
                <w:szCs w:val="20"/>
                <w:color w:val="auto"/>
              </w:rPr>
            </w:pPr>
            <w:r>
              <w:rPr>
                <w:rFonts w:ascii="Arial" w:cs="Arial" w:eastAsia="Arial" w:hAnsi="Arial"/>
                <w:sz w:val="18"/>
                <w:szCs w:val="18"/>
                <w:color w:val="auto"/>
              </w:rPr>
              <w:t>Dividend declared</w:t>
            </w:r>
          </w:p>
        </w:tc>
        <w:tc>
          <w:tcPr>
            <w:tcW w:w="15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34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b w:val="1"/>
                <w:bCs w:val="1"/>
                <w:color w:val="auto"/>
              </w:rPr>
              <w:t>As of March 31, 2017</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The additions of $13,944 relate to the investment in Gastrade. 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 GasLog, as well as being a shareholder, will provide operations and maintenance (“O&amp;M”) services for the FSRU through an O&amp;M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Tangible Fixed Assets, Vessels Under Construction and Vessel Held Under Finance Lease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tangible fixed assets, vessels under construction and vessel held under finance lease are reported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Office property</w:t>
            </w: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and other</w:t>
            </w: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tangible fixed</w:t>
            </w: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Vessels under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Vessel held under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Vessels</w:t>
            </w: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tangible assets</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8"/>
              </w:rPr>
              <w:t>assets</w:t>
            </w: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construction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finance lease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2520" w:type="dxa"/>
            <w:vAlign w:val="bottom"/>
            <w:tcBorders>
              <w:top w:val="single" w:sz="8" w:color="E5FFFF"/>
              <w:bottom w:val="single" w:sz="8" w:color="E5FFFF"/>
            </w:tcBorders>
            <w:gridSpan w:val="3"/>
            <w:shd w:val="clear" w:color="auto" w:fill="E5FFFF"/>
          </w:tcPr>
          <w:p>
            <w:pPr>
              <w:spacing w:after="0"/>
              <w:rPr>
                <w:sz w:val="16"/>
                <w:szCs w:val="16"/>
                <w:color w:val="auto"/>
              </w:rPr>
            </w:pPr>
          </w:p>
        </w:tc>
        <w:tc>
          <w:tcPr>
            <w:tcW w:w="1160" w:type="dxa"/>
            <w:vAlign w:val="bottom"/>
            <w:tcBorders>
              <w:top w:val="single" w:sz="8" w:color="auto"/>
              <w:bottom w:val="single" w:sz="8" w:color="E5FFFF"/>
            </w:tcBorders>
            <w:shd w:val="clear" w:color="auto" w:fill="E5FFFF"/>
          </w:tcPr>
          <w:p>
            <w:pPr>
              <w:spacing w:after="0"/>
              <w:rPr>
                <w:sz w:val="16"/>
                <w:szCs w:val="16"/>
                <w:color w:val="auto"/>
              </w:rPr>
            </w:pPr>
          </w:p>
        </w:tc>
        <w:tc>
          <w:tcPr>
            <w:tcW w:w="340" w:type="dxa"/>
            <w:vAlign w:val="bottom"/>
            <w:tcBorders>
              <w:top w:val="single" w:sz="8" w:color="E5FFFF"/>
              <w:bottom w:val="single" w:sz="8" w:color="E5FFFF"/>
            </w:tcBorders>
            <w:shd w:val="clear" w:color="auto" w:fill="E5FFFF"/>
          </w:tcPr>
          <w:p>
            <w:pPr>
              <w:spacing w:after="0"/>
              <w:rPr>
                <w:sz w:val="16"/>
                <w:szCs w:val="16"/>
                <w:color w:val="auto"/>
              </w:rPr>
            </w:pPr>
          </w:p>
        </w:tc>
        <w:tc>
          <w:tcPr>
            <w:tcW w:w="150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48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48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480" w:type="dxa"/>
            <w:vAlign w:val="bottom"/>
            <w:tcBorders>
              <w:top w:val="single" w:sz="8" w:color="auto"/>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As of January 1, 2017</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4,212,849</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14,501</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4,227,350</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96,356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228,523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Additions</w:t>
            </w:r>
          </w:p>
        </w:tc>
        <w:tc>
          <w:tcPr>
            <w:tcW w:w="150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(604)</w:t>
            </w:r>
          </w:p>
        </w:tc>
        <w:tc>
          <w:tcPr>
            <w:tcW w:w="18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448</w:t>
            </w:r>
          </w:p>
        </w:tc>
        <w:tc>
          <w:tcPr>
            <w:tcW w:w="18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(156)</w:t>
            </w:r>
          </w:p>
        </w:tc>
        <w:tc>
          <w:tcPr>
            <w:tcW w:w="18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15,101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As of March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4,212,245</w:t>
            </w:r>
          </w:p>
        </w:tc>
        <w:tc>
          <w:tcPr>
            <w:tcW w:w="34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14,949</w:t>
            </w:r>
          </w:p>
        </w:tc>
        <w:tc>
          <w:tcPr>
            <w:tcW w:w="3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4,227,194</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111,457</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11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of January 1, 2017</w:t>
            </w:r>
          </w:p>
        </w:tc>
        <w:tc>
          <w:tcPr>
            <w:tcW w:w="860" w:type="dxa"/>
            <w:vAlign w:val="bottom"/>
            <w:tcBorders>
              <w:top w:val="single" w:sz="8" w:color="E5FFFF"/>
            </w:tcBorders>
          </w:tcPr>
          <w:p>
            <w:pPr>
              <w:spacing w:after="0"/>
              <w:rPr>
                <w:sz w:val="18"/>
                <w:szCs w:val="18"/>
                <w:color w:val="auto"/>
              </w:rPr>
            </w:pPr>
          </w:p>
        </w:tc>
        <w:tc>
          <w:tcPr>
            <w:tcW w:w="1500" w:type="dxa"/>
            <w:vAlign w:val="bottom"/>
            <w:tcBorders>
              <w:top w:val="single" w:sz="8" w:color="E5FFFF"/>
            </w:tcBorders>
            <w:gridSpan w:val="2"/>
          </w:tcPr>
          <w:p>
            <w:pPr>
              <w:jc w:val="right"/>
              <w:ind w:right="340"/>
              <w:spacing w:after="0"/>
              <w:rPr>
                <w:sz w:val="20"/>
                <w:szCs w:val="20"/>
                <w:color w:val="auto"/>
              </w:rPr>
            </w:pPr>
            <w:r>
              <w:rPr>
                <w:rFonts w:ascii="Arial" w:cs="Arial" w:eastAsia="Arial" w:hAnsi="Arial"/>
                <w:sz w:val="18"/>
                <w:szCs w:val="18"/>
                <w:color w:val="auto"/>
              </w:rPr>
              <w:t>334,960</w:t>
            </w:r>
          </w:p>
        </w:tc>
        <w:tc>
          <w:tcPr>
            <w:tcW w:w="1500" w:type="dxa"/>
            <w:vAlign w:val="bottom"/>
            <w:tcBorders>
              <w:top w:val="single" w:sz="8" w:color="E5FFFF"/>
            </w:tcBorders>
          </w:tcPr>
          <w:p>
            <w:pPr>
              <w:jc w:val="right"/>
              <w:spacing w:after="0"/>
              <w:rPr>
                <w:sz w:val="20"/>
                <w:szCs w:val="20"/>
                <w:color w:val="auto"/>
              </w:rPr>
            </w:pPr>
            <w:r>
              <w:rPr>
                <w:rFonts w:ascii="Arial" w:cs="Arial" w:eastAsia="Arial" w:hAnsi="Arial"/>
                <w:sz w:val="18"/>
                <w:szCs w:val="18"/>
                <w:color w:val="auto"/>
              </w:rPr>
              <w:t>3,343</w:t>
            </w:r>
          </w:p>
        </w:tc>
        <w:tc>
          <w:tcPr>
            <w:tcW w:w="360" w:type="dxa"/>
            <w:vAlign w:val="bottom"/>
            <w:tcBorders>
              <w:top w:val="single" w:sz="8" w:color="E5FFFF"/>
            </w:tcBorders>
          </w:tcPr>
          <w:p>
            <w:pPr>
              <w:spacing w:after="0"/>
              <w:rPr>
                <w:sz w:val="18"/>
                <w:szCs w:val="18"/>
                <w:color w:val="auto"/>
              </w:rPr>
            </w:pPr>
          </w:p>
        </w:tc>
        <w:tc>
          <w:tcPr>
            <w:tcW w:w="180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338,303</w:t>
            </w:r>
          </w:p>
        </w:tc>
        <w:tc>
          <w:tcPr>
            <w:tcW w:w="180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5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31,648</w:t>
            </w:r>
          </w:p>
        </w:tc>
        <w:tc>
          <w:tcPr>
            <w:tcW w:w="18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167</w:t>
            </w:r>
          </w:p>
        </w:tc>
        <w:tc>
          <w:tcPr>
            <w:tcW w:w="18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31,815</w:t>
            </w:r>
          </w:p>
        </w:tc>
        <w:tc>
          <w:tcPr>
            <w:tcW w:w="18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As of March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366,608</w:t>
            </w:r>
          </w:p>
        </w:tc>
        <w:tc>
          <w:tcPr>
            <w:tcW w:w="34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3,510</w:t>
            </w:r>
          </w:p>
        </w:tc>
        <w:tc>
          <w:tcPr>
            <w:tcW w:w="3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370,118</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Net book value</w:t>
            </w:r>
          </w:p>
        </w:tc>
        <w:tc>
          <w:tcPr>
            <w:tcW w:w="1720" w:type="dxa"/>
            <w:vAlign w:val="bottom"/>
            <w:tcBorders>
              <w:bottom w:val="single" w:sz="8" w:color="E5FFFF"/>
            </w:tcBorders>
            <w:gridSpan w:val="2"/>
            <w:shd w:val="clear" w:color="auto" w:fill="E5FFFF"/>
          </w:tcPr>
          <w:p>
            <w:pPr>
              <w:spacing w:after="0"/>
              <w:rPr>
                <w:sz w:val="17"/>
                <w:szCs w:val="17"/>
                <w:color w:val="auto"/>
              </w:rPr>
            </w:pPr>
          </w:p>
        </w:tc>
        <w:tc>
          <w:tcPr>
            <w:tcW w:w="116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5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3,877,889</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11,158</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3,889,047</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96,356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March 31, 2017</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3,845,637</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11,439</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3,857,076</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111,457</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220,111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Vessels with an aggregate carrying amount of $3,845,637 as of March 31, 2017 (December 31, 2016: $3,877,889) have been pledged as collateral under the terms of the Group’s loan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Heavy Industries Co. Ltd. (“Samsung”) for the construction of two LNG carriers (174,000 cubic meters each). The vessels are expected to be delivered in the first quarter of 2018 and 2019, respectively.</w:t>
      </w:r>
    </w:p>
    <w:p>
      <w:pPr>
        <w:spacing w:after="0" w:line="18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In June 2014, GAS-twenty four Ltd. and GAS-twenty five Ltd. entered into shipbuilding contracts with Hyundai Heavy Industries Co., Ltd. (“Hyundai”) for the construction of two LNG carriers (174,000 cubic meters each). The vessels are expected to be delivered in the first quarter of 2018.</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September 2016, GAS-twenty eight Ltd. entered into a shipbuilding contract with Samsung for the construction of one LNG carrier (180,000 cubic meters). The vessel is expected to be delivered in the second quarter of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21, 2017, GasLog entered into a Heads of Agreement (“HOA”) with Samsung for the potential conversion of an existing vessel of the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$3,400 of the total cost was payable, in accordance with the repayment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4" w:name="page35"/>
    <w:bookmarkEnd w:id="34"/>
    <w:p>
      <w:pPr>
        <w:jc w:val="both"/>
        <w:ind w:right="20" w:firstLine="324"/>
        <w:spacing w:after="0" w:line="264"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March 31, 2017, the Group has paid to the shipyard $101,731 for the vessels that are under construction and expects to pay the remaining installments as they come due upon each vessel’s keel laying, launching and delivery (Note 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w w:val="89"/>
              </w:rPr>
              <w:t>The vessels under construction costs as of December 31, 2016 and March 31, 2017 are as follows:</w:t>
            </w: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440" w:type="dxa"/>
            <w:vAlign w:val="bottom"/>
          </w:tcPr>
          <w:p>
            <w:pPr>
              <w:spacing w:after="0"/>
              <w:rPr>
                <w:sz w:val="24"/>
                <w:szCs w:val="24"/>
                <w:color w:val="auto"/>
              </w:rPr>
            </w:pPr>
          </w:p>
        </w:tc>
        <w:tc>
          <w:tcPr>
            <w:tcW w:w="2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6"/>
              </w:rPr>
              <w:t>December 31, 2016</w:t>
            </w:r>
          </w:p>
        </w:tc>
        <w:tc>
          <w:tcPr>
            <w:tcW w:w="1800" w:type="dxa"/>
            <w:vAlign w:val="bottom"/>
            <w:gridSpan w:val="3"/>
          </w:tcPr>
          <w:p>
            <w:pPr>
              <w:ind w:left="24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Progress shipyard installments</w:t>
            </w: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91,375</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105,131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4,915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6,168</w:t>
            </w:r>
          </w:p>
        </w:tc>
        <w:tc>
          <w:tcPr>
            <w:tcW w:w="80" w:type="dxa"/>
            <w:vAlign w:val="bottom"/>
          </w:tcPr>
          <w:p>
            <w:pPr>
              <w:spacing w:after="0"/>
              <w:rPr>
                <w:sz w:val="18"/>
                <w:szCs w:val="18"/>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66</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E5FF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96,356</w:t>
            </w:r>
          </w:p>
        </w:tc>
        <w:tc>
          <w:tcPr>
            <w:tcW w:w="46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Sale and Leaseback</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 xml:space="preserve">On February 24, 2016, GasLog’s subsidiary, GAS-twenty six Ltd., completed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with a subsidiary of Mitsui. Mitsui has the right to on-sell and lease back the vessel. The vessel was sold to Mitsui for a cash consideration of $217,000. GasLog has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IFRS.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finance lease liabilities are reported in the following table:</w:t>
      </w:r>
    </w:p>
    <w:p>
      <w:pPr>
        <w:sectPr>
          <w:pgSz w:w="11900" w:h="16838" w:orient="portrait"/>
          <w:cols w:equalWidth="0" w:num="1">
            <w:col w:w="11420"/>
          </w:cols>
          <w:pgMar w:left="240" w:top="409" w:right="239" w:bottom="451"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liabilities as of January 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charge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 liabilities as of March 31, 2017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the borrowings is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Opening balance</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Cash flows</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Non-cash items</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195"/>
        </w:trPr>
        <w:tc>
          <w:tcPr>
            <w:tcW w:w="198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220,401</w:t>
            </w:r>
          </w:p>
        </w:tc>
        <w:tc>
          <w:tcPr>
            <w:tcW w:w="170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220,401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2,714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2,714</w:t>
            </w:r>
          </w:p>
        </w:tc>
        <w:tc>
          <w:tcPr>
            <w:tcW w:w="40" w:type="dxa"/>
            <w:vAlign w:val="bottom"/>
          </w:tcPr>
          <w:p>
            <w:pPr>
              <w:spacing w:after="0"/>
              <w:rPr>
                <w:sz w:val="18"/>
                <w:szCs w:val="18"/>
                <w:color w:val="auto"/>
              </w:rPr>
            </w:pPr>
          </w:p>
        </w:tc>
      </w:tr>
      <w:tr>
        <w:trPr>
          <w:trHeight w:val="244"/>
        </w:trPr>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(4,401)</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(4,401)</w:t>
            </w: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220,401</w:t>
            </w:r>
          </w:p>
        </w:tc>
        <w:tc>
          <w:tcPr>
            <w:tcW w:w="4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w:t>
            </w:r>
          </w:p>
        </w:tc>
        <w:tc>
          <w:tcPr>
            <w:tcW w:w="44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218,714</w:t>
            </w:r>
          </w:p>
        </w:tc>
        <w:tc>
          <w:tcPr>
            <w:tcW w:w="40" w:type="dxa"/>
            <w:vAlign w:val="bottom"/>
          </w:tcPr>
          <w:p>
            <w:pPr>
              <w:spacing w:after="0"/>
              <w:rPr>
                <w:sz w:val="19"/>
                <w:szCs w:val="19"/>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-608330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-325120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80"/>
        <w:spacing w:after="0"/>
        <w:tabs>
          <w:tab w:leader="none" w:pos="5140" w:val="left"/>
        </w:tabs>
        <w:rPr>
          <w:sz w:val="20"/>
          <w:szCs w:val="20"/>
          <w:color w:val="auto"/>
        </w:rPr>
      </w:pPr>
      <w:r>
        <w:rPr>
          <w:rFonts w:ascii="Arial" w:cs="Arial" w:eastAsia="Arial" w:hAnsi="Arial"/>
          <w:sz w:val="18"/>
          <w:szCs w:val="18"/>
          <w:b w:val="1"/>
          <w:bCs w:val="1"/>
          <w:color w:val="auto"/>
        </w:rPr>
        <w:t>December 31, 2016</w:t>
      </w:r>
      <w:r>
        <w:rPr>
          <w:sz w:val="20"/>
          <w:szCs w:val="20"/>
          <w:color w:val="auto"/>
        </w:rPr>
        <w:tab/>
      </w:r>
      <w:r>
        <w:rPr>
          <w:rFonts w:ascii="Arial" w:cs="Arial" w:eastAsia="Arial" w:hAnsi="Arial"/>
          <w:sz w:val="16"/>
          <w:szCs w:val="16"/>
          <w:b w:val="1"/>
          <w:bCs w:val="1"/>
          <w:color w:val="auto"/>
        </w:rPr>
        <w:t>March 31, 2017</w:t>
      </w:r>
    </w:p>
    <w:p>
      <w:pPr>
        <w:spacing w:after="0" w:line="45" w:lineRule="exact"/>
        <w:rPr>
          <w:sz w:val="20"/>
          <w:szCs w:val="20"/>
          <w:color w:val="auto"/>
        </w:rPr>
      </w:pPr>
    </w:p>
    <w:p>
      <w:pPr>
        <w:sectPr>
          <w:pgSz w:w="11900" w:h="16838" w:orient="portrait"/>
          <w:cols w:equalWidth="0" w:num="2">
            <w:col w:w="3980" w:space="720"/>
            <w:col w:w="6720"/>
          </w:cols>
          <w:pgMar w:left="240" w:top="409" w:right="239" w:bottom="451"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440" w:type="dxa"/>
            <w:vAlign w:val="bottom"/>
            <w:shd w:val="clear" w:color="auto" w:fill="E5FF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0" w:type="dxa"/>
            <w:vAlign w:val="bottom"/>
            <w:shd w:val="clear" w:color="auto" w:fill="E5FFFF"/>
          </w:tcPr>
          <w:p>
            <w:pPr>
              <w:spacing w:after="0" w:line="20" w:lineRule="exact"/>
              <w:rPr>
                <w:sz w:val="1"/>
                <w:szCs w:val="1"/>
                <w:color w:val="auto"/>
              </w:rPr>
            </w:pPr>
          </w:p>
        </w:tc>
        <w:tc>
          <w:tcPr>
            <w:tcW w:w="1720" w:type="dxa"/>
            <w:vAlign w:val="bottom"/>
            <w:tcBorders>
              <w:right w:val="single" w:sz="8" w:color="E5FFFF"/>
            </w:tcBorders>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r>
      <w:tr>
        <w:trPr>
          <w:trHeight w:val="192"/>
        </w:trPr>
        <w:tc>
          <w:tcPr>
            <w:tcW w:w="7440" w:type="dxa"/>
            <w:vAlign w:val="bottom"/>
            <w:shd w:val="clear" w:color="auto" w:fill="E5FFFF"/>
          </w:tcPr>
          <w:p>
            <w:pPr>
              <w:spacing w:after="0" w:line="192" w:lineRule="exact"/>
              <w:rPr>
                <w:sz w:val="20"/>
                <w:szCs w:val="20"/>
                <w:color w:val="auto"/>
              </w:rPr>
            </w:pPr>
            <w:r>
              <w:rPr>
                <w:rFonts w:ascii="Arial" w:cs="Arial" w:eastAsia="Arial" w:hAnsi="Arial"/>
                <w:sz w:val="18"/>
                <w:szCs w:val="18"/>
                <w:color w:val="auto"/>
              </w:rPr>
              <w:t>Amounts due within one year</w:t>
            </w:r>
          </w:p>
        </w:tc>
        <w:tc>
          <w:tcPr>
            <w:tcW w:w="2180" w:type="dxa"/>
            <w:vAlign w:val="bottom"/>
            <w:gridSpan w:val="2"/>
            <w:shd w:val="clear" w:color="auto" w:fill="E5FFFF"/>
          </w:tcPr>
          <w:p>
            <w:pPr>
              <w:jc w:val="right"/>
              <w:ind w:right="460"/>
              <w:spacing w:after="0" w:line="192" w:lineRule="exact"/>
              <w:rPr>
                <w:sz w:val="20"/>
                <w:szCs w:val="20"/>
                <w:color w:val="auto"/>
              </w:rPr>
            </w:pPr>
            <w:r>
              <w:rPr>
                <w:rFonts w:ascii="Arial" w:cs="Arial" w:eastAsia="Arial" w:hAnsi="Arial"/>
                <w:sz w:val="18"/>
                <w:szCs w:val="18"/>
                <w:color w:val="auto"/>
              </w:rPr>
              <w:t>156,645</w:t>
            </w:r>
          </w:p>
        </w:tc>
        <w:tc>
          <w:tcPr>
            <w:tcW w:w="1720" w:type="dxa"/>
            <w:vAlign w:val="bottom"/>
            <w:tcBorders>
              <w:right w:val="single" w:sz="8" w:color="E5FFFF"/>
            </w:tcBorders>
            <w:shd w:val="clear" w:color="auto" w:fill="E5FFFF"/>
          </w:tcPr>
          <w:p>
            <w:pPr>
              <w:jc w:val="right"/>
              <w:spacing w:after="0" w:line="192" w:lineRule="exact"/>
              <w:rPr>
                <w:sz w:val="20"/>
                <w:szCs w:val="20"/>
                <w:color w:val="auto"/>
              </w:rPr>
            </w:pPr>
            <w:r>
              <w:rPr>
                <w:rFonts w:ascii="Arial" w:cs="Arial" w:eastAsia="Arial" w:hAnsi="Arial"/>
                <w:sz w:val="18"/>
                <w:szCs w:val="18"/>
                <w:color w:val="auto"/>
              </w:rPr>
              <w:t>308,417</w:t>
            </w:r>
          </w:p>
        </w:tc>
        <w:tc>
          <w:tcPr>
            <w:tcW w:w="80" w:type="dxa"/>
            <w:vAlign w:val="bottom"/>
            <w:shd w:val="clear" w:color="auto" w:fill="E5FFFF"/>
          </w:tcPr>
          <w:p>
            <w:pPr>
              <w:spacing w:after="0"/>
              <w:rPr>
                <w:sz w:val="16"/>
                <w:szCs w:val="16"/>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unamortized deferred loan and senior unsecured notes issuance costs</w:t>
            </w:r>
          </w:p>
        </w:tc>
        <w:tc>
          <w:tcPr>
            <w:tcW w:w="2180" w:type="dxa"/>
            <w:vAlign w:val="bottom"/>
            <w:gridSpan w:val="2"/>
          </w:tcPr>
          <w:p>
            <w:pPr>
              <w:jc w:val="right"/>
              <w:ind w:right="400"/>
              <w:spacing w:after="0"/>
              <w:rPr>
                <w:sz w:val="20"/>
                <w:szCs w:val="20"/>
                <w:color w:val="auto"/>
              </w:rPr>
            </w:pPr>
            <w:r>
              <w:rPr>
                <w:rFonts w:ascii="Arial" w:cs="Arial" w:eastAsia="Arial" w:hAnsi="Arial"/>
                <w:sz w:val="18"/>
                <w:szCs w:val="18"/>
                <w:color w:val="auto"/>
              </w:rPr>
              <w:t>(9,197)</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(10,512)</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current portion</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147,448</w:t>
            </w:r>
          </w:p>
        </w:tc>
        <w:tc>
          <w:tcPr>
            <w:tcW w:w="4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297,905</w:t>
            </w:r>
          </w:p>
        </w:tc>
        <w:tc>
          <w:tcPr>
            <w:tcW w:w="80" w:type="dxa"/>
            <w:vAlign w:val="bottom"/>
            <w:tcBorders>
              <w:top w:val="single" w:sz="8" w:color="E5FFFF"/>
            </w:tcBorders>
            <w:shd w:val="clear" w:color="auto" w:fill="E5FF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720" w:type="dxa"/>
            <w:vAlign w:val="bottom"/>
          </w:tcPr>
          <w:p>
            <w:pPr>
              <w:jc w:val="right"/>
              <w:spacing w:after="0"/>
              <w:rPr>
                <w:sz w:val="20"/>
                <w:szCs w:val="20"/>
                <w:color w:val="auto"/>
              </w:rPr>
            </w:pPr>
            <w:r>
              <w:rPr>
                <w:rFonts w:ascii="Arial" w:cs="Arial" w:eastAsia="Arial" w:hAnsi="Arial"/>
                <w:sz w:val="18"/>
                <w:szCs w:val="18"/>
                <w:color w:val="auto"/>
              </w:rPr>
              <w:t>2,543,357</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2,619,904</w:t>
            </w:r>
          </w:p>
        </w:tc>
        <w:tc>
          <w:tcPr>
            <w:tcW w:w="80" w:type="dxa"/>
            <w:vAlign w:val="bottom"/>
          </w:tcPr>
          <w:p>
            <w:pPr>
              <w:spacing w:after="0"/>
              <w:rPr>
                <w:sz w:val="18"/>
                <w:szCs w:val="18"/>
                <w:color w:val="auto"/>
              </w:rPr>
            </w:pPr>
          </w:p>
        </w:tc>
      </w:tr>
      <w:tr>
        <w:trPr>
          <w:trHeight w:val="257"/>
        </w:trPr>
        <w:tc>
          <w:tcPr>
            <w:tcW w:w="74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Plus: unamortized premium</w:t>
            </w:r>
            <w:r>
              <w:rPr>
                <w:rFonts w:ascii="Arial" w:cs="Arial" w:eastAsia="Arial" w:hAnsi="Arial"/>
                <w:sz w:val="29"/>
                <w:szCs w:val="29"/>
                <w:color w:val="auto"/>
                <w:vertAlign w:val="superscript"/>
              </w:rPr>
              <w:t>(1)</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1,304</w:t>
            </w:r>
          </w:p>
        </w:tc>
        <w:tc>
          <w:tcPr>
            <w:tcW w:w="17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E5FFFF"/>
          </w:tcPr>
          <w:p>
            <w:pPr>
              <w:spacing w:after="0"/>
              <w:rPr>
                <w:sz w:val="22"/>
                <w:szCs w:val="22"/>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unamortized deferred loan and senior unsecured notes issuance costs</w:t>
            </w:r>
          </w:p>
        </w:tc>
        <w:tc>
          <w:tcPr>
            <w:tcW w:w="2180" w:type="dxa"/>
            <w:vAlign w:val="bottom"/>
            <w:gridSpan w:val="2"/>
          </w:tcPr>
          <w:p>
            <w:pPr>
              <w:jc w:val="right"/>
              <w:ind w:right="400"/>
              <w:spacing w:after="0"/>
              <w:rPr>
                <w:sz w:val="20"/>
                <w:szCs w:val="20"/>
                <w:color w:val="auto"/>
              </w:rPr>
            </w:pPr>
            <w:r>
              <w:rPr>
                <w:rFonts w:ascii="Arial" w:cs="Arial" w:eastAsia="Arial" w:hAnsi="Arial"/>
                <w:sz w:val="18"/>
                <w:szCs w:val="18"/>
                <w:color w:val="auto"/>
              </w:rPr>
              <w:t>(40,083)</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(39,797)</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non-current portion</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2,504,578</w:t>
            </w:r>
          </w:p>
        </w:tc>
        <w:tc>
          <w:tcPr>
            <w:tcW w:w="4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2,581,203</w:t>
            </w: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2,652,026</w:t>
            </w:r>
          </w:p>
        </w:tc>
        <w:tc>
          <w:tcPr>
            <w:tcW w:w="4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2,879,108</w:t>
            </w: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hanging="189"/>
        <w:spacing w:after="0"/>
        <w:tabs>
          <w:tab w:leader="none" w:pos="40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Refer to “Senior Unsecured Notes” disclosed below for details on the premium.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main terms of the Group’s loan facilities in existence as of December 31, 2016 have been disclosed in the annual audited consolidated financial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statements for the year ended December 31, 2016. Refer to Note 13 “Borrowings”. During the three months ended March 31, 2017, GasLog drew down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$30,000 from its revolving credit facility of the credit agreement entered into on July 19, 2016 (the “Legacy Facility Refinancing”). As of March 31,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 under the junior tranche of the credit agreement that subsidiaries of GasLog and GasLog Partners entered into on February 18, 2016 (the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Vessel Refinancing”) was reclassified under “Borrowings – current portion” following a notice of prepayment issued by the respective subsidiaries on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 2017. This amount was prepaid on April 5, 2017 (Note 18).</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main terms of the Group’s senior unsecured NOK bonds (the “NOK Bonds”) have been disclosed in the annual audited consolidated financial statements for the year ended December 31, 2016. Refer to Note 13 “Borrowings”.</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aggregate carrying amount under the NOK Bonds, net of unamortized financing costs and unamortized premium, as of March 31, 2017 is $133,175 (December 31, 2016: $133,531) while their aggregate fair value is $141,952 based on a USD/NOK exchange rate of 0.1166 as of March 31, 2017 (December 31, 2016: $138,741, based on a USD/NOK exchange rate of 0.1159).</w:t>
      </w:r>
    </w:p>
    <w:p>
      <w:pPr>
        <w:spacing w:after="0" w:line="181"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On March 22, 2017, GasLog closed a public offering of $250,000 aggregate principal amount of 8.875% senior unsecured notes due in 2022 (the “8.875% Senior Notes”) at a public offering price of 100% of the principal amount. The net proceeds from the offering after deducting the underwriting discount and offering expenses were $245,303.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451" w:gutter="0" w:footer="0" w:header="0"/>
          <w:type w:val="continuous"/>
        </w:sectPr>
      </w:pPr>
    </w:p>
    <w:bookmarkStart w:id="35" w:name="page36"/>
    <w:bookmarkEnd w:id="35"/>
    <w:p>
      <w:pPr>
        <w:ind w:right="80" w:firstLine="324"/>
        <w:spacing w:after="0" w:line="257" w:lineRule="auto"/>
        <w:rPr>
          <w:sz w:val="20"/>
          <w:szCs w:val="20"/>
          <w:color w:val="auto"/>
        </w:rPr>
      </w:pPr>
      <w:r>
        <w:rPr>
          <w:rFonts w:ascii="Arial" w:cs="Arial" w:eastAsia="Arial" w:hAnsi="Arial"/>
          <w:sz w:val="18"/>
          <w:szCs w:val="18"/>
          <w:color w:val="auto"/>
        </w:rPr>
        <w:t>Interest payment on the 8.875% Senior Notes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 (b) the sum of the present values of the remaining scheduled payments of principal and interest thereon (exclusive of interest accrued to but excluding the date of redemption) computed using a discount rate equal to the treasury rate, plus 50 basis points, plus accrued and unpaid interest thereon to the date of redemption.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25"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indebtedness divided by total capitalization must not exceed 75%;</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 less than 1.00:1.00;</w:t>
      </w:r>
    </w:p>
    <w:p>
      <w:pPr>
        <w:spacing w:after="0" w:line="9" w:lineRule="exact"/>
        <w:rPr>
          <w:rFonts w:ascii="Arial" w:cs="Arial" w:eastAsia="Arial" w:hAnsi="Arial"/>
          <w:sz w:val="18"/>
          <w:szCs w:val="18"/>
          <w:color w:val="auto"/>
        </w:rPr>
      </w:pPr>
    </w:p>
    <w:p>
      <w:pPr>
        <w:ind w:left="980" w:right="20" w:hanging="648"/>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$35,000; and</w:t>
      </w: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$300,000.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was in compliance with its financial covenants as of March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comprehensive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Non-cash</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financing costs,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Opening balance</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Cash flows</w:t>
            </w: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items</w:t>
            </w: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assets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182"/>
        </w:trPr>
        <w:tc>
          <w:tcPr>
            <w:tcW w:w="274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Borrowings outstanding as of</w:t>
            </w:r>
          </w:p>
        </w:tc>
        <w:tc>
          <w:tcPr>
            <w:tcW w:w="150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30"/>
        </w:trPr>
        <w:tc>
          <w:tcPr>
            <w:tcW w:w="27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January 1, 2017</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2,652,026</w:t>
            </w:r>
          </w:p>
        </w:tc>
        <w:tc>
          <w:tcPr>
            <w:tcW w:w="360" w:type="dxa"/>
            <w:vAlign w:val="bottom"/>
            <w:shd w:val="clear" w:color="auto" w:fill="E5FFFF"/>
          </w:tcPr>
          <w:p>
            <w:pPr>
              <w:spacing w:after="0"/>
              <w:rPr>
                <w:sz w:val="20"/>
                <w:szCs w:val="20"/>
                <w:color w:val="auto"/>
              </w:rPr>
            </w:pP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2,652,026</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Proceeds from bank loans and</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bonds</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280,000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r>
      <w:tr>
        <w:trPr>
          <w:trHeight w:val="216"/>
        </w:trPr>
        <w:tc>
          <w:tcPr>
            <w:tcW w:w="2740" w:type="dxa"/>
            <w:vAlign w:val="bottom"/>
            <w:shd w:val="clear" w:color="auto" w:fill="E5FFFF"/>
          </w:tcPr>
          <w:p>
            <w:pPr>
              <w:spacing w:after="0"/>
              <w:rPr>
                <w:sz w:val="20"/>
                <w:szCs w:val="20"/>
                <w:color w:val="auto"/>
              </w:rPr>
            </w:pPr>
            <w:r>
              <w:rPr>
                <w:rFonts w:ascii="Arial" w:cs="Arial" w:eastAsia="Arial" w:hAnsi="Arial"/>
                <w:sz w:val="18"/>
                <w:szCs w:val="18"/>
                <w:color w:val="auto"/>
              </w:rPr>
              <w:t>Bank loan and bond repayments</w:t>
            </w:r>
          </w:p>
        </w:tc>
        <w:tc>
          <w:tcPr>
            <w:tcW w:w="18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(52,416)</w:t>
            </w: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(52,416)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Additions in deferred loan fees</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(4,270)</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(1,169)</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743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(4,696)</w:t>
            </w:r>
          </w:p>
        </w:tc>
      </w:tr>
      <w:tr>
        <w:trPr>
          <w:trHeight w:val="202"/>
        </w:trPr>
        <w:tc>
          <w:tcPr>
            <w:tcW w:w="27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Amortization of deferred loan and</w:t>
            </w:r>
          </w:p>
        </w:tc>
        <w:tc>
          <w:tcPr>
            <w:tcW w:w="15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2740" w:type="dxa"/>
            <w:vAlign w:val="bottom"/>
            <w:shd w:val="clear" w:color="auto" w:fill="E5FFFF"/>
          </w:tcPr>
          <w:p>
            <w:pPr>
              <w:ind w:left="180"/>
              <w:spacing w:after="0"/>
              <w:rPr>
                <w:sz w:val="20"/>
                <w:szCs w:val="20"/>
                <w:color w:val="auto"/>
              </w:rPr>
            </w:pPr>
            <w:r>
              <w:rPr>
                <w:rFonts w:ascii="Arial" w:cs="Arial" w:eastAsia="Arial" w:hAnsi="Arial"/>
                <w:sz w:val="18"/>
                <w:szCs w:val="18"/>
                <w:color w:val="auto"/>
                <w:w w:val="96"/>
              </w:rPr>
              <w:t>senior unsecured notes issuance</w:t>
            </w:r>
          </w:p>
        </w:tc>
        <w:tc>
          <w:tcPr>
            <w:tcW w:w="15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27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costs and premium (Note 14)</w:t>
            </w:r>
          </w:p>
        </w:tc>
        <w:tc>
          <w:tcPr>
            <w:tcW w:w="18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3,459</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3,459</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Retranslation of the NOK Bonds</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740" w:type="dxa"/>
            <w:vAlign w:val="bottom"/>
          </w:tcPr>
          <w:p>
            <w:pPr>
              <w:ind w:left="180"/>
              <w:spacing w:after="0"/>
              <w:rPr>
                <w:sz w:val="20"/>
                <w:szCs w:val="20"/>
                <w:color w:val="auto"/>
              </w:rPr>
            </w:pPr>
            <w:r>
              <w:rPr>
                <w:rFonts w:ascii="Arial" w:cs="Arial" w:eastAsia="Arial" w:hAnsi="Arial"/>
                <w:sz w:val="18"/>
                <w:szCs w:val="18"/>
                <w:color w:val="auto"/>
              </w:rPr>
              <w:t>in U.S. dollars (Note 7)</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735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r>
      <w:tr>
        <w:trPr>
          <w:trHeight w:val="178"/>
        </w:trPr>
        <w:tc>
          <w:tcPr>
            <w:tcW w:w="27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Borrowings outstanding as of</w:t>
            </w:r>
          </w:p>
        </w:tc>
        <w:tc>
          <w:tcPr>
            <w:tcW w:w="150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61"/>
        </w:trPr>
        <w:tc>
          <w:tcPr>
            <w:tcW w:w="274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March 31, 2017</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2,652,026</w:t>
            </w:r>
          </w:p>
        </w:tc>
        <w:tc>
          <w:tcPr>
            <w:tcW w:w="360" w:type="dxa"/>
            <w:vAlign w:val="bottom"/>
            <w:shd w:val="clear" w:color="auto" w:fill="E5FFFF"/>
          </w:tcPr>
          <w:p>
            <w:pPr>
              <w:spacing w:after="0"/>
              <w:rPr>
                <w:sz w:val="22"/>
                <w:szCs w:val="22"/>
                <w:color w:val="auto"/>
              </w:rPr>
            </w:pP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223,314</w:t>
            </w: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b w:val="1"/>
                <w:bCs w:val="1"/>
                <w:color w:val="auto"/>
              </w:rPr>
              <w:t>735</w:t>
            </w: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2,290</w:t>
            </w:r>
          </w:p>
        </w:tc>
        <w:tc>
          <w:tcPr>
            <w:tcW w:w="15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743</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2,879,108</w:t>
            </w:r>
          </w:p>
        </w:tc>
      </w:tr>
      <w:tr>
        <w:trPr>
          <w:trHeight w:val="20"/>
        </w:trPr>
        <w:tc>
          <w:tcPr>
            <w:tcW w:w="274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Dividends receivable from associate</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Due from the Cool Pool</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1,930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385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3,065</w:t>
            </w:r>
          </w:p>
        </w:tc>
        <w:tc>
          <w:tcPr>
            <w:tcW w:w="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Amounts due to related parties of $63 as of March 31, 2017 (December 31, 2016: $105) are expenses paid by a related party on behalf of the Group and payables to other related parties for the office lease and other operating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018" w:gutter="0" w:footer="0" w:header="0"/>
        </w:sectPr>
      </w:pPr>
    </w:p>
    <w:bookmarkStart w:id="36" w:name="page37"/>
    <w:bookmarkEnd w:id="36"/>
    <w:p>
      <w:pPr>
        <w:jc w:val="both"/>
        <w:ind w:right="340" w:firstLine="324"/>
        <w:spacing w:after="0" w:line="277" w:lineRule="auto"/>
        <w:rPr>
          <w:sz w:val="20"/>
          <w:szCs w:val="20"/>
          <w:color w:val="auto"/>
        </w:rPr>
      </w:pPr>
      <w:r>
        <w:rPr>
          <w:rFonts w:ascii="Arial" w:cs="Arial" w:eastAsia="Arial" w:hAnsi="Arial"/>
          <w:sz w:val="18"/>
          <w:szCs w:val="18"/>
          <w:color w:val="auto"/>
        </w:rPr>
        <w:t>Amounts due to related parties of $100 as of March 31, 2017 (December 31, 2016: $0) are payments made by Ceres Monaco S.A.M. on behalf of the Group pursuant to a consultancy services agreement with respect to its investment in Gastrade.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9. General and Administrative Expenses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900" w:type="dxa"/>
            <w:vAlign w:val="bottom"/>
          </w:tcPr>
          <w:p>
            <w:pPr>
              <w:spacing w:after="0"/>
              <w:rPr>
                <w:sz w:val="24"/>
                <w:szCs w:val="24"/>
                <w:color w:val="auto"/>
              </w:rPr>
            </w:pPr>
          </w:p>
        </w:tc>
        <w:tc>
          <w:tcPr>
            <w:tcW w:w="3520" w:type="dxa"/>
            <w:vAlign w:val="bottom"/>
            <w:gridSpan w:val="4"/>
          </w:tcPr>
          <w:p>
            <w:pPr>
              <w:ind w:left="6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2016</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 2017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Employee costs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4,454</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763</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Rent and utilities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Travel and accommodation</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709</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1,391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differences, net</w:t>
            </w:r>
          </w:p>
        </w:tc>
        <w:tc>
          <w:tcPr>
            <w:tcW w:w="19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(144)</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expenses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458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7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8,734</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10,145</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10. Other Payables and Accruals</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Social contributions</w:t>
            </w:r>
          </w:p>
        </w:tc>
        <w:tc>
          <w:tcPr>
            <w:tcW w:w="1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1,057</w:t>
            </w: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Unearned revenue</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37,522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34,339</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Accrued legal and professional fees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1,480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561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Accrued employee costs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5,800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Accrued off-hire</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3,765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6,132</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Accrued purchases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3,553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Accrued financing costs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Accrued interest</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27,165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Accrued payable to charterers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5,040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accruals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3"/>
        </w:trPr>
        <w:tc>
          <w:tcPr>
            <w:tcW w:w="7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93,386</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82,031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and Preference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As of March 31, 2017, the share capital consisted of 80,561,353 issued and outstanding common shares, par value $0.01 per share, 431,773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6"/>
              </w:rPr>
              <w:t>Number of Shares</w:t>
            </w:r>
          </w:p>
        </w:tc>
        <w:tc>
          <w:tcPr>
            <w:tcW w:w="1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Amounts</w:t>
            </w: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640" w:type="dxa"/>
            <w:vAlign w:val="bottom"/>
          </w:tcPr>
          <w:p>
            <w:pPr>
              <w:spacing w:after="0"/>
              <w:rPr>
                <w:sz w:val="17"/>
                <w:szCs w:val="17"/>
                <w:color w:val="auto"/>
              </w:rPr>
            </w:pPr>
          </w:p>
        </w:tc>
        <w:tc>
          <w:tcPr>
            <w:tcW w:w="164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40" w:type="dxa"/>
            <w:vAlign w:val="bottom"/>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rPr>
              <w:t>Number of</w:t>
            </w:r>
          </w:p>
        </w:tc>
        <w:tc>
          <w:tcPr>
            <w:tcW w:w="1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80"/>
              <w:spacing w:after="0" w:line="205" w:lineRule="exact"/>
              <w:rPr>
                <w:sz w:val="20"/>
                <w:szCs w:val="20"/>
                <w:color w:val="auto"/>
              </w:rPr>
            </w:pPr>
            <w:r>
              <w:rPr>
                <w:rFonts w:ascii="Arial" w:cs="Arial" w:eastAsia="Arial" w:hAnsi="Arial"/>
                <w:sz w:val="18"/>
                <w:szCs w:val="18"/>
                <w:b w:val="1"/>
                <w:bCs w:val="1"/>
                <w:color w:val="auto"/>
                <w:w w:val="85"/>
              </w:rPr>
              <w:t>Preference</w:t>
            </w:r>
          </w:p>
        </w:tc>
        <w:tc>
          <w:tcPr>
            <w:tcW w:w="1180" w:type="dxa"/>
            <w:vAlign w:val="bottom"/>
            <w:gridSpan w:val="3"/>
          </w:tcPr>
          <w:p>
            <w:pPr>
              <w:jc w:val="right"/>
              <w:ind w:right="200"/>
              <w:spacing w:after="0" w:line="205" w:lineRule="exact"/>
              <w:rPr>
                <w:sz w:val="20"/>
                <w:szCs w:val="20"/>
                <w:color w:val="auto"/>
              </w:rPr>
            </w:pPr>
            <w:r>
              <w:rPr>
                <w:rFonts w:ascii="Arial" w:cs="Arial" w:eastAsia="Arial" w:hAnsi="Arial"/>
                <w:sz w:val="18"/>
                <w:szCs w:val="18"/>
                <w:b w:val="1"/>
                <w:bCs w:val="1"/>
                <w:color w:val="auto"/>
                <w:w w:val="94"/>
              </w:rPr>
              <w:t>Contributed</w:t>
            </w:r>
          </w:p>
        </w:tc>
        <w:tc>
          <w:tcPr>
            <w:tcW w:w="70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7"/>
                <w:szCs w:val="17"/>
                <w:color w:val="auto"/>
              </w:rPr>
            </w:pPr>
          </w:p>
        </w:tc>
      </w:tr>
      <w:tr>
        <w:trPr>
          <w:trHeight w:val="234"/>
        </w:trPr>
        <w:tc>
          <w:tcPr>
            <w:tcW w:w="164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common shares</w:t>
            </w: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treasury shares</w:t>
            </w: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Preference Shares</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 capital</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surplus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shares</w:t>
            </w:r>
          </w:p>
        </w:tc>
      </w:tr>
      <w:tr>
        <w:trPr>
          <w:trHeight w:val="178"/>
        </w:trPr>
        <w:tc>
          <w:tcPr>
            <w:tcW w:w="16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Outstanding as of</w:t>
            </w:r>
          </w:p>
        </w:tc>
        <w:tc>
          <w:tcPr>
            <w:tcW w:w="14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4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6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4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48"/>
        </w:trPr>
        <w:tc>
          <w:tcPr>
            <w:tcW w:w="164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January 1, 2017</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80,561,353</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431,773</w:t>
            </w:r>
          </w:p>
        </w:tc>
        <w:tc>
          <w:tcPr>
            <w:tcW w:w="1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4,600,000</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810</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E5FFFF"/>
          </w:tcPr>
          <w:p>
            <w:pPr>
              <w:spacing w:after="0"/>
              <w:rPr>
                <w:sz w:val="21"/>
                <w:szCs w:val="21"/>
                <w:color w:val="auto"/>
              </w:rPr>
            </w:pPr>
          </w:p>
        </w:tc>
        <w:tc>
          <w:tcPr>
            <w:tcW w:w="11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966,974</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(10,861)</w:t>
            </w:r>
          </w:p>
        </w:tc>
      </w:tr>
      <w:tr>
        <w:trPr>
          <w:trHeight w:val="182"/>
        </w:trPr>
        <w:tc>
          <w:tcPr>
            <w:tcW w:w="1640" w:type="dxa"/>
            <w:vAlign w:val="bottom"/>
          </w:tcPr>
          <w:p>
            <w:pPr>
              <w:spacing w:after="0" w:line="182" w:lineRule="exact"/>
              <w:rPr>
                <w:sz w:val="20"/>
                <w:szCs w:val="20"/>
                <w:color w:val="auto"/>
              </w:rPr>
            </w:pPr>
            <w:r>
              <w:rPr>
                <w:rFonts w:ascii="Arial" w:cs="Arial" w:eastAsia="Arial" w:hAnsi="Arial"/>
                <w:sz w:val="18"/>
                <w:szCs w:val="18"/>
                <w:color w:val="auto"/>
              </w:rPr>
              <w:t>Dividends declared</w:t>
            </w:r>
          </w:p>
        </w:tc>
        <w:tc>
          <w:tcPr>
            <w:tcW w:w="1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deducted from</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Contributed</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surplus due to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accumulated</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640" w:type="dxa"/>
            <w:vAlign w:val="bottom"/>
          </w:tcPr>
          <w:p>
            <w:pPr>
              <w:ind w:left="180"/>
              <w:spacing w:after="0"/>
              <w:rPr>
                <w:sz w:val="20"/>
                <w:szCs w:val="20"/>
                <w:color w:val="auto"/>
              </w:rPr>
            </w:pPr>
            <w:r>
              <w:rPr>
                <w:rFonts w:ascii="Arial" w:cs="Arial" w:eastAsia="Arial" w:hAnsi="Arial"/>
                <w:sz w:val="18"/>
                <w:szCs w:val="18"/>
                <w:color w:val="auto"/>
              </w:rPr>
              <w:t>deficit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(13,794)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164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Outstanding as of</w:t>
            </w:r>
          </w:p>
        </w:tc>
        <w:tc>
          <w:tcPr>
            <w:tcW w:w="14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4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6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4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61"/>
        </w:trPr>
        <w:tc>
          <w:tcPr>
            <w:tcW w:w="164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March 31, 2017</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80,561,353</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431,773</w:t>
            </w:r>
          </w:p>
        </w:tc>
        <w:tc>
          <w:tcPr>
            <w:tcW w:w="18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b w:val="1"/>
                <w:bCs w:val="1"/>
                <w:color w:val="auto"/>
              </w:rPr>
              <w:t>4,600,000</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810</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E5FFFF"/>
          </w:tcPr>
          <w:p>
            <w:pPr>
              <w:spacing w:after="0"/>
              <w:rPr>
                <w:sz w:val="22"/>
                <w:szCs w:val="22"/>
                <w:color w:val="auto"/>
              </w:rPr>
            </w:pPr>
          </w:p>
        </w:tc>
        <w:tc>
          <w:tcPr>
            <w:tcW w:w="118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953,180</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(10,861)</w:t>
            </w:r>
          </w:p>
        </w:tc>
      </w:tr>
      <w:tr>
        <w:trPr>
          <w:trHeight w:val="20"/>
        </w:trPr>
        <w:tc>
          <w:tcPr>
            <w:tcW w:w="164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treasury shares were acquired by GasLog in 2014 in relation to the share-based compensation (Note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On February 16, 2017, the board of directors declared a quarterly cash dividend of $0.14 per common share, which was paid on March 16, 2017 to shareholders of record as of March 6, 2017 for a total amount of $11,278.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653" w:gutter="0" w:footer="0" w:header="0"/>
        </w:sectPr>
      </w:pPr>
    </w:p>
    <w:bookmarkStart w:id="37" w:name="page38"/>
    <w:bookmarkEnd w:id="37"/>
    <w:p>
      <w:pPr>
        <w:ind w:right="120" w:firstLine="324"/>
        <w:spacing w:after="0" w:line="308" w:lineRule="auto"/>
        <w:rPr>
          <w:sz w:val="20"/>
          <w:szCs w:val="20"/>
          <w:color w:val="auto"/>
        </w:rPr>
      </w:pPr>
      <w:r>
        <w:rPr>
          <w:rFonts w:ascii="Arial" w:cs="Arial" w:eastAsia="Arial" w:hAnsi="Arial"/>
          <w:sz w:val="17"/>
          <w:szCs w:val="17"/>
          <w:color w:val="auto"/>
        </w:rPr>
        <w:t>On March 9, 2017, the board of directors declared a dividend on the Series A Preference Shares of $0.546875 per share, or $2,516 in aggregate, payable on April 3, 2017 to holders of record as of March 31, 2017. GasLog paid the declared dividend to the transfer agent on March 31,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r>
              <w:rPr>
                <w:rFonts w:ascii="Arial" w:cs="Arial" w:eastAsia="Arial" w:hAnsi="Arial"/>
                <w:sz w:val="18"/>
                <w:szCs w:val="18"/>
                <w:b w:val="1"/>
                <w:bCs w:val="1"/>
                <w:color w:val="auto"/>
              </w:rPr>
              <w:t>12. Commitments and Contingencies</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40" w:type="dxa"/>
            <w:vAlign w:val="bottom"/>
          </w:tcPr>
          <w:p>
            <w:pPr>
              <w:spacing w:after="0"/>
              <w:rPr>
                <w:sz w:val="20"/>
                <w:szCs w:val="20"/>
                <w:color w:val="auto"/>
              </w:rPr>
            </w:pPr>
            <w:r>
              <w:rPr>
                <w:rFonts w:ascii="Arial" w:cs="Arial" w:eastAsia="Arial" w:hAnsi="Arial"/>
                <w:sz w:val="18"/>
                <w:szCs w:val="18"/>
                <w:color w:val="auto"/>
              </w:rPr>
              <w:t>(a) As of March 31, 2017, the Group had the following commitments as lessee relating to buildings under operating leases: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operating lease commitment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(b) Commitments relating to the vessels under construction (Note 5) as of March 31, 2017 were as follows:</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Vessels under construction</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568,837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367,739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vessels under construction commitment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936,576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Based on an agreement entered into by GAS-twenty two Ltd. and GAS-twenty three Ltd. with Methane Services Limited (“MSL”) on March 8, 2016, the first two entities declared their options with Samsung to install reliquefaction plants on board the vessels. MSL agreed to reimburse 50% of such cost per vessel, resulting in an aggregate commitment to pay $3,200 per vessel to GasLog after the installation has been completed. In the case that the reliquefaction plants do not fulfill specified enhanced performance criteria during operation as set forth in the relevant agreement, GasLog will refund the reimbursed amounts to MSL in the form of a daily compensation amount per vessel.</w:t>
      </w:r>
    </w:p>
    <w:p>
      <w:pPr>
        <w:spacing w:after="0" w:line="188" w:lineRule="exact"/>
        <w:rPr>
          <w:sz w:val="20"/>
          <w:szCs w:val="20"/>
          <w:color w:val="auto"/>
        </w:rPr>
      </w:pPr>
    </w:p>
    <w:p>
      <w:pPr>
        <w:jc w:val="both"/>
        <w:ind w:left="260" w:right="300" w:hanging="252"/>
        <w:spacing w:after="0" w:line="259"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gross minimum revenues receivable upon collection of hire under non-cancellable time charter agreements for vessels in operation, including a vessel under a finance lease (Note 6), as of March 31, 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Revenues</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472,528</w:t>
            </w:r>
          </w:p>
        </w:tc>
        <w:tc>
          <w:tcPr>
            <w:tcW w:w="80" w:type="dxa"/>
            <w:vAlign w:val="bottom"/>
          </w:tcPr>
          <w:p>
            <w:pPr>
              <w:spacing w:after="0"/>
              <w:rPr>
                <w:sz w:val="18"/>
                <w:szCs w:val="18"/>
                <w:color w:val="auto"/>
              </w:rPr>
            </w:pP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784,585</w:t>
            </w:r>
          </w:p>
        </w:tc>
        <w:tc>
          <w:tcPr>
            <w:tcW w:w="80" w:type="dxa"/>
            <w:vAlign w:val="bottom"/>
            <w:shd w:val="clear" w:color="auto" w:fill="E5FF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449,180</w:t>
            </w:r>
          </w:p>
        </w:tc>
        <w:tc>
          <w:tcPr>
            <w:tcW w:w="80" w:type="dxa"/>
            <w:vAlign w:val="bottom"/>
          </w:tcPr>
          <w:p>
            <w:pPr>
              <w:spacing w:after="0"/>
              <w:rPr>
                <w:sz w:val="18"/>
                <w:szCs w:val="18"/>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523,305</w:t>
            </w:r>
          </w:p>
        </w:tc>
        <w:tc>
          <w:tcPr>
            <w:tcW w:w="80" w:type="dxa"/>
            <w:vAlign w:val="bottom"/>
            <w:shd w:val="clear" w:color="auto" w:fill="E5FFFF"/>
          </w:tcPr>
          <w:p>
            <w:pPr>
              <w:spacing w:after="0"/>
              <w:rPr>
                <w:sz w:val="19"/>
                <w:szCs w:val="19"/>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future gross minimum charter hire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2,229,598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gross minimum revenues disclosed in the above table excludes the revenues of the vessels that are under construction.</w:t>
      </w:r>
    </w:p>
    <w:p>
      <w:pPr>
        <w:spacing w:after="0" w:line="225" w:lineRule="exact"/>
        <w:rPr>
          <w:sz w:val="20"/>
          <w:szCs w:val="20"/>
          <w:color w:val="auto"/>
        </w:rPr>
      </w:pPr>
    </w:p>
    <w:p>
      <w:pPr>
        <w:ind w:left="260" w:right="80" w:hanging="252"/>
        <w:spacing w:after="0" w:line="259"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Related to the acquisition of the six vessels from a subsidiary of MSL in 2014 and another two vessels in 2015, the Group is committed to purchase depot spares from MSL with an aggregate value of $8,000 of which depot spares with a value of $660 have been purchased and paid as of March 31, 2017 and are included in Tangible fixed assets (Note 5). The remaining spares are expected to be acquired before the end of the initial term of the charter party agreements.</w:t>
      </w:r>
    </w:p>
    <w:p>
      <w:pPr>
        <w:spacing w:after="0" w:line="186" w:lineRule="exact"/>
        <w:rPr>
          <w:rFonts w:ascii="Arial" w:cs="Arial" w:eastAsia="Arial" w:hAnsi="Arial"/>
          <w:sz w:val="18"/>
          <w:szCs w:val="18"/>
          <w:color w:val="auto"/>
        </w:rPr>
      </w:pPr>
    </w:p>
    <w:p>
      <w:pPr>
        <w:ind w:left="260" w:right="280" w:hanging="252"/>
        <w:spacing w:after="0" w:line="259"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March 31, 2017, the outstanding commitment is $1,341.</w:t>
      </w:r>
    </w:p>
    <w:p>
      <w:pPr>
        <w:spacing w:after="0" w:line="186" w:lineRule="exact"/>
        <w:rPr>
          <w:rFonts w:ascii="Arial" w:cs="Arial" w:eastAsia="Arial" w:hAnsi="Arial"/>
          <w:sz w:val="18"/>
          <w:szCs w:val="18"/>
          <w:color w:val="auto"/>
        </w:rPr>
      </w:pPr>
    </w:p>
    <w:p>
      <w:pPr>
        <w:ind w:left="260" w:right="160" w:hanging="252"/>
        <w:spacing w:after="0" w:line="257"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arrangement whereby it has access to all long lead items (“LLIs”) necessary for the conversion of a GasLog LNG carrier vessel into a FSRU, such conversion work to be undertaken by Keppel Shipyard Limited.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13. Derivative Financial Instruments</w:t>
            </w: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The fair value of the derivative assets is as follows:</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56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4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rate swaps</w:t>
            </w: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7,856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60" w:type="dxa"/>
            <w:vAlign w:val="bottom"/>
            <w:shd w:val="clear" w:color="auto" w:fill="E5FFFF"/>
          </w:tcPr>
          <w:p>
            <w:pPr>
              <w:spacing w:after="0"/>
              <w:rPr>
                <w:sz w:val="20"/>
                <w:szCs w:val="20"/>
                <w:color w:val="auto"/>
              </w:rPr>
            </w:pPr>
            <w:r>
              <w:rPr>
                <w:rFonts w:ascii="Arial" w:cs="Arial" w:eastAsia="Arial" w:hAnsi="Arial"/>
                <w:sz w:val="18"/>
                <w:szCs w:val="18"/>
                <w:color w:val="auto"/>
              </w:rPr>
              <w:t>Forward foreign exchange contracts</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4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5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7,938</w:t>
            </w:r>
          </w:p>
        </w:tc>
        <w:tc>
          <w:tcPr>
            <w:tcW w:w="440" w:type="dxa"/>
            <w:vAlign w:val="bottom"/>
            <w:tcBorders>
              <w:bottom w:val="single" w:sz="8" w:color="E5FFFF"/>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10,446</w:t>
            </w:r>
          </w:p>
        </w:tc>
        <w:tc>
          <w:tcPr>
            <w:tcW w:w="20" w:type="dxa"/>
            <w:vAlign w:val="bottom"/>
            <w:tcBorders>
              <w:bottom w:val="single" w:sz="8" w:color="E5FFFF"/>
            </w:tcBorders>
          </w:tcPr>
          <w:p>
            <w:pPr>
              <w:spacing w:after="0"/>
              <w:rPr>
                <w:sz w:val="22"/>
                <w:szCs w:val="22"/>
                <w:color w:val="auto"/>
              </w:rPr>
            </w:pPr>
          </w:p>
        </w:tc>
        <w:tc>
          <w:tcPr>
            <w:tcW w:w="8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7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14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44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559</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7,856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7,938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10,446</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560" w:type="dxa"/>
            <w:vAlign w:val="bottom"/>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56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Borders>
              <w:bottom w:val="single" w:sz="8" w:color="E5FFFF"/>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w w:val="99"/>
              </w:rPr>
              <w:t>Derivative liabilities designated and effective as hedging instruments carried at fair value</w:t>
            </w:r>
          </w:p>
        </w:tc>
        <w:tc>
          <w:tcPr>
            <w:tcW w:w="14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Cross currency swaps</w:t>
            </w: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24,279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4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rate swaps</w:t>
            </w: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6,060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30,339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29,841</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56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liability</w:t>
            </w: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560" w:type="dxa"/>
            <w:vAlign w:val="bottom"/>
            <w:vMerge w:val="continue"/>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7,854</w:t>
            </w:r>
          </w:p>
        </w:tc>
        <w:tc>
          <w:tcPr>
            <w:tcW w:w="440" w:type="dxa"/>
            <w:vAlign w:val="bottom"/>
            <w:vMerge w:val="continue"/>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8,890</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8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22,485</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20,951</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30,339</w:t>
            </w:r>
          </w:p>
        </w:tc>
        <w:tc>
          <w:tcPr>
            <w:tcW w:w="4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three-month U.S. dollar LIBOR, and the Group effects quarterly payments to the banks on the notional amounts at the respective fixed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held for trading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Trade</w:t>
            </w: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Effective</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Fixed Interest</w:t>
            </w:r>
          </w:p>
        </w:tc>
        <w:tc>
          <w:tcPr>
            <w:tcW w:w="332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70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December 31,</w:t>
            </w:r>
          </w:p>
        </w:tc>
        <w:tc>
          <w:tcPr>
            <w:tcW w:w="160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12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Counterparty</w:t>
            </w:r>
          </w:p>
        </w:tc>
        <w:tc>
          <w:tcPr>
            <w:tcW w:w="120" w:type="dxa"/>
            <w:vAlign w:val="bottom"/>
            <w:tcBorders>
              <w:bottom w:val="single" w:sz="8" w:color="E5FF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E5FFFF"/>
            </w:tcBorders>
          </w:tcPr>
          <w:p>
            <w:pPr>
              <w:spacing w:after="0"/>
              <w:rPr>
                <w:sz w:val="20"/>
                <w:szCs w:val="20"/>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2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20" w:type="dxa"/>
            <w:vAlign w:val="bottom"/>
            <w:shd w:val="clear" w:color="auto" w:fill="E5FFFF"/>
          </w:tcPr>
          <w:p>
            <w:pPr>
              <w:spacing w:after="0"/>
              <w:rPr>
                <w:sz w:val="21"/>
                <w:szCs w:val="21"/>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1.98%/1.88%</w:t>
            </w:r>
          </w:p>
        </w:tc>
        <w:tc>
          <w:tcPr>
            <w:tcW w:w="100" w:type="dxa"/>
            <w:vAlign w:val="bottom"/>
            <w:shd w:val="clear" w:color="auto" w:fill="E5FFFF"/>
          </w:tcPr>
          <w:p>
            <w:pPr>
              <w:spacing w:after="0"/>
              <w:rPr>
                <w:sz w:val="21"/>
                <w:szCs w:val="21"/>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E5FFFF"/>
          </w:tcPr>
          <w:p>
            <w:pPr>
              <w:spacing w:after="0"/>
              <w:rPr>
                <w:sz w:val="21"/>
                <w:szCs w:val="21"/>
                <w:color w:val="auto"/>
              </w:rPr>
            </w:pP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1.98%/1.88%</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1"/>
              </w:rPr>
              <w:t>1.98%/1.88%</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1.784%</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1.729%</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1.719%</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73,333</w:t>
            </w:r>
          </w:p>
        </w:tc>
        <w:tc>
          <w:tcPr>
            <w:tcW w:w="1600" w:type="dxa"/>
            <w:vAlign w:val="bottom"/>
          </w:tcPr>
          <w:p>
            <w:pPr>
              <w:jc w:val="right"/>
              <w:spacing w:after="0"/>
              <w:rPr>
                <w:sz w:val="20"/>
                <w:szCs w:val="20"/>
                <w:color w:val="auto"/>
              </w:rPr>
            </w:pPr>
            <w:r>
              <w:rPr>
                <w:rFonts w:ascii="Arial" w:cs="Arial" w:eastAsia="Arial" w:hAnsi="Arial"/>
                <w:sz w:val="18"/>
                <w:szCs w:val="18"/>
                <w:color w:val="auto"/>
              </w:rPr>
              <w:t>73,333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740" w:type="dxa"/>
            <w:vAlign w:val="bottom"/>
            <w:gridSpan w:val="2"/>
            <w:vMerge w:val="restart"/>
            <w:shd w:val="clear" w:color="auto" w:fill="E5FFFF"/>
          </w:tcPr>
          <w:p>
            <w:pPr>
              <w:spacing w:after="0"/>
              <w:rPr>
                <w:sz w:val="20"/>
                <w:szCs w:val="20"/>
                <w:color w:val="auto"/>
              </w:rPr>
            </w:pPr>
            <w:r>
              <w:rPr>
                <w:rFonts w:ascii="Arial" w:cs="Arial" w:eastAsia="Arial" w:hAnsi="Arial"/>
                <w:sz w:val="18"/>
                <w:szCs w:val="18"/>
                <w:color w:val="auto"/>
              </w:rPr>
              <w:t xml:space="preserve">GasLog </w:t>
            </w:r>
            <w:r>
              <w:rPr>
                <w:rFonts w:ascii="Arial" w:cs="Arial" w:eastAsia="Arial" w:hAnsi="Arial"/>
                <w:sz w:val="30"/>
                <w:szCs w:val="30"/>
                <w:color w:val="auto"/>
                <w:vertAlign w:val="superscript"/>
              </w:rPr>
              <w:t>(1)</w:t>
            </w:r>
          </w:p>
        </w:tc>
        <w:tc>
          <w:tcPr>
            <w:tcW w:w="17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HSBC Bank Plc.</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vMerge w:val="continue"/>
            <w:shd w:val="clear" w:color="auto" w:fill="E5FFFF"/>
          </w:tcPr>
          <w:p>
            <w:pPr>
              <w:spacing w:after="0"/>
              <w:rPr>
                <w:sz w:val="20"/>
                <w:szCs w:val="20"/>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1.896%</w:t>
            </w:r>
          </w:p>
        </w:tc>
        <w:tc>
          <w:tcPr>
            <w:tcW w:w="10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1.818%</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1.79%</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33,333</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Nordea Bank AB,</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GasLog </w:t>
            </w:r>
            <w:r>
              <w:rPr>
                <w:rFonts w:ascii="Arial" w:cs="Arial" w:eastAsia="Arial" w:hAnsi="Arial"/>
                <w:sz w:val="30"/>
                <w:szCs w:val="30"/>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London Branch</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vMerge w:val="continue"/>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1.905%</w:t>
            </w: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1.84%</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1.815%</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600" w:type="dxa"/>
            <w:vAlign w:val="bottom"/>
          </w:tcPr>
          <w:p>
            <w:pPr>
              <w:jc w:val="right"/>
              <w:spacing w:after="0"/>
              <w:rPr>
                <w:sz w:val="20"/>
                <w:szCs w:val="20"/>
                <w:color w:val="auto"/>
              </w:rPr>
            </w:pPr>
            <w:r>
              <w:rPr>
                <w:rFonts w:ascii="Arial" w:cs="Arial" w:eastAsia="Arial" w:hAnsi="Arial"/>
                <w:sz w:val="18"/>
                <w:szCs w:val="18"/>
                <w:color w:val="auto"/>
              </w:rPr>
              <w:t>66,667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Skandinavinska</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vMerge w:val="restart"/>
            <w:shd w:val="clear" w:color="auto" w:fill="E5FFFF"/>
          </w:tcPr>
          <w:p>
            <w:pPr>
              <w:spacing w:after="0"/>
              <w:rPr>
                <w:sz w:val="20"/>
                <w:szCs w:val="20"/>
                <w:color w:val="auto"/>
              </w:rPr>
            </w:pPr>
            <w:r>
              <w:rPr>
                <w:rFonts w:ascii="Arial" w:cs="Arial" w:eastAsia="Arial" w:hAnsi="Arial"/>
                <w:sz w:val="18"/>
                <w:szCs w:val="18"/>
                <w:color w:val="auto"/>
              </w:rPr>
              <w:t xml:space="preserve">GasLog </w:t>
            </w:r>
            <w:r>
              <w:rPr>
                <w:rFonts w:ascii="Arial" w:cs="Arial" w:eastAsia="Arial" w:hAnsi="Arial"/>
                <w:sz w:val="30"/>
                <w:szCs w:val="30"/>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Enskilda Banken AB</w:t>
            </w:r>
          </w:p>
        </w:tc>
        <w:tc>
          <w:tcPr>
            <w:tcW w:w="8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vMerge w:val="continue"/>
            <w:shd w:val="clear" w:color="auto" w:fill="E5FFFF"/>
          </w:tcPr>
          <w:p>
            <w:pPr>
              <w:spacing w:after="0"/>
              <w:rPr>
                <w:sz w:val="20"/>
                <w:szCs w:val="20"/>
                <w:color w:val="auto"/>
              </w:rPr>
            </w:pP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1.928%</w:t>
            </w:r>
          </w:p>
        </w:tc>
        <w:tc>
          <w:tcPr>
            <w:tcW w:w="10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1.8405%</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(1)</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2016</w:t>
            </w:r>
          </w:p>
        </w:tc>
        <w:tc>
          <w:tcPr>
            <w:tcW w:w="114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July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0"/>
              </w:rPr>
              <w:t>July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1.814%</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tc>
        <w:tc>
          <w:tcPr>
            <w:tcW w:w="1720" w:type="dxa"/>
            <w:vAlign w:val="bottom"/>
            <w:gridSpan w:val="2"/>
          </w:tcPr>
          <w:p>
            <w:pPr>
              <w:spacing w:after="0"/>
              <w:rPr>
                <w:sz w:val="20"/>
                <w:szCs w:val="20"/>
                <w:color w:val="auto"/>
              </w:rPr>
            </w:pPr>
            <w:r>
              <w:rPr>
                <w:rFonts w:ascii="Arial" w:cs="Arial" w:eastAsia="Arial" w:hAnsi="Arial"/>
                <w:sz w:val="18"/>
                <w:szCs w:val="18"/>
                <w:color w:val="auto"/>
              </w:rPr>
              <w:t>HSBC</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Feb 2017</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2.005%</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Feb 2017</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 2022</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2.0145%</w:t>
            </w:r>
          </w:p>
        </w:tc>
        <w:tc>
          <w:tcPr>
            <w:tcW w:w="10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tc>
        <w:tc>
          <w:tcPr>
            <w:tcW w:w="1720" w:type="dxa"/>
            <w:vAlign w:val="bottom"/>
            <w:gridSpan w:val="2"/>
          </w:tcPr>
          <w:p>
            <w:pPr>
              <w:spacing w:after="0"/>
              <w:rPr>
                <w:sz w:val="20"/>
                <w:szCs w:val="20"/>
                <w:color w:val="auto"/>
              </w:rPr>
            </w:pPr>
            <w:r>
              <w:rPr>
                <w:rFonts w:ascii="Arial" w:cs="Arial" w:eastAsia="Arial" w:hAnsi="Arial"/>
                <w:sz w:val="18"/>
                <w:szCs w:val="18"/>
                <w:color w:val="auto"/>
              </w:rPr>
              <w:t>ABN Amro Bank NV</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Feb 2017</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Feb 2017</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2.003%</w:t>
            </w:r>
          </w:p>
        </w:tc>
        <w:tc>
          <w:tcPr>
            <w:tcW w:w="100" w:type="dxa"/>
            <w:vAlign w:val="bottom"/>
          </w:tcPr>
          <w:p>
            <w:pPr>
              <w:spacing w:after="0"/>
              <w:rPr>
                <w:sz w:val="22"/>
                <w:szCs w:val="22"/>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16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0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870,000</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F-15</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90" w:gutter="0" w:footer="0" w:header="0"/>
        </w:sectPr>
      </w:pPr>
    </w:p>
    <w:bookmarkStart w:id="39" w:name="page40"/>
    <w:bookmarkEnd w:id="39"/>
    <w:p>
      <w:pPr>
        <w:ind w:left="660" w:hanging="328"/>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10890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8890"/>
                    </a:xfrm>
                    <a:prstGeom prst="rect">
                      <a:avLst/>
                    </a:prstGeom>
                    <a:noFill/>
                  </pic:spPr>
                </pic:pic>
              </a:graphicData>
            </a:graphic>
          </wp:anchor>
        </w:drawing>
        <w:t>In July 2016, GasLog entered into new interest rate swap agreements with a notional value of $870,000 in aggregate, maturing between 2020 and 2022.</w:t>
      </w:r>
    </w:p>
    <w:p>
      <w:pPr>
        <w:spacing w:after="0" w:line="13" w:lineRule="exact"/>
        <w:rPr>
          <w:rFonts w:ascii="Arial" w:cs="Arial" w:eastAsia="Arial" w:hAnsi="Arial"/>
          <w:sz w:val="12"/>
          <w:szCs w:val="12"/>
          <w:color w:val="auto"/>
        </w:rPr>
      </w:pPr>
    </w:p>
    <w:p>
      <w:pPr>
        <w:ind w:left="660" w:hanging="328"/>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 February 2017, GasLog entered into new interest rate swap agreements with a notional value of $300,000 in aggregate, maturing in 2022.</w:t>
      </w:r>
    </w:p>
    <w:p>
      <w:pPr>
        <w:spacing w:after="0" w:line="14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derivative instruments listed above were not designated as cash flow hedging instruments. The change in the fair value of these contracts for the three months ended March 31, 2017 amounted to a net gain of $1,838 (for the three months ended March 31, 2016: a loss of $0), which was recognized against profit or loss in the period incurred and is included in Loss/gain on swaps. During the three months ended March 31, 2017, the net gain of $1,838 derived mainly from the fact that the LIBOR yield curve, which was used to calculate the present value of the estimated future cash flows, was higher than the agreed fixed interest rates resulting in a decrease in net derivative liabilities from interest rate swaps held for trading.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(“CCSs”)</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NOK Bonds.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CCSs designated as cash flow hedging instruments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Trade</w:t>
            </w: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Effective</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Fixed Interest</w:t>
            </w:r>
          </w:p>
        </w:tc>
        <w:tc>
          <w:tcPr>
            <w:tcW w:w="3320" w:type="dxa"/>
            <w:vAlign w:val="bottom"/>
            <w:gridSpan w:val="4"/>
          </w:tcPr>
          <w:p>
            <w:pPr>
              <w:ind w:left="98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700" w:type="dxa"/>
            <w:vAlign w:val="bottom"/>
            <w:tcBorders>
              <w:top w:val="single" w:sz="8" w:color="auto"/>
            </w:tcBorders>
            <w:gridSpan w:val="2"/>
          </w:tcPr>
          <w:p>
            <w:pPr>
              <w:ind w:left="280"/>
              <w:spacing w:after="0" w:line="191" w:lineRule="exact"/>
              <w:rPr>
                <w:sz w:val="20"/>
                <w:szCs w:val="20"/>
                <w:color w:val="auto"/>
              </w:rPr>
            </w:pPr>
            <w:r>
              <w:rPr>
                <w:rFonts w:ascii="Arial" w:cs="Arial" w:eastAsia="Arial" w:hAnsi="Arial"/>
                <w:sz w:val="18"/>
                <w:szCs w:val="18"/>
                <w:b w:val="1"/>
                <w:bCs w:val="1"/>
                <w:color w:val="auto"/>
              </w:rPr>
              <w:t>December 31,</w:t>
            </w:r>
          </w:p>
        </w:tc>
        <w:tc>
          <w:tcPr>
            <w:tcW w:w="160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Counterparty</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w:t>
            </w:r>
          </w:p>
        </w:tc>
        <w:tc>
          <w:tcPr>
            <w:tcW w:w="12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DNB Bank ASA</w:t>
            </w:r>
          </w:p>
        </w:tc>
        <w:tc>
          <w:tcPr>
            <w:tcW w:w="1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6"/>
              </w:rPr>
              <w:t>April 2014</w:t>
            </w:r>
          </w:p>
        </w:tc>
        <w:tc>
          <w:tcPr>
            <w:tcW w:w="1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8"/>
                <w:szCs w:val="18"/>
                <w:color w:val="auto"/>
              </w:rPr>
              <w:t>May 2014</w:t>
            </w:r>
          </w:p>
        </w:tc>
        <w:tc>
          <w:tcPr>
            <w:tcW w:w="1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June 2018</w:t>
            </w: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1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22,965</w:t>
            </w:r>
          </w:p>
        </w:tc>
        <w:tc>
          <w:tcPr>
            <w:tcW w:w="1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2014</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May 2014</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22,965</w:t>
            </w:r>
          </w:p>
        </w:tc>
        <w:tc>
          <w:tcPr>
            <w:tcW w:w="1600" w:type="dxa"/>
            <w:vAlign w:val="bottom"/>
          </w:tcPr>
          <w:p>
            <w:pPr>
              <w:jc w:val="right"/>
              <w:spacing w:after="0"/>
              <w:rPr>
                <w:sz w:val="20"/>
                <w:szCs w:val="20"/>
                <w:color w:val="auto"/>
              </w:rPr>
            </w:pPr>
            <w:r>
              <w:rPr>
                <w:rFonts w:ascii="Arial" w:cs="Arial" w:eastAsia="Arial" w:hAnsi="Arial"/>
                <w:sz w:val="18"/>
                <w:szCs w:val="18"/>
                <w:color w:val="auto"/>
              </w:rPr>
              <w:t>22,965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6"/>
              </w:rPr>
              <w:t>April 2014</w:t>
            </w:r>
          </w:p>
        </w:tc>
        <w:tc>
          <w:tcPr>
            <w:tcW w:w="1140" w:type="dxa"/>
            <w:vAlign w:val="bottom"/>
            <w:gridSpan w:val="2"/>
            <w:shd w:val="clear" w:color="auto" w:fill="E5FFFF"/>
          </w:tcPr>
          <w:p>
            <w:pPr>
              <w:ind w:left="140"/>
              <w:spacing w:after="0"/>
              <w:rPr>
                <w:sz w:val="20"/>
                <w:szCs w:val="20"/>
                <w:color w:val="auto"/>
              </w:rPr>
            </w:pPr>
            <w:r>
              <w:rPr>
                <w:rFonts w:ascii="Arial" w:cs="Arial" w:eastAsia="Arial" w:hAnsi="Arial"/>
                <w:sz w:val="18"/>
                <w:szCs w:val="18"/>
                <w:color w:val="auto"/>
              </w:rPr>
              <w:t>May 2014</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2018</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22,965</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8.59%</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30,050</w:t>
            </w:r>
          </w:p>
        </w:tc>
        <w:tc>
          <w:tcPr>
            <w:tcW w:w="1600" w:type="dxa"/>
            <w:vAlign w:val="bottom"/>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9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87"/>
              </w:rPr>
              <w:t>June 2016</w:t>
            </w:r>
          </w:p>
        </w:tc>
        <w:tc>
          <w:tcPr>
            <w:tcW w:w="1140" w:type="dxa"/>
            <w:vAlign w:val="bottom"/>
            <w:gridSpan w:val="2"/>
            <w:shd w:val="clear" w:color="auto" w:fill="E5FFFF"/>
          </w:tcPr>
          <w:p>
            <w:pPr>
              <w:ind w:left="140"/>
              <w:spacing w:after="0"/>
              <w:rPr>
                <w:sz w:val="20"/>
                <w:szCs w:val="20"/>
                <w:color w:val="auto"/>
              </w:rPr>
            </w:pPr>
            <w:r>
              <w:rPr>
                <w:rFonts w:ascii="Arial" w:cs="Arial" w:eastAsia="Arial" w:hAnsi="Arial"/>
                <w:sz w:val="18"/>
                <w:szCs w:val="18"/>
                <w:color w:val="auto"/>
              </w:rPr>
              <w:t>June 2016</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3"/>
              </w:rPr>
              <w:t>May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8.59%</w:t>
            </w:r>
          </w:p>
        </w:tc>
        <w:tc>
          <w:tcPr>
            <w:tcW w:w="1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30,050</w:t>
            </w:r>
          </w:p>
        </w:tc>
        <w:tc>
          <w:tcPr>
            <w:tcW w:w="1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7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2016</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8.59%</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30,050</w:t>
            </w:r>
          </w:p>
        </w:tc>
        <w:tc>
          <w:tcPr>
            <w:tcW w:w="1600" w:type="dxa"/>
            <w:vAlign w:val="bottom"/>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6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159,045</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159,045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For the three months ended March 31, 2017, the effective portion of changes in the fair value of CCSs amounting to a gain of $368 has been recognized in Other comprehensive income (for the three months ended March 31, 2016: a gain of $6,226). For the three months ended March 31, 2017, a loss of $323 was recycled to profit or loss representing the realized loss on CCSs in relation to the interest expense component of the hedge (for the three months ended March 31, 2016: a loss of $858). Additionally, for the three months ended March 31, 2017, a loss of $735 was recognized in Other comprehensive income in relation to the retranslation of the NOK Bonds in U.S. dollars as of March 31, 2017 (for the three months ended March 31, 2016: a loss of $6,369).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Fixed</w:t>
            </w: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Exchange Rate</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Exchange Amount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Company</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Counterparty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Settlement Date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(USD/GBP)</w:t>
            </w: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tcBorders>
              <w:top w:val="single" w:sz="8" w:color="E5FFFF"/>
            </w:tcBorders>
            <w:shd w:val="clear" w:color="auto" w:fill="E5FFFF"/>
          </w:tcPr>
          <w:p>
            <w:pPr>
              <w:spacing w:after="0"/>
              <w:rPr>
                <w:sz w:val="18"/>
                <w:szCs w:val="18"/>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8"/>
              </w:rPr>
              <w:t>SEB</w:t>
            </w:r>
          </w:p>
        </w:tc>
        <w:tc>
          <w:tcPr>
            <w:tcW w:w="3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August 2016</w:t>
            </w:r>
          </w:p>
        </w:tc>
        <w:tc>
          <w:tcPr>
            <w:tcW w:w="1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6"/>
              </w:rPr>
              <w:t>April 2017</w:t>
            </w:r>
          </w:p>
        </w:tc>
        <w:tc>
          <w:tcPr>
            <w:tcW w:w="20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1.3147</w:t>
            </w:r>
          </w:p>
        </w:tc>
        <w:tc>
          <w:tcPr>
            <w:tcW w:w="200" w:type="dxa"/>
            <w:vAlign w:val="bottom"/>
            <w:tcBorders>
              <w:top w:val="single" w:sz="8" w:color="E5FFFF"/>
            </w:tcBorders>
            <w:shd w:val="clear" w:color="auto" w:fill="E5FFFF"/>
          </w:tcPr>
          <w:p>
            <w:pPr>
              <w:spacing w:after="0"/>
              <w:rPr>
                <w:sz w:val="18"/>
                <w:szCs w:val="18"/>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August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1.3147</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August 2016</w:t>
            </w: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7"/>
              </w:rPr>
              <w:t>June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1.3147</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August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9"/>
              </w:rPr>
              <w:t>October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3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1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2017</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1.2541</w:t>
            </w:r>
          </w:p>
        </w:tc>
        <w:tc>
          <w:tcPr>
            <w:tcW w:w="200" w:type="dxa"/>
            <w:vAlign w:val="bottom"/>
            <w:shd w:val="clear" w:color="auto" w:fill="E5FFFF"/>
          </w:tcPr>
          <w:p>
            <w:pPr>
              <w:spacing w:after="0"/>
              <w:rPr>
                <w:sz w:val="19"/>
                <w:szCs w:val="19"/>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20" w:type="dxa"/>
            <w:vAlign w:val="bottom"/>
            <w:gridSpan w:val="4"/>
            <w:vMerge w:val="restart"/>
          </w:tcPr>
          <w:p>
            <w:pPr>
              <w:ind w:left="60"/>
              <w:spacing w:after="0"/>
              <w:rPr>
                <w:sz w:val="20"/>
                <w:szCs w:val="20"/>
                <w:color w:val="auto"/>
              </w:rPr>
            </w:pPr>
            <w:r>
              <w:rPr>
                <w:rFonts w:ascii="Arial" w:cs="Arial" w:eastAsia="Arial" w:hAnsi="Arial"/>
                <w:sz w:val="18"/>
                <w:szCs w:val="18"/>
                <w:color w:val="auto"/>
              </w:rPr>
              <w:t>F-16</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20" w:type="dxa"/>
            <w:vAlign w:val="bottom"/>
            <w:gridSpan w:val="4"/>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0C0C0"/>
            </w:tcBorders>
          </w:tcPr>
          <w:p>
            <w:pPr>
              <w:spacing w:after="0"/>
              <w:rPr>
                <w:sz w:val="21"/>
                <w:szCs w:val="21"/>
                <w:color w:val="auto"/>
              </w:rPr>
            </w:pPr>
          </w:p>
        </w:tc>
        <w:tc>
          <w:tcPr>
            <w:tcW w:w="20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84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3" w:right="239" w:bottom="1440" w:gutter="0" w:footer="0" w:header="0"/>
        </w:sectPr>
      </w:pPr>
    </w:p>
    <w:bookmarkStart w:id="40" w:name="page41"/>
    <w:bookmarkEnd w:id="40"/>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Fixed</w:t>
            </w:r>
          </w:p>
        </w:tc>
        <w:tc>
          <w:tcPr>
            <w:tcW w:w="18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Exchange Rate</w:t>
            </w: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Exchange Amount</w:t>
            </w:r>
          </w:p>
        </w:tc>
      </w:tr>
      <w:tr>
        <w:trPr>
          <w:trHeight w:val="234"/>
        </w:trPr>
        <w:tc>
          <w:tcPr>
            <w:tcW w:w="200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Counterparty</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Trade Date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Settlement Date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(USD/EUR)</w:t>
            </w: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(in thousands)</w:t>
            </w:r>
          </w:p>
        </w:tc>
      </w:tr>
      <w:tr>
        <w:trPr>
          <w:trHeight w:val="210"/>
        </w:trPr>
        <w:tc>
          <w:tcPr>
            <w:tcW w:w="20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tcBorders>
              <w:top w:val="single" w:sz="8" w:color="E5FFFF"/>
            </w:tcBorders>
            <w:shd w:val="clear" w:color="auto" w:fill="E5FFFF"/>
          </w:tcPr>
          <w:p>
            <w:pPr>
              <w:spacing w:after="0"/>
              <w:rPr>
                <w:sz w:val="18"/>
                <w:szCs w:val="18"/>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5"/>
              </w:rPr>
              <w:t>HSBC</w:t>
            </w:r>
          </w:p>
        </w:tc>
        <w:tc>
          <w:tcPr>
            <w:tcW w:w="30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8"/>
              </w:rPr>
              <w:t>December 2016</w:t>
            </w:r>
          </w:p>
        </w:tc>
        <w:tc>
          <w:tcPr>
            <w:tcW w:w="20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6"/>
              </w:rPr>
              <w:t>April 2017</w:t>
            </w:r>
          </w:p>
        </w:tc>
        <w:tc>
          <w:tcPr>
            <w:tcW w:w="20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Borders>
              <w:top w:val="single" w:sz="8" w:color="E5FFFF"/>
            </w:tcBorders>
            <w:shd w:val="clear" w:color="auto" w:fill="E5FFFF"/>
          </w:tcPr>
          <w:p>
            <w:pPr>
              <w:spacing w:after="0"/>
              <w:rPr>
                <w:sz w:val="18"/>
                <w:szCs w:val="18"/>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7"/>
              </w:rPr>
              <w:t>June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August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9"/>
              </w:rPr>
              <w:t>October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5"/>
              </w:rPr>
              <w:t>HSBC</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April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3"/>
              </w:rPr>
              <w:t>May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0"/>
              </w:rPr>
              <w:t>July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August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September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November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Nordea</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1.0562</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6"/>
              </w:rPr>
              <w:t>April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7"/>
              </w:rPr>
              <w:t>June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August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9"/>
              </w:rPr>
              <w:t>October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shd w:val="clear" w:color="auto" w:fill="E5FFFF"/>
          </w:tcPr>
          <w:p>
            <w:pPr>
              <w:spacing w:after="0"/>
              <w:rPr>
                <w:sz w:val="18"/>
                <w:szCs w:val="18"/>
                <w:color w:val="auto"/>
              </w:rPr>
            </w:pP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GasLog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November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2000" w:type="dxa"/>
            <w:vAlign w:val="bottom"/>
            <w:shd w:val="clear" w:color="auto" w:fill="E5FFFF"/>
          </w:tcPr>
          <w:p>
            <w:pPr>
              <w:spacing w:after="0"/>
              <w:rPr>
                <w:sz w:val="20"/>
                <w:szCs w:val="20"/>
                <w:color w:val="auto"/>
              </w:rPr>
            </w:pPr>
            <w:r>
              <w:rPr>
                <w:rFonts w:ascii="Arial" w:cs="Arial" w:eastAsia="Arial" w:hAnsi="Arial"/>
                <w:sz w:val="18"/>
                <w:szCs w:val="18"/>
                <w:color w:val="auto"/>
              </w:rPr>
              <w:t>GasLog</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2016</w:t>
            </w:r>
          </w:p>
        </w:tc>
        <w:tc>
          <w:tcPr>
            <w:tcW w:w="162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2017</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1.0541</w:t>
            </w:r>
          </w:p>
        </w:tc>
        <w:tc>
          <w:tcPr>
            <w:tcW w:w="200" w:type="dxa"/>
            <w:vAlign w:val="bottom"/>
            <w:shd w:val="clear" w:color="auto" w:fill="E5FFFF"/>
          </w:tcPr>
          <w:p>
            <w:pPr>
              <w:spacing w:after="0"/>
              <w:rPr>
                <w:sz w:val="19"/>
                <w:szCs w:val="19"/>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€32,400</w:t>
            </w:r>
          </w:p>
        </w:tc>
      </w:tr>
      <w:tr>
        <w:trPr>
          <w:trHeight w:val="20"/>
        </w:trPr>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March 31, 2017. The change in the fair value of these contracts for the three months ended March 31, 2017 amounted to a net gain of $477 (for the three months ended March 31, 2016: nil), which was recognized against profit or loss in the period incurred and is included in Loss/gain on swaps.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derivatives arising from financing activities is as follows:</w:t>
      </w:r>
    </w:p>
    <w:p>
      <w:pPr>
        <w:sectPr>
          <w:pgSz w:w="11900" w:h="16838" w:orient="portrait"/>
          <w:cols w:equalWidth="0" w:num="1">
            <w:col w:w="11400"/>
          </w:cols>
          <w:pgMar w:left="240" w:top="40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0" w:right="500"/>
        <w:spacing w:after="0" w:line="291" w:lineRule="auto"/>
        <w:rPr>
          <w:sz w:val="20"/>
          <w:szCs w:val="20"/>
          <w:color w:val="auto"/>
        </w:rPr>
      </w:pPr>
      <w:r>
        <w:rPr>
          <w:rFonts w:ascii="Arial" w:cs="Arial" w:eastAsia="Arial" w:hAnsi="Arial"/>
          <w:sz w:val="16"/>
          <w:szCs w:val="16"/>
          <w:color w:val="auto"/>
        </w:rPr>
        <w:t>Net derivative liabilities as of January 1, 2017 Unrealized gain on derivative financial instruments</w:t>
      </w:r>
    </w:p>
    <w:p>
      <w:pPr>
        <w:ind w:left="760"/>
        <w:spacing w:after="0"/>
        <w:rPr>
          <w:sz w:val="20"/>
          <w:szCs w:val="20"/>
          <w:color w:val="auto"/>
        </w:rPr>
      </w:pPr>
      <w:r>
        <w:rPr>
          <w:rFonts w:ascii="Arial" w:cs="Arial" w:eastAsia="Arial" w:hAnsi="Arial"/>
          <w:sz w:val="18"/>
          <w:szCs w:val="18"/>
          <w:color w:val="auto"/>
        </w:rPr>
        <w:t>held for trading (Note 14)</w:t>
      </w:r>
    </w:p>
    <w:p>
      <w:pPr>
        <w:spacing w:after="0" w:line="9" w:lineRule="exact"/>
        <w:rPr>
          <w:sz w:val="20"/>
          <w:szCs w:val="20"/>
          <w:color w:val="auto"/>
        </w:rPr>
      </w:pPr>
    </w:p>
    <w:p>
      <w:pPr>
        <w:jc w:val="both"/>
        <w:ind w:left="760" w:right="780" w:hanging="179"/>
        <w:spacing w:after="0" w:line="250" w:lineRule="auto"/>
        <w:rPr>
          <w:sz w:val="20"/>
          <w:szCs w:val="20"/>
          <w:color w:val="auto"/>
        </w:rPr>
      </w:pPr>
      <w:r>
        <w:rPr>
          <w:rFonts w:ascii="Arial" w:cs="Arial" w:eastAsia="Arial" w:hAnsi="Arial"/>
          <w:sz w:val="18"/>
          <w:szCs w:val="18"/>
          <w:color w:val="auto"/>
        </w:rPr>
        <w:t>Effective portion of changes in the fair value of derivatives designated as cash flow hedging instruments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derivative liabilities as of March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Costs and Loss/(gain) on Swaps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financial costs and loss on swaps is as follows: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comprehensive</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Non-cash</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Opening balance</w:t>
            </w: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income</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items</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4"/>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22,401</w:t>
            </w:r>
          </w:p>
        </w:tc>
        <w:tc>
          <w:tcPr>
            <w:tcW w:w="4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22,401</w:t>
            </w:r>
          </w:p>
        </w:tc>
        <w:tc>
          <w:tcPr>
            <w:tcW w:w="60" w:type="dxa"/>
            <w:vAlign w:val="bottom"/>
          </w:tcPr>
          <w:p>
            <w:pPr>
              <w:spacing w:after="0"/>
              <w:rPr>
                <w:sz w:val="19"/>
                <w:szCs w:val="19"/>
                <w:color w:val="auto"/>
              </w:rPr>
            </w:pPr>
          </w:p>
        </w:tc>
      </w:tr>
      <w:tr>
        <w:trPr>
          <w:trHeight w:val="418"/>
        </w:trPr>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(2,315)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(2,315)</w:t>
            </w:r>
          </w:p>
        </w:tc>
      </w:tr>
      <w:tr>
        <w:trPr>
          <w:trHeight w:val="662"/>
        </w:trPr>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(691)</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(691)</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22,401</w:t>
            </w:r>
          </w:p>
        </w:tc>
        <w:tc>
          <w:tcPr>
            <w:tcW w:w="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380" w:type="dxa"/>
            <w:vAlign w:val="bottom"/>
          </w:tcPr>
          <w:p>
            <w:pPr>
              <w:jc w:val="right"/>
              <w:ind w:right="300"/>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(2,315</w:t>
            </w:r>
          </w:p>
        </w:tc>
        <w:tc>
          <w:tcPr>
            <w:tcW w:w="400" w:type="dxa"/>
            <w:vAlign w:val="bottom"/>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19,395</w:t>
            </w:r>
          </w:p>
        </w:tc>
        <w:tc>
          <w:tcPr>
            <w:tcW w:w="60" w:type="dxa"/>
            <w:vAlign w:val="bottom"/>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-1019810</wp:posOffset>
            </wp:positionV>
            <wp:extent cx="65176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-599440</wp:posOffset>
            </wp:positionV>
            <wp:extent cx="6517640"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420370"/>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2">
            <w:col w:w="4780" w:space="20"/>
            <w:col w:w="6600"/>
          </w:cols>
          <w:pgMar w:left="240" w:top="405" w:right="259" w:bottom="0" w:gutter="0" w:footer="0" w:header="0"/>
          <w:type w:val="continuous"/>
        </w:sectPr>
      </w:pP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3180" w:type="dxa"/>
            <w:vAlign w:val="bottom"/>
            <w:gridSpan w:val="4"/>
          </w:tcPr>
          <w:p>
            <w:pPr>
              <w:ind w:left="4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1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2016</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2017</w:t>
            </w:r>
          </w:p>
        </w:tc>
      </w:tr>
      <w:tr>
        <w:trPr>
          <w:trHeight w:val="210"/>
        </w:trPr>
        <w:tc>
          <w:tcPr>
            <w:tcW w:w="7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Amortization of deferred loan issuance costs and premium</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6,027</w:t>
            </w:r>
          </w:p>
        </w:tc>
        <w:tc>
          <w:tcPr>
            <w:tcW w:w="42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340" w:type="dxa"/>
            <w:vAlign w:val="bottom"/>
          </w:tcPr>
          <w:p>
            <w:pPr>
              <w:jc w:val="right"/>
              <w:spacing w:after="0"/>
              <w:rPr>
                <w:sz w:val="20"/>
                <w:szCs w:val="20"/>
                <w:color w:val="auto"/>
              </w:rPr>
            </w:pPr>
            <w:r>
              <w:rPr>
                <w:rFonts w:ascii="Arial" w:cs="Arial" w:eastAsia="Arial" w:hAnsi="Arial"/>
                <w:sz w:val="18"/>
                <w:szCs w:val="18"/>
                <w:color w:val="auto"/>
              </w:rPr>
              <w:t>18,313</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22,482</w:t>
            </w:r>
          </w:p>
        </w:tc>
        <w:tc>
          <w:tcPr>
            <w:tcW w:w="100" w:type="dxa"/>
            <w:vAlign w:val="bottom"/>
          </w:tcPr>
          <w:p>
            <w:pPr>
              <w:spacing w:after="0"/>
              <w:rPr>
                <w:sz w:val="18"/>
                <w:szCs w:val="18"/>
                <w:color w:val="auto"/>
              </w:rPr>
            </w:pPr>
          </w:p>
        </w:tc>
      </w:tr>
      <w:tr>
        <w:trPr>
          <w:trHeight w:val="216"/>
        </w:trPr>
        <w:tc>
          <w:tcPr>
            <w:tcW w:w="710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senior unsecured notes and realized loss on cross-currency swaps</w:t>
            </w:r>
          </w:p>
        </w:tc>
        <w:tc>
          <w:tcPr>
            <w:tcW w:w="1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2,825</w:t>
            </w:r>
          </w:p>
        </w:tc>
        <w:tc>
          <w:tcPr>
            <w:tcW w:w="42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E5FF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Finance lease charge</w:t>
            </w:r>
          </w:p>
        </w:tc>
        <w:tc>
          <w:tcPr>
            <w:tcW w:w="1340" w:type="dxa"/>
            <w:vAlign w:val="bottom"/>
          </w:tcPr>
          <w:p>
            <w:pPr>
              <w:jc w:val="right"/>
              <w:spacing w:after="0"/>
              <w:rPr>
                <w:sz w:val="20"/>
                <w:szCs w:val="20"/>
                <w:color w:val="auto"/>
              </w:rPr>
            </w:pPr>
            <w:r>
              <w:rPr>
                <w:rFonts w:ascii="Arial" w:cs="Arial" w:eastAsia="Arial" w:hAnsi="Arial"/>
                <w:sz w:val="18"/>
                <w:szCs w:val="18"/>
                <w:color w:val="auto"/>
              </w:rPr>
              <w:t>1,067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8"/>
                <w:szCs w:val="18"/>
                <w:color w:val="auto"/>
              </w:rPr>
            </w:pPr>
          </w:p>
        </w:tc>
      </w:tr>
      <w:tr>
        <w:trPr>
          <w:trHeight w:val="230"/>
        </w:trPr>
        <w:tc>
          <w:tcPr>
            <w:tcW w:w="710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947</w:t>
            </w:r>
          </w:p>
        </w:tc>
        <w:tc>
          <w:tcPr>
            <w:tcW w:w="420" w:type="dxa"/>
            <w:vAlign w:val="bottom"/>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E5FFFF"/>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29,179</w:t>
            </w:r>
          </w:p>
        </w:tc>
        <w:tc>
          <w:tcPr>
            <w:tcW w:w="4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32,524</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05" w:right="259" w:bottom="0" w:gutter="0" w:footer="0" w:header="0"/>
          <w:type w:val="continuous"/>
        </w:sectPr>
      </w:pPr>
    </w:p>
    <w:p>
      <w:pPr>
        <w:spacing w:after="0" w:line="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Unrealized loss/(gain) on derivative financial instruments held for trading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-107315</wp:posOffset>
            </wp:positionV>
            <wp:extent cx="651764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loss on interest rate swaps held for trading</w:t>
      </w:r>
    </w:p>
    <w:p>
      <w:pPr>
        <w:spacing w:after="0" w:line="9" w:lineRule="exact"/>
        <w:rPr>
          <w:sz w:val="20"/>
          <w:szCs w:val="20"/>
          <w:color w:val="auto"/>
        </w:rPr>
      </w:pPr>
    </w:p>
    <w:p>
      <w:pPr>
        <w:ind w:left="580" w:right="1880"/>
        <w:spacing w:after="0" w:line="276" w:lineRule="auto"/>
        <w:rPr>
          <w:sz w:val="20"/>
          <w:szCs w:val="20"/>
          <w:color w:val="auto"/>
        </w:rPr>
      </w:pPr>
      <w:r>
        <w:rPr>
          <w:rFonts w:ascii="Arial" w:cs="Arial" w:eastAsia="Arial" w:hAnsi="Arial"/>
          <w:sz w:val="18"/>
          <w:szCs w:val="18"/>
          <w:color w:val="auto"/>
        </w:rPr>
        <w:t xml:space="preserve">Recycled loss of cash flow hedges reclassified to profit or loss </w:t>
      </w:r>
      <w:r>
        <w:rPr>
          <w:rFonts w:ascii="Arial" w:cs="Arial" w:eastAsia="Arial" w:hAnsi="Arial"/>
          <w:sz w:val="18"/>
          <w:szCs w:val="18"/>
          <w:b w:val="1"/>
          <w:bCs w:val="1"/>
          <w:color w:val="auto"/>
        </w:rPr>
        <w:t>Total loss/(gain)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-301625</wp:posOffset>
            </wp:positionV>
            <wp:extent cx="65176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8,137</w:t>
            </w:r>
          </w:p>
        </w:tc>
        <w:tc>
          <w:tcPr>
            <w:tcW w:w="4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(2,315)</w:t>
            </w:r>
          </w:p>
        </w:tc>
      </w:t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1,928</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2,151</w:t>
            </w:r>
          </w:p>
        </w:tc>
        <w:tc>
          <w:tcPr>
            <w:tcW w:w="60" w:type="dxa"/>
            <w:vAlign w:val="bottom"/>
          </w:tcPr>
          <w:p>
            <w:pPr>
              <w:spacing w:after="0"/>
              <w:rPr>
                <w:sz w:val="19"/>
                <w:szCs w:val="19"/>
                <w:color w:val="auto"/>
              </w:rPr>
            </w:pPr>
          </w:p>
        </w:tc>
      </w:t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10,414</w:t>
            </w:r>
          </w:p>
        </w:tc>
        <w:tc>
          <w:tcPr>
            <w:tcW w:w="4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720"/>
            <w:col w:w="3720"/>
          </w:cols>
          <w:pgMar w:left="240" w:top="405" w:right="259" w:bottom="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Non-cash Items on Statements of Cash Flows</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of March 31, 2017, there are capital expenditures for vessels and vessels under construction of $3,690 that have not been paid during the three months ended March 31, 2017 and are included in current liabilities (December 31, 2016: $2,038). As of March 31, 2016, there were capital expenditures of $5,169 that had not been paid during the three months ended March 31, 2016 and were included in current liabilities (December 31, 2015: $12,576).</w:t>
      </w:r>
    </w:p>
    <w:p>
      <w:pPr>
        <w:sectPr>
          <w:pgSz w:w="11900" w:h="16838" w:orient="portrait"/>
          <w:cols w:equalWidth="0" w:num="1">
            <w:col w:w="11400"/>
          </w:cols>
          <w:pgMar w:left="240" w:top="405" w:right="259"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firstLine="324"/>
        <w:spacing w:after="0" w:line="264" w:lineRule="auto"/>
        <w:rPr>
          <w:sz w:val="20"/>
          <w:szCs w:val="20"/>
          <w:color w:val="auto"/>
        </w:rPr>
      </w:pPr>
      <w:r>
        <w:rPr>
          <w:rFonts w:ascii="Arial" w:cs="Arial" w:eastAsia="Arial" w:hAnsi="Arial"/>
          <w:sz w:val="18"/>
          <w:szCs w:val="18"/>
          <w:color w:val="auto"/>
        </w:rPr>
        <w:t>As of March 31, 2017, there are equity raising costs of $385 that have not been paid during the three months ended March 31, 2017 and are included in current liabilities (December 31, 2016: $5). As of March 31, 2016, there were equity raising costs of $17 that had not been paid during the three months ended March 31, 2016 and were included in current liabilities (December 31, 2015: $59).</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March 31, 2017, there are loan issuance costs of $1,169 that have not been paid during the three months ended March 31, 2017 and are included in current liabilities (December 31, 2016: $0). As of March 31, 2016, there were loan issuance costs of $3,673 that had not been paid during the three months ended March 31, 2016 and were included in current liabilities (December 31, 2015: $247).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there are receivables from stock options of $0 included in current assets (December 31, 2016: $108).</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March 31, 2017, there are investment in associates of $100 that have not been paid during the three months ended March 31, 2017 and are included in current liabilities (December 31, 2016: $0)</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March 31, 2016, there were expenditures for vessel held under finance lease of $430 that had not been paid during three months ended March 31, 2016 and were included in liabilities at the end of the period (December 31, 2015: $0).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2016.</w:t>
      </w:r>
    </w:p>
    <w:p>
      <w:pPr>
        <w:spacing w:after="0" w:line="181"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RSUs and SARs during the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summary of RSUs and SARs is presented below:</w:t>
      </w:r>
    </w:p>
    <w:p>
      <w:pPr>
        <w:sectPr>
          <w:pgSz w:w="11900" w:h="16838" w:orient="portrait"/>
          <w:cols w:equalWidth="0" w:num="1">
            <w:col w:w="11420"/>
          </w:cols>
          <w:pgMar w:left="240" w:top="40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RSUs</w:t>
      </w:r>
    </w:p>
    <w:p>
      <w:pPr>
        <w:spacing w:after="0" w:line="27" w:lineRule="exact"/>
        <w:rPr>
          <w:sz w:val="20"/>
          <w:szCs w:val="20"/>
          <w:color w:val="auto"/>
        </w:rPr>
      </w:pPr>
    </w:p>
    <w:p>
      <w:pPr>
        <w:ind w:left="580"/>
        <w:spacing w:after="0" w:line="250" w:lineRule="auto"/>
        <w:rPr>
          <w:sz w:val="20"/>
          <w:szCs w:val="20"/>
          <w:color w:val="auto"/>
        </w:rPr>
      </w:pPr>
      <w:r>
        <w:rPr>
          <w:rFonts w:ascii="Arial" w:cs="Arial" w:eastAsia="Arial" w:hAnsi="Arial"/>
          <w:sz w:val="18"/>
          <w:szCs w:val="18"/>
          <w:b w:val="1"/>
          <w:bCs w:val="1"/>
          <w:color w:val="auto"/>
        </w:rPr>
        <w:t xml:space="preserve">Outstanding as of January 1, 2017 </w:t>
      </w:r>
      <w:r>
        <w:rPr>
          <w:rFonts w:ascii="Arial" w:cs="Arial" w:eastAsia="Arial" w:hAnsi="Arial"/>
          <w:sz w:val="18"/>
          <w:szCs w:val="18"/>
          <w:color w:val="auto"/>
        </w:rPr>
        <w:t>Granted during the period</w:t>
      </w:r>
    </w:p>
    <w:p>
      <w:pPr>
        <w:spacing w:after="0" w:line="1" w:lineRule="exact"/>
        <w:rPr>
          <w:sz w:val="20"/>
          <w:szCs w:val="20"/>
          <w:color w:val="auto"/>
        </w:rPr>
      </w:pPr>
    </w:p>
    <w:p>
      <w:pPr>
        <w:ind w:left="580" w:right="40"/>
        <w:spacing w:after="0" w:line="297" w:lineRule="auto"/>
        <w:rPr>
          <w:sz w:val="20"/>
          <w:szCs w:val="20"/>
          <w:color w:val="auto"/>
        </w:rPr>
      </w:pPr>
      <w:r>
        <w:rPr>
          <w:rFonts w:ascii="Arial" w:cs="Arial" w:eastAsia="Arial" w:hAnsi="Arial"/>
          <w:sz w:val="18"/>
          <w:szCs w:val="18"/>
          <w:b w:val="1"/>
          <w:bCs w:val="1"/>
          <w:color w:val="auto"/>
        </w:rPr>
        <w:t>Outstanding as of March 31, 2017 SARs</w:t>
      </w:r>
    </w:p>
    <w:p>
      <w:pPr>
        <w:spacing w:after="0" w:line="1" w:lineRule="exact"/>
        <w:rPr>
          <w:sz w:val="20"/>
          <w:szCs w:val="20"/>
          <w:color w:val="auto"/>
        </w:rPr>
      </w:pPr>
    </w:p>
    <w:p>
      <w:pPr>
        <w:ind w:left="580"/>
        <w:spacing w:after="0" w:line="250" w:lineRule="auto"/>
        <w:rPr>
          <w:sz w:val="20"/>
          <w:szCs w:val="20"/>
          <w:color w:val="auto"/>
        </w:rPr>
      </w:pPr>
      <w:r>
        <w:rPr>
          <w:rFonts w:ascii="Arial" w:cs="Arial" w:eastAsia="Arial" w:hAnsi="Arial"/>
          <w:sz w:val="18"/>
          <w:szCs w:val="18"/>
          <w:b w:val="1"/>
          <w:bCs w:val="1"/>
          <w:color w:val="auto"/>
        </w:rPr>
        <w:t xml:space="preserve">Outstanding as of January 1, 2017 </w:t>
      </w:r>
      <w:r>
        <w:rPr>
          <w:rFonts w:ascii="Arial" w:cs="Arial" w:eastAsia="Arial" w:hAnsi="Arial"/>
          <w:sz w:val="18"/>
          <w:szCs w:val="18"/>
          <w:color w:val="auto"/>
        </w:rPr>
        <w:t>Granted during the period</w:t>
      </w:r>
    </w:p>
    <w:p>
      <w:pPr>
        <w:spacing w:after="0" w:line="1"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Outstanding as of March 31,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share price at</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tcPr>
          <w:p>
            <w:pPr>
              <w:spacing w:after="0"/>
              <w:rPr>
                <w:sz w:val="18"/>
                <w:szCs w:val="18"/>
                <w:color w:val="auto"/>
              </w:rPr>
            </w:pPr>
          </w:p>
        </w:tc>
      </w:tr>
      <w:tr>
        <w:trPr>
          <w:trHeight w:val="216"/>
        </w:trPr>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per</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the date of</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contractual</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Aggregate fair</w:t>
            </w:r>
          </w:p>
        </w:tc>
      </w:tr>
      <w:tr>
        <w:trPr>
          <w:trHeight w:val="234"/>
        </w:trPr>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awards</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421"/>
        </w:trPr>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368,437</w:t>
            </w:r>
          </w:p>
        </w:tc>
        <w:tc>
          <w:tcPr>
            <w:tcW w:w="34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5,225</w:t>
            </w:r>
          </w:p>
        </w:tc>
      </w:tr>
      <w:tr>
        <w:trPr>
          <w:trHeight w:val="234"/>
        </w:trPr>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368,437</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3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08"/>
        </w:trPr>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1,713,702</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300" w:type="dxa"/>
            <w:vAlign w:val="bottom"/>
          </w:tcPr>
          <w:p>
            <w:pPr>
              <w:spacing w:after="0"/>
              <w:rPr>
                <w:sz w:val="24"/>
                <w:szCs w:val="24"/>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6,010</w:t>
            </w:r>
          </w:p>
        </w:tc>
      </w:tr>
      <w:tr>
        <w:trPr>
          <w:trHeight w:val="234"/>
        </w:trPr>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1,713,702</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3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3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-1208405</wp:posOffset>
            </wp:positionV>
            <wp:extent cx="651764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-925830</wp:posOffset>
            </wp:positionV>
            <wp:extent cx="651764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-616585</wp:posOffset>
            </wp:positionV>
            <wp:extent cx="651764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-325120</wp:posOffset>
            </wp:positionV>
            <wp:extent cx="651764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560"/>
            <w:col w:w="7640"/>
          </w:cols>
          <w:pgMar w:left="240" w:top="409" w:right="239" w:bottom="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578,105 SARs have vested but have not been exercised.</w:t>
      </w:r>
    </w:p>
    <w:p>
      <w:pPr>
        <w:spacing w:after="0" w:line="225"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terms of the GasLog Partners’ 2015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2016.</w:t>
      </w:r>
    </w:p>
    <w:p>
      <w:pPr>
        <w:spacing w:after="0" w:line="181"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4880" w:type="dxa"/>
            <w:vAlign w:val="bottom"/>
            <w:gridSpan w:val="2"/>
          </w:tcPr>
          <w:p>
            <w:pPr>
              <w:ind w:left="340"/>
              <w:spacing w:after="0"/>
              <w:rPr>
                <w:sz w:val="20"/>
                <w:szCs w:val="20"/>
                <w:color w:val="auto"/>
              </w:rPr>
            </w:pPr>
            <w:r>
              <w:rPr>
                <w:rFonts w:ascii="Arial" w:cs="Arial" w:eastAsia="Arial" w:hAnsi="Arial"/>
                <w:sz w:val="18"/>
                <w:szCs w:val="18"/>
                <w:color w:val="auto"/>
              </w:rPr>
              <w:t>The summary of RCUs and PCUs is presented below:</w:t>
            </w: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Number of</w:t>
            </w:r>
          </w:p>
        </w:tc>
        <w:tc>
          <w:tcPr>
            <w:tcW w:w="18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Aggregate</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awards</w:t>
            </w:r>
          </w:p>
        </w:tc>
        <w:tc>
          <w:tcPr>
            <w:tcW w:w="18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contractual life</w:t>
            </w: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RCUs</w:t>
            </w:r>
          </w:p>
        </w:tc>
        <w:tc>
          <w:tcPr>
            <w:tcW w:w="96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41,924</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96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E5FF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3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March 31, 2017</w:t>
            </w:r>
          </w:p>
        </w:tc>
        <w:tc>
          <w:tcPr>
            <w:tcW w:w="960" w:type="dxa"/>
            <w:vAlign w:val="bottom"/>
            <w:tcBorders>
              <w:bottom w:val="single" w:sz="8" w:color="E5FF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640" w:type="dxa"/>
            <w:vAlign w:val="bottom"/>
            <w:tcBorders>
              <w:bottom w:val="single" w:sz="8" w:color="E5FF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600" w:type="dxa"/>
            <w:vAlign w:val="bottom"/>
            <w:tcBorders>
              <w:bottom w:val="single" w:sz="8" w:color="E5FF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Borders>
              <w:bottom w:val="single" w:sz="8" w:color="E5FFFF"/>
            </w:tcBorders>
          </w:tcPr>
          <w:p>
            <w:pPr>
              <w:spacing w:after="0"/>
              <w:rPr>
                <w:sz w:val="22"/>
                <w:szCs w:val="22"/>
                <w:color w:val="auto"/>
              </w:rPr>
            </w:pPr>
          </w:p>
        </w:tc>
        <w:tc>
          <w:tcPr>
            <w:tcW w:w="560" w:type="dxa"/>
            <w:vAlign w:val="bottom"/>
          </w:tcPr>
          <w:p>
            <w:pPr>
              <w:spacing w:after="0"/>
              <w:rPr>
                <w:sz w:val="22"/>
                <w:szCs w:val="22"/>
                <w:color w:val="auto"/>
              </w:rPr>
            </w:pPr>
          </w:p>
        </w:tc>
      </w:tr>
      <w:tr>
        <w:trPr>
          <w:trHeight w:val="197"/>
        </w:trPr>
        <w:tc>
          <w:tcPr>
            <w:tcW w:w="580" w:type="dxa"/>
            <w:vAlign w:val="bottom"/>
          </w:tcPr>
          <w:p>
            <w:pPr>
              <w:spacing w:after="0"/>
              <w:rPr>
                <w:sz w:val="17"/>
                <w:szCs w:val="17"/>
                <w:color w:val="auto"/>
              </w:rPr>
            </w:pPr>
          </w:p>
        </w:tc>
        <w:tc>
          <w:tcPr>
            <w:tcW w:w="430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9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Outstanding as of January 1, 2017</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41,924</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96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E5FF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Outstanding as of March 31, 2017</w:t>
            </w:r>
          </w:p>
        </w:tc>
        <w:tc>
          <w:tcPr>
            <w:tcW w:w="9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6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6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40" w:type="dxa"/>
            <w:vAlign w:val="bottom"/>
            <w:gridSpan w:val="3"/>
          </w:tcPr>
          <w:p>
            <w:pPr>
              <w:ind w:left="660"/>
              <w:spacing w:after="0"/>
              <w:rPr>
                <w:sz w:val="20"/>
                <w:szCs w:val="20"/>
                <w:color w:val="auto"/>
              </w:rPr>
            </w:pPr>
            <w:r>
              <w:rPr>
                <w:rFonts w:ascii="Arial" w:cs="Arial" w:eastAsia="Arial" w:hAnsi="Arial"/>
                <w:sz w:val="18"/>
                <w:szCs w:val="18"/>
                <w:color w:val="auto"/>
              </w:rPr>
              <w:t>F-18</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580" w:type="dxa"/>
            <w:vAlign w:val="bottom"/>
            <w:tcBorders>
              <w:bottom w:val="single" w:sz="8" w:color="C0C0C0"/>
            </w:tcBorders>
          </w:tcPr>
          <w:p>
            <w:pPr>
              <w:spacing w:after="0"/>
              <w:rPr>
                <w:sz w:val="21"/>
                <w:szCs w:val="21"/>
                <w:color w:val="auto"/>
              </w:rPr>
            </w:pPr>
          </w:p>
        </w:tc>
        <w:tc>
          <w:tcPr>
            <w:tcW w:w="4300" w:type="dxa"/>
            <w:vAlign w:val="bottom"/>
            <w:tcBorders>
              <w:bottom w:val="single" w:sz="8" w:color="C0C0C0"/>
            </w:tcBorders>
          </w:tcPr>
          <w:p>
            <w:pPr>
              <w:spacing w:after="0"/>
              <w:rPr>
                <w:sz w:val="21"/>
                <w:szCs w:val="21"/>
                <w:color w:val="auto"/>
              </w:rPr>
            </w:pPr>
          </w:p>
        </w:tc>
        <w:tc>
          <w:tcPr>
            <w:tcW w:w="96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0" w:gutter="0" w:footer="0" w:header="0"/>
          <w:type w:val="continuous"/>
        </w:sectPr>
      </w:pPr>
    </w:p>
    <w:bookmarkStart w:id="43" w:name="page44"/>
    <w:bookmarkEnd w:id="43"/>
    <w:p>
      <w:pPr>
        <w:ind w:right="40" w:firstLine="324"/>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three months ended March 31, 2017 was $1,012 (for the three months ended March 31, 2016: $763). The total accrued cash distribution as of March 31, 2017 is $436 (December 31, 2016: $353) and is included under “Other non-current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Earnings/(losses) per Share (“EPS”)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Basic earnings/(losses) per share was calculated by dividing the net profit for the period attributable to the owners of the common shares by the weighted average number of common shares issued and outstanding during the period.</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Diluted earnings/(losses) per share is calculated by dividing the profit for the period attributable to the owners of the Group by the weighted average</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number of all potential ordinary shares assumed to have been converted into common shares, unless such potential ordinary shares have an antidilutive effect.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33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48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March 31, 2016</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March 31, 2017</w:t>
            </w:r>
          </w:p>
        </w:tc>
      </w:tr>
      <w:tr>
        <w:trPr>
          <w:trHeight w:val="210"/>
        </w:trPr>
        <w:tc>
          <w:tcPr>
            <w:tcW w:w="7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(loss)/earnings per share</w:t>
            </w:r>
          </w:p>
        </w:tc>
        <w:tc>
          <w:tcPr>
            <w:tcW w:w="1420" w:type="dxa"/>
            <w:vAlign w:val="bottom"/>
            <w:tcBorders>
              <w:top w:val="single" w:sz="8" w:color="auto"/>
            </w:tcBorders>
            <w:shd w:val="clear" w:color="auto" w:fill="E5FFFF"/>
          </w:tcPr>
          <w:p>
            <w:pPr>
              <w:spacing w:after="0"/>
              <w:rPr>
                <w:sz w:val="18"/>
                <w:szCs w:val="18"/>
                <w:color w:val="auto"/>
              </w:rPr>
            </w:pPr>
          </w:p>
        </w:tc>
        <w:tc>
          <w:tcPr>
            <w:tcW w:w="42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(Loss)/profit for the period attributable to owners of the Group</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(15,898)</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8,752</w:t>
            </w:r>
          </w:p>
        </w:tc>
      </w:tr>
      <w:tr>
        <w:trPr>
          <w:trHeight w:val="216"/>
        </w:trPr>
        <w:tc>
          <w:tcPr>
            <w:tcW w:w="7480" w:type="dxa"/>
            <w:vAlign w:val="bottom"/>
            <w:shd w:val="clear" w:color="auto" w:fill="E5FFFF"/>
          </w:tcPr>
          <w:p>
            <w:pPr>
              <w:spacing w:after="0"/>
              <w:rPr>
                <w:sz w:val="20"/>
                <w:szCs w:val="20"/>
                <w:color w:val="auto"/>
              </w:rPr>
            </w:pPr>
            <w:r>
              <w:rPr>
                <w:rFonts w:ascii="Arial" w:cs="Arial" w:eastAsia="Arial" w:hAnsi="Arial"/>
                <w:sz w:val="18"/>
                <w:szCs w:val="18"/>
                <w:color w:val="auto"/>
              </w:rPr>
              <w:t>Less:</w:t>
            </w:r>
          </w:p>
        </w:tc>
        <w:tc>
          <w:tcPr>
            <w:tcW w:w="14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Dividend on preference shares</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(2,515)</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(2,516)</w:t>
            </w:r>
          </w:p>
        </w:tc>
      </w:tr>
      <w:tr>
        <w:trPr>
          <w:trHeight w:val="210"/>
        </w:trPr>
        <w:tc>
          <w:tcPr>
            <w:tcW w:w="7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(Loss)/profit for the period available to owners of the Group</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(18,413</w:t>
            </w:r>
          </w:p>
        </w:tc>
        <w:tc>
          <w:tcPr>
            <w:tcW w:w="420" w:type="dxa"/>
            <w:vAlign w:val="bottom"/>
            <w:tcBorders>
              <w:top w:val="single" w:sz="8" w:color="E5FFFF"/>
            </w:tcBorders>
            <w:shd w:val="clear" w:color="auto" w:fill="E5FFFF"/>
          </w:tcPr>
          <w:p>
            <w:pPr>
              <w:jc w:val="right"/>
              <w:ind w:right="280"/>
              <w:spacing w:after="0"/>
              <w:rPr>
                <w:sz w:val="20"/>
                <w:szCs w:val="20"/>
                <w:color w:val="auto"/>
              </w:rPr>
            </w:pPr>
            <w:r>
              <w:rPr>
                <w:rFonts w:ascii="Arial" w:cs="Arial" w:eastAsia="Arial" w:hAnsi="Arial"/>
                <w:sz w:val="16"/>
                <w:szCs w:val="16"/>
                <w:color w:val="auto"/>
                <w:w w:val="74"/>
              </w:rPr>
              <w:t>)</w:t>
            </w: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74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20" w:type="dxa"/>
            <w:vAlign w:val="bottom"/>
            <w:tcBorders>
              <w:bottom w:val="single" w:sz="8" w:color="E5FF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80,561,353</w:t>
            </w:r>
          </w:p>
        </w:tc>
        <w:tc>
          <w:tcPr>
            <w:tcW w:w="100" w:type="dxa"/>
            <w:vAlign w:val="bottom"/>
            <w:tcBorders>
              <w:bottom w:val="single" w:sz="8" w:color="E5FFFF"/>
            </w:tcBorders>
          </w:tcPr>
          <w:p>
            <w:pPr>
              <w:spacing w:after="0"/>
              <w:rPr>
                <w:sz w:val="18"/>
                <w:szCs w:val="18"/>
                <w:color w:val="auto"/>
              </w:rPr>
            </w:pPr>
          </w:p>
        </w:tc>
      </w:tr>
      <w:tr>
        <w:trPr>
          <w:trHeight w:val="210"/>
        </w:trPr>
        <w:tc>
          <w:tcPr>
            <w:tcW w:w="74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(loss)/earnings per share</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p>
        </w:tc>
        <w:tc>
          <w:tcPr>
            <w:tcW w:w="420" w:type="dxa"/>
            <w:vAlign w:val="bottom"/>
            <w:shd w:val="clear" w:color="auto" w:fill="E5FFFF"/>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E5FFFF"/>
          </w:tcPr>
          <w:p>
            <w:pPr>
              <w:spacing w:after="0"/>
              <w:rPr>
                <w:sz w:val="18"/>
                <w:szCs w:val="18"/>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Diluted (loss)/earnings per share</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(Loss)/profit for the period available to owners of the Group used in the calculation of diluted</w:t>
            </w:r>
          </w:p>
        </w:tc>
        <w:tc>
          <w:tcPr>
            <w:tcW w:w="14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74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earnings per share</w:t>
            </w:r>
          </w:p>
        </w:tc>
        <w:tc>
          <w:tcPr>
            <w:tcW w:w="184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(18,413)</w:t>
            </w:r>
          </w:p>
        </w:tc>
        <w:tc>
          <w:tcPr>
            <w:tcW w:w="15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6,236</w:t>
            </w: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80,561,353</w:t>
            </w:r>
          </w:p>
        </w:tc>
        <w:tc>
          <w:tcPr>
            <w:tcW w:w="100" w:type="dxa"/>
            <w:vAlign w:val="bottom"/>
          </w:tcPr>
          <w:p>
            <w:pPr>
              <w:spacing w:after="0"/>
              <w:rPr>
                <w:sz w:val="18"/>
                <w:szCs w:val="18"/>
                <w:color w:val="auto"/>
              </w:rPr>
            </w:pPr>
          </w:p>
        </w:tc>
      </w:tr>
      <w:tr>
        <w:trPr>
          <w:trHeight w:val="230"/>
        </w:trPr>
        <w:tc>
          <w:tcPr>
            <w:tcW w:w="748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8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588,071</w:t>
            </w:r>
          </w:p>
        </w:tc>
      </w:tr>
      <w:tr>
        <w:trPr>
          <w:trHeight w:val="210"/>
        </w:trPr>
        <w:tc>
          <w:tcPr>
            <w:tcW w:w="74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20" w:type="dxa"/>
            <w:vAlign w:val="bottom"/>
            <w:tcBorders>
              <w:bottom w:val="single" w:sz="8" w:color="E5FF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81,149,424</w:t>
            </w:r>
          </w:p>
        </w:tc>
        <w:tc>
          <w:tcPr>
            <w:tcW w:w="100" w:type="dxa"/>
            <w:vAlign w:val="bottom"/>
            <w:tcBorders>
              <w:bottom w:val="single" w:sz="8" w:color="E5FFFF"/>
            </w:tcBorders>
          </w:tcPr>
          <w:p>
            <w:pPr>
              <w:spacing w:after="0"/>
              <w:rPr>
                <w:sz w:val="18"/>
                <w:szCs w:val="18"/>
                <w:color w:val="auto"/>
              </w:rPr>
            </w:pPr>
          </w:p>
        </w:tc>
      </w:tr>
      <w:tr>
        <w:trPr>
          <w:trHeight w:val="210"/>
        </w:trPr>
        <w:tc>
          <w:tcPr>
            <w:tcW w:w="74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(loss)/earnings per share</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p>
        </w:tc>
        <w:tc>
          <w:tcPr>
            <w:tcW w:w="420" w:type="dxa"/>
            <w:vAlign w:val="bottom"/>
            <w:shd w:val="clear" w:color="auto" w:fill="E5FFFF"/>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1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E5FFFF"/>
          </w:tcPr>
          <w:p>
            <w:pPr>
              <w:spacing w:after="0"/>
              <w:rPr>
                <w:sz w:val="18"/>
                <w:szCs w:val="18"/>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Group excluded the dilutive effect of 575,622 SARs in calculating diluted EPS for the three months ended March 31, 2017, as they were anti-dilutive (March 31, 2016: 872,836 SARs and 216,628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April 5, 2017, Gaslog prepaid $150,000 of the junior tranche of the Five Vessel Refinancing, which would have been originally due in April 2018, following a notice of prepayment issued by the respective subsidiaries on March 24, 2017.</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On April 28, 2017, GasLog signed an amendment of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seasonal time charter agreement, pursuant to which the seasonal charter of the vessel was replaced by a continuous time charter for a duration of 2.4 years ending in August 2019. The amended continuous charter will cover the same number of fixed days as the previous seasonal charter and will eliminate redelivery risk at the beginning and end of each seasonal period. In addition, the amended charter will provide assurance of revenue through August 2019.</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On May 3, 2017, GasLog completed the sale of 100% of the ownership interest in GAS-eleven Ltd., the entity which owns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to GasLog Partners, for an aggregate purchase price of $219,000, including $1,000 of positive net working capital.</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May 4, 2017, the board of directors declared a quarterly cash dividend of $0.14 per common share payable on May 25, 2017 to shareholders of record as of May 15,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1"/>
    </w:lvl>
    <w:lvl w:ilvl="1">
      <w:lvlJc w:val="left"/>
      <w:lvlText w:val="(%2)"/>
      <w:numFmt w:val="lowerLetter"/>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4"/>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2019-12-07T16:52:13Z</dcterms:created>
  <dcterms:modified xsi:type="dcterms:W3CDTF">2019-12-07T16:52:13Z</dcterms:modified>
</cp:coreProperties>
</file>