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T-1</w:t>
      </w:r>
    </w:p>
    <w:p>
      <w:pPr>
        <w:spacing w:after="0" w:line="237" w:lineRule="exact"/>
        <w:rPr>
          <w:sz w:val="24"/>
          <w:szCs w:val="24"/>
          <w:color w:val="auto"/>
        </w:rPr>
      </w:pPr>
    </w:p>
    <w:p>
      <w:pPr>
        <w:jc w:val="center"/>
        <w:ind w:left="260" w:right="2580"/>
        <w:spacing w:after="0" w:line="267" w:lineRule="auto"/>
        <w:rPr>
          <w:sz w:val="20"/>
          <w:szCs w:val="20"/>
          <w:color w:val="auto"/>
        </w:rPr>
      </w:pPr>
      <w:r>
        <w:rPr>
          <w:rFonts w:ascii="Times New Roman" w:cs="Times New Roman" w:eastAsia="Times New Roman" w:hAnsi="Times New Roman"/>
          <w:sz w:val="25"/>
          <w:szCs w:val="25"/>
          <w:b w:val="1"/>
          <w:bCs w:val="1"/>
          <w:color w:val="auto"/>
        </w:rPr>
        <w:t>STATEMENT OF ELIGIBILITY UNDER THE TRUST INDENTURE ACT OF 1939 OF A CORPORATION DESIGNATED TO ACT AS TRUSTEE</w:t>
      </w:r>
    </w:p>
    <w:p>
      <w:pPr>
        <w:spacing w:after="0" w:line="253" w:lineRule="exact"/>
        <w:rPr>
          <w:sz w:val="24"/>
          <w:szCs w:val="24"/>
          <w:color w:val="auto"/>
        </w:rPr>
      </w:pPr>
    </w:p>
    <w:p>
      <w:pPr>
        <w:ind w:left="2540" w:hanging="220"/>
        <w:spacing w:after="0"/>
        <w:tabs>
          <w:tab w:leader="none" w:pos="2540" w:val="left"/>
        </w:tabs>
        <w:numPr>
          <w:ilvl w:val="0"/>
          <w:numId w:val="1"/>
        </w:numPr>
        <w:rPr>
          <w:rFonts w:ascii="Webdings" w:cs="Webdings" w:eastAsia="Webdings" w:hAnsi="Webdings"/>
          <w:sz w:val="18"/>
          <w:szCs w:val="18"/>
          <w:b w:val="1"/>
          <w:bCs w:val="1"/>
          <w:color w:val="auto"/>
        </w:rPr>
      </w:pPr>
      <w:r>
        <w:rPr>
          <w:rFonts w:ascii="Times New Roman" w:cs="Times New Roman" w:eastAsia="Times New Roman" w:hAnsi="Times New Roman"/>
          <w:sz w:val="18"/>
          <w:szCs w:val="18"/>
          <w:color w:val="auto"/>
        </w:rPr>
        <w:t>Check if an Application to Determine Eligibility of a Trustee Pursuant to Section 305(b)(2)</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AMERICAN STOCK TRANSFER &amp; TRUST COMPANY,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trustee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7"/>
              </w:rPr>
              <w:t>New York</w:t>
            </w:r>
          </w:p>
        </w:tc>
        <w:tc>
          <w:tcPr>
            <w:tcW w:w="5520" w:type="dxa"/>
            <w:vAlign w:val="bottom"/>
            <w:tcBorders>
              <w:bottom w:val="single" w:sz="8" w:color="auto"/>
            </w:tcBorders>
          </w:tcPr>
          <w:p>
            <w:pPr>
              <w:jc w:val="right"/>
              <w:ind w:right="2150"/>
              <w:spacing w:after="0"/>
              <w:rPr>
                <w:sz w:val="20"/>
                <w:szCs w:val="20"/>
                <w:color w:val="auto"/>
              </w:rPr>
            </w:pPr>
            <w:r>
              <w:rPr>
                <w:rFonts w:ascii="Times New Roman" w:cs="Times New Roman" w:eastAsia="Times New Roman" w:hAnsi="Times New Roman"/>
                <w:sz w:val="18"/>
                <w:szCs w:val="18"/>
                <w:color w:val="auto"/>
              </w:rPr>
              <w:t>13-3439945</w:t>
            </w:r>
          </w:p>
        </w:tc>
      </w:tr>
      <w:tr>
        <w:trPr>
          <w:trHeight w:val="191"/>
        </w:trPr>
        <w:tc>
          <w:tcPr>
            <w:tcW w:w="5900" w:type="dxa"/>
            <w:vAlign w:val="bottom"/>
          </w:tcPr>
          <w:p>
            <w:pPr>
              <w:ind w:left="840"/>
              <w:spacing w:after="0" w:line="191" w:lineRule="exact"/>
              <w:rPr>
                <w:sz w:val="20"/>
                <w:szCs w:val="20"/>
                <w:color w:val="auto"/>
              </w:rPr>
            </w:pPr>
            <w:r>
              <w:rPr>
                <w:rFonts w:ascii="Times New Roman" w:cs="Times New Roman" w:eastAsia="Times New Roman" w:hAnsi="Times New Roman"/>
                <w:sz w:val="18"/>
                <w:szCs w:val="18"/>
                <w:color w:val="auto"/>
              </w:rPr>
              <w:t>(State of incorporation of organization if not a U.S.</w:t>
            </w:r>
          </w:p>
        </w:tc>
        <w:tc>
          <w:tcPr>
            <w:tcW w:w="5520" w:type="dxa"/>
            <w:vAlign w:val="bottom"/>
          </w:tcPr>
          <w:p>
            <w:pPr>
              <w:ind w:left="1360"/>
              <w:spacing w:after="0" w:line="191" w:lineRule="exact"/>
              <w:rPr>
                <w:sz w:val="20"/>
                <w:szCs w:val="20"/>
                <w:color w:val="auto"/>
              </w:rPr>
            </w:pPr>
            <w:r>
              <w:rPr>
                <w:rFonts w:ascii="Times New Roman" w:cs="Times New Roman" w:eastAsia="Times New Roman" w:hAnsi="Times New Roman"/>
                <w:sz w:val="18"/>
                <w:szCs w:val="18"/>
                <w:color w:val="auto"/>
              </w:rPr>
              <w:t>(I.R.S. Employer Identification Number)</w:t>
            </w:r>
          </w:p>
        </w:tc>
      </w:tr>
      <w:tr>
        <w:trPr>
          <w:trHeight w:val="234"/>
        </w:trPr>
        <w:tc>
          <w:tcPr>
            <w:tcW w:w="59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national bank)</w:t>
            </w:r>
          </w:p>
        </w:tc>
        <w:tc>
          <w:tcPr>
            <w:tcW w:w="5520" w:type="dxa"/>
            <w:vAlign w:val="bottom"/>
          </w:tcPr>
          <w:p>
            <w:pPr>
              <w:spacing w:after="0"/>
              <w:rPr>
                <w:sz w:val="20"/>
                <w:szCs w:val="20"/>
                <w:color w:val="auto"/>
              </w:rPr>
            </w:pPr>
          </w:p>
        </w:tc>
      </w:tr>
      <w:tr>
        <w:trPr>
          <w:trHeight w:val="473"/>
        </w:trPr>
        <w:tc>
          <w:tcPr>
            <w:tcW w:w="590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7"/>
              </w:rPr>
              <w:t>6201 15</w:t>
            </w:r>
            <w:r>
              <w:rPr>
                <w:rFonts w:ascii="Times New Roman" w:cs="Times New Roman" w:eastAsia="Times New Roman" w:hAnsi="Times New Roman"/>
                <w:sz w:val="30"/>
                <w:szCs w:val="30"/>
                <w:color w:val="auto"/>
                <w:w w:val="97"/>
                <w:vertAlign w:val="superscript"/>
              </w:rPr>
              <w:t>th</w:t>
            </w:r>
            <w:r>
              <w:rPr>
                <w:rFonts w:ascii="Times New Roman" w:cs="Times New Roman" w:eastAsia="Times New Roman" w:hAnsi="Times New Roman"/>
                <w:sz w:val="18"/>
                <w:szCs w:val="18"/>
                <w:color w:val="auto"/>
                <w:w w:val="97"/>
              </w:rPr>
              <w:t xml:space="preserve"> Avenue, Brooklyn, New York</w:t>
            </w:r>
          </w:p>
        </w:tc>
        <w:tc>
          <w:tcPr>
            <w:tcW w:w="5520" w:type="dxa"/>
            <w:vAlign w:val="bottom"/>
            <w:tcBorders>
              <w:bottom w:val="single" w:sz="8" w:color="auto"/>
            </w:tcBorders>
          </w:tcPr>
          <w:p>
            <w:pPr>
              <w:jc w:val="right"/>
              <w:ind w:right="2370"/>
              <w:spacing w:after="0"/>
              <w:rPr>
                <w:sz w:val="20"/>
                <w:szCs w:val="20"/>
                <w:color w:val="auto"/>
              </w:rPr>
            </w:pPr>
            <w:r>
              <w:rPr>
                <w:rFonts w:ascii="Times New Roman" w:cs="Times New Roman" w:eastAsia="Times New Roman" w:hAnsi="Times New Roman"/>
                <w:sz w:val="18"/>
                <w:szCs w:val="18"/>
                <w:color w:val="auto"/>
              </w:rPr>
              <w:t>11219</w:t>
            </w:r>
          </w:p>
        </w:tc>
      </w:tr>
      <w:tr>
        <w:trPr>
          <w:trHeight w:val="228"/>
        </w:trPr>
        <w:tc>
          <w:tcPr>
            <w:tcW w:w="59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52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Paul H. Kim</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Stock Transfer &amp; Trust Company, LLC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6201 15th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Brooklyn, NY 11219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(718) 921-8183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obligor as specified in its character)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99"/>
              </w:rPr>
              <w:t>Bermuda</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8"/>
        </w:trPr>
        <w:tc>
          <w:tcPr>
            <w:tcW w:w="60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GasLog Monaco S.A.M.</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Gildo Pastor Center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 Rue di Gabian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MC 98000, Monaco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-130810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Debt Securities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the Indenture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50"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 General Information.</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Furnish the following information as to the trustee:</w:t>
      </w:r>
    </w:p>
    <w:p>
      <w:pPr>
        <w:spacing w:after="0" w:line="27" w:lineRule="exact"/>
        <w:rPr>
          <w:sz w:val="20"/>
          <w:szCs w:val="20"/>
          <w:color w:val="auto"/>
        </w:rPr>
      </w:pPr>
    </w:p>
    <w:p>
      <w:pPr>
        <w:ind w:left="800" w:hanging="432"/>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each examining or supervising authority to which it is subject.</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New York State Department of Financial Services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One State Street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New York, NY 10004-1511</w:t>
      </w:r>
    </w:p>
    <w:p>
      <w:pPr>
        <w:spacing w:after="0" w:line="207" w:lineRule="exact"/>
        <w:rPr>
          <w:sz w:val="20"/>
          <w:szCs w:val="20"/>
          <w:color w:val="auto"/>
        </w:rPr>
      </w:pPr>
    </w:p>
    <w:p>
      <w:pPr>
        <w:ind w:left="360" w:right="6360" w:firstLine="8"/>
        <w:spacing w:after="0" w:line="498" w:lineRule="auto"/>
        <w:tabs>
          <w:tab w:leader="none" w:pos="7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is authorized to exercise corporate trust powers. The trustee is authorized to exercise corporate trust powers.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Affiliations with Obligor.</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the obligor is an affiliate of the trustee, describe each such affiliation.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3-15.</w:t>
      </w:r>
    </w:p>
    <w:p>
      <w:pPr>
        <w:spacing w:after="0" w:line="229" w:lineRule="exact"/>
        <w:rPr>
          <w:sz w:val="20"/>
          <w:szCs w:val="20"/>
          <w:color w:val="auto"/>
        </w:rPr>
      </w:pPr>
    </w:p>
    <w:p>
      <w:pPr>
        <w:ind w:left="360" w:right="180"/>
        <w:spacing w:after="0" w:line="282" w:lineRule="auto"/>
        <w:rPr>
          <w:sz w:val="20"/>
          <w:szCs w:val="20"/>
          <w:color w:val="auto"/>
        </w:rPr>
      </w:pPr>
      <w:r>
        <w:rPr>
          <w:rFonts w:ascii="Times New Roman" w:cs="Times New Roman" w:eastAsia="Times New Roman" w:hAnsi="Times New Roman"/>
          <w:sz w:val="18"/>
          <w:szCs w:val="18"/>
          <w:color w:val="auto"/>
        </w:rPr>
        <w:t>Items 3-15 are not applicable because, to the best of the trustee’s knowledge, the obligor is not in default under any indenture for which the trustee acts as trustee.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List of Exhibits.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155" w:lineRule="exact"/>
        <w:rPr>
          <w:sz w:val="20"/>
          <w:szCs w:val="20"/>
          <w:color w:val="auto"/>
        </w:rPr>
      </w:pPr>
    </w:p>
    <w:p>
      <w:pPr>
        <w:ind w:left="360"/>
        <w:spacing w:after="0"/>
        <w:tabs>
          <w:tab w:leader="none" w:pos="110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7"/>
          <w:szCs w:val="17"/>
          <w:b w:val="1"/>
          <w:bCs w:val="1"/>
          <w:color w:val="auto"/>
        </w:rPr>
        <w:t>Exhibit Title</w:t>
      </w:r>
    </w:p>
    <w:p>
      <w:pPr>
        <w:spacing w:after="0" w:line="31" w:lineRule="exact"/>
        <w:rPr>
          <w:sz w:val="20"/>
          <w:szCs w:val="20"/>
          <w:color w:val="auto"/>
        </w:rPr>
      </w:pPr>
    </w:p>
    <w:p>
      <w:pPr>
        <w:ind w:left="1120" w:hanging="761"/>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Organization of the Trustee, as amended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-130810</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3" w:lineRule="exact"/>
        <w:rPr>
          <w:sz w:val="20"/>
          <w:szCs w:val="20"/>
          <w:color w:val="auto"/>
        </w:rPr>
      </w:pPr>
    </w:p>
    <w:p>
      <w:pPr>
        <w:ind w:left="1120" w:hanging="761"/>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Authority of the Trustee to commence business</w:t>
      </w:r>
    </w:p>
    <w:p>
      <w:pPr>
        <w:spacing w:after="0" w:line="9" w:lineRule="exact"/>
        <w:rPr>
          <w:sz w:val="20"/>
          <w:szCs w:val="20"/>
          <w:color w:val="auto"/>
        </w:rPr>
      </w:pPr>
    </w:p>
    <w:p>
      <w:pPr>
        <w:ind w:left="1120" w:hanging="761"/>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Liability Trust Company Agreement of the Trustee</w:t>
      </w:r>
    </w:p>
    <w:p>
      <w:pPr>
        <w:spacing w:after="0" w:line="9" w:lineRule="exact"/>
        <w:rPr>
          <w:sz w:val="20"/>
          <w:szCs w:val="20"/>
          <w:color w:val="auto"/>
        </w:rPr>
      </w:pPr>
    </w:p>
    <w:p>
      <w:pPr>
        <w:ind w:left="1120" w:hanging="7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Trust Indenture Act of 1939</w:t>
      </w:r>
    </w:p>
    <w:p>
      <w:pPr>
        <w:spacing w:after="0" w:line="9" w:lineRule="exact"/>
        <w:rPr>
          <w:sz w:val="20"/>
          <w:szCs w:val="20"/>
          <w:color w:val="auto"/>
        </w:rPr>
      </w:pPr>
    </w:p>
    <w:p>
      <w:pPr>
        <w:ind w:left="1120" w:hanging="761"/>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latest report of condition of the Trustee published pursuant to law or the requirements of its supervising or examining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the trustee, American Stock Transfer &amp; Trust Company, LLC, a limited liability trust company organized and existing under the laws of the State of New York, has duly caused this statement of eligibility to be signed on its behalf by the undersigned, thereunto duly authorized, all in the City of New York, and State of New York, on the 14th day of March, 2017.</w:t>
      </w:r>
    </w:p>
    <w:p>
      <w:pPr>
        <w:spacing w:after="0" w:line="1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AMERICAN STOCK TRANSFER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&amp; TRUST COMPANY, LLC</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Paul H. Kim</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-130810</wp:posOffset>
            </wp:positionV>
            <wp:extent cx="21609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Assistant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80"/>
          </w:cols>
          <w:pgMar w:left="240" w:top="401"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ORGANIZATION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AMERICAN STOCK TRANSFER </w:t>
      </w:r>
      <w:r>
        <w:rPr>
          <w:rFonts w:ascii="Times New Roman" w:cs="Times New Roman" w:eastAsia="Times New Roman" w:hAnsi="Times New Roman"/>
          <w:sz w:val="18"/>
          <w:szCs w:val="18"/>
          <w:b w:val="1"/>
          <w:bCs w:val="1"/>
          <w:i w:val="1"/>
          <w:iCs w:val="1"/>
          <w:color w:val="auto"/>
        </w:rPr>
        <w:t>&amp;</w:t>
      </w:r>
      <w:r>
        <w:rPr>
          <w:rFonts w:ascii="Times New Roman" w:cs="Times New Roman" w:eastAsia="Times New Roman" w:hAnsi="Times New Roman"/>
          <w:sz w:val="18"/>
          <w:szCs w:val="18"/>
          <w:b w:val="1"/>
          <w:bCs w:val="1"/>
          <w:color w:val="auto"/>
        </w:rPr>
        <w:t xml:space="preserve"> TRUST COMPANY, LLC</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the undersigned, all being of full age, four of us being citizens of the United States, having associated ourselves together for the purposes of forming a limited liability trust company under and pursuant to the Banking Law of the State of New York, do hereby certify the following:</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First.</w:t>
      </w:r>
      <w:r>
        <w:rPr>
          <w:sz w:val="20"/>
          <w:szCs w:val="20"/>
          <w:color w:val="auto"/>
        </w:rPr>
        <w:tab/>
      </w:r>
      <w:r>
        <w:rPr>
          <w:rFonts w:ascii="Times New Roman" w:cs="Times New Roman" w:eastAsia="Times New Roman" w:hAnsi="Times New Roman"/>
          <w:sz w:val="18"/>
          <w:szCs w:val="18"/>
          <w:color w:val="auto"/>
        </w:rPr>
        <w:t>The name by which the limited liability trust company is to be known is American Stock Transfer &amp; Trust Company, LLC.</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Second.</w:t>
      </w:r>
      <w:r>
        <w:rPr>
          <w:sz w:val="20"/>
          <w:szCs w:val="20"/>
          <w:color w:val="auto"/>
        </w:rPr>
        <w:tab/>
      </w:r>
      <w:r>
        <w:rPr>
          <w:rFonts w:ascii="Times New Roman" w:cs="Times New Roman" w:eastAsia="Times New Roman" w:hAnsi="Times New Roman"/>
          <w:sz w:val="18"/>
          <w:szCs w:val="18"/>
          <w:color w:val="auto"/>
        </w:rPr>
        <w:t>The place where its principal office is to be located is 59 Maiden Lane, Borough of Manhattan, City, County, and State of New York.</w:t>
      </w:r>
    </w:p>
    <w:p>
      <w:pPr>
        <w:spacing w:after="0" w:line="225" w:lineRule="exact"/>
        <w:rPr>
          <w:sz w:val="20"/>
          <w:szCs w:val="20"/>
          <w:color w:val="auto"/>
        </w:rPr>
      </w:pPr>
    </w:p>
    <w:p>
      <w:pPr>
        <w:ind w:left="920" w:right="140" w:hanging="919"/>
        <w:spacing w:after="0" w:line="282"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Third.</w:t>
      </w:r>
      <w:r>
        <w:rPr>
          <w:sz w:val="20"/>
          <w:szCs w:val="20"/>
          <w:color w:val="auto"/>
        </w:rPr>
        <w:tab/>
      </w:r>
      <w:r>
        <w:rPr>
          <w:rFonts w:ascii="Times New Roman" w:cs="Times New Roman" w:eastAsia="Times New Roman" w:hAnsi="Times New Roman"/>
          <w:sz w:val="18"/>
          <w:szCs w:val="18"/>
          <w:color w:val="auto"/>
        </w:rPr>
        <w:t>The amount of its capital contributions is to be Five Million Dollars ($5,000,000), and the number of units into which such capital contributions are to be divided is five million (5,000,000) units with a par value of $1.00 each.</w:t>
      </w:r>
    </w:p>
    <w:p>
      <w:pPr>
        <w:spacing w:after="0" w:line="162" w:lineRule="exact"/>
        <w:rPr>
          <w:sz w:val="20"/>
          <w:szCs w:val="20"/>
          <w:color w:val="auto"/>
        </w:rPr>
      </w:pPr>
    </w:p>
    <w:p>
      <w:pPr>
        <w:ind w:left="920" w:right="460" w:hanging="919"/>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Fourth.</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will not have classes or groups of members, therefore there is only one class of members. Each member shall share the same relative rights, powers, preferences, limitations, and voting powers.</w:t>
      </w:r>
    </w:p>
    <w:p>
      <w:pPr>
        <w:spacing w:after="0" w:line="15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Fifth.</w:t>
      </w:r>
      <w:r>
        <w:rPr>
          <w:sz w:val="20"/>
          <w:szCs w:val="20"/>
          <w:color w:val="auto"/>
        </w:rPr>
        <w:tab/>
      </w:r>
      <w:r>
        <w:rPr>
          <w:rFonts w:ascii="Times New Roman" w:cs="Times New Roman" w:eastAsia="Times New Roman" w:hAnsi="Times New Roman"/>
          <w:sz w:val="18"/>
          <w:szCs w:val="18"/>
          <w:color w:val="auto"/>
        </w:rPr>
        <w:t>The name, place of residence, and citizenship of each organizer are as follows: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Residence</w:t>
            </w: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91"/>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George Karfunkel</w:t>
            </w:r>
          </w:p>
        </w:tc>
        <w:tc>
          <w:tcPr>
            <w:tcW w:w="36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Brooklyn, NY, USA</w:t>
            </w:r>
          </w:p>
        </w:tc>
        <w:tc>
          <w:tcPr>
            <w:tcW w:w="340" w:type="dxa"/>
            <w:vAlign w:val="bottom"/>
          </w:tcPr>
          <w:p>
            <w:pPr>
              <w:spacing w:after="0"/>
              <w:rPr>
                <w:sz w:val="16"/>
                <w:szCs w:val="16"/>
                <w:color w:val="auto"/>
              </w:rPr>
            </w:pPr>
          </w:p>
        </w:tc>
        <w:tc>
          <w:tcPr>
            <w:tcW w:w="2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USA</w:t>
            </w:r>
          </w:p>
        </w:tc>
      </w:tr>
      <w:tr>
        <w:trPr>
          <w:trHeight w:val="21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Karfunkel</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Brooklyn, NY, USA</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r>
      <w:tr>
        <w:trPr>
          <w:trHeight w:val="21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Cameron Blanks</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Cremorne Point, Australia</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Timothy J. Sims</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Terrey Hills, Australia</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J. McCullagh</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Tamarama, Australia</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John O’Brien</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Bondi Beach, Australia</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r>
      <w:tr>
        <w:trPr>
          <w:trHeight w:val="234"/>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Jay F. Krehbiel</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Darling Point, Australia</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r>
    </w:tbl>
    <w:p>
      <w:pPr>
        <w:spacing w:after="0" w:line="1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Sixth.</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of existence of the trust company is to be until December 31, 2030, unless the interest holders agree to extend such date.</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Seventh.</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number</w:t>
      </w:r>
      <w:r>
        <w:rPr>
          <w:rFonts w:ascii="Times New Roman" w:cs="Times New Roman" w:eastAsia="Times New Roman" w:hAnsi="Times New Roman"/>
          <w:sz w:val="18"/>
          <w:szCs w:val="18"/>
          <w:color w:val="auto"/>
        </w:rPr>
        <w:t xml:space="preserve"> of managers of the company is to be not less than seven nor more than fifteen.</w:t>
      </w:r>
    </w:p>
    <w:p>
      <w:pPr>
        <w:spacing w:after="0" w:line="225" w:lineRule="exact"/>
        <w:rPr>
          <w:sz w:val="20"/>
          <w:szCs w:val="20"/>
          <w:color w:val="auto"/>
        </w:rPr>
      </w:pPr>
    </w:p>
    <w:p>
      <w:pPr>
        <w:ind w:left="920" w:right="600" w:hanging="919"/>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Eighth.</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names</w:t>
      </w:r>
      <w:r>
        <w:rPr>
          <w:rFonts w:ascii="Times New Roman" w:cs="Times New Roman" w:eastAsia="Times New Roman" w:hAnsi="Times New Roman"/>
          <w:sz w:val="18"/>
          <w:szCs w:val="18"/>
          <w:color w:val="auto"/>
        </w:rPr>
        <w:t xml:space="preserve"> of the organizers who shall manage the company until the first annual meeting of members are as follows: George Karfunkel, Michael Karfunkel, Cameron Blanks, Timothy J. Sims, Paul J. McCullagh, Joseph John O’Brien, and Jay F. Krehbiel.</w:t>
      </w:r>
    </w:p>
    <w:p>
      <w:pPr>
        <w:spacing w:after="0" w:line="155" w:lineRule="exact"/>
        <w:rPr>
          <w:sz w:val="20"/>
          <w:szCs w:val="20"/>
          <w:color w:val="auto"/>
        </w:rPr>
      </w:pPr>
    </w:p>
    <w:p>
      <w:pPr>
        <w:jc w:val="both"/>
        <w:ind w:left="920" w:right="160" w:hanging="919"/>
        <w:spacing w:after="0" w:line="268"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Ninth.</w:t>
      </w:r>
      <w:r>
        <w:rPr>
          <w:sz w:val="20"/>
          <w:szCs w:val="20"/>
          <w:color w:val="auto"/>
        </w:rPr>
        <w:tab/>
      </w:r>
      <w:r>
        <w:rPr>
          <w:rFonts w:ascii="Times New Roman" w:cs="Times New Roman" w:eastAsia="Times New Roman" w:hAnsi="Times New Roman"/>
          <w:sz w:val="18"/>
          <w:szCs w:val="18"/>
          <w:color w:val="auto"/>
        </w:rPr>
        <w:t xml:space="preserve">The limited liability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company is to exercise the powers conferred by Section 100 of the Banking Law. The limited liability trust company shall neither accept deposits nor make loans except for deposits and loans arising directly from the exercise of the fiduciary powers specified in Section 100 of the Banking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68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w w:val="99"/>
              </w:rPr>
              <w:t>IN WITNESS WHEREOF, We have made, signed, and acknowledged this certificate in duplicate this</w:t>
            </w:r>
          </w:p>
        </w:tc>
        <w:tc>
          <w:tcPr>
            <w:tcW w:w="540" w:type="dxa"/>
            <w:vAlign w:val="bottom"/>
            <w:tcBorders>
              <w:bottom w:val="single" w:sz="8" w:color="auto"/>
            </w:tcBorders>
          </w:tcPr>
          <w:p>
            <w:pPr>
              <w:spacing w:after="0"/>
              <w:rPr>
                <w:sz w:val="17"/>
                <w:szCs w:val="17"/>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day of March 2008.</w:t>
            </w:r>
          </w:p>
        </w:tc>
      </w:tr>
      <w:tr>
        <w:trPr>
          <w:trHeight w:val="453"/>
        </w:trPr>
        <w:tc>
          <w:tcPr>
            <w:tcW w:w="340" w:type="dxa"/>
            <w:vAlign w:val="bottom"/>
          </w:tcPr>
          <w:p>
            <w:pPr>
              <w:spacing w:after="0"/>
              <w:rPr>
                <w:sz w:val="24"/>
                <w:szCs w:val="24"/>
                <w:color w:val="auto"/>
              </w:rPr>
            </w:pPr>
          </w:p>
        </w:tc>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 George Karfunkel</w:t>
            </w:r>
          </w:p>
        </w:tc>
        <w:tc>
          <w:tcPr>
            <w:tcW w:w="5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28"/>
        </w:trPr>
        <w:tc>
          <w:tcPr>
            <w:tcW w:w="340" w:type="dxa"/>
            <w:vAlign w:val="bottom"/>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George Karfunkel</w:t>
            </w:r>
          </w:p>
        </w:tc>
        <w:tc>
          <w:tcPr>
            <w:tcW w:w="3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Paul J. McCullagh</w:t>
            </w:r>
          </w:p>
        </w:tc>
        <w:tc>
          <w:tcPr>
            <w:tcW w:w="54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r>
      <w:tr>
        <w:trPr>
          <w:trHeight w:val="414"/>
        </w:trPr>
        <w:tc>
          <w:tcPr>
            <w:tcW w:w="340" w:type="dxa"/>
            <w:vAlign w:val="bottom"/>
          </w:tcPr>
          <w:p>
            <w:pPr>
              <w:spacing w:after="0"/>
              <w:rPr>
                <w:sz w:val="24"/>
                <w:szCs w:val="24"/>
                <w:color w:val="auto"/>
              </w:rPr>
            </w:pPr>
          </w:p>
        </w:tc>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 Michael Karfunkel</w:t>
            </w:r>
          </w:p>
        </w:tc>
        <w:tc>
          <w:tcPr>
            <w:tcW w:w="5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28"/>
        </w:trPr>
        <w:tc>
          <w:tcPr>
            <w:tcW w:w="340" w:type="dxa"/>
            <w:vAlign w:val="bottom"/>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Karfunkel</w:t>
            </w:r>
          </w:p>
        </w:tc>
        <w:tc>
          <w:tcPr>
            <w:tcW w:w="3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Joseph John O’Brien</w:t>
            </w:r>
          </w:p>
        </w:tc>
        <w:tc>
          <w:tcPr>
            <w:tcW w:w="54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r>
      <w:tr>
        <w:trPr>
          <w:trHeight w:val="198"/>
        </w:trPr>
        <w:tc>
          <w:tcPr>
            <w:tcW w:w="34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r>
      <w:tr>
        <w:trPr>
          <w:trHeight w:val="228"/>
        </w:trPr>
        <w:tc>
          <w:tcPr>
            <w:tcW w:w="34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Cameron Blanks</w:t>
            </w:r>
          </w:p>
        </w:tc>
        <w:tc>
          <w:tcPr>
            <w:tcW w:w="3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F. Krehbiel</w:t>
            </w:r>
          </w:p>
        </w:tc>
        <w:tc>
          <w:tcPr>
            <w:tcW w:w="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198"/>
        </w:trPr>
        <w:tc>
          <w:tcPr>
            <w:tcW w:w="34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28"/>
        </w:trPr>
        <w:tc>
          <w:tcPr>
            <w:tcW w:w="340" w:type="dxa"/>
            <w:vAlign w:val="bottom"/>
          </w:tcPr>
          <w:p>
            <w:pPr>
              <w:spacing w:after="0"/>
              <w:rPr>
                <w:sz w:val="19"/>
                <w:szCs w:val="19"/>
                <w:color w:val="auto"/>
              </w:rPr>
            </w:pPr>
          </w:p>
        </w:tc>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Timothy J. Sims</w:t>
            </w:r>
          </w:p>
        </w:tc>
        <w:tc>
          <w:tcPr>
            <w:tcW w:w="3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14"/>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NOTARY:</w:t>
            </w:r>
          </w:p>
        </w:tc>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4"/>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of NY</w:t>
            </w: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ss.:</w:t>
            </w:r>
          </w:p>
        </w:tc>
        <w:tc>
          <w:tcPr>
            <w:tcW w:w="5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4"/>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County of Kings</w:t>
            </w: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this 28</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March, 2008 personally appeared before 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78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Karfunkel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me known to be the persons described in and who executed the foregoing certificate, and severally acknowledged that they executed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780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color w:val="auto"/>
        </w:rPr>
        <w:t>/s/ Anthony J. Foti</w:t>
      </w:r>
    </w:p>
    <w:p>
      <w:pPr>
        <w:spacing w:after="0" w:line="27"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color w:val="auto"/>
        </w:rPr>
        <w:t>Anthony J. Foti</w:t>
      </w:r>
    </w:p>
    <w:p>
      <w:pPr>
        <w:spacing w:after="0" w:line="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color w:val="auto"/>
        </w:rPr>
        <w:t>Notary Public, State of New York</w:t>
      </w:r>
    </w:p>
    <w:p>
      <w:pPr>
        <w:spacing w:after="0" w:line="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color w:val="auto"/>
        </w:rPr>
        <w:t>No. 01FO6022425</w:t>
      </w:r>
    </w:p>
    <w:p>
      <w:pPr>
        <w:spacing w:after="0" w:line="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color w:val="auto"/>
        </w:rPr>
        <w:t>Qualified in Kings County</w:t>
      </w:r>
    </w:p>
    <w:p>
      <w:pPr>
        <w:spacing w:after="0" w:line="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color w:val="auto"/>
        </w:rPr>
        <w:t>Commission Expires March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520"/>
          </w:cols>
          <w:pgMar w:left="240" w:top="392" w:right="1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WITNESS WHEREOF, We have made, signed, and acknowledged this certificate in duplicate this</w:t>
            </w:r>
          </w:p>
        </w:tc>
        <w:tc>
          <w:tcPr>
            <w:tcW w:w="440" w:type="dxa"/>
            <w:vAlign w:val="bottom"/>
            <w:tcBorders>
              <w:bottom w:val="single" w:sz="8" w:color="auto"/>
            </w:tcBorders>
          </w:tcPr>
          <w:p>
            <w:pPr>
              <w:spacing w:after="0"/>
              <w:rPr>
                <w:sz w:val="17"/>
                <w:szCs w:val="17"/>
                <w:color w:val="auto"/>
              </w:rPr>
            </w:pPr>
          </w:p>
        </w:tc>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day of March 2008.</w:t>
            </w:r>
          </w:p>
        </w:tc>
        <w:tc>
          <w:tcPr>
            <w:tcW w:w="100" w:type="dxa"/>
            <w:vAlign w:val="bottom"/>
          </w:tcPr>
          <w:p>
            <w:pPr>
              <w:spacing w:after="0"/>
              <w:rPr>
                <w:sz w:val="17"/>
                <w:szCs w:val="17"/>
                <w:color w:val="auto"/>
              </w:rPr>
            </w:pPr>
          </w:p>
        </w:tc>
      </w:tr>
      <w:tr>
        <w:trPr>
          <w:trHeight w:val="453"/>
        </w:trPr>
        <w:tc>
          <w:tcPr>
            <w:tcW w:w="34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J. McCullagh</w:t>
            </w:r>
          </w:p>
        </w:tc>
        <w:tc>
          <w:tcPr>
            <w:tcW w:w="4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34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George Karfunkel</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Paul J. McCullagh</w:t>
            </w:r>
          </w:p>
        </w:tc>
        <w:tc>
          <w:tcPr>
            <w:tcW w:w="4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4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4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Michael Karfunkel</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Joseph John O’Brien</w:t>
            </w:r>
          </w:p>
        </w:tc>
        <w:tc>
          <w:tcPr>
            <w:tcW w:w="4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340" w:type="dxa"/>
            <w:vAlign w:val="bottom"/>
          </w:tcPr>
          <w:p>
            <w:pPr>
              <w:spacing w:after="0"/>
              <w:rPr>
                <w:sz w:val="24"/>
                <w:szCs w:val="24"/>
                <w:color w:val="auto"/>
              </w:rPr>
            </w:pPr>
          </w:p>
        </w:tc>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Cameron Blanks</w:t>
            </w:r>
          </w:p>
        </w:tc>
        <w:tc>
          <w:tcPr>
            <w:tcW w:w="3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F. Krehbiel</w:t>
            </w:r>
          </w:p>
        </w:tc>
        <w:tc>
          <w:tcPr>
            <w:tcW w:w="4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34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Cameron Blanks</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Jay F. Krehbiel</w:t>
            </w:r>
          </w:p>
        </w:tc>
        <w:tc>
          <w:tcPr>
            <w:tcW w:w="4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340" w:type="dxa"/>
            <w:vAlign w:val="bottom"/>
          </w:tcPr>
          <w:p>
            <w:pPr>
              <w:spacing w:after="0"/>
              <w:rPr>
                <w:sz w:val="24"/>
                <w:szCs w:val="24"/>
                <w:color w:val="auto"/>
              </w:rPr>
            </w:pPr>
          </w:p>
        </w:tc>
        <w:tc>
          <w:tcPr>
            <w:tcW w:w="1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Timothy J. Sims</w:t>
            </w:r>
          </w:p>
        </w:tc>
        <w:tc>
          <w:tcPr>
            <w:tcW w:w="3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340" w:type="dxa"/>
            <w:vAlign w:val="bottom"/>
          </w:tcPr>
          <w:p>
            <w:pPr>
              <w:spacing w:after="0"/>
              <w:rPr>
                <w:sz w:val="19"/>
                <w:szCs w:val="19"/>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Timothy J. Sims</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NOTARY:</w:t>
            </w: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of New South Wales</w:t>
            </w: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ss.:</w:t>
            </w:r>
          </w:p>
        </w:tc>
        <w:tc>
          <w:tcPr>
            <w:tcW w:w="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County of Australia</w:t>
            </w: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704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On this 27th day of March, 2008 personally appeared before me</w:t>
            </w:r>
          </w:p>
        </w:tc>
        <w:tc>
          <w:tcPr>
            <w:tcW w:w="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Cameron R. Blanks</w:t>
            </w: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J. McCullagh</w:t>
            </w:r>
          </w:p>
        </w:tc>
        <w:tc>
          <w:tcPr>
            <w:tcW w:w="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980" w:type="dxa"/>
            <w:vAlign w:val="bottom"/>
            <w:tcBorders>
              <w:bottom w:val="single" w:sz="8" w:color="auto"/>
            </w:tcBorders>
            <w:gridSpan w:val="2"/>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42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J. Sims</w:t>
            </w: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F. Krehbiel</w:t>
            </w:r>
          </w:p>
        </w:tc>
        <w:tc>
          <w:tcPr>
            <w:tcW w:w="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740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me known to be the persons described in and who executed the foregoing certificate, and severally acknowledged that they executed the same.</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Brendan Anthony Bateman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Brendan Anthony Bateman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20"/>
          </w:cols>
          <w:pgMar w:left="240" w:top="392" w:right="10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WITNESS WHEREOF, We have made, signed, and acknowledged this certificate in duplicate this</w:t>
            </w:r>
          </w:p>
        </w:tc>
        <w:tc>
          <w:tcPr>
            <w:tcW w:w="440" w:type="dxa"/>
            <w:vAlign w:val="bottom"/>
            <w:tcBorders>
              <w:bottom w:val="single" w:sz="8" w:color="auto"/>
            </w:tcBorders>
          </w:tcPr>
          <w:p>
            <w:pPr>
              <w:spacing w:after="0"/>
              <w:rPr>
                <w:sz w:val="17"/>
                <w:szCs w:val="17"/>
                <w:color w:val="auto"/>
              </w:rPr>
            </w:pPr>
          </w:p>
        </w:tc>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day of March 2008.</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p>
        </w:tc>
        <w:tc>
          <w:tcPr>
            <w:tcW w:w="340" w:type="dxa"/>
            <w:vAlign w:val="bottom"/>
            <w:vMerge w:val="restart"/>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George Karfunkel</w:t>
            </w:r>
          </w:p>
        </w:tc>
        <w:tc>
          <w:tcPr>
            <w:tcW w:w="340" w:type="dxa"/>
            <w:vAlign w:val="bottom"/>
            <w:vMerge w:val="continue"/>
          </w:tcPr>
          <w:p>
            <w:pPr>
              <w:spacing w:after="0"/>
              <w:rPr>
                <w:sz w:val="19"/>
                <w:szCs w:val="19"/>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Paul J. McCullagh</w:t>
            </w:r>
          </w:p>
        </w:tc>
        <w:tc>
          <w:tcPr>
            <w:tcW w:w="4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John O’Brien</w:t>
            </w:r>
          </w:p>
        </w:tc>
        <w:tc>
          <w:tcPr>
            <w:tcW w:w="4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Michael Karfunkel</w:t>
            </w:r>
          </w:p>
        </w:tc>
        <w:tc>
          <w:tcPr>
            <w:tcW w:w="34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Joseph John O’Brien</w:t>
            </w:r>
          </w:p>
        </w:tc>
        <w:tc>
          <w:tcPr>
            <w:tcW w:w="4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vMerge w:val="restart"/>
          </w:tcPr>
          <w:p>
            <w:pPr>
              <w:spacing w:after="0"/>
              <w:rPr>
                <w:sz w:val="17"/>
                <w:szCs w:val="17"/>
                <w:color w:val="auto"/>
              </w:rPr>
            </w:pPr>
          </w:p>
        </w:tc>
        <w:tc>
          <w:tcPr>
            <w:tcW w:w="4920" w:type="dxa"/>
            <w:vAlign w:val="bottom"/>
            <w:tcBorders>
              <w:bottom w:val="single" w:sz="8" w:color="auto"/>
            </w:tcBorders>
          </w:tcPr>
          <w:p>
            <w:pPr>
              <w:spacing w:after="0"/>
              <w:rPr>
                <w:sz w:val="17"/>
                <w:szCs w:val="17"/>
                <w:color w:val="auto"/>
              </w:rPr>
            </w:pPr>
          </w:p>
        </w:tc>
        <w:tc>
          <w:tcPr>
            <w:tcW w:w="340" w:type="dxa"/>
            <w:vAlign w:val="bottom"/>
            <w:vMerge w:val="restart"/>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0" w:type="dxa"/>
            <w:vAlign w:val="bottom"/>
            <w:vMerge w:val="continue"/>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Cameron Blanks</w:t>
            </w:r>
          </w:p>
        </w:tc>
        <w:tc>
          <w:tcPr>
            <w:tcW w:w="340" w:type="dxa"/>
            <w:vAlign w:val="bottom"/>
            <w:vMerge w:val="continue"/>
          </w:tcPr>
          <w:p>
            <w:pPr>
              <w:spacing w:after="0"/>
              <w:rPr>
                <w:sz w:val="19"/>
                <w:szCs w:val="19"/>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Jay F. Krehbiel</w:t>
            </w:r>
          </w:p>
        </w:tc>
        <w:tc>
          <w:tcPr>
            <w:tcW w:w="4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0" w:type="dxa"/>
            <w:vAlign w:val="bottom"/>
          </w:tcPr>
          <w:p>
            <w:pPr>
              <w:spacing w:after="0"/>
              <w:rPr>
                <w:sz w:val="21"/>
                <w:szCs w:val="21"/>
                <w:color w:val="auto"/>
              </w:rPr>
            </w:pPr>
          </w:p>
        </w:tc>
        <w:tc>
          <w:tcPr>
            <w:tcW w:w="29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Timothy J. Sims</w:t>
            </w:r>
          </w:p>
        </w:tc>
        <w:tc>
          <w:tcPr>
            <w:tcW w:w="9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96"/>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NOTARY:</w:t>
            </w:r>
          </w:p>
        </w:tc>
        <w:tc>
          <w:tcPr>
            <w:tcW w:w="40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Kingdom of Thailand</w:t>
            </w:r>
          </w:p>
        </w:tc>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Bangkok Metropolis</w:t>
            </w:r>
          </w:p>
        </w:tc>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ss</w:t>
            </w: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Embassy of the United States of America</w:t>
            </w:r>
          </w:p>
        </w:tc>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State of</w:t>
            </w: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County of</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r>
      <w:tr>
        <w:trPr>
          <w:trHeight w:val="398"/>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this</w:t>
            </w:r>
          </w:p>
        </w:tc>
        <w:tc>
          <w:tcPr>
            <w:tcW w:w="900" w:type="dxa"/>
            <w:vAlign w:val="bottom"/>
            <w:tcBorders>
              <w:bottom w:val="single" w:sz="8" w:color="auto"/>
            </w:tcBorders>
          </w:tcPr>
          <w:p>
            <w:pPr>
              <w:spacing w:after="0"/>
              <w:rPr>
                <w:sz w:val="24"/>
                <w:szCs w:val="24"/>
                <w:color w:val="auto"/>
              </w:rPr>
            </w:pPr>
          </w:p>
        </w:tc>
        <w:tc>
          <w:tcPr>
            <w:tcW w:w="1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day of   Mar 27 2008,</w:t>
            </w:r>
          </w:p>
        </w:tc>
        <w:tc>
          <w:tcPr>
            <w:tcW w:w="900" w:type="dxa"/>
            <w:vAlign w:val="bottom"/>
            <w:tcBorders>
              <w:bottom w:val="single" w:sz="8" w:color="auto"/>
            </w:tcBorders>
          </w:tcPr>
          <w:p>
            <w:pPr>
              <w:spacing w:after="0"/>
              <w:rPr>
                <w:sz w:val="24"/>
                <w:szCs w:val="24"/>
                <w:color w:val="auto"/>
              </w:rPr>
            </w:pPr>
          </w:p>
        </w:tc>
        <w:tc>
          <w:tcPr>
            <w:tcW w:w="3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personally appeared before me</w:t>
            </w:r>
          </w:p>
        </w:tc>
        <w:tc>
          <w:tcPr>
            <w:tcW w:w="98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Joseph John O’Brien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6852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2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6852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2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the persons described in and who executed the foregoing certificate, and severally acknowledged that they executed the same.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Chamnannuch Scherer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Chamnannuch Scherer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Consular Associate of the United States of America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Indefinite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520"/>
          </w:cols>
          <w:pgMar w:left="240" w:top="392" w:right="11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157480</wp:posOffset>
            </wp:positionV>
            <wp:extent cx="3061335" cy="848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6133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Whereas, </w:t>
      </w:r>
      <w:r>
        <w:rPr>
          <w:rFonts w:ascii="Times New Roman" w:cs="Times New Roman" w:eastAsia="Times New Roman" w:hAnsi="Times New Roman"/>
          <w:sz w:val="17"/>
          <w:szCs w:val="17"/>
          <w:i w:val="1"/>
          <w:iCs w:val="1"/>
          <w:color w:val="auto"/>
        </w:rPr>
        <w:t>the Articles of Organization of</w:t>
      </w:r>
      <w:r>
        <w:rPr>
          <w:rFonts w:ascii="Times New Roman" w:cs="Times New Roman" w:eastAsia="Times New Roman" w:hAnsi="Times New Roman"/>
          <w:sz w:val="17"/>
          <w:szCs w:val="17"/>
          <w:b w:val="1"/>
          <w:bCs w:val="1"/>
          <w:i w:val="1"/>
          <w:iCs w:val="1"/>
          <w:color w:val="auto"/>
        </w:rPr>
        <w:t xml:space="preserve"> AMERICAN STOCK TRANSFER &amp; TRUST COMPANY, LLC, </w:t>
      </w:r>
      <w:r>
        <w:rPr>
          <w:rFonts w:ascii="Times New Roman" w:cs="Times New Roman" w:eastAsia="Times New Roman" w:hAnsi="Times New Roman"/>
          <w:sz w:val="17"/>
          <w:szCs w:val="17"/>
          <w:i w:val="1"/>
          <w:iCs w:val="1"/>
          <w:color w:val="auto"/>
        </w:rPr>
        <w:t>of New York, New York, have heretofore been duly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 xml:space="preserve">approved and said </w:t>
      </w:r>
      <w:r>
        <w:rPr>
          <w:rFonts w:ascii="Times New Roman" w:cs="Times New Roman" w:eastAsia="Times New Roman" w:hAnsi="Times New Roman"/>
          <w:sz w:val="17"/>
          <w:szCs w:val="17"/>
          <w:b w:val="1"/>
          <w:bCs w:val="1"/>
          <w:i w:val="1"/>
          <w:iCs w:val="1"/>
          <w:color w:val="auto"/>
        </w:rPr>
        <w:t>AMERICAN STOCK TRANSFER &amp; TRUST COMPANY, LLC</w:t>
      </w:r>
      <w:r>
        <w:rPr>
          <w:rFonts w:ascii="Times New Roman" w:cs="Times New Roman" w:eastAsia="Times New Roman" w:hAnsi="Times New Roman"/>
          <w:sz w:val="17"/>
          <w:szCs w:val="17"/>
          <w:i w:val="1"/>
          <w:iCs w:val="1"/>
          <w:color w:val="auto"/>
        </w:rPr>
        <w:t xml:space="preserve"> has complied with the provisions of Chapter 2 of the Consolidated Laws,</w:t>
      </w:r>
    </w:p>
    <w:p>
      <w:pPr>
        <w:spacing w:after="0" w:line="13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Now Therefore I, David S. Fredsall, as Deputy Superintendent of Banks of the State of New York, do hereby authorize the said </w:t>
      </w:r>
      <w:r>
        <w:rPr>
          <w:rFonts w:ascii="Times New Roman" w:cs="Times New Roman" w:eastAsia="Times New Roman" w:hAnsi="Times New Roman"/>
          <w:sz w:val="18"/>
          <w:szCs w:val="18"/>
          <w:b w:val="1"/>
          <w:bCs w:val="1"/>
          <w:i w:val="1"/>
          <w:iCs w:val="1"/>
          <w:color w:val="auto"/>
        </w:rPr>
        <w:t>AMERICAN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 xml:space="preserve">TRANSFER &amp; TRUST COMPANY, LLC </w:t>
      </w:r>
      <w:r>
        <w:rPr>
          <w:rFonts w:ascii="Times New Roman" w:cs="Times New Roman" w:eastAsia="Times New Roman" w:hAnsi="Times New Roman"/>
          <w:sz w:val="18"/>
          <w:szCs w:val="18"/>
          <w:i w:val="1"/>
          <w:iCs w:val="1"/>
          <w:color w:val="auto"/>
        </w:rPr>
        <w:t>to transact the business of a Limited Liability Trust Company, at 59 Maiden Lane, Borough of Manhattan, City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New York within this State.</w:t>
      </w:r>
    </w:p>
    <w:p>
      <w:pPr>
        <w:spacing w:after="0" w:line="1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 Witness Whereof, </w:t>
      </w:r>
      <w:r>
        <w:rPr>
          <w:rFonts w:ascii="Times New Roman" w:cs="Times New Roman" w:eastAsia="Times New Roman" w:hAnsi="Times New Roman"/>
          <w:sz w:val="18"/>
          <w:szCs w:val="18"/>
          <w:i w:val="1"/>
          <w:iCs w:val="1"/>
          <w:color w:val="auto"/>
        </w:rPr>
        <w:t>I have hereunto set my hand and affixed the official seal of the Banking Department, this 30</w:t>
      </w:r>
      <w:r>
        <w:rPr>
          <w:rFonts w:ascii="Times New Roman" w:cs="Times New Roman" w:eastAsia="Times New Roman" w:hAnsi="Times New Roman"/>
          <w:sz w:val="8"/>
          <w:szCs w:val="8"/>
          <w:i w:val="1"/>
          <w:iCs w:val="1"/>
          <w:color w:val="auto"/>
        </w:rPr>
        <w:t>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day of May in the year two thousand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eight.</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David S. Fredsall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Deputy Superintendent of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25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ind w:left="10520"/>
        <w:spacing w:after="0"/>
        <w:rPr>
          <w:sz w:val="20"/>
          <w:szCs w:val="20"/>
          <w:color w:val="auto"/>
        </w:rPr>
      </w:pPr>
      <w:r>
        <w:rPr>
          <w:rFonts w:ascii="Times New Roman" w:cs="Times New Roman" w:eastAsia="Times New Roman" w:hAnsi="Times New Roman"/>
          <w:sz w:val="17"/>
          <w:szCs w:val="17"/>
          <w:b w:val="1"/>
          <w:bCs w:val="1"/>
          <w:color w:val="auto"/>
        </w:rPr>
        <w:t>EXHIBIT 4</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TRUST COMPANY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STOCK TRANSFER &amp; TRUST COMPANY, LLC</w:t>
      </w:r>
    </w:p>
    <w:p>
      <w:pPr>
        <w:spacing w:after="0" w:line="229"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18"/>
          <w:szCs w:val="18"/>
          <w:color w:val="auto"/>
        </w:rPr>
        <w:t>THIS THIRD AMENDED AND RESTATED LIMITED LIABILITY TRUST COMPANY AGREEMENT (as amended, amended and restated, supplemented or modified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of American Stock Transfer &amp; Trust Company,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as of this 29th day of June, 2015, by Armor Holding II LLC, as the sole member of the Company (the “</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amends and restates the Second Amended and Restated Limited Liability Trust Company Agreement of the Company dated as of June 26, 2013 (as amended by that certain First Amendment to the Second Amended and Restated Limited Liability Trust Company Agreement of the Company dated as of April 23, 2014) in its entirety.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w:t>
      </w:r>
    </w:p>
    <w:p>
      <w:pPr>
        <w:spacing w:after="0" w:line="229"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The Member converted the Company into a limited liability trust company under the laws of the State of New York and now desires to amend and restate the written agreement governing the affairs of the Company in accordance with the provisions of the Limited Liability Company Law of the State of New York and any successor statute, as amended from time to time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the Banking Law of the State of New York and any successor statute, as amended from time to time (the “</w:t>
      </w:r>
      <w:r>
        <w:rPr>
          <w:rFonts w:ascii="Times New Roman" w:cs="Times New Roman" w:eastAsia="Times New Roman" w:hAnsi="Times New Roman"/>
          <w:sz w:val="18"/>
          <w:szCs w:val="18"/>
          <w:u w:val="single" w:color="auto"/>
          <w:color w:val="auto"/>
        </w:rPr>
        <w:t>Banking Law</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Limited Liability Trust Company</w:t>
      </w:r>
    </w:p>
    <w:p>
      <w:pPr>
        <w:spacing w:after="0" w:line="205" w:lineRule="exact"/>
        <w:rPr>
          <w:sz w:val="20"/>
          <w:szCs w:val="20"/>
          <w:color w:val="auto"/>
        </w:rPr>
      </w:pPr>
    </w:p>
    <w:p>
      <w:pPr>
        <w:jc w:val="both"/>
        <w:ind w:firstLine="1305"/>
        <w:spacing w:after="0" w:line="261" w:lineRule="auto"/>
        <w:tabs>
          <w:tab w:leader="none" w:pos="15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Formation</w:t>
      </w:r>
      <w:r>
        <w:rPr>
          <w:rFonts w:ascii="Times New Roman" w:cs="Times New Roman" w:eastAsia="Times New Roman" w:hAnsi="Times New Roman"/>
          <w:sz w:val="18"/>
          <w:szCs w:val="18"/>
          <w:color w:val="auto"/>
        </w:rPr>
        <w:t>. The Member previously converted the Company into a limited liability trust company pursuant to the Act and the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such conversion of the Company from a New York trust company into a New York limited liability trust company was approved by the New York Banking Board on April 17, 2008 in conformity with Section 102-a(3) of the Banking Law. The conversion to a limited liability trust company became effective on May 30, 2008, when the New York State Banking Department issued an Authorization Certificate for the converted entity.</w:t>
      </w:r>
    </w:p>
    <w:p>
      <w:pPr>
        <w:spacing w:after="0" w:line="180" w:lineRule="exact"/>
        <w:rPr>
          <w:rFonts w:ascii="Times New Roman" w:cs="Times New Roman" w:eastAsia="Times New Roman" w:hAnsi="Times New Roman"/>
          <w:sz w:val="18"/>
          <w:szCs w:val="18"/>
          <w:color w:val="auto"/>
        </w:rPr>
      </w:pPr>
    </w:p>
    <w:p>
      <w:pPr>
        <w:jc w:val="both"/>
        <w:ind w:firstLine="1305"/>
        <w:spacing w:after="0" w:line="267" w:lineRule="auto"/>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Name</w:t>
      </w:r>
      <w:r>
        <w:rPr>
          <w:rFonts w:ascii="Times New Roman" w:cs="Times New Roman" w:eastAsia="Times New Roman" w:hAnsi="Times New Roman"/>
          <w:sz w:val="18"/>
          <w:szCs w:val="18"/>
          <w:color w:val="auto"/>
        </w:rPr>
        <w:t>. The name of the Company shall be “American Stock Transfer &amp; Trust Company, LLC” and its business shall be carried 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name with such variations and changes as the Board (as hereinafter defined) shall determine or deem necessary to comply with requirements of the jurisdictions in which the Company’s operations are conducted.</w:t>
      </w:r>
    </w:p>
    <w:p>
      <w:pPr>
        <w:spacing w:after="0" w:line="173"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Business Purpose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Powers</w:t>
      </w:r>
      <w:r>
        <w:rPr>
          <w:rFonts w:ascii="Times New Roman" w:cs="Times New Roman" w:eastAsia="Times New Roman" w:hAnsi="Times New Roman"/>
          <w:sz w:val="18"/>
          <w:szCs w:val="18"/>
          <w:color w:val="auto"/>
        </w:rPr>
        <w:t>.  The purposes for which the Company is formed are:</w:t>
      </w:r>
    </w:p>
    <w:p>
      <w:pPr>
        <w:spacing w:after="0" w:line="227" w:lineRule="exact"/>
        <w:rPr>
          <w:sz w:val="20"/>
          <w:szCs w:val="20"/>
          <w:color w:val="auto"/>
        </w:rPr>
      </w:pPr>
    </w:p>
    <w:p>
      <w:pPr>
        <w:ind w:firstLine="1305"/>
        <w:spacing w:after="0" w:line="282" w:lineRule="auto"/>
        <w:tabs>
          <w:tab w:leader="none" w:pos="16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the powers conferred by Section 100 of the Banking Law, including corporate trust powers; personal trust powers; pension trust powers for tax-qualified pension trusts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retirement plans; and common or collective trust powers; provided, however, that the Company shall neither accept deposits nor make loans except for deposits and loans arising directly from the exercise of its fiduciary powers as specified in this Section 1(c); and</w:t>
      </w:r>
    </w:p>
    <w:p>
      <w:pPr>
        <w:spacing w:after="0" w:line="162" w:lineRule="exact"/>
        <w:rPr>
          <w:sz w:val="20"/>
          <w:szCs w:val="20"/>
          <w:color w:val="auto"/>
        </w:rPr>
      </w:pPr>
    </w:p>
    <w:p>
      <w:pPr>
        <w:ind w:left="1300"/>
        <w:spacing w:after="0"/>
        <w:tabs>
          <w:tab w:leader="none" w:pos="1640" w:val="left"/>
        </w:tabs>
        <w:rPr>
          <w:sz w:val="20"/>
          <w:szCs w:val="20"/>
          <w:color w:val="auto"/>
        </w:rPr>
      </w:pPr>
      <w:r>
        <w:rPr>
          <w:rFonts w:ascii="Times New Roman" w:cs="Times New Roman" w:eastAsia="Times New Roman" w:hAnsi="Times New Roman"/>
          <w:sz w:val="18"/>
          <w:szCs w:val="18"/>
          <w:color w:val="auto"/>
        </w:rPr>
        <w:t>(ii)</w:t>
        <w:tab/>
        <w:t>in furtherance of the foregoing, to engage in any lawful act or activity for which limited liability trust companies may be formed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Banking Law.</w:t>
      </w:r>
    </w:p>
    <w:p>
      <w:pPr>
        <w:spacing w:after="0" w:line="205" w:lineRule="exact"/>
        <w:rPr>
          <w:sz w:val="20"/>
          <w:szCs w:val="20"/>
          <w:color w:val="auto"/>
        </w:rPr>
      </w:pPr>
    </w:p>
    <w:p>
      <w:pPr>
        <w:jc w:val="both"/>
        <w:ind w:firstLine="1305"/>
        <w:spacing w:after="0" w:line="267" w:lineRule="auto"/>
        <w:tabs>
          <w:tab w:leader="none" w:pos="15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Registered Office and Agent</w:t>
      </w:r>
      <w:r>
        <w:rPr>
          <w:rFonts w:ascii="Times New Roman" w:cs="Times New Roman" w:eastAsia="Times New Roman" w:hAnsi="Times New Roman"/>
          <w:sz w:val="18"/>
          <w:szCs w:val="18"/>
          <w:color w:val="auto"/>
        </w:rPr>
        <w:t>. The Secretary of State is designated as agent of the limited liability company upon whom process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may be served. The post office address within or without this state to which the Secretary of State shall mail a copy of any process against the limited liability company served upon him or her is 6201 15th Avenue, Brooklyn, New York 11219.</w:t>
      </w:r>
    </w:p>
    <w:p>
      <w:pPr>
        <w:spacing w:after="0" w:line="173"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Term</w:t>
      </w:r>
      <w:r>
        <w:rPr>
          <w:rFonts w:ascii="Times New Roman" w:cs="Times New Roman" w:eastAsia="Times New Roman" w:hAnsi="Times New Roman"/>
          <w:sz w:val="18"/>
          <w:szCs w:val="18"/>
          <w:color w:val="auto"/>
        </w:rPr>
        <w:t>.  Subject to the provisions of Article 6 below, the Company shall continue until December 31, 2030, unless the Members agree to</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such date.</w:t>
      </w:r>
    </w:p>
    <w:p>
      <w:pPr>
        <w:spacing w:after="0" w:line="2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The Member</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u w:val="single" w:color="auto"/>
          <w:color w:val="auto"/>
        </w:rPr>
        <w:t>The Member</w:t>
      </w:r>
      <w:r>
        <w:rPr>
          <w:rFonts w:ascii="Times New Roman" w:cs="Times New Roman" w:eastAsia="Times New Roman" w:hAnsi="Times New Roman"/>
          <w:sz w:val="18"/>
          <w:szCs w:val="18"/>
          <w:color w:val="auto"/>
        </w:rPr>
        <w:t>.  The name and address of the Member is as follows:</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w:t>
            </w:r>
          </w:p>
        </w:tc>
        <w:tc>
          <w:tcPr>
            <w:tcW w:w="760" w:type="dxa"/>
            <w:vAlign w:val="bottom"/>
          </w:tcPr>
          <w:p>
            <w:pPr>
              <w:spacing w:after="0"/>
              <w:rPr>
                <w:sz w:val="17"/>
                <w:szCs w:val="17"/>
                <w:color w:val="auto"/>
              </w:rPr>
            </w:pPr>
          </w:p>
        </w:tc>
      </w:tr>
      <w:tr>
        <w:trPr>
          <w:trHeight w:val="218"/>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Armor Holding II LLC</w:t>
            </w:r>
          </w:p>
        </w:tc>
        <w:tc>
          <w:tcPr>
            <w:tcW w:w="1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7"/>
              </w:rPr>
              <w:t>6201 15th Avenue,</w:t>
            </w: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Brooklyn, New York 11219</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196" w:lineRule="exact"/>
        <w:rPr>
          <w:sz w:val="20"/>
          <w:szCs w:val="20"/>
          <w:color w:val="auto"/>
        </w:rPr>
      </w:pPr>
    </w:p>
    <w:p>
      <w:pPr>
        <w:jc w:val="both"/>
        <w:ind w:firstLine="1305"/>
        <w:spacing w:after="0" w:line="261" w:lineRule="auto"/>
        <w:tabs>
          <w:tab w:leader="none" w:pos="15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Actions by the Member; Meetings</w:t>
      </w:r>
      <w:r>
        <w:rPr>
          <w:rFonts w:ascii="Times New Roman" w:cs="Times New Roman" w:eastAsia="Times New Roman" w:hAnsi="Times New Roman"/>
          <w:sz w:val="18"/>
          <w:szCs w:val="18"/>
          <w:color w:val="auto"/>
        </w:rPr>
        <w:t>. All actions taken by the Member must be duly authorized by the board of managers of the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Member’s Board</w:t>
      </w:r>
      <w:r>
        <w:rPr>
          <w:rFonts w:ascii="Times New Roman" w:cs="Times New Roman" w:eastAsia="Times New Roman" w:hAnsi="Times New Roman"/>
          <w:sz w:val="18"/>
          <w:szCs w:val="18"/>
          <w:color w:val="auto"/>
        </w:rPr>
        <w:t>”) in accordance with the Shareholders Agreement (as hereinafter defined). Subject to the foregoing sentence, the Member may approve a matter or take any action at a meeting or without a meeting by the written consent of the Member. Meetings of the Member may be called at any time by the Member.</w:t>
      </w:r>
    </w:p>
    <w:p>
      <w:pPr>
        <w:spacing w:after="0" w:line="180" w:lineRule="exact"/>
        <w:rPr>
          <w:rFonts w:ascii="Times New Roman" w:cs="Times New Roman" w:eastAsia="Times New Roman" w:hAnsi="Times New Roman"/>
          <w:sz w:val="18"/>
          <w:szCs w:val="18"/>
          <w:color w:val="auto"/>
        </w:rPr>
      </w:pPr>
    </w:p>
    <w:p>
      <w:pPr>
        <w:jc w:val="both"/>
        <w:ind w:firstLine="1305"/>
        <w:spacing w:after="0" w:line="267" w:lineRule="auto"/>
        <w:tabs>
          <w:tab w:leader="none" w:pos="15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Liability of the Member</w:t>
      </w:r>
      <w:r>
        <w:rPr>
          <w:rFonts w:ascii="Times New Roman" w:cs="Times New Roman" w:eastAsia="Times New Roman" w:hAnsi="Times New Roman"/>
          <w:sz w:val="18"/>
          <w:szCs w:val="18"/>
          <w:color w:val="auto"/>
        </w:rPr>
        <w:t>. All debts, obligations and liabilities of the Company, whether arising in contract, tort or otherwise,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solely the debts, obligations and liabilities of the Company, and the Member shall not be obligated personally for any such debt, obligation or liability of the Company solely by reason of being a member, except as otherwise provided for by law.</w:t>
      </w:r>
    </w:p>
    <w:p>
      <w:pPr>
        <w:spacing w:after="0" w:line="173" w:lineRule="exact"/>
        <w:rPr>
          <w:rFonts w:ascii="Times New Roman" w:cs="Times New Roman" w:eastAsia="Times New Roman" w:hAnsi="Times New Roman"/>
          <w:sz w:val="18"/>
          <w:szCs w:val="18"/>
          <w:color w:val="auto"/>
        </w:rPr>
      </w:pPr>
    </w:p>
    <w:p>
      <w:pPr>
        <w:ind w:firstLine="1305"/>
        <w:spacing w:after="0" w:line="284" w:lineRule="auto"/>
        <w:tabs>
          <w:tab w:leader="none" w:pos="15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Power to Bind the Company</w:t>
      </w:r>
      <w:r>
        <w:rPr>
          <w:rFonts w:ascii="Times New Roman" w:cs="Times New Roman" w:eastAsia="Times New Roman" w:hAnsi="Times New Roman"/>
          <w:sz w:val="18"/>
          <w:szCs w:val="18"/>
          <w:color w:val="auto"/>
        </w:rPr>
        <w:t>. Except as required by the Act or the Banking Law, the Member (acting in its capacity as such)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authority to bind the Company to any third party with respect to any matter.</w:t>
      </w:r>
    </w:p>
    <w:p>
      <w:pPr>
        <w:spacing w:after="0" w:line="158"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Admission of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members shall be admitted only upon the prior written approval of the Member.</w:t>
      </w:r>
    </w:p>
    <w:p>
      <w:pPr>
        <w:spacing w:after="0" w:line="225" w:lineRule="exact"/>
        <w:rPr>
          <w:rFonts w:ascii="Times New Roman" w:cs="Times New Roman" w:eastAsia="Times New Roman" w:hAnsi="Times New Roman"/>
          <w:sz w:val="18"/>
          <w:szCs w:val="18"/>
          <w:color w:val="auto"/>
        </w:rPr>
      </w:pPr>
    </w:p>
    <w:p>
      <w:pPr>
        <w:jc w:val="both"/>
        <w:ind w:firstLine="1305"/>
        <w:spacing w:after="0" w:line="261" w:lineRule="auto"/>
        <w:tabs>
          <w:tab w:leader="none" w:pos="15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Engagement of Third Parties</w:t>
      </w:r>
      <w:r>
        <w:rPr>
          <w:rFonts w:ascii="Times New Roman" w:cs="Times New Roman" w:eastAsia="Times New Roman" w:hAnsi="Times New Roman"/>
          <w:sz w:val="18"/>
          <w:szCs w:val="18"/>
          <w:color w:val="auto"/>
        </w:rPr>
        <w:t>. The Company, may, from time to time, employ any Person or engage third parties to render services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on such terms and for such compensation as the Member may reasonably determine, including, attorneys, investment consultants, brokers or finders, independent auditors and printers. Such employees and third parties may be affiliates of any Member. Persons retained, engaged or employed by the Company may also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engaged, retained or employed by and act on behalf of one or more Member or any of their respective affiliates.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Board</w:t>
      </w:r>
    </w:p>
    <w:p>
      <w:pPr>
        <w:spacing w:after="0" w:line="205" w:lineRule="exact"/>
        <w:rPr>
          <w:sz w:val="20"/>
          <w:szCs w:val="20"/>
          <w:color w:val="auto"/>
        </w:rPr>
      </w:pPr>
    </w:p>
    <w:p>
      <w:pPr>
        <w:ind w:left="1560" w:hanging="255"/>
        <w:spacing w:after="0"/>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Management By Board of Managers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305"/>
        <w:spacing w:after="0" w:line="255" w:lineRule="auto"/>
        <w:tabs>
          <w:tab w:leader="none" w:pos="16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matters which are expressly reserved hereunder, under the Act, under the Banking Law or under that certain Fourth Amended and Restated Shareholders Agreement, dated as of June 20, 2014, as amended from time to time, among the Shareholders of Armor Holdco, Inc. and Armor Holdco, Inc. (the “</w:t>
      </w:r>
      <w:r>
        <w:rPr>
          <w:rFonts w:ascii="Times New Roman" w:cs="Times New Roman" w:eastAsia="Times New Roman" w:hAnsi="Times New Roman"/>
          <w:sz w:val="18"/>
          <w:szCs w:val="18"/>
          <w:u w:val="single" w:color="auto"/>
          <w:color w:val="auto"/>
        </w:rPr>
        <w:t>Shareholders Agreement</w:t>
      </w:r>
      <w:r>
        <w:rPr>
          <w:rFonts w:ascii="Times New Roman" w:cs="Times New Roman" w:eastAsia="Times New Roman" w:hAnsi="Times New Roman"/>
          <w:sz w:val="18"/>
          <w:szCs w:val="18"/>
          <w:color w:val="auto"/>
        </w:rPr>
        <w:t>”), to the Member for decision, the business and affairs of the Company shall be managed by a board of managers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which shall be responsible for policy setting, approving the overall direction of the Company and making all decisions affecting the business and affairs of the Company. In accordance with Section 7002 of the Banking Law, the Board shall consist of seven (7) to fifteen (15) individuals (the “</w:t>
      </w:r>
      <w:r>
        <w:rPr>
          <w:rFonts w:ascii="Times New Roman" w:cs="Times New Roman" w:eastAsia="Times New Roman" w:hAnsi="Times New Roman"/>
          <w:sz w:val="18"/>
          <w:szCs w:val="18"/>
          <w:u w:val="single" w:color="auto"/>
          <w:color w:val="auto"/>
        </w:rPr>
        <w:t>Managers</w:t>
      </w:r>
      <w:r>
        <w:rPr>
          <w:rFonts w:ascii="Times New Roman" w:cs="Times New Roman" w:eastAsia="Times New Roman" w:hAnsi="Times New Roman"/>
          <w:sz w:val="18"/>
          <w:szCs w:val="18"/>
          <w:color w:val="auto"/>
        </w:rPr>
        <w:t>”). Such Managers shall be determined from time to time by resolution of the Member in accordance with Section 4.2 of the Shareholders Agreement.</w:t>
      </w:r>
    </w:p>
    <w:p>
      <w:pPr>
        <w:spacing w:after="0" w:line="189"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Manager shall be elected by the Member and shall serve until his or her successor has been duly elected and qualified, or until his or her earlier removal, resignation, death or disability. Subject to the provisions of clause (iii) below, the Member may remove any Manager from the Board or from any other capacity with the Company at any time, with or without cause. A Manager may resign at any time upon written notice to the Member.</w:t>
      </w:r>
    </w:p>
    <w:p>
      <w:pPr>
        <w:spacing w:after="0" w:line="176"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Member may take all actions that it deems necessary to cause the Board to consist of the same managers who serve on the Member’s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Article 3(a)(i)</w:t>
      </w:r>
      <w:r>
        <w:rPr>
          <w:rFonts w:ascii="Times New Roman" w:cs="Times New Roman" w:eastAsia="Times New Roman" w:hAnsi="Times New Roman"/>
          <w:sz w:val="18"/>
          <w:szCs w:val="18"/>
          <w:color w:val="auto"/>
        </w:rPr>
        <w:t xml:space="preserve">, the number of independent directors who serve on the Board may be greater or less than the number of independent directors who serve on the Member’s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no event shall the Board be composed of less than three (3) independent directors. Accordingly, if any person who is a member of the Members’ Board ceases to be a member of such board for any reason, the Member may take such action as is necessary to remove such person from the Board and elect to the Board the person appointed to the Member’s Board in place of such person.</w:t>
      </w:r>
    </w:p>
    <w:p>
      <w:pPr>
        <w:spacing w:after="0" w:line="183"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vacancy occurring on the Board as a result of the resignation, removal, death or disability of a Manager or an increase in the size of the Board shall be filled by the Member. A Manager chosen to fill a vacancy resulting from the resignation, removal, death or disability of a Manager shall serve the unexpired term of his or her predecessor in office.</w:t>
      </w:r>
    </w:p>
    <w:p>
      <w:pPr>
        <w:spacing w:after="0" w:line="174" w:lineRule="exact"/>
        <w:rPr>
          <w:sz w:val="20"/>
          <w:szCs w:val="20"/>
          <w:color w:val="auto"/>
        </w:rPr>
      </w:pPr>
    </w:p>
    <w:p>
      <w:pPr>
        <w:ind w:left="1580" w:hanging="275"/>
        <w:spacing w:after="0"/>
        <w:tabs>
          <w:tab w:leader="none" w:pos="1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Action By the Board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305"/>
        <w:spacing w:after="0" w:line="261" w:lineRule="auto"/>
        <w:tabs>
          <w:tab w:leader="none" w:pos="16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7010 of the Banking Law, a regular meeting of the Board shall be held at least ten (10) times a year; provided, however, that during any three (3) consecutive months, the Board shall meet at least twice. Each Manager may call a meeting of the Board upon two (2) days prior written notice to each Manager. The presence of a majority of the Managers then in office shall constitute a quorum at any meeting of the Board. All actions of the Board shall require the affirmative vote of a majority of the Managers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 w:name="page12"/>
    <w:bookmarkEnd w:id="11"/>
    <w:p>
      <w:pPr>
        <w:jc w:val="both"/>
        <w:ind w:firstLine="1305"/>
        <w:spacing w:after="0" w:line="266" w:lineRule="auto"/>
        <w:tabs>
          <w:tab w:leader="none" w:pos="16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the Board may be conducted in person or by conference telephone facilities. Any action required or permitted to be taken at any meeting of the Board may be taken without a meeting if such number of Managers sufficient to approve such action pursuant to the terms of this Agreement consent thereto in writing. Notice of any meeting may be waived by any Manager.</w:t>
      </w:r>
    </w:p>
    <w:p>
      <w:pPr>
        <w:spacing w:after="0" w:line="174" w:lineRule="exact"/>
        <w:rPr>
          <w:sz w:val="20"/>
          <w:szCs w:val="20"/>
          <w:color w:val="auto"/>
        </w:rPr>
      </w:pPr>
    </w:p>
    <w:p>
      <w:pPr>
        <w:ind w:firstLine="1305"/>
        <w:spacing w:after="0" w:line="284" w:lineRule="auto"/>
        <w:tabs>
          <w:tab w:leader="none" w:pos="15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Power to Bind Company</w:t>
      </w:r>
      <w:r>
        <w:rPr>
          <w:rFonts w:ascii="Times New Roman" w:cs="Times New Roman" w:eastAsia="Times New Roman" w:hAnsi="Times New Roman"/>
          <w:sz w:val="18"/>
          <w:szCs w:val="18"/>
          <w:color w:val="auto"/>
        </w:rPr>
        <w:t>. None of the Managers (acting in their capacity as such) shall have authority to bind the Company to any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with respect to any matter unless the Board shall have approved such matter and authorized such Manager(s) to bind the Company with respect thereto.</w:t>
      </w:r>
    </w:p>
    <w:p>
      <w:pPr>
        <w:spacing w:after="0" w:line="158" w:lineRule="exact"/>
        <w:rPr>
          <w:rFonts w:ascii="Times New Roman" w:cs="Times New Roman" w:eastAsia="Times New Roman" w:hAnsi="Times New Roman"/>
          <w:sz w:val="18"/>
          <w:szCs w:val="18"/>
          <w:color w:val="auto"/>
        </w:rPr>
      </w:pPr>
    </w:p>
    <w:p>
      <w:pPr>
        <w:ind w:left="1580" w:hanging="275"/>
        <w:spacing w:after="0"/>
        <w:tabs>
          <w:tab w:leader="none" w:pos="1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Officers and Related Persons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305"/>
        <w:spacing w:after="0" w:line="258" w:lineRule="auto"/>
        <w:tabs>
          <w:tab w:leader="none" w:pos="16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the authority to appoint and terminate officers of the Company and retain and terminate employees, agents and consultants of the Company. The Board, to the extent permitted by applicable law and as provided in any resolution of the Board, may, from time to time in its sole and absolute discretion and without limitation, delegate such duties or any or all of its authority, rights and/or obligations, to any one or more officers, employees, agents, consultants or other duly authorized representatives of the Company as the Board deems appropriate, including the power, acting individually or jointly, to represent and bind the Company in all matters in accordance with the scope of their respective duties.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Capital Structure and Contributions</w:t>
      </w:r>
    </w:p>
    <w:p>
      <w:pPr>
        <w:spacing w:after="0" w:line="205" w:lineRule="exact"/>
        <w:rPr>
          <w:sz w:val="20"/>
          <w:szCs w:val="20"/>
          <w:color w:val="auto"/>
        </w:rPr>
      </w:pPr>
    </w:p>
    <w:p>
      <w:pPr>
        <w:jc w:val="both"/>
        <w:ind w:firstLine="1305"/>
        <w:spacing w:after="0" w:line="259" w:lineRule="auto"/>
        <w:tabs>
          <w:tab w:leader="none" w:pos="15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Capital Structure</w:t>
      </w:r>
      <w:r>
        <w:rPr>
          <w:rFonts w:ascii="Times New Roman" w:cs="Times New Roman" w:eastAsia="Times New Roman" w:hAnsi="Times New Roman"/>
          <w:sz w:val="18"/>
          <w:szCs w:val="18"/>
          <w:color w:val="auto"/>
        </w:rPr>
        <w:t>. The capital structure of the Company shall consist of one class of common interests, par value $1.00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Interests</w:t>
      </w:r>
      <w:r>
        <w:rPr>
          <w:rFonts w:ascii="Times New Roman" w:cs="Times New Roman" w:eastAsia="Times New Roman" w:hAnsi="Times New Roman"/>
          <w:sz w:val="18"/>
          <w:szCs w:val="18"/>
          <w:color w:val="auto"/>
        </w:rPr>
        <w:t>”). Each Common Interest shall entitle its holder to one vote per Common Interest on each matter on which the Member shall be entitled to vote. All Common Interests shall be identical with each other in every respect. The Company shall be authorized to issue 5,000,000 Common Interests. In exchange for all of the outstanding shares of American Stock Transfer &amp; Trust Company held by the Member, the 5,000,000 Common Interests shall be issued to the Member. The Member shall own all of the Common Interests issued and outstanding.</w:t>
      </w:r>
    </w:p>
    <w:p>
      <w:pPr>
        <w:spacing w:after="0" w:line="179" w:lineRule="exact"/>
        <w:rPr>
          <w:rFonts w:ascii="Times New Roman" w:cs="Times New Roman" w:eastAsia="Times New Roman" w:hAnsi="Times New Roman"/>
          <w:sz w:val="18"/>
          <w:szCs w:val="18"/>
          <w:color w:val="auto"/>
        </w:rPr>
      </w:pPr>
    </w:p>
    <w:p>
      <w:pPr>
        <w:jc w:val="both"/>
        <w:ind w:firstLine="1305"/>
        <w:spacing w:after="0" w:line="267" w:lineRule="auto"/>
        <w:tabs>
          <w:tab w:leader="none" w:pos="15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Capital Contributions</w:t>
      </w:r>
      <w:r>
        <w:rPr>
          <w:rFonts w:ascii="Times New Roman" w:cs="Times New Roman" w:eastAsia="Times New Roman" w:hAnsi="Times New Roman"/>
          <w:sz w:val="18"/>
          <w:szCs w:val="18"/>
          <w:color w:val="auto"/>
        </w:rPr>
        <w:t>. From time to time, the Board may determine that the Company requires capital and may request the Member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capital contribution(s) in an amount determined by the Board. A capital account shall be maintained for the Member, to which contributions and profits shall be credited and against which distributions and losses shall be charged.</w:t>
      </w:r>
    </w:p>
    <w:p>
      <w:pPr>
        <w:spacing w:after="0" w:line="173" w:lineRule="exact"/>
        <w:rPr>
          <w:rFonts w:ascii="Times New Roman" w:cs="Times New Roman" w:eastAsia="Times New Roman" w:hAnsi="Times New Roman"/>
          <w:sz w:val="18"/>
          <w:szCs w:val="18"/>
          <w:color w:val="auto"/>
        </w:rPr>
      </w:pPr>
    </w:p>
    <w:p>
      <w:pPr>
        <w:jc w:val="both"/>
        <w:ind w:firstLine="1305"/>
        <w:spacing w:after="0" w:line="267" w:lineRule="auto"/>
        <w:tabs>
          <w:tab w:leader="none" w:pos="15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Right to Issue Certificates</w:t>
      </w:r>
      <w:r>
        <w:rPr>
          <w:rFonts w:ascii="Times New Roman" w:cs="Times New Roman" w:eastAsia="Times New Roman" w:hAnsi="Times New Roman"/>
          <w:sz w:val="18"/>
          <w:szCs w:val="18"/>
          <w:color w:val="auto"/>
        </w:rPr>
        <w:t>. The ownership of a Common Interest by a Member shall be evidenced by a certificate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the Company. All Common Interests in the Company shall be securities governed by Article 8 of the Uniform Commercial Code as in effect from time to time in any jurisdiction, including without limitation the State of New York.</w:t>
      </w:r>
    </w:p>
    <w:p>
      <w:pPr>
        <w:spacing w:after="0" w:line="173" w:lineRule="exact"/>
        <w:rPr>
          <w:rFonts w:ascii="Times New Roman" w:cs="Times New Roman" w:eastAsia="Times New Roman" w:hAnsi="Times New Roman"/>
          <w:sz w:val="18"/>
          <w:szCs w:val="18"/>
          <w:color w:val="auto"/>
        </w:rPr>
      </w:pPr>
    </w:p>
    <w:p>
      <w:pPr>
        <w:jc w:val="both"/>
        <w:ind w:firstLine="1305"/>
        <w:spacing w:after="0" w:line="261" w:lineRule="auto"/>
        <w:tabs>
          <w:tab w:leader="none" w:pos="15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Form of Certificates</w:t>
      </w:r>
      <w:r>
        <w:rPr>
          <w:rFonts w:ascii="Times New Roman" w:cs="Times New Roman" w:eastAsia="Times New Roman" w:hAnsi="Times New Roman"/>
          <w:sz w:val="18"/>
          <w:szCs w:val="18"/>
          <w:color w:val="auto"/>
        </w:rPr>
        <w:t>. Certificates attesting to the ownership of Common Interests in the Company shall be in substantially the form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Exhibit A hereto and shall state that the Company is a limited liability trust company formed under the laws of the State of New York, the name of the Member to whom such Certificate is issued and that the Certificate represents limited liability trust company interests within the meaning of the Act and the Banking Law. Each Certificate shall bear the following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2" w:name="page13"/>
    <w:bookmarkEnd w:id="12"/>
    <w:p>
      <w:pPr>
        <w:jc w:val="both"/>
        <w:ind w:left="1180" w:right="1180"/>
        <w:spacing w:after="0" w:line="272" w:lineRule="auto"/>
        <w:rPr>
          <w:sz w:val="20"/>
          <w:szCs w:val="20"/>
          <w:color w:val="auto"/>
        </w:rPr>
      </w:pPr>
      <w:r>
        <w:rPr>
          <w:rFonts w:ascii="Times New Roman" w:cs="Times New Roman" w:eastAsia="Times New Roman" w:hAnsi="Times New Roman"/>
          <w:sz w:val="17"/>
          <w:szCs w:val="17"/>
          <w:color w:val="auto"/>
        </w:rPr>
        <w:t>“THIS CERTIFICATE EVIDENCES COMMON INTERESTS IN THE AMERICAN STOCK TRANSFER &amp; TRUST COMPANY, LLC (THE “COMPANY”) AND SHALL BE A SECURITY FOR PURPOSES OF ARTICLE 8 OF THE UNIFORM COMMERCIAL CODE. THE COMMON INTERESTS REPRESENTED BY THIS CERTIFICATE ARE SUBJECT TO THE PROVISIONS OF THE THIRD AMENDED AND RESTATED LIMITED LIABILITY TRUST COMPANY AGREEMENT OF THE COMPANY DATED AS OF JUNE 29, 2015 (AS MAY BE AMENDED, RESTATED, AMENDED AND RESTATED OR OTHERWISE MODIFIED FROM TIME TO TIME, THE “LLTC AGREEMENT”). A COPY OF THE LLTC AGREEMENT WILL BE FURNISHED TO THE RECORD HOLDER OF THIS CERTIFICATE WITHOUT CHARGE UPON WRITTEN REQUEST TO THE COMPANY AT ITS PRINCIPAL PLACE OF BUSINESS.”</w:t>
      </w:r>
    </w:p>
    <w:p>
      <w:pPr>
        <w:spacing w:after="0" w:line="170" w:lineRule="exact"/>
        <w:rPr>
          <w:sz w:val="20"/>
          <w:szCs w:val="20"/>
          <w:color w:val="auto"/>
        </w:rPr>
      </w:pPr>
    </w:p>
    <w:p>
      <w:pPr>
        <w:ind w:firstLine="1305"/>
        <w:spacing w:after="0" w:line="284" w:lineRule="auto"/>
        <w:tabs>
          <w:tab w:leader="none" w:pos="15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Execution</w:t>
      </w:r>
      <w:r>
        <w:rPr>
          <w:rFonts w:ascii="Times New Roman" w:cs="Times New Roman" w:eastAsia="Times New Roman" w:hAnsi="Times New Roman"/>
          <w:sz w:val="18"/>
          <w:szCs w:val="18"/>
          <w:color w:val="auto"/>
        </w:rPr>
        <w:t>. Each Certificate shall be signed by the Chief Executive Officer, the President, the Secretary, an Assistant Secretary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officer or person of the Company by either manual or facsimile signature.</w:t>
      </w:r>
    </w:p>
    <w:p>
      <w:pPr>
        <w:spacing w:after="0" w:line="158" w:lineRule="exact"/>
        <w:rPr>
          <w:rFonts w:ascii="Times New Roman" w:cs="Times New Roman" w:eastAsia="Times New Roman" w:hAnsi="Times New Roman"/>
          <w:sz w:val="18"/>
          <w:szCs w:val="18"/>
          <w:color w:val="auto"/>
        </w:rPr>
      </w:pPr>
    </w:p>
    <w:p>
      <w:pPr>
        <w:jc w:val="both"/>
        <w:ind w:firstLine="1305"/>
        <w:spacing w:after="0" w:line="267" w:lineRule="auto"/>
        <w:tabs>
          <w:tab w:leader="none" w:pos="15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Registrar</w:t>
      </w:r>
      <w:r>
        <w:rPr>
          <w:rFonts w:ascii="Times New Roman" w:cs="Times New Roman" w:eastAsia="Times New Roman" w:hAnsi="Times New Roman"/>
          <w:sz w:val="18"/>
          <w:szCs w:val="18"/>
          <w:color w:val="auto"/>
        </w:rPr>
        <w:t>. The Company shall maintain an office where Certificates may be presented for registration of transfer or for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otherwise designated, the Secretary of the Company shall act as registrar and shall keep a register of the Certificates and of their transfer and exchange.</w:t>
      </w:r>
    </w:p>
    <w:p>
      <w:pPr>
        <w:spacing w:after="0" w:line="173" w:lineRule="exact"/>
        <w:rPr>
          <w:rFonts w:ascii="Times New Roman" w:cs="Times New Roman" w:eastAsia="Times New Roman" w:hAnsi="Times New Roman"/>
          <w:sz w:val="18"/>
          <w:szCs w:val="18"/>
          <w:color w:val="auto"/>
        </w:rPr>
      </w:pPr>
    </w:p>
    <w:p>
      <w:pPr>
        <w:ind w:left="1640" w:hanging="335"/>
        <w:spacing w:after="0"/>
        <w:tabs>
          <w:tab w:leader="none" w:pos="1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Issuance</w:t>
      </w:r>
      <w:r>
        <w:rPr>
          <w:rFonts w:ascii="Times New Roman" w:cs="Times New Roman" w:eastAsia="Times New Roman" w:hAnsi="Times New Roman"/>
          <w:sz w:val="18"/>
          <w:szCs w:val="18"/>
          <w:color w:val="auto"/>
        </w:rPr>
        <w:t>.  The Certificates of the Company shall be numbered and registered in the interest register or transfer books of the Company</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they are issued.</w:t>
      </w:r>
    </w:p>
    <w:p>
      <w:pPr>
        <w:spacing w:after="0" w:line="204" w:lineRule="exact"/>
        <w:rPr>
          <w:rFonts w:ascii="Times New Roman" w:cs="Times New Roman" w:eastAsia="Times New Roman" w:hAnsi="Times New Roman"/>
          <w:sz w:val="18"/>
          <w:szCs w:val="18"/>
          <w:color w:val="auto"/>
        </w:rPr>
      </w:pPr>
    </w:p>
    <w:p>
      <w:pPr>
        <w:ind w:firstLine="1305"/>
        <w:spacing w:after="0" w:line="284"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Common Interest Holder Lists</w:t>
      </w:r>
      <w:r>
        <w:rPr>
          <w:rFonts w:ascii="Times New Roman" w:cs="Times New Roman" w:eastAsia="Times New Roman" w:hAnsi="Times New Roman"/>
          <w:sz w:val="18"/>
          <w:szCs w:val="18"/>
          <w:color w:val="auto"/>
        </w:rPr>
        <w:t>. The Company shall preserve in as current a form as is reasonably practicable the most recent list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it of the names and addresses of all holders of Common Interests.</w:t>
      </w:r>
    </w:p>
    <w:p>
      <w:pPr>
        <w:spacing w:after="0" w:line="158" w:lineRule="exact"/>
        <w:rPr>
          <w:rFonts w:ascii="Times New Roman" w:cs="Times New Roman" w:eastAsia="Times New Roman" w:hAnsi="Times New Roman"/>
          <w:sz w:val="18"/>
          <w:szCs w:val="18"/>
          <w:color w:val="auto"/>
        </w:rPr>
      </w:pPr>
    </w:p>
    <w:p>
      <w:pPr>
        <w:jc w:val="both"/>
        <w:ind w:firstLine="1305"/>
        <w:spacing w:after="0" w:line="256" w:lineRule="auto"/>
        <w:tabs>
          <w:tab w:leader="none" w:pos="15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Transfer and Exchange</w:t>
      </w:r>
      <w:r>
        <w:rPr>
          <w:rFonts w:ascii="Times New Roman" w:cs="Times New Roman" w:eastAsia="Times New Roman" w:hAnsi="Times New Roman"/>
          <w:sz w:val="18"/>
          <w:szCs w:val="18"/>
          <w:color w:val="auto"/>
        </w:rPr>
        <w:t>. When Certificates are presented to the Company with a request to register a transfer, the Company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the transfer or make the exchange on the register or transfer books of the Company; provided, that any Certificates presented or surrendered for registration of transfer or exchange shall be duly endorsed or accompanied by a written instrument of transfer in form satisfactory to the Company duly executed by the holder thereof or his attorney duly authorized in writing. Notwithstanding the foregoing, the Company shall not be required to register the transfer, or exchange, any Certificate if as a result the transfer of the Common Interest at issue would cause the Company or the Member to violate the Securities Act, the Exchange Act, the Investment Company Act, or the laws, rules, regulations, orders and other directives of any Governmental Authority or otherwise violate the terms of this Agreement or the Shareholders Agreement.</w:t>
      </w:r>
    </w:p>
    <w:p>
      <w:pPr>
        <w:spacing w:after="0" w:line="183" w:lineRule="exact"/>
        <w:rPr>
          <w:rFonts w:ascii="Times New Roman" w:cs="Times New Roman" w:eastAsia="Times New Roman" w:hAnsi="Times New Roman"/>
          <w:sz w:val="18"/>
          <w:szCs w:val="18"/>
          <w:color w:val="auto"/>
        </w:rPr>
      </w:pPr>
    </w:p>
    <w:p>
      <w:pPr>
        <w:jc w:val="both"/>
        <w:ind w:firstLine="1305"/>
        <w:spacing w:after="0" w:line="261" w:lineRule="auto"/>
        <w:tabs>
          <w:tab w:leader="none" w:pos="155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Record Holder</w:t>
      </w:r>
      <w:r>
        <w:rPr>
          <w:rFonts w:ascii="Times New Roman" w:cs="Times New Roman" w:eastAsia="Times New Roman" w:hAnsi="Times New Roman"/>
          <w:sz w:val="18"/>
          <w:szCs w:val="18"/>
          <w:color w:val="auto"/>
        </w:rPr>
        <w:t>. Except to the extent that the Company shall have received written notice of an assignment of Common Interests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assignment complies with the requirements of Section 7(a) of this Agreement, the Company shall be entitled to treat the individual or entity in whose name any Certificates issued by the Company stand on the books of the Company as the absolute owner thereof, and shall not be bound to recognize any equitable or other claim to, or interest in, such Common Interests on the part of any other individual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3" w:name="page14"/>
    <w:bookmarkEnd w:id="13"/>
    <w:p>
      <w:pPr>
        <w:jc w:val="both"/>
        <w:ind w:firstLine="1305"/>
        <w:spacing w:after="0" w:line="257" w:lineRule="auto"/>
        <w:tabs>
          <w:tab w:leader="none" w:pos="16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Replacement Certificates</w:t>
      </w:r>
      <w:r>
        <w:rPr>
          <w:rFonts w:ascii="Times New Roman" w:cs="Times New Roman" w:eastAsia="Times New Roman" w:hAnsi="Times New Roman"/>
          <w:sz w:val="18"/>
          <w:szCs w:val="18"/>
          <w:color w:val="auto"/>
        </w:rPr>
        <w:t>. If any mutilated Certificate is surrendered to the Company, or the Company receives evidence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the destruction, loss or theft of any Certificate, the Company shall issue a replacement Certificate if the requirements of Section 8-405 of the Uniform Commercial Code are met. If required by the Company, an indemnity and/or the deposit of a bond in such form and in such sum, and with such surety or sureties as the Company may direct, must be supplied by the holder of such lost, destroyed or stolen Certificate that is sufficient in the judgment of the Company to protect the Company from any loss that it may suffer if a Certificate is replaced. The Company may charge for its expenses incurred in connection with replacing a Certificate.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Profits, Losses and Distributions</w:t>
      </w:r>
    </w:p>
    <w:p>
      <w:pPr>
        <w:spacing w:after="0" w:line="205" w:lineRule="exact"/>
        <w:rPr>
          <w:sz w:val="20"/>
          <w:szCs w:val="20"/>
          <w:color w:val="auto"/>
        </w:rPr>
      </w:pPr>
    </w:p>
    <w:p>
      <w:pPr>
        <w:ind w:firstLine="1305"/>
        <w:spacing w:after="0" w:line="284" w:lineRule="auto"/>
        <w:tabs>
          <w:tab w:leader="none" w:pos="15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Profits and Losses</w:t>
      </w:r>
      <w:r>
        <w:rPr>
          <w:rFonts w:ascii="Times New Roman" w:cs="Times New Roman" w:eastAsia="Times New Roman" w:hAnsi="Times New Roman"/>
          <w:sz w:val="18"/>
          <w:szCs w:val="18"/>
          <w:color w:val="auto"/>
        </w:rPr>
        <w:t>. For financial accounting and tax purposes, the Company’s net profits or net losses shall be determined on an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in accordance with the manner determined by the Board. In each year, profits and losses shall be allocated entirely to the Member.</w:t>
      </w:r>
    </w:p>
    <w:p>
      <w:pPr>
        <w:spacing w:after="0" w:line="158" w:lineRule="exact"/>
        <w:rPr>
          <w:rFonts w:ascii="Times New Roman" w:cs="Times New Roman" w:eastAsia="Times New Roman" w:hAnsi="Times New Roman"/>
          <w:sz w:val="18"/>
          <w:szCs w:val="18"/>
          <w:color w:val="auto"/>
        </w:rPr>
      </w:pPr>
    </w:p>
    <w:p>
      <w:pPr>
        <w:jc w:val="both"/>
        <w:ind w:firstLine="1305"/>
        <w:spacing w:after="0" w:line="267" w:lineRule="auto"/>
        <w:tabs>
          <w:tab w:leader="none" w:pos="156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Distributions</w:t>
      </w:r>
      <w:r>
        <w:rPr>
          <w:rFonts w:ascii="Times New Roman" w:cs="Times New Roman" w:eastAsia="Times New Roman" w:hAnsi="Times New Roman"/>
          <w:sz w:val="18"/>
          <w:szCs w:val="18"/>
          <w:color w:val="auto"/>
        </w:rPr>
        <w:t>. The Board shall determine profits available for distribution and the amount, if any, to be distributed to the Member,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authorize and distribute on the Common Interests, the determined amount when, as and if declared by the Board. The distributions of the Company shall be allocated entirely to the Member, provided, however, such distributions are in accordance with the Banking Law.</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Dissolution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shall be dissolved and its affairs wound up only upon the occurrence of any of the following events (each, an “</w:t>
      </w:r>
      <w:r>
        <w:rPr>
          <w:rFonts w:ascii="Times New Roman" w:cs="Times New Roman" w:eastAsia="Times New Roman" w:hAnsi="Times New Roman"/>
          <w:sz w:val="18"/>
          <w:szCs w:val="18"/>
          <w:u w:val="single" w:color="auto"/>
          <w:color w:val="auto"/>
        </w:rPr>
        <w:t>Event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560" w:hanging="255"/>
        <w:spacing w:after="0"/>
        <w:tabs>
          <w:tab w:leader="none" w:pos="1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votes for dissolution; or</w:t>
      </w:r>
    </w:p>
    <w:p>
      <w:pPr>
        <w:spacing w:after="0" w:line="225"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dissolution of the Company under Section 102-a(2) of the Banking Law or Section 701 of the Act.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Transfer of Interests in the Company</w:t>
      </w:r>
    </w:p>
    <w:p>
      <w:pPr>
        <w:spacing w:after="0" w:line="207"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Except upon approval of the Member’s Board in accordance with Section 4.2 of the Member’s Shareholder’s Agreement, the Member may sell, assign, transfer, convey, gift, exchange or otherwise dispose of any or all of its Common Interests and, upon receipt by the Company of a written agreement executed by the person or entity to whom such Common Interests are to be transferred agreeing to be bound by the terms of this Agreement, such person shall be admitted as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Exculpation and Indemnification</w:t>
      </w:r>
    </w:p>
    <w:p>
      <w:pPr>
        <w:spacing w:after="0" w:line="205" w:lineRule="exact"/>
        <w:rPr>
          <w:sz w:val="20"/>
          <w:szCs w:val="20"/>
          <w:color w:val="auto"/>
        </w:rPr>
      </w:pPr>
    </w:p>
    <w:p>
      <w:pPr>
        <w:jc w:val="both"/>
        <w:ind w:firstLine="1305"/>
        <w:spacing w:after="0" w:line="255" w:lineRule="auto"/>
        <w:tabs>
          <w:tab w:leader="none" w:pos="15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Exculpation</w:t>
      </w:r>
      <w:r>
        <w:rPr>
          <w:rFonts w:ascii="Times New Roman" w:cs="Times New Roman" w:eastAsia="Times New Roman" w:hAnsi="Times New Roman"/>
          <w:sz w:val="18"/>
          <w:szCs w:val="18"/>
          <w:color w:val="auto"/>
        </w:rPr>
        <w:t>. The Member shall not have any liability for the obligations or liabilities of the Company except to the extent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Act or Banking Law. Notwithstanding any other provisions of this Agreement, whether express or implied, or any obligation or duty at law or in equity, none of the Member, Managers, or any officers, directors, stockholders, partners, employees, affiliates, representatives or agents of any of the foregoing, nor any officer, employee, representative or agent of the Company (individually,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shall be liable to the Company or any other person for any act or omission (in relation to the Company, its property or the conduct of its business or affairs, this Agreement, any related document or any transaction or investment contemplated hereby or thereby) taken or omitted by a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85" w:lineRule="exact"/>
        <w:rPr>
          <w:rFonts w:ascii="Times New Roman" w:cs="Times New Roman" w:eastAsia="Times New Roman" w:hAnsi="Times New Roman"/>
          <w:sz w:val="18"/>
          <w:szCs w:val="18"/>
          <w:color w:val="auto"/>
        </w:rPr>
      </w:pPr>
    </w:p>
    <w:p>
      <w:pPr>
        <w:jc w:val="both"/>
        <w:ind w:firstLine="1305"/>
        <w:spacing w:after="0" w:line="254" w:lineRule="auto"/>
        <w:tabs>
          <w:tab w:leader="none" w:pos="15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Indemnification</w:t>
      </w:r>
      <w:r>
        <w:rPr>
          <w:rFonts w:ascii="Times New Roman" w:cs="Times New Roman" w:eastAsia="Times New Roman" w:hAnsi="Times New Roman"/>
          <w:sz w:val="18"/>
          <w:szCs w:val="18"/>
          <w:color w:val="auto"/>
        </w:rPr>
        <w:t>. To the fullest extent permitted by law, the Company shall indemnify and hold harmless each Covered Person from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any and all losses, claims, demands, liabilities, expenses, judgments, fines, settlements and other amounts arising from any and all claims, demands, actions, suits or proceedings, civil, criminal, administrative or investigative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8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hereunder or (B) was authorized or consented to by the Board.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Article 8.</w:t>
      </w:r>
    </w:p>
    <w:p>
      <w:pPr>
        <w:spacing w:after="0" w:line="186" w:lineRule="exact"/>
        <w:rPr>
          <w:rFonts w:ascii="Times New Roman" w:cs="Times New Roman" w:eastAsia="Times New Roman" w:hAnsi="Times New Roman"/>
          <w:sz w:val="18"/>
          <w:szCs w:val="18"/>
          <w:color w:val="auto"/>
        </w:rPr>
      </w:pPr>
    </w:p>
    <w:p>
      <w:pPr>
        <w:ind w:firstLine="1305"/>
        <w:spacing w:after="0" w:line="284" w:lineRule="auto"/>
        <w:tabs>
          <w:tab w:leader="none" w:pos="158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Insurance</w:t>
      </w:r>
      <w:r>
        <w:rPr>
          <w:rFonts w:ascii="Times New Roman" w:cs="Times New Roman" w:eastAsia="Times New Roman" w:hAnsi="Times New Roman"/>
          <w:sz w:val="18"/>
          <w:szCs w:val="18"/>
          <w:color w:val="auto"/>
        </w:rPr>
        <w:t>. The Board in its discretion shall have the power to cause the Company to purchase and maintain insurance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and subject to, the Act and Banking Law.</w:t>
      </w:r>
    </w:p>
    <w:p>
      <w:pPr>
        <w:spacing w:after="0" w:line="158" w:lineRule="exact"/>
        <w:rPr>
          <w:rFonts w:ascii="Times New Roman" w:cs="Times New Roman" w:eastAsia="Times New Roman" w:hAnsi="Times New Roman"/>
          <w:sz w:val="18"/>
          <w:szCs w:val="18"/>
          <w:color w:val="auto"/>
        </w:rPr>
      </w:pPr>
    </w:p>
    <w:p>
      <w:pPr>
        <w:jc w:val="both"/>
        <w:ind w:firstLine="1305"/>
        <w:spacing w:after="0" w:line="267" w:lineRule="auto"/>
        <w:tabs>
          <w:tab w:leader="none" w:pos="15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Amendments</w:t>
      </w:r>
      <w:r>
        <w:rPr>
          <w:rFonts w:ascii="Times New Roman" w:cs="Times New Roman" w:eastAsia="Times New Roman" w:hAnsi="Times New Roman"/>
          <w:sz w:val="18"/>
          <w:szCs w:val="18"/>
          <w:color w:val="auto"/>
        </w:rPr>
        <w:t>. Any repeal or modification of this Article 8 by the Member shall not adversely affect any rights of such Covered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this Article 8, including the right to indemnification and to the advancement of expenses of a Covered Person existing at the time of such repeal or modification with respect to any acts or omissions occurring prior to such repeal or modification.</w:t>
      </w:r>
    </w:p>
    <w:p>
      <w:pPr>
        <w:spacing w:after="0" w:line="1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jc w:val="both"/>
        <w:ind w:firstLine="1305"/>
        <w:spacing w:after="0" w:line="267" w:lineRule="auto"/>
        <w:tabs>
          <w:tab w:leader="none" w:pos="15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Treatment</w:t>
      </w:r>
      <w:r>
        <w:rPr>
          <w:rFonts w:ascii="Times New Roman" w:cs="Times New Roman" w:eastAsia="Times New Roman" w:hAnsi="Times New Roman"/>
          <w:sz w:val="18"/>
          <w:szCs w:val="18"/>
          <w:color w:val="auto"/>
        </w:rPr>
        <w:t>. Unless otherwise determined by the Member, the Company shall be a disregarded entity for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(as well as for any analogous state or local tax purposes), and the Member and the Company shall timely make any and all necessary elections and filings for the Company to be treated as a disregarded entity for U.S. federal income tax purposes (as well as for any analogous state or local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5" w:name="page16"/>
    <w:bookmarkEnd w:id="15"/>
    <w:p>
      <w:pPr>
        <w:jc w:val="both"/>
        <w:ind w:left="-20" w:firstLine="1305"/>
        <w:spacing w:after="0" w:line="267" w:lineRule="auto"/>
        <w:tabs>
          <w:tab w:leader="none" w:pos="15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Amendments</w:t>
      </w:r>
      <w:r>
        <w:rPr>
          <w:rFonts w:ascii="Times New Roman" w:cs="Times New Roman" w:eastAsia="Times New Roman" w:hAnsi="Times New Roman"/>
          <w:sz w:val="18"/>
          <w:szCs w:val="18"/>
          <w:color w:val="auto"/>
        </w:rPr>
        <w:t>. Amendments to this Agreement and to the Certificate of Formation shall be approved in writing by the Member.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shall become effective as of the date specified in the approval of the Member or if none is specified as of the date of such approval or as otherwise provided in the Act.</w:t>
      </w:r>
    </w:p>
    <w:p>
      <w:pPr>
        <w:spacing w:after="0" w:line="173" w:lineRule="exact"/>
        <w:rPr>
          <w:rFonts w:ascii="Times New Roman" w:cs="Times New Roman" w:eastAsia="Times New Roman" w:hAnsi="Times New Roman"/>
          <w:sz w:val="18"/>
          <w:szCs w:val="18"/>
          <w:color w:val="auto"/>
        </w:rPr>
      </w:pPr>
    </w:p>
    <w:p>
      <w:pPr>
        <w:jc w:val="both"/>
        <w:ind w:left="-20" w:firstLine="1305"/>
        <w:spacing w:after="0" w:line="259" w:lineRule="auto"/>
        <w:tabs>
          <w:tab w:leader="none" w:pos="16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Severability</w:t>
      </w:r>
      <w:r>
        <w:rPr>
          <w:rFonts w:ascii="Times New Roman" w:cs="Times New Roman" w:eastAsia="Times New Roman" w:hAnsi="Times New Roman"/>
          <w:sz w:val="18"/>
          <w:szCs w:val="18"/>
          <w:color w:val="auto"/>
        </w:rPr>
        <w:t>. If any provision of this Agreement is held to be invalid or unenforceable for any reason, such provision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ineffective to the extent of such invalidity or unenforceability; provided, however, that the remaining provisions will continue in full force without being impaired or invalidated in any way unless such invalid or unenforceable provision or clause shall be so significant as to materially affect the expectations of the Member regarding this Agreement. Otherwise, any invalid or unenforceable provision shall be replaced by the Member with a valid provision which most closely approximates the intent and economic effect of the invalid or unenforceable provision.</w:t>
      </w:r>
    </w:p>
    <w:p>
      <w:pPr>
        <w:spacing w:after="0" w:line="179" w:lineRule="exact"/>
        <w:rPr>
          <w:rFonts w:ascii="Times New Roman" w:cs="Times New Roman" w:eastAsia="Times New Roman" w:hAnsi="Times New Roman"/>
          <w:sz w:val="18"/>
          <w:szCs w:val="18"/>
          <w:color w:val="auto"/>
        </w:rPr>
      </w:pPr>
    </w:p>
    <w:p>
      <w:pPr>
        <w:ind w:left="-20" w:right="20" w:firstLine="1305"/>
        <w:spacing w:after="0" w:line="284" w:lineRule="auto"/>
        <w:tabs>
          <w:tab w:leader="none" w:pos="15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 York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 to the principles of conflicts of laws thereof.</w:t>
      </w:r>
    </w:p>
    <w:p>
      <w:pPr>
        <w:spacing w:after="0" w:line="158" w:lineRule="exact"/>
        <w:rPr>
          <w:rFonts w:ascii="Times New Roman" w:cs="Times New Roman" w:eastAsia="Times New Roman" w:hAnsi="Times New Roman"/>
          <w:sz w:val="18"/>
          <w:szCs w:val="18"/>
          <w:color w:val="auto"/>
        </w:rPr>
      </w:pPr>
    </w:p>
    <w:p>
      <w:pPr>
        <w:ind w:left="-20" w:firstLine="1305"/>
        <w:spacing w:after="0" w:line="284" w:lineRule="auto"/>
        <w:tabs>
          <w:tab w:leader="none" w:pos="16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Limited Liability Trust Company</w:t>
      </w:r>
      <w:r>
        <w:rPr>
          <w:rFonts w:ascii="Times New Roman" w:cs="Times New Roman" w:eastAsia="Times New Roman" w:hAnsi="Times New Roman"/>
          <w:sz w:val="18"/>
          <w:szCs w:val="18"/>
          <w:color w:val="auto"/>
        </w:rPr>
        <w:t>. The Member intends to form a limited liability trust company and does not intend to form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under the laws of the State of New York or any other laws.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60" w:top="403" w:right="239" w:bottom="1440" w:gutter="0" w:footer="0" w:header="0"/>
        </w:sectPr>
      </w:pPr>
    </w:p>
    <w:bookmarkStart w:id="16" w:name="page17"/>
    <w:bookmarkEnd w:id="16"/>
    <w:p>
      <w:pPr>
        <w:ind w:left="100"/>
        <w:spacing w:after="0"/>
        <w:rPr>
          <w:sz w:val="20"/>
          <w:szCs w:val="20"/>
          <w:color w:val="auto"/>
        </w:rPr>
      </w:pPr>
      <w:r>
        <w:rPr>
          <w:rFonts w:ascii="Times New Roman" w:cs="Times New Roman" w:eastAsia="Times New Roman" w:hAnsi="Times New Roman"/>
          <w:sz w:val="18"/>
          <w:szCs w:val="18"/>
          <w:color w:val="auto"/>
        </w:rPr>
        <w:t>IN WITNESS WHEREOF, the undersigned has duly executed this Agreement as of the date first written above.</w:t>
      </w:r>
    </w:p>
    <w:p>
      <w:pPr>
        <w:spacing w:after="0" w:line="2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ARMOR HOLDING II LLC</w:t>
      </w:r>
      <w:r>
        <w:rPr>
          <w:rFonts w:ascii="Times New Roman" w:cs="Times New Roman" w:eastAsia="Times New Roman" w:hAnsi="Times New Roman"/>
          <w:sz w:val="18"/>
          <w:szCs w:val="18"/>
          <w:color w:val="auto"/>
        </w:rPr>
        <w:t>, as sole member</w:t>
      </w:r>
    </w:p>
    <w:p>
      <w:pPr>
        <w:spacing w:after="0" w:line="229"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/s/Martin G. Flanigan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Martin G. Flanigan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-130810</wp:posOffset>
            </wp:positionV>
            <wp:extent cx="2675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[Signature Page to Third Amended and Restated Limited Liability Trust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100"/>
          </w:cols>
          <w:pgMar w:left="1440" w:top="405" w:right="135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CERTIFICATE]</w:t>
      </w:r>
    </w:p>
    <w:p>
      <w:pPr>
        <w:spacing w:after="0" w:line="225" w:lineRule="exact"/>
        <w:rPr>
          <w:sz w:val="20"/>
          <w:szCs w:val="20"/>
          <w:color w:val="auto"/>
        </w:rPr>
      </w:pPr>
    </w:p>
    <w:p>
      <w:pPr>
        <w:spacing w:after="0"/>
        <w:tabs>
          <w:tab w:leader="none" w:pos="9740" w:val="left"/>
        </w:tabs>
        <w:rPr>
          <w:sz w:val="20"/>
          <w:szCs w:val="20"/>
          <w:color w:val="auto"/>
        </w:rPr>
      </w:pPr>
      <w:r>
        <w:rPr>
          <w:rFonts w:ascii="Times New Roman" w:cs="Times New Roman" w:eastAsia="Times New Roman" w:hAnsi="Times New Roman"/>
          <w:sz w:val="20"/>
          <w:szCs w:val="20"/>
          <w:color w:val="auto"/>
        </w:rPr>
        <w:t>Number [*]</w:t>
      </w:r>
      <w:r>
        <w:rPr>
          <w:sz w:val="20"/>
          <w:szCs w:val="20"/>
          <w:color w:val="auto"/>
        </w:rPr>
        <w:tab/>
      </w:r>
      <w:r>
        <w:rPr>
          <w:rFonts w:ascii="Times New Roman" w:cs="Times New Roman" w:eastAsia="Times New Roman" w:hAnsi="Times New Roman"/>
          <w:sz w:val="19"/>
          <w:szCs w:val="19"/>
          <w:color w:val="auto"/>
        </w:rPr>
        <w:t>Common Interest [*]</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STOCK TRANSFER &amp; TRUST COMPANY, LLC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limited liability trust company formed under the laws of the State of New York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Limited Liability Trust Company Common Interest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[Legend]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CERTIFICATE EVIDENCES COMMON INTERESTS IN THE AMERICAN STOCK TRANSFER &amp; TRUST COMPANY, LLC (THE “COMPANY”) AND SHALL BE A SECURITY FOR PURPOSES OF ARTICLE 8 OF THE UNIFORM COMMERCIAL CODE. THE COMMON INTERESTS REPRESENTED BY THIS CERTIFICATE ARE SUBJECT TO THE PROVISIONS OF THE THIRD AMENDED AND RESTATED LIMITED LIABILITY TRUST COMPANY AGREEMENT OF THE COMPANY DATED AS OF JUNE 29, 2015 (AS MAY BE AMENDED, RESTATED, AMENDED AND RESTATED OR OTHERWISE MODIFIED FROM TIME TO TIME, THE “LLTC AGREEMENT”). A COPY OF THE LLTC AGREEMENT WILL BE FURNISHED TO THE RECORD HOLDER OF THIS CERTIFICATE WITHOUT CHARGE UPON WRITTEN REQUEST TO THE COMPANY AT ITS PRINCIPAL PLACE OF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Certifies that _________________________________ is the owner of _______ fully paid and non-assessable Common Interests of the above-named</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Company and is entitled to the full benefits and privileges of such Common Interest, subject to the duties and obligations, as more fully set forth in the Agreements. This Certificate is transferable on the books of the Company by the holder hereof in person or by duly authorized attorney upon surrender of this Certificate properly endorsed.</w:t>
      </w:r>
    </w:p>
    <w:p>
      <w:pPr>
        <w:spacing w:after="0" w:line="182"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said Limited Liability Company has caused this Certificate, and the Common Interest it represents,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its duly authorized officer this ___ day of ______, 20__.</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28555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to Third Amended and Restated Limited Liability Trust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14</w:t>
      </w:r>
      <w:r>
        <w:rPr>
          <w:rFonts w:ascii="Times New Roman" w:cs="Times New Roman" w:eastAsia="Times New Roman" w:hAnsi="Times New Roman"/>
          <w:sz w:val="18"/>
          <w:szCs w:val="18"/>
          <w:color w:val="auto"/>
        </w:rPr>
        <w:t>, 2017</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provisions of Section 321 (b) of the Trust Indenture Act of 1939, and subject to the limitations therein contained, American Stock Transfer &amp; Trust Company, LLC hereby consents that reports of examinations of said corporation by Federal, State, Territorial or District authorities may be furnished by such authorities to you upon request therefor.</w:t>
      </w:r>
    </w:p>
    <w:p>
      <w:pPr>
        <w:spacing w:after="0" w:line="17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AMERICAN STOCK TRANSFER</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&amp; TRUST COMPANY,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ind w:left="7420"/>
              <w:spacing w:after="0"/>
              <w:rPr>
                <w:sz w:val="20"/>
                <w:szCs w:val="20"/>
                <w:color w:val="auto"/>
              </w:rPr>
            </w:pPr>
            <w:r>
              <w:rPr>
                <w:rFonts w:ascii="Times New Roman" w:cs="Times New Roman" w:eastAsia="Times New Roman" w:hAnsi="Times New Roman"/>
                <w:sz w:val="18"/>
                <w:szCs w:val="18"/>
                <w:color w:val="auto"/>
                <w:w w:val="99"/>
              </w:rPr>
              <w:t>By:</w:t>
            </w:r>
          </w:p>
        </w:tc>
        <w:tc>
          <w:tcPr>
            <w:tcW w:w="37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/s/ Paul H. Kim</w:t>
            </w:r>
          </w:p>
        </w:tc>
      </w:tr>
      <w:tr>
        <w:trPr>
          <w:trHeight w:val="191"/>
        </w:trPr>
        <w:tc>
          <w:tcPr>
            <w:tcW w:w="7700" w:type="dxa"/>
            <w:vAlign w:val="bottom"/>
          </w:tcPr>
          <w:p>
            <w:pPr>
              <w:spacing w:after="0"/>
              <w:rPr>
                <w:sz w:val="16"/>
                <w:szCs w:val="16"/>
                <w:color w:val="auto"/>
              </w:rPr>
            </w:pPr>
          </w:p>
        </w:tc>
        <w:tc>
          <w:tcPr>
            <w:tcW w:w="3720" w:type="dxa"/>
            <w:vAlign w:val="bottom"/>
          </w:tcPr>
          <w:p>
            <w:pPr>
              <w:ind w:left="620"/>
              <w:spacing w:after="0" w:line="191" w:lineRule="exact"/>
              <w:rPr>
                <w:sz w:val="20"/>
                <w:szCs w:val="20"/>
                <w:color w:val="auto"/>
              </w:rPr>
            </w:pPr>
            <w:r>
              <w:rPr>
                <w:rFonts w:ascii="Times New Roman" w:cs="Times New Roman" w:eastAsia="Times New Roman" w:hAnsi="Times New Roman"/>
                <w:sz w:val="18"/>
                <w:szCs w:val="18"/>
                <w:color w:val="auto"/>
              </w:rPr>
              <w:t>Name: Paul H. Kim</w:t>
            </w:r>
          </w:p>
        </w:tc>
      </w:tr>
      <w:tr>
        <w:trPr>
          <w:trHeight w:val="234"/>
        </w:trPr>
        <w:tc>
          <w:tcPr>
            <w:tcW w:w="7700" w:type="dxa"/>
            <w:vAlign w:val="bottom"/>
          </w:tcPr>
          <w:p>
            <w:pPr>
              <w:spacing w:after="0"/>
              <w:rPr>
                <w:sz w:val="20"/>
                <w:szCs w:val="20"/>
                <w:color w:val="auto"/>
              </w:rPr>
            </w:pPr>
          </w:p>
        </w:tc>
        <w:tc>
          <w:tcPr>
            <w:tcW w:w="37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Title: Assistant General Counsel</w:t>
            </w:r>
          </w:p>
        </w:tc>
      </w:tr>
      <w:tr>
        <w:trPr>
          <w:trHeight w:val="277"/>
        </w:trPr>
        <w:tc>
          <w:tcPr>
            <w:tcW w:w="7700" w:type="dxa"/>
            <w:vAlign w:val="bottom"/>
            <w:tcBorders>
              <w:bottom w:val="single" w:sz="8" w:color="C0C0C0"/>
            </w:tcBorders>
          </w:tcPr>
          <w:p>
            <w:pPr>
              <w:spacing w:after="0"/>
              <w:rPr>
                <w:sz w:val="24"/>
                <w:szCs w:val="24"/>
                <w:color w:val="auto"/>
              </w:rPr>
            </w:pPr>
          </w:p>
        </w:tc>
        <w:tc>
          <w:tcPr>
            <w:tcW w:w="37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7</w:t>
            </w:r>
          </w:p>
        </w:tc>
      </w:tr>
      <w:tr>
        <w:trPr>
          <w:trHeight w:val="343"/>
        </w:trPr>
        <w:tc>
          <w:tcPr>
            <w:tcW w:w="7640" w:type="dxa"/>
            <w:vAlign w:val="bottom"/>
          </w:tcPr>
          <w:p>
            <w:pPr>
              <w:spacing w:after="0"/>
              <w:rPr>
                <w:sz w:val="20"/>
                <w:szCs w:val="20"/>
                <w:color w:val="auto"/>
              </w:rPr>
            </w:pPr>
            <w:r>
              <w:rPr>
                <w:rFonts w:ascii="Arial" w:cs="Arial" w:eastAsia="Arial" w:hAnsi="Arial"/>
                <w:sz w:val="14"/>
                <w:szCs w:val="14"/>
                <w:color w:val="auto"/>
              </w:rPr>
              <w:t>December 2016 FFIEC 041  American Stock Transfer &amp; Trust Company, LLC - ID RSSD# 0000009050</w:t>
            </w:r>
          </w:p>
        </w:tc>
        <w:tc>
          <w:tcPr>
            <w:tcW w:w="3780" w:type="dxa"/>
            <w:vAlign w:val="bottom"/>
            <w:gridSpan w:val="3"/>
          </w:tcPr>
          <w:p>
            <w:pPr>
              <w:jc w:val="right"/>
              <w:spacing w:after="0"/>
              <w:rPr>
                <w:sz w:val="20"/>
                <w:szCs w:val="20"/>
                <w:color w:val="auto"/>
              </w:rPr>
            </w:pPr>
            <w:r>
              <w:rPr>
                <w:rFonts w:ascii="Arial" w:cs="Arial" w:eastAsia="Arial" w:hAnsi="Arial"/>
                <w:sz w:val="14"/>
                <w:szCs w:val="14"/>
                <w:color w:val="auto"/>
              </w:rPr>
              <w:t>Printed: 01/30/2017 - 02:02 pm</w:t>
            </w:r>
          </w:p>
        </w:tc>
      </w:tr>
      <w:tr>
        <w:trPr>
          <w:trHeight w:val="143"/>
        </w:trPr>
        <w:tc>
          <w:tcPr>
            <w:tcW w:w="76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Pr>
          <w:p>
            <w:pPr>
              <w:spacing w:after="0"/>
              <w:rPr>
                <w:sz w:val="12"/>
                <w:szCs w:val="12"/>
                <w:color w:val="auto"/>
              </w:rPr>
            </w:pPr>
          </w:p>
        </w:tc>
      </w:tr>
      <w:tr>
        <w:trPr>
          <w:trHeight w:val="237"/>
        </w:trPr>
        <w:tc>
          <w:tcPr>
            <w:tcW w:w="7640" w:type="dxa"/>
            <w:vAlign w:val="bottom"/>
          </w:tcPr>
          <w:p>
            <w:pPr>
              <w:spacing w:after="0"/>
              <w:rPr>
                <w:sz w:val="20"/>
                <w:szCs w:val="20"/>
                <w:color w:val="auto"/>
              </w:rPr>
            </w:pPr>
          </w:p>
        </w:tc>
        <w:tc>
          <w:tcPr>
            <w:tcW w:w="2220" w:type="dxa"/>
            <w:vAlign w:val="bottom"/>
            <w:tcBorders>
              <w:right w:val="single" w:sz="8" w:color="auto"/>
            </w:tcBorders>
          </w:tcPr>
          <w:p>
            <w:pPr>
              <w:ind w:left="1060"/>
              <w:spacing w:after="0"/>
              <w:rPr>
                <w:sz w:val="20"/>
                <w:szCs w:val="20"/>
                <w:color w:val="auto"/>
              </w:rPr>
            </w:pPr>
            <w:r>
              <w:rPr>
                <w:rFonts w:ascii="Arial" w:cs="Arial" w:eastAsia="Arial" w:hAnsi="Arial"/>
                <w:sz w:val="14"/>
                <w:szCs w:val="14"/>
                <w:color w:val="auto"/>
              </w:rPr>
              <w:t>Schedule RC</w:t>
            </w:r>
          </w:p>
        </w:tc>
        <w:tc>
          <w:tcPr>
            <w:tcW w:w="4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b w:val="1"/>
                <w:bCs w:val="1"/>
                <w:color w:val="auto"/>
              </w:rPr>
              <w:t>15</w:t>
            </w:r>
          </w:p>
        </w:tc>
        <w:tc>
          <w:tcPr>
            <w:tcW w:w="1120" w:type="dxa"/>
            <w:vAlign w:val="bottom"/>
          </w:tcPr>
          <w:p>
            <w:pPr>
              <w:spacing w:after="0"/>
              <w:rPr>
                <w:sz w:val="20"/>
                <w:szCs w:val="20"/>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Report of Condition for Insured Banks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Savings Associations for December 31, 2016</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All schedules are to be reported in thousands of dollars. Unless otherwise indicated, report the amount outstanding as of the last business day of the quarter.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RC—Balance Sheet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 w:type="dxa"/>
            <w:vAlign w:val="bottom"/>
            <w:tcBorders>
              <w:bottom w:val="single" w:sz="8" w:color="auto"/>
            </w:tcBorders>
          </w:tcPr>
          <w:p>
            <w:pPr>
              <w:spacing w:after="0"/>
              <w:rPr>
                <w:sz w:val="15"/>
                <w:szCs w:val="15"/>
                <w:color w:val="auto"/>
              </w:rPr>
            </w:pPr>
          </w:p>
        </w:tc>
        <w:tc>
          <w:tcPr>
            <w:tcW w:w="5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Dollar Amounts in Thousands</w:t>
            </w:r>
          </w:p>
        </w:tc>
        <w:tc>
          <w:tcPr>
            <w:tcW w:w="420" w:type="dxa"/>
            <w:vAlign w:val="bottom"/>
            <w:tcBorders>
              <w:bottom w:val="single" w:sz="8" w:color="auto"/>
              <w:right w:val="single" w:sz="8" w:color="auto"/>
            </w:tcBorders>
          </w:tcPr>
          <w:p>
            <w:pPr>
              <w:spacing w:after="0"/>
              <w:rPr>
                <w:sz w:val="15"/>
                <w:szCs w:val="15"/>
                <w:color w:val="auto"/>
              </w:rPr>
            </w:pPr>
          </w:p>
        </w:tc>
        <w:tc>
          <w:tcPr>
            <w:tcW w:w="1160" w:type="dxa"/>
            <w:vAlign w:val="bottom"/>
            <w:tcBorders>
              <w:top w:val="single" w:sz="8" w:color="auto"/>
              <w:bottom w:val="single" w:sz="8" w:color="auto"/>
              <w:right w:val="single" w:sz="8" w:color="auto"/>
            </w:tcBorders>
          </w:tcPr>
          <w:p>
            <w:pPr>
              <w:spacing w:after="0"/>
              <w:rPr>
                <w:sz w:val="15"/>
                <w:szCs w:val="15"/>
                <w:color w:val="auto"/>
              </w:rPr>
            </w:pPr>
          </w:p>
        </w:tc>
        <w:tc>
          <w:tcPr>
            <w:tcW w:w="1100" w:type="dxa"/>
            <w:vAlign w:val="bottom"/>
            <w:tcBorders>
              <w:top w:val="single" w:sz="8" w:color="auto"/>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Amount</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right w:val="single" w:sz="8" w:color="BEBEBE"/>
            </w:tcBorders>
            <w:shd w:val="clear" w:color="auto" w:fill="BEBEBE"/>
          </w:tcPr>
          <w:p>
            <w:pPr>
              <w:spacing w:after="0"/>
              <w:rPr>
                <w:sz w:val="13"/>
                <w:szCs w:val="13"/>
                <w:color w:val="auto"/>
              </w:rPr>
            </w:pPr>
          </w:p>
        </w:tc>
        <w:tc>
          <w:tcPr>
            <w:tcW w:w="1100" w:type="dxa"/>
            <w:vAlign w:val="bottom"/>
            <w:tcBorders>
              <w:right w:val="single" w:sz="8" w:color="auto"/>
            </w:tcBorders>
            <w:shd w:val="clear" w:color="auto" w:fill="BEBEB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jc w:val="right"/>
              <w:spacing w:after="0" w:line="147" w:lineRule="exact"/>
              <w:rPr>
                <w:sz w:val="20"/>
                <w:szCs w:val="20"/>
                <w:color w:val="auto"/>
              </w:rPr>
            </w:pPr>
            <w:r>
              <w:rPr>
                <w:rFonts w:ascii="Arial" w:cs="Arial" w:eastAsia="Arial" w:hAnsi="Arial"/>
                <w:sz w:val="14"/>
                <w:szCs w:val="14"/>
                <w:color w:val="auto"/>
              </w:rPr>
              <w:t>1.</w:t>
            </w:r>
          </w:p>
        </w:tc>
        <w:tc>
          <w:tcPr>
            <w:tcW w:w="5140" w:type="dxa"/>
            <w:vAlign w:val="bottom"/>
          </w:tcPr>
          <w:p>
            <w:pPr>
              <w:ind w:left="20"/>
              <w:spacing w:after="0" w:line="147" w:lineRule="exact"/>
              <w:rPr>
                <w:sz w:val="20"/>
                <w:szCs w:val="20"/>
                <w:color w:val="auto"/>
              </w:rPr>
            </w:pPr>
            <w:r>
              <w:rPr>
                <w:rFonts w:ascii="Arial" w:cs="Arial" w:eastAsia="Arial" w:hAnsi="Arial"/>
                <w:sz w:val="14"/>
                <w:szCs w:val="14"/>
                <w:color w:val="auto"/>
              </w:rPr>
              <w:t>Cash and balances due from depository institutions (from Schedule RC-A):</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BEBEBE"/>
            </w:tcBorders>
            <w:shd w:val="clear" w:color="auto" w:fill="BEBEBE"/>
          </w:tcPr>
          <w:p>
            <w:pPr>
              <w:spacing w:after="0"/>
              <w:rPr>
                <w:sz w:val="13"/>
                <w:szCs w:val="13"/>
                <w:color w:val="auto"/>
              </w:rPr>
            </w:pPr>
          </w:p>
        </w:tc>
        <w:tc>
          <w:tcPr>
            <w:tcW w:w="1100" w:type="dxa"/>
            <w:vAlign w:val="bottom"/>
            <w:tcBorders>
              <w:bottom w:val="single" w:sz="8" w:color="auto"/>
              <w:right w:val="single" w:sz="8" w:color="auto"/>
            </w:tcBorders>
            <w:shd w:val="clear" w:color="auto" w:fill="BEBEB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60" w:type="dxa"/>
            <w:vAlign w:val="bottom"/>
            <w:gridSpan w:val="2"/>
          </w:tcPr>
          <w:p>
            <w:pPr>
              <w:ind w:left="280"/>
              <w:spacing w:after="0" w:line="161" w:lineRule="exact"/>
              <w:rPr>
                <w:sz w:val="20"/>
                <w:szCs w:val="20"/>
                <w:color w:val="auto"/>
              </w:rPr>
            </w:pPr>
            <w:r>
              <w:rPr>
                <w:rFonts w:ascii="Arial" w:cs="Arial" w:eastAsia="Arial" w:hAnsi="Arial"/>
                <w:sz w:val="12"/>
                <w:szCs w:val="12"/>
                <w:color w:val="auto"/>
              </w:rPr>
              <w:t xml:space="preserve">a. Noninterest-bearing balances and currency and coin </w:t>
            </w:r>
            <w:r>
              <w:rPr>
                <w:rFonts w:ascii="Arial" w:cs="Arial" w:eastAsia="Arial" w:hAnsi="Arial"/>
                <w:sz w:val="18"/>
                <w:szCs w:val="18"/>
                <w:color w:val="auto"/>
                <w:vertAlign w:val="superscript"/>
              </w:rPr>
              <w:t>(1)</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RCON0081</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400" w:type="dxa"/>
            <w:vAlign w:val="bottom"/>
          </w:tcPr>
          <w:p>
            <w:pPr>
              <w:ind w:left="80"/>
              <w:spacing w:after="0"/>
              <w:rPr>
                <w:sz w:val="20"/>
                <w:szCs w:val="20"/>
                <w:color w:val="auto"/>
              </w:rPr>
            </w:pPr>
            <w:r>
              <w:rPr>
                <w:rFonts w:ascii="Arial" w:cs="Arial" w:eastAsia="Arial" w:hAnsi="Arial"/>
                <w:sz w:val="14"/>
                <w:szCs w:val="14"/>
                <w:color w:val="auto"/>
              </w:rPr>
              <w:t>1.a.</w:t>
            </w:r>
          </w:p>
        </w:tc>
        <w:tc>
          <w:tcPr>
            <w:tcW w:w="0" w:type="dxa"/>
            <w:vAlign w:val="bottom"/>
          </w:tcPr>
          <w:p>
            <w:pPr>
              <w:spacing w:after="0"/>
              <w:rPr>
                <w:sz w:val="1"/>
                <w:szCs w:val="1"/>
                <w:color w:val="auto"/>
              </w:rPr>
            </w:pPr>
          </w:p>
        </w:tc>
      </w:tr>
      <w:tr>
        <w:trPr>
          <w:trHeight w:val="176"/>
        </w:trPr>
        <w:tc>
          <w:tcPr>
            <w:tcW w:w="5460" w:type="dxa"/>
            <w:vAlign w:val="bottom"/>
            <w:gridSpan w:val="2"/>
          </w:tcPr>
          <w:p>
            <w:pPr>
              <w:ind w:left="280"/>
              <w:spacing w:after="0" w:line="176" w:lineRule="exact"/>
              <w:rPr>
                <w:sz w:val="20"/>
                <w:szCs w:val="20"/>
                <w:color w:val="auto"/>
              </w:rPr>
            </w:pPr>
            <w:r>
              <w:rPr>
                <w:rFonts w:ascii="Arial" w:cs="Arial" w:eastAsia="Arial" w:hAnsi="Arial"/>
                <w:sz w:val="13"/>
                <w:szCs w:val="13"/>
                <w:color w:val="auto"/>
              </w:rPr>
              <w:t xml:space="preserve">b. Interest-bearing balances </w:t>
            </w:r>
            <w:r>
              <w:rPr>
                <w:rFonts w:ascii="Arial" w:cs="Arial" w:eastAsia="Arial" w:hAnsi="Arial"/>
                <w:sz w:val="20"/>
                <w:szCs w:val="20"/>
                <w:color w:val="auto"/>
                <w:vertAlign w:val="superscript"/>
              </w:rPr>
              <w:t>(2)</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RCON0071</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2,292</w:t>
            </w:r>
          </w:p>
        </w:tc>
        <w:tc>
          <w:tcPr>
            <w:tcW w:w="400" w:type="dxa"/>
            <w:vAlign w:val="bottom"/>
          </w:tcPr>
          <w:p>
            <w:pPr>
              <w:ind w:left="80"/>
              <w:spacing w:after="0"/>
              <w:rPr>
                <w:sz w:val="20"/>
                <w:szCs w:val="20"/>
                <w:color w:val="auto"/>
              </w:rPr>
            </w:pPr>
            <w:r>
              <w:rPr>
                <w:rFonts w:ascii="Arial" w:cs="Arial" w:eastAsia="Arial" w:hAnsi="Arial"/>
                <w:sz w:val="14"/>
                <w:szCs w:val="14"/>
                <w:color w:val="auto"/>
              </w:rPr>
              <w:t>1.b.</w:t>
            </w:r>
          </w:p>
        </w:tc>
        <w:tc>
          <w:tcPr>
            <w:tcW w:w="0" w:type="dxa"/>
            <w:vAlign w:val="bottom"/>
          </w:tcPr>
          <w:p>
            <w:pPr>
              <w:spacing w:after="0"/>
              <w:rPr>
                <w:sz w:val="1"/>
                <w:szCs w:val="1"/>
                <w:color w:val="auto"/>
              </w:rPr>
            </w:pPr>
          </w:p>
        </w:tc>
      </w:tr>
      <w:tr>
        <w:trPr>
          <w:trHeight w:val="156"/>
        </w:trPr>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c>
          <w:tcPr>
            <w:tcW w:w="5140" w:type="dxa"/>
            <w:vAlign w:val="bottom"/>
          </w:tcPr>
          <w:p>
            <w:pPr>
              <w:ind w:left="20"/>
              <w:spacing w:after="0" w:line="155" w:lineRule="exact"/>
              <w:rPr>
                <w:sz w:val="20"/>
                <w:szCs w:val="20"/>
                <w:color w:val="auto"/>
              </w:rPr>
            </w:pPr>
            <w:r>
              <w:rPr>
                <w:rFonts w:ascii="Arial" w:cs="Arial" w:eastAsia="Arial" w:hAnsi="Arial"/>
                <w:sz w:val="14"/>
                <w:szCs w:val="14"/>
                <w:color w:val="auto"/>
              </w:rPr>
              <w:t>Securities:</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BEBEBE"/>
            </w:tcBorders>
            <w:shd w:val="clear" w:color="auto" w:fill="BEBEBE"/>
          </w:tcPr>
          <w:p>
            <w:pPr>
              <w:spacing w:after="0"/>
              <w:rPr>
                <w:sz w:val="13"/>
                <w:szCs w:val="13"/>
                <w:color w:val="auto"/>
              </w:rPr>
            </w:pPr>
          </w:p>
        </w:tc>
        <w:tc>
          <w:tcPr>
            <w:tcW w:w="1100" w:type="dxa"/>
            <w:vAlign w:val="bottom"/>
            <w:tcBorders>
              <w:bottom w:val="single" w:sz="8" w:color="auto"/>
              <w:right w:val="single" w:sz="8" w:color="auto"/>
            </w:tcBorders>
            <w:shd w:val="clear" w:color="auto" w:fill="BEBEBE"/>
          </w:tcPr>
          <w:p>
            <w:pPr>
              <w:spacing w:after="0"/>
              <w:rPr>
                <w:sz w:val="13"/>
                <w:szCs w:val="13"/>
                <w:color w:val="auto"/>
              </w:rPr>
            </w:pPr>
          </w:p>
        </w:tc>
        <w:tc>
          <w:tcPr>
            <w:tcW w:w="400" w:type="dxa"/>
            <w:vAlign w:val="bottom"/>
            <w:vMerge w:val="restart"/>
          </w:tcPr>
          <w:p>
            <w:pPr>
              <w:ind w:left="80"/>
              <w:spacing w:after="0"/>
              <w:rPr>
                <w:sz w:val="20"/>
                <w:szCs w:val="20"/>
                <w:color w:val="auto"/>
              </w:rPr>
            </w:pPr>
            <w:r>
              <w:rPr>
                <w:rFonts w:ascii="Arial" w:cs="Arial" w:eastAsia="Arial" w:hAnsi="Arial"/>
                <w:sz w:val="14"/>
                <w:szCs w:val="14"/>
                <w:color w:val="auto"/>
              </w:rPr>
              <w:t>2.a.</w:t>
            </w:r>
          </w:p>
        </w:tc>
        <w:tc>
          <w:tcPr>
            <w:tcW w:w="0" w:type="dxa"/>
            <w:vAlign w:val="bottom"/>
          </w:tcPr>
          <w:p>
            <w:pPr>
              <w:spacing w:after="0"/>
              <w:rPr>
                <w:sz w:val="1"/>
                <w:szCs w:val="1"/>
                <w:color w:val="auto"/>
              </w:rPr>
            </w:pPr>
          </w:p>
        </w:tc>
      </w:tr>
      <w:tr>
        <w:trPr>
          <w:trHeight w:val="156"/>
        </w:trPr>
        <w:tc>
          <w:tcPr>
            <w:tcW w:w="546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a. Held-to-maturity securities (from Schedule RC-B, column A)</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RCON1754</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6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b. Available-for-sale securities (from Schedule RC-B, column D)</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RCON1773</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c>
          <w:tcPr>
            <w:tcW w:w="400" w:type="dxa"/>
            <w:vAlign w:val="bottom"/>
          </w:tcPr>
          <w:p>
            <w:pPr>
              <w:ind w:left="80"/>
              <w:spacing w:after="0" w:line="155" w:lineRule="exact"/>
              <w:rPr>
                <w:sz w:val="20"/>
                <w:szCs w:val="20"/>
                <w:color w:val="auto"/>
              </w:rPr>
            </w:pPr>
            <w:r>
              <w:rPr>
                <w:rFonts w:ascii="Arial" w:cs="Arial" w:eastAsia="Arial" w:hAnsi="Arial"/>
                <w:sz w:val="14"/>
                <w:szCs w:val="14"/>
                <w:color w:val="auto"/>
              </w:rPr>
              <w:t>2.b.</w:t>
            </w:r>
          </w:p>
        </w:tc>
        <w:tc>
          <w:tcPr>
            <w:tcW w:w="0" w:type="dxa"/>
            <w:vAlign w:val="bottom"/>
          </w:tcPr>
          <w:p>
            <w:pPr>
              <w:spacing w:after="0"/>
              <w:rPr>
                <w:sz w:val="1"/>
                <w:szCs w:val="1"/>
                <w:color w:val="auto"/>
              </w:rPr>
            </w:pPr>
          </w:p>
        </w:tc>
      </w:tr>
      <w:tr>
        <w:trPr>
          <w:trHeight w:val="156"/>
        </w:trPr>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5140" w:type="dxa"/>
            <w:vAlign w:val="bottom"/>
          </w:tcPr>
          <w:p>
            <w:pPr>
              <w:ind w:left="20"/>
              <w:spacing w:after="0" w:line="155" w:lineRule="exact"/>
              <w:rPr>
                <w:sz w:val="20"/>
                <w:szCs w:val="20"/>
                <w:color w:val="auto"/>
              </w:rPr>
            </w:pPr>
            <w:r>
              <w:rPr>
                <w:rFonts w:ascii="Arial" w:cs="Arial" w:eastAsia="Arial" w:hAnsi="Arial"/>
                <w:sz w:val="14"/>
                <w:szCs w:val="14"/>
                <w:color w:val="auto"/>
              </w:rPr>
              <w:t>Federal funds sold and securities purchased under agreements to resell:</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BEBEBE"/>
            </w:tcBorders>
            <w:shd w:val="clear" w:color="auto" w:fill="BEBEBE"/>
          </w:tcPr>
          <w:p>
            <w:pPr>
              <w:spacing w:after="0"/>
              <w:rPr>
                <w:sz w:val="13"/>
                <w:szCs w:val="13"/>
                <w:color w:val="auto"/>
              </w:rPr>
            </w:pPr>
          </w:p>
        </w:tc>
        <w:tc>
          <w:tcPr>
            <w:tcW w:w="1100" w:type="dxa"/>
            <w:vAlign w:val="bottom"/>
            <w:tcBorders>
              <w:bottom w:val="single" w:sz="8" w:color="auto"/>
              <w:right w:val="single" w:sz="8" w:color="auto"/>
            </w:tcBorders>
            <w:shd w:val="clear" w:color="auto" w:fill="BEBEBE"/>
          </w:tcPr>
          <w:p>
            <w:pPr>
              <w:spacing w:after="0"/>
              <w:rPr>
                <w:sz w:val="13"/>
                <w:szCs w:val="13"/>
                <w:color w:val="auto"/>
              </w:rPr>
            </w:pPr>
          </w:p>
        </w:tc>
        <w:tc>
          <w:tcPr>
            <w:tcW w:w="400" w:type="dxa"/>
            <w:vAlign w:val="bottom"/>
            <w:vMerge w:val="restart"/>
          </w:tcPr>
          <w:p>
            <w:pPr>
              <w:ind w:left="80"/>
              <w:spacing w:after="0"/>
              <w:rPr>
                <w:sz w:val="20"/>
                <w:szCs w:val="20"/>
                <w:color w:val="auto"/>
              </w:rPr>
            </w:pPr>
            <w:r>
              <w:rPr>
                <w:rFonts w:ascii="Arial" w:cs="Arial" w:eastAsia="Arial" w:hAnsi="Arial"/>
                <w:sz w:val="14"/>
                <w:szCs w:val="14"/>
                <w:color w:val="auto"/>
              </w:rPr>
              <w:t>3.a.</w:t>
            </w:r>
          </w:p>
        </w:tc>
        <w:tc>
          <w:tcPr>
            <w:tcW w:w="0" w:type="dxa"/>
            <w:vAlign w:val="bottom"/>
          </w:tcPr>
          <w:p>
            <w:pPr>
              <w:spacing w:after="0"/>
              <w:rPr>
                <w:sz w:val="1"/>
                <w:szCs w:val="1"/>
                <w:color w:val="auto"/>
              </w:rPr>
            </w:pPr>
          </w:p>
        </w:tc>
      </w:tr>
      <w:tr>
        <w:trPr>
          <w:trHeight w:val="149"/>
        </w:trPr>
        <w:tc>
          <w:tcPr>
            <w:tcW w:w="5460" w:type="dxa"/>
            <w:vAlign w:val="bottom"/>
            <w:gridSpan w:val="2"/>
          </w:tcPr>
          <w:p>
            <w:pPr>
              <w:ind w:left="280"/>
              <w:spacing w:after="0" w:line="141" w:lineRule="exact"/>
              <w:rPr>
                <w:sz w:val="20"/>
                <w:szCs w:val="20"/>
                <w:color w:val="auto"/>
              </w:rPr>
            </w:pPr>
            <w:r>
              <w:rPr>
                <w:rFonts w:ascii="Arial" w:cs="Arial" w:eastAsia="Arial" w:hAnsi="Arial"/>
                <w:sz w:val="14"/>
                <w:szCs w:val="14"/>
                <w:color w:val="auto"/>
              </w:rPr>
              <w:t>a. Federal funds sold</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right"/>
              <w:ind w:right="28"/>
              <w:spacing w:after="0" w:line="141" w:lineRule="exact"/>
              <w:rPr>
                <w:sz w:val="20"/>
                <w:szCs w:val="20"/>
                <w:color w:val="auto"/>
              </w:rPr>
            </w:pPr>
            <w:r>
              <w:rPr>
                <w:rFonts w:ascii="Arial" w:cs="Arial" w:eastAsia="Arial" w:hAnsi="Arial"/>
                <w:sz w:val="14"/>
                <w:szCs w:val="14"/>
                <w:color w:val="auto"/>
              </w:rPr>
              <w:t>RCONB987</w:t>
            </w:r>
          </w:p>
        </w:tc>
        <w:tc>
          <w:tcPr>
            <w:tcW w:w="11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4"/>
                <w:szCs w:val="14"/>
                <w:color w:val="auto"/>
              </w:rPr>
              <w:t>0</w:t>
            </w: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460" w:type="dxa"/>
            <w:vAlign w:val="bottom"/>
            <w:gridSpan w:val="2"/>
          </w:tcPr>
          <w:p>
            <w:pPr>
              <w:ind w:left="280"/>
              <w:spacing w:after="0" w:line="176" w:lineRule="exact"/>
              <w:rPr>
                <w:sz w:val="20"/>
                <w:szCs w:val="20"/>
                <w:color w:val="auto"/>
              </w:rPr>
            </w:pPr>
            <w:r>
              <w:rPr>
                <w:rFonts w:ascii="Arial" w:cs="Arial" w:eastAsia="Arial" w:hAnsi="Arial"/>
                <w:sz w:val="13"/>
                <w:szCs w:val="13"/>
                <w:color w:val="auto"/>
              </w:rPr>
              <w:t xml:space="preserve">b. Securities purchased under agreements to resell </w:t>
            </w:r>
            <w:r>
              <w:rPr>
                <w:rFonts w:ascii="Arial" w:cs="Arial" w:eastAsia="Arial" w:hAnsi="Arial"/>
                <w:sz w:val="20"/>
                <w:szCs w:val="20"/>
                <w:color w:val="auto"/>
                <w:vertAlign w:val="superscript"/>
              </w:rPr>
              <w:t>(3)</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RCONB989</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400" w:type="dxa"/>
            <w:vAlign w:val="bottom"/>
          </w:tcPr>
          <w:p>
            <w:pPr>
              <w:ind w:left="80"/>
              <w:spacing w:after="0"/>
              <w:rPr>
                <w:sz w:val="20"/>
                <w:szCs w:val="20"/>
                <w:color w:val="auto"/>
              </w:rPr>
            </w:pPr>
            <w:r>
              <w:rPr>
                <w:rFonts w:ascii="Arial" w:cs="Arial" w:eastAsia="Arial" w:hAnsi="Arial"/>
                <w:sz w:val="14"/>
                <w:szCs w:val="14"/>
                <w:color w:val="auto"/>
              </w:rPr>
              <w:t>3.b.</w:t>
            </w:r>
          </w:p>
        </w:tc>
        <w:tc>
          <w:tcPr>
            <w:tcW w:w="0" w:type="dxa"/>
            <w:vAlign w:val="bottom"/>
          </w:tcPr>
          <w:p>
            <w:pPr>
              <w:spacing w:after="0"/>
              <w:rPr>
                <w:sz w:val="1"/>
                <w:szCs w:val="1"/>
                <w:color w:val="auto"/>
              </w:rPr>
            </w:pPr>
          </w:p>
        </w:tc>
      </w:tr>
      <w:tr>
        <w:trPr>
          <w:trHeight w:val="156"/>
        </w:trPr>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c>
          <w:tcPr>
            <w:tcW w:w="5140" w:type="dxa"/>
            <w:vAlign w:val="bottom"/>
          </w:tcPr>
          <w:p>
            <w:pPr>
              <w:ind w:left="20"/>
              <w:spacing w:after="0" w:line="155" w:lineRule="exact"/>
              <w:rPr>
                <w:sz w:val="20"/>
                <w:szCs w:val="20"/>
                <w:color w:val="auto"/>
              </w:rPr>
            </w:pPr>
            <w:r>
              <w:rPr>
                <w:rFonts w:ascii="Arial" w:cs="Arial" w:eastAsia="Arial" w:hAnsi="Arial"/>
                <w:sz w:val="14"/>
                <w:szCs w:val="14"/>
                <w:color w:val="auto"/>
              </w:rPr>
              <w:t>Loans and lease financing receivables (from Schedule RC-C):</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BEBEBE"/>
            </w:tcBorders>
            <w:shd w:val="clear" w:color="auto" w:fill="BEBEBE"/>
          </w:tcPr>
          <w:p>
            <w:pPr>
              <w:spacing w:after="0"/>
              <w:rPr>
                <w:sz w:val="13"/>
                <w:szCs w:val="13"/>
                <w:color w:val="auto"/>
              </w:rPr>
            </w:pPr>
          </w:p>
        </w:tc>
        <w:tc>
          <w:tcPr>
            <w:tcW w:w="1100" w:type="dxa"/>
            <w:vAlign w:val="bottom"/>
            <w:tcBorders>
              <w:bottom w:val="single" w:sz="8" w:color="auto"/>
              <w:right w:val="single" w:sz="8" w:color="auto"/>
            </w:tcBorders>
            <w:shd w:val="clear" w:color="auto" w:fill="BEBEBE"/>
          </w:tcPr>
          <w:p>
            <w:pPr>
              <w:spacing w:after="0"/>
              <w:rPr>
                <w:sz w:val="13"/>
                <w:szCs w:val="13"/>
                <w:color w:val="auto"/>
              </w:rPr>
            </w:pPr>
          </w:p>
        </w:tc>
        <w:tc>
          <w:tcPr>
            <w:tcW w:w="400" w:type="dxa"/>
            <w:vAlign w:val="bottom"/>
            <w:vMerge w:val="restart"/>
          </w:tcPr>
          <w:p>
            <w:pPr>
              <w:ind w:left="80"/>
              <w:spacing w:after="0"/>
              <w:rPr>
                <w:sz w:val="20"/>
                <w:szCs w:val="20"/>
                <w:color w:val="auto"/>
              </w:rPr>
            </w:pPr>
            <w:r>
              <w:rPr>
                <w:rFonts w:ascii="Arial" w:cs="Arial" w:eastAsia="Arial" w:hAnsi="Arial"/>
                <w:sz w:val="14"/>
                <w:szCs w:val="14"/>
                <w:color w:val="auto"/>
              </w:rPr>
              <w:t>4.a.</w:t>
            </w:r>
          </w:p>
        </w:tc>
        <w:tc>
          <w:tcPr>
            <w:tcW w:w="0" w:type="dxa"/>
            <w:vAlign w:val="bottom"/>
          </w:tcPr>
          <w:p>
            <w:pPr>
              <w:spacing w:after="0"/>
              <w:rPr>
                <w:sz w:val="1"/>
                <w:szCs w:val="1"/>
                <w:color w:val="auto"/>
              </w:rPr>
            </w:pPr>
          </w:p>
        </w:tc>
      </w:tr>
      <w:tr>
        <w:trPr>
          <w:trHeight w:val="156"/>
        </w:trPr>
        <w:tc>
          <w:tcPr>
            <w:tcW w:w="546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a. Loans and leases held for sale</w:t>
            </w:r>
          </w:p>
        </w:tc>
        <w:tc>
          <w:tcPr>
            <w:tcW w:w="2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RCON5369</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6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b. Loans and leases, net of unearned income</w:t>
            </w:r>
          </w:p>
        </w:tc>
        <w:tc>
          <w:tcPr>
            <w:tcW w:w="280" w:type="dxa"/>
            <w:vAlign w:val="bottom"/>
            <w:tcBorders>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RCONB528</w:t>
            </w: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0</w:t>
            </w:r>
          </w:p>
        </w:tc>
        <w:tc>
          <w:tcPr>
            <w:tcW w:w="1160" w:type="dxa"/>
            <w:vAlign w:val="bottom"/>
            <w:tcBorders>
              <w:bottom w:val="single" w:sz="8" w:color="BEBEBE"/>
              <w:right w:val="single" w:sz="8" w:color="BEBEBE"/>
            </w:tcBorders>
            <w:shd w:val="clear" w:color="auto" w:fill="BEBEBE"/>
          </w:tcPr>
          <w:p>
            <w:pPr>
              <w:spacing w:after="0"/>
              <w:rPr>
                <w:sz w:val="13"/>
                <w:szCs w:val="13"/>
                <w:color w:val="auto"/>
              </w:rPr>
            </w:pPr>
          </w:p>
        </w:tc>
        <w:tc>
          <w:tcPr>
            <w:tcW w:w="1100" w:type="dxa"/>
            <w:vAlign w:val="bottom"/>
            <w:tcBorders>
              <w:bottom w:val="single" w:sz="8" w:color="BEBEBE"/>
              <w:right w:val="single" w:sz="8" w:color="auto"/>
            </w:tcBorders>
            <w:shd w:val="clear" w:color="auto" w:fill="BEBEBE"/>
          </w:tcPr>
          <w:p>
            <w:pPr>
              <w:spacing w:after="0"/>
              <w:rPr>
                <w:sz w:val="13"/>
                <w:szCs w:val="13"/>
                <w:color w:val="auto"/>
              </w:rPr>
            </w:pPr>
          </w:p>
        </w:tc>
        <w:tc>
          <w:tcPr>
            <w:tcW w:w="400" w:type="dxa"/>
            <w:vAlign w:val="bottom"/>
          </w:tcPr>
          <w:p>
            <w:pPr>
              <w:ind w:left="80"/>
              <w:spacing w:after="0" w:line="155" w:lineRule="exact"/>
              <w:rPr>
                <w:sz w:val="20"/>
                <w:szCs w:val="20"/>
                <w:color w:val="auto"/>
              </w:rPr>
            </w:pPr>
            <w:r>
              <w:rPr>
                <w:rFonts w:ascii="Arial" w:cs="Arial" w:eastAsia="Arial" w:hAnsi="Arial"/>
                <w:sz w:val="14"/>
                <w:szCs w:val="14"/>
                <w:color w:val="auto"/>
              </w:rPr>
              <w:t>4.b.</w:t>
            </w:r>
          </w:p>
        </w:tc>
        <w:tc>
          <w:tcPr>
            <w:tcW w:w="0" w:type="dxa"/>
            <w:vAlign w:val="bottom"/>
          </w:tcPr>
          <w:p>
            <w:pPr>
              <w:spacing w:after="0"/>
              <w:rPr>
                <w:sz w:val="1"/>
                <w:szCs w:val="1"/>
                <w:color w:val="auto"/>
              </w:rPr>
            </w:pPr>
          </w:p>
        </w:tc>
      </w:tr>
      <w:tr>
        <w:trPr>
          <w:trHeight w:val="156"/>
        </w:trPr>
        <w:tc>
          <w:tcPr>
            <w:tcW w:w="546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c. LESS: Allowance for loan and lease losses</w:t>
            </w:r>
          </w:p>
        </w:tc>
        <w:tc>
          <w:tcPr>
            <w:tcW w:w="280" w:type="dxa"/>
            <w:vAlign w:val="bottom"/>
            <w:tcBorders>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RCON3123</w:t>
            </w: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0</w:t>
            </w:r>
          </w:p>
        </w:tc>
        <w:tc>
          <w:tcPr>
            <w:tcW w:w="1160" w:type="dxa"/>
            <w:vAlign w:val="bottom"/>
            <w:tcBorders>
              <w:bottom w:val="single" w:sz="8" w:color="auto"/>
              <w:right w:val="single" w:sz="8" w:color="BEBEBE"/>
            </w:tcBorders>
            <w:shd w:val="clear" w:color="auto" w:fill="BEBEBE"/>
          </w:tcPr>
          <w:p>
            <w:pPr>
              <w:spacing w:after="0"/>
              <w:rPr>
                <w:sz w:val="13"/>
                <w:szCs w:val="13"/>
                <w:color w:val="auto"/>
              </w:rPr>
            </w:pPr>
          </w:p>
        </w:tc>
        <w:tc>
          <w:tcPr>
            <w:tcW w:w="1100" w:type="dxa"/>
            <w:vAlign w:val="bottom"/>
            <w:tcBorders>
              <w:bottom w:val="single" w:sz="8" w:color="auto"/>
              <w:right w:val="single" w:sz="8" w:color="auto"/>
            </w:tcBorders>
            <w:shd w:val="clear" w:color="auto" w:fill="BEBEBE"/>
          </w:tcPr>
          <w:p>
            <w:pPr>
              <w:spacing w:after="0"/>
              <w:rPr>
                <w:sz w:val="13"/>
                <w:szCs w:val="13"/>
                <w:color w:val="auto"/>
              </w:rPr>
            </w:pPr>
          </w:p>
        </w:tc>
        <w:tc>
          <w:tcPr>
            <w:tcW w:w="400" w:type="dxa"/>
            <w:vAlign w:val="bottom"/>
          </w:tcPr>
          <w:p>
            <w:pPr>
              <w:ind w:left="80"/>
              <w:spacing w:after="0" w:line="155" w:lineRule="exact"/>
              <w:rPr>
                <w:sz w:val="20"/>
                <w:szCs w:val="20"/>
                <w:color w:val="auto"/>
              </w:rPr>
            </w:pPr>
            <w:r>
              <w:rPr>
                <w:rFonts w:ascii="Arial" w:cs="Arial" w:eastAsia="Arial" w:hAnsi="Arial"/>
                <w:sz w:val="14"/>
                <w:szCs w:val="14"/>
                <w:color w:val="auto"/>
              </w:rPr>
              <w:t>4.c.</w:t>
            </w:r>
          </w:p>
        </w:tc>
        <w:tc>
          <w:tcPr>
            <w:tcW w:w="0" w:type="dxa"/>
            <w:vAlign w:val="bottom"/>
          </w:tcPr>
          <w:p>
            <w:pPr>
              <w:spacing w:after="0"/>
              <w:rPr>
                <w:sz w:val="1"/>
                <w:szCs w:val="1"/>
                <w:color w:val="auto"/>
              </w:rPr>
            </w:pPr>
          </w:p>
        </w:tc>
      </w:tr>
      <w:tr>
        <w:trPr>
          <w:trHeight w:val="156"/>
        </w:trPr>
        <w:tc>
          <w:tcPr>
            <w:tcW w:w="546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d. Loans and leases, net of unearned income and allowance (item 4.b minus 4.c)</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RCONB529</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c>
          <w:tcPr>
            <w:tcW w:w="400" w:type="dxa"/>
            <w:vAlign w:val="bottom"/>
          </w:tcPr>
          <w:p>
            <w:pPr>
              <w:ind w:left="80"/>
              <w:spacing w:after="0" w:line="155" w:lineRule="exact"/>
              <w:rPr>
                <w:sz w:val="20"/>
                <w:szCs w:val="20"/>
                <w:color w:val="auto"/>
              </w:rPr>
            </w:pPr>
            <w:r>
              <w:rPr>
                <w:rFonts w:ascii="Arial" w:cs="Arial" w:eastAsia="Arial" w:hAnsi="Arial"/>
                <w:sz w:val="14"/>
                <w:szCs w:val="14"/>
                <w:color w:val="auto"/>
              </w:rPr>
              <w:t>4.d.</w:t>
            </w:r>
          </w:p>
        </w:tc>
        <w:tc>
          <w:tcPr>
            <w:tcW w:w="0" w:type="dxa"/>
            <w:vAlign w:val="bottom"/>
          </w:tcPr>
          <w:p>
            <w:pPr>
              <w:spacing w:after="0"/>
              <w:rPr>
                <w:sz w:val="1"/>
                <w:szCs w:val="1"/>
                <w:color w:val="auto"/>
              </w:rPr>
            </w:pPr>
          </w:p>
        </w:tc>
      </w:tr>
      <w:tr>
        <w:trPr>
          <w:trHeight w:val="156"/>
        </w:trPr>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5.</w:t>
            </w:r>
          </w:p>
        </w:tc>
        <w:tc>
          <w:tcPr>
            <w:tcW w:w="5140" w:type="dxa"/>
            <w:vAlign w:val="bottom"/>
          </w:tcPr>
          <w:p>
            <w:pPr>
              <w:ind w:left="20"/>
              <w:spacing w:after="0" w:line="155" w:lineRule="exact"/>
              <w:rPr>
                <w:sz w:val="20"/>
                <w:szCs w:val="20"/>
                <w:color w:val="auto"/>
              </w:rPr>
            </w:pPr>
            <w:r>
              <w:rPr>
                <w:rFonts w:ascii="Arial" w:cs="Arial" w:eastAsia="Arial" w:hAnsi="Arial"/>
                <w:sz w:val="14"/>
                <w:szCs w:val="14"/>
                <w:color w:val="auto"/>
              </w:rPr>
              <w:t>Trading assets (from Schedule RC-D)</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RCON3545</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c>
          <w:tcPr>
            <w:tcW w:w="400" w:type="dxa"/>
            <w:vAlign w:val="bottom"/>
          </w:tcPr>
          <w:p>
            <w:pPr>
              <w:ind w:left="80"/>
              <w:spacing w:after="0" w:line="155"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6"/>
        </w:trPr>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5140" w:type="dxa"/>
            <w:vAlign w:val="bottom"/>
          </w:tcPr>
          <w:p>
            <w:pPr>
              <w:ind w:left="20"/>
              <w:spacing w:after="0" w:line="155" w:lineRule="exact"/>
              <w:rPr>
                <w:sz w:val="20"/>
                <w:szCs w:val="20"/>
                <w:color w:val="auto"/>
              </w:rPr>
            </w:pPr>
            <w:r>
              <w:rPr>
                <w:rFonts w:ascii="Arial" w:cs="Arial" w:eastAsia="Arial" w:hAnsi="Arial"/>
                <w:sz w:val="14"/>
                <w:szCs w:val="14"/>
                <w:color w:val="auto"/>
              </w:rPr>
              <w:t>Premises and fixed assets (including capitalized leases)</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RCON2145</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18,790</w:t>
            </w:r>
          </w:p>
        </w:tc>
        <w:tc>
          <w:tcPr>
            <w:tcW w:w="400" w:type="dxa"/>
            <w:vAlign w:val="bottom"/>
          </w:tcPr>
          <w:p>
            <w:pPr>
              <w:ind w:left="80"/>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6"/>
        </w:trPr>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7.</w:t>
            </w:r>
          </w:p>
        </w:tc>
        <w:tc>
          <w:tcPr>
            <w:tcW w:w="5140" w:type="dxa"/>
            <w:vAlign w:val="bottom"/>
          </w:tcPr>
          <w:p>
            <w:pPr>
              <w:ind w:left="20"/>
              <w:spacing w:after="0" w:line="155" w:lineRule="exact"/>
              <w:rPr>
                <w:sz w:val="20"/>
                <w:szCs w:val="20"/>
                <w:color w:val="auto"/>
              </w:rPr>
            </w:pPr>
            <w:r>
              <w:rPr>
                <w:rFonts w:ascii="Arial" w:cs="Arial" w:eastAsia="Arial" w:hAnsi="Arial"/>
                <w:sz w:val="14"/>
                <w:szCs w:val="14"/>
                <w:color w:val="auto"/>
              </w:rPr>
              <w:t>Other real estate owned (from Schedule RC-M)</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RCON2150</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20,978</w:t>
            </w:r>
          </w:p>
        </w:tc>
        <w:tc>
          <w:tcPr>
            <w:tcW w:w="400" w:type="dxa"/>
            <w:vAlign w:val="bottom"/>
          </w:tcPr>
          <w:p>
            <w:pPr>
              <w:ind w:left="80"/>
              <w:spacing w:after="0" w:line="155"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6"/>
        </w:trPr>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8.</w:t>
            </w:r>
          </w:p>
        </w:tc>
        <w:tc>
          <w:tcPr>
            <w:tcW w:w="5140" w:type="dxa"/>
            <w:vAlign w:val="bottom"/>
          </w:tcPr>
          <w:p>
            <w:pPr>
              <w:ind w:left="20"/>
              <w:spacing w:after="0" w:line="155" w:lineRule="exact"/>
              <w:rPr>
                <w:sz w:val="20"/>
                <w:szCs w:val="20"/>
                <w:color w:val="auto"/>
              </w:rPr>
            </w:pPr>
            <w:r>
              <w:rPr>
                <w:rFonts w:ascii="Arial" w:cs="Arial" w:eastAsia="Arial" w:hAnsi="Arial"/>
                <w:sz w:val="14"/>
                <w:szCs w:val="14"/>
                <w:color w:val="auto"/>
              </w:rPr>
              <w:t>Investments in unconsolidated subsidiaries and associated companies</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RCON2130</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c>
          <w:tcPr>
            <w:tcW w:w="400" w:type="dxa"/>
            <w:vAlign w:val="bottom"/>
          </w:tcPr>
          <w:p>
            <w:pPr>
              <w:ind w:left="80"/>
              <w:spacing w:after="0" w:line="155"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6"/>
        </w:trPr>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9.</w:t>
            </w:r>
          </w:p>
        </w:tc>
        <w:tc>
          <w:tcPr>
            <w:tcW w:w="5140" w:type="dxa"/>
            <w:vAlign w:val="bottom"/>
          </w:tcPr>
          <w:p>
            <w:pPr>
              <w:ind w:left="20"/>
              <w:spacing w:after="0" w:line="155" w:lineRule="exact"/>
              <w:rPr>
                <w:sz w:val="20"/>
                <w:szCs w:val="20"/>
                <w:color w:val="auto"/>
              </w:rPr>
            </w:pPr>
            <w:r>
              <w:rPr>
                <w:rFonts w:ascii="Arial" w:cs="Arial" w:eastAsia="Arial" w:hAnsi="Arial"/>
                <w:sz w:val="14"/>
                <w:szCs w:val="14"/>
                <w:color w:val="auto"/>
              </w:rPr>
              <w:t>Direct and indirect investments in real estate ventures</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RCON3656</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c>
          <w:tcPr>
            <w:tcW w:w="400" w:type="dxa"/>
            <w:vAlign w:val="bottom"/>
          </w:tcPr>
          <w:p>
            <w:pPr>
              <w:ind w:left="80"/>
              <w:spacing w:after="0" w:line="155"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6"/>
        </w:trPr>
        <w:tc>
          <w:tcPr>
            <w:tcW w:w="546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10. Intangible assets:</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BEBEBE"/>
            </w:tcBorders>
            <w:shd w:val="clear" w:color="auto" w:fill="BEBEBE"/>
          </w:tcPr>
          <w:p>
            <w:pPr>
              <w:spacing w:after="0"/>
              <w:rPr>
                <w:sz w:val="13"/>
                <w:szCs w:val="13"/>
                <w:color w:val="auto"/>
              </w:rPr>
            </w:pPr>
          </w:p>
        </w:tc>
        <w:tc>
          <w:tcPr>
            <w:tcW w:w="1100" w:type="dxa"/>
            <w:vAlign w:val="bottom"/>
            <w:tcBorders>
              <w:bottom w:val="single" w:sz="8" w:color="auto"/>
              <w:right w:val="single" w:sz="8" w:color="auto"/>
            </w:tcBorders>
            <w:shd w:val="clear" w:color="auto" w:fill="BEBEBE"/>
          </w:tcPr>
          <w:p>
            <w:pPr>
              <w:spacing w:after="0"/>
              <w:rPr>
                <w:sz w:val="13"/>
                <w:szCs w:val="13"/>
                <w:color w:val="auto"/>
              </w:rPr>
            </w:pPr>
          </w:p>
        </w:tc>
        <w:tc>
          <w:tcPr>
            <w:tcW w:w="400" w:type="dxa"/>
            <w:vAlign w:val="bottom"/>
            <w:vMerge w:val="restart"/>
          </w:tcPr>
          <w:p>
            <w:pPr>
              <w:ind w:left="80"/>
              <w:spacing w:after="0"/>
              <w:rPr>
                <w:sz w:val="20"/>
                <w:szCs w:val="20"/>
                <w:color w:val="auto"/>
              </w:rPr>
            </w:pPr>
            <w:r>
              <w:rPr>
                <w:rFonts w:ascii="Arial" w:cs="Arial" w:eastAsia="Arial" w:hAnsi="Arial"/>
                <w:sz w:val="14"/>
                <w:szCs w:val="14"/>
                <w:color w:val="auto"/>
                <w:w w:val="96"/>
              </w:rPr>
              <w:t>10.a.</w:t>
            </w:r>
          </w:p>
        </w:tc>
        <w:tc>
          <w:tcPr>
            <w:tcW w:w="0" w:type="dxa"/>
            <w:vAlign w:val="bottom"/>
          </w:tcPr>
          <w:p>
            <w:pPr>
              <w:spacing w:after="0"/>
              <w:rPr>
                <w:sz w:val="1"/>
                <w:szCs w:val="1"/>
                <w:color w:val="auto"/>
              </w:rPr>
            </w:pPr>
          </w:p>
        </w:tc>
      </w:tr>
      <w:tr>
        <w:trPr>
          <w:trHeight w:val="156"/>
        </w:trPr>
        <w:tc>
          <w:tcPr>
            <w:tcW w:w="546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a. Goodwill</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RCON3163</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270,264</w:t>
            </w: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6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b. Other intangible assets (from Schedule RC-M)</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RCON0426</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206,856</w:t>
            </w:r>
          </w:p>
        </w:tc>
        <w:tc>
          <w:tcPr>
            <w:tcW w:w="400" w:type="dxa"/>
            <w:vAlign w:val="bottom"/>
          </w:tcPr>
          <w:p>
            <w:pPr>
              <w:ind w:left="80"/>
              <w:spacing w:after="0" w:line="155" w:lineRule="exact"/>
              <w:rPr>
                <w:sz w:val="20"/>
                <w:szCs w:val="20"/>
                <w:color w:val="auto"/>
              </w:rPr>
            </w:pPr>
            <w:r>
              <w:rPr>
                <w:rFonts w:ascii="Arial" w:cs="Arial" w:eastAsia="Arial" w:hAnsi="Arial"/>
                <w:sz w:val="14"/>
                <w:szCs w:val="14"/>
                <w:color w:val="auto"/>
                <w:w w:val="96"/>
              </w:rPr>
              <w:t>10.b.</w:t>
            </w:r>
          </w:p>
        </w:tc>
        <w:tc>
          <w:tcPr>
            <w:tcW w:w="0" w:type="dxa"/>
            <w:vAlign w:val="bottom"/>
          </w:tcPr>
          <w:p>
            <w:pPr>
              <w:spacing w:after="0"/>
              <w:rPr>
                <w:sz w:val="1"/>
                <w:szCs w:val="1"/>
                <w:color w:val="auto"/>
              </w:rPr>
            </w:pPr>
          </w:p>
        </w:tc>
      </w:tr>
      <w:tr>
        <w:trPr>
          <w:trHeight w:val="156"/>
        </w:trPr>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11.</w:t>
            </w:r>
          </w:p>
        </w:tc>
        <w:tc>
          <w:tcPr>
            <w:tcW w:w="5140" w:type="dxa"/>
            <w:vAlign w:val="bottom"/>
          </w:tcPr>
          <w:p>
            <w:pPr>
              <w:ind w:left="20"/>
              <w:spacing w:after="0" w:line="155" w:lineRule="exact"/>
              <w:rPr>
                <w:sz w:val="20"/>
                <w:szCs w:val="20"/>
                <w:color w:val="auto"/>
              </w:rPr>
            </w:pPr>
            <w:r>
              <w:rPr>
                <w:rFonts w:ascii="Arial" w:cs="Arial" w:eastAsia="Arial" w:hAnsi="Arial"/>
                <w:sz w:val="14"/>
                <w:szCs w:val="14"/>
                <w:color w:val="auto"/>
              </w:rPr>
              <w:t>Other assets (from Schedule RC-F)</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RCON2160</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37,288</w:t>
            </w:r>
          </w:p>
        </w:tc>
        <w:tc>
          <w:tcPr>
            <w:tcW w:w="400" w:type="dxa"/>
            <w:vAlign w:val="bottom"/>
          </w:tcPr>
          <w:p>
            <w:pPr>
              <w:ind w:left="80"/>
              <w:spacing w:after="0" w:line="15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6"/>
        </w:trPr>
        <w:tc>
          <w:tcPr>
            <w:tcW w:w="546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12. Total assets (sum of items 1 through 11)</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RCON2170</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556,567</w:t>
            </w:r>
          </w:p>
        </w:tc>
        <w:tc>
          <w:tcPr>
            <w:tcW w:w="400" w:type="dxa"/>
            <w:vAlign w:val="bottom"/>
          </w:tcPr>
          <w:p>
            <w:pPr>
              <w:ind w:left="80"/>
              <w:spacing w:after="0" w:line="155"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0890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6"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cash items in process or collection and unposted debits.</w:t>
      </w:r>
    </w:p>
    <w:p>
      <w:pPr>
        <w:spacing w:after="0" w:line="19" w:lineRule="exact"/>
        <w:rPr>
          <w:rFonts w:ascii="Arial" w:cs="Arial" w:eastAsia="Arial" w:hAnsi="Arial"/>
          <w:sz w:val="14"/>
          <w:szCs w:val="14"/>
          <w:color w:val="auto"/>
        </w:rPr>
      </w:pPr>
    </w:p>
    <w:p>
      <w:pPr>
        <w:ind w:left="360" w:hanging="352"/>
        <w:spacing w:after="0"/>
        <w:tabs>
          <w:tab w:leader="none" w:pos="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time certificates of deposit not held for trading.</w:t>
      </w:r>
    </w:p>
    <w:p>
      <w:pPr>
        <w:spacing w:after="0" w:line="1" w:lineRule="exact"/>
        <w:rPr>
          <w:rFonts w:ascii="Arial" w:cs="Arial" w:eastAsia="Arial" w:hAnsi="Arial"/>
          <w:sz w:val="14"/>
          <w:szCs w:val="14"/>
          <w:color w:val="auto"/>
        </w:rPr>
      </w:pPr>
    </w:p>
    <w:p>
      <w:pPr>
        <w:ind w:left="360" w:hanging="352"/>
        <w:spacing w:after="0"/>
        <w:tabs>
          <w:tab w:leader="none" w:pos="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all securities resale agreements, regardless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4"/>
        </w:trPr>
        <w:tc>
          <w:tcPr>
            <w:tcW w:w="7640" w:type="dxa"/>
            <w:vAlign w:val="bottom"/>
          </w:tcPr>
          <w:p>
            <w:pPr>
              <w:spacing w:after="0"/>
              <w:rPr>
                <w:sz w:val="20"/>
                <w:szCs w:val="20"/>
                <w:color w:val="auto"/>
              </w:rPr>
            </w:pPr>
            <w:r>
              <w:rPr>
                <w:rFonts w:ascii="Arial" w:cs="Arial" w:eastAsia="Arial" w:hAnsi="Arial"/>
                <w:sz w:val="14"/>
                <w:szCs w:val="14"/>
                <w:color w:val="auto"/>
              </w:rPr>
              <w:t>December 2016 FFIEC 041  American Stock Transfer &amp; Trust Company, LLC - ID RSSD# 0000009050</w:t>
            </w:r>
          </w:p>
        </w:tc>
        <w:tc>
          <w:tcPr>
            <w:tcW w:w="3780" w:type="dxa"/>
            <w:vAlign w:val="bottom"/>
            <w:gridSpan w:val="3"/>
          </w:tcPr>
          <w:p>
            <w:pPr>
              <w:ind w:left="1800"/>
              <w:spacing w:after="0"/>
              <w:rPr>
                <w:sz w:val="20"/>
                <w:szCs w:val="20"/>
                <w:color w:val="auto"/>
              </w:rPr>
            </w:pPr>
            <w:r>
              <w:rPr>
                <w:rFonts w:ascii="Arial" w:cs="Arial" w:eastAsia="Arial" w:hAnsi="Arial"/>
                <w:sz w:val="14"/>
                <w:szCs w:val="14"/>
                <w:color w:val="auto"/>
              </w:rPr>
              <w:t>Printed: 01/30/2017 - 02:02 pm</w:t>
            </w:r>
          </w:p>
        </w:tc>
      </w:tr>
      <w:tr>
        <w:trPr>
          <w:trHeight w:val="143"/>
        </w:trPr>
        <w:tc>
          <w:tcPr>
            <w:tcW w:w="76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Pr>
          <w:p>
            <w:pPr>
              <w:spacing w:after="0"/>
              <w:rPr>
                <w:sz w:val="12"/>
                <w:szCs w:val="12"/>
                <w:color w:val="auto"/>
              </w:rPr>
            </w:pPr>
          </w:p>
        </w:tc>
      </w:tr>
      <w:tr>
        <w:trPr>
          <w:trHeight w:val="237"/>
        </w:trPr>
        <w:tc>
          <w:tcPr>
            <w:tcW w:w="7640" w:type="dxa"/>
            <w:vAlign w:val="bottom"/>
          </w:tcPr>
          <w:p>
            <w:pPr>
              <w:spacing w:after="0"/>
              <w:rPr>
                <w:sz w:val="20"/>
                <w:szCs w:val="20"/>
                <w:color w:val="auto"/>
              </w:rPr>
            </w:pPr>
          </w:p>
        </w:tc>
        <w:tc>
          <w:tcPr>
            <w:tcW w:w="2220" w:type="dxa"/>
            <w:vAlign w:val="bottom"/>
            <w:tcBorders>
              <w:right w:val="single" w:sz="8" w:color="auto"/>
            </w:tcBorders>
          </w:tcPr>
          <w:p>
            <w:pPr>
              <w:ind w:left="1060"/>
              <w:spacing w:after="0"/>
              <w:rPr>
                <w:sz w:val="20"/>
                <w:szCs w:val="20"/>
                <w:color w:val="auto"/>
              </w:rPr>
            </w:pPr>
            <w:r>
              <w:rPr>
                <w:rFonts w:ascii="Arial" w:cs="Arial" w:eastAsia="Arial" w:hAnsi="Arial"/>
                <w:sz w:val="14"/>
                <w:szCs w:val="14"/>
                <w:color w:val="auto"/>
              </w:rPr>
              <w:t>Schedule RC</w:t>
            </w:r>
          </w:p>
        </w:tc>
        <w:tc>
          <w:tcPr>
            <w:tcW w:w="4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b w:val="1"/>
                <w:bCs w:val="1"/>
                <w:color w:val="auto"/>
              </w:rPr>
              <w:t>16</w:t>
            </w:r>
          </w:p>
        </w:tc>
        <w:tc>
          <w:tcPr>
            <w:tcW w:w="1120" w:type="dxa"/>
            <w:vAlign w:val="bottom"/>
          </w:tcPr>
          <w:p>
            <w:pPr>
              <w:spacing w:after="0"/>
              <w:rPr>
                <w:sz w:val="20"/>
                <w:szCs w:val="20"/>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RC—Continued</w:t>
      </w:r>
    </w:p>
    <w:p>
      <w:pPr>
        <w:sectPr>
          <w:pgSz w:w="11900" w:h="16838" w:orient="portrait"/>
          <w:cols w:equalWidth="0" w:num="1">
            <w:col w:w="11420"/>
          </w:cols>
          <w:pgMar w:left="240" w:top="410" w:right="239" w:bottom="1440" w:gutter="0" w:footer="0" w:header="0"/>
        </w:sectPr>
      </w:pP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 w:type="dxa"/>
            <w:vAlign w:val="bottom"/>
            <w:tcBorders>
              <w:bottom w:val="single" w:sz="8" w:color="auto"/>
            </w:tcBorders>
          </w:tcPr>
          <w:p>
            <w:pPr>
              <w:spacing w:after="0"/>
              <w:rPr>
                <w:sz w:val="15"/>
                <w:szCs w:val="15"/>
                <w:color w:val="auto"/>
              </w:rPr>
            </w:pPr>
          </w:p>
        </w:tc>
        <w:tc>
          <w:tcPr>
            <w:tcW w:w="50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color w:val="auto"/>
              </w:rPr>
              <w:t>Dollar Amounts in Thousands</w:t>
            </w:r>
          </w:p>
        </w:tc>
        <w:tc>
          <w:tcPr>
            <w:tcW w:w="420" w:type="dxa"/>
            <w:vAlign w:val="bottom"/>
            <w:tcBorders>
              <w:bottom w:val="single" w:sz="8" w:color="auto"/>
              <w:right w:val="single" w:sz="8" w:color="auto"/>
            </w:tcBorders>
          </w:tcPr>
          <w:p>
            <w:pPr>
              <w:spacing w:after="0"/>
              <w:rPr>
                <w:sz w:val="15"/>
                <w:szCs w:val="15"/>
                <w:color w:val="auto"/>
              </w:rPr>
            </w:pPr>
          </w:p>
        </w:tc>
        <w:tc>
          <w:tcPr>
            <w:tcW w:w="1160" w:type="dxa"/>
            <w:vAlign w:val="bottom"/>
            <w:tcBorders>
              <w:top w:val="single" w:sz="8" w:color="auto"/>
              <w:bottom w:val="single" w:sz="8" w:color="auto"/>
              <w:right w:val="single" w:sz="8" w:color="auto"/>
            </w:tcBorders>
          </w:tcPr>
          <w:p>
            <w:pPr>
              <w:spacing w:after="0"/>
              <w:rPr>
                <w:sz w:val="15"/>
                <w:szCs w:val="15"/>
                <w:color w:val="auto"/>
              </w:rPr>
            </w:pPr>
          </w:p>
        </w:tc>
        <w:tc>
          <w:tcPr>
            <w:tcW w:w="1100" w:type="dxa"/>
            <w:vAlign w:val="bottom"/>
            <w:tcBorders>
              <w:top w:val="single" w:sz="8" w:color="auto"/>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Amount</w:t>
            </w:r>
          </w:p>
        </w:tc>
      </w:tr>
      <w:tr>
        <w:trPr>
          <w:trHeight w:val="156"/>
        </w:trPr>
        <w:tc>
          <w:tcPr>
            <w:tcW w:w="542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Liabilities</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right w:val="single" w:sz="8" w:color="BEBEBE"/>
            </w:tcBorders>
            <w:shd w:val="clear" w:color="auto" w:fill="BEBEBE"/>
          </w:tcPr>
          <w:p>
            <w:pPr>
              <w:spacing w:after="0"/>
              <w:rPr>
                <w:sz w:val="13"/>
                <w:szCs w:val="13"/>
                <w:color w:val="auto"/>
              </w:rPr>
            </w:pPr>
          </w:p>
        </w:tc>
        <w:tc>
          <w:tcPr>
            <w:tcW w:w="1100" w:type="dxa"/>
            <w:vAlign w:val="bottom"/>
            <w:tcBorders>
              <w:right w:val="single" w:sz="8" w:color="auto"/>
            </w:tcBorders>
            <w:shd w:val="clear" w:color="auto" w:fill="BEBEBE"/>
          </w:tcPr>
          <w:p>
            <w:pPr>
              <w:spacing w:after="0"/>
              <w:rPr>
                <w:sz w:val="13"/>
                <w:szCs w:val="13"/>
                <w:color w:val="auto"/>
              </w:rPr>
            </w:pPr>
          </w:p>
        </w:tc>
      </w:tr>
      <w:tr>
        <w:trPr>
          <w:trHeight w:val="162"/>
        </w:trPr>
        <w:tc>
          <w:tcPr>
            <w:tcW w:w="340" w:type="dxa"/>
            <w:vAlign w:val="bottom"/>
          </w:tcPr>
          <w:p>
            <w:pPr>
              <w:ind w:left="120"/>
              <w:spacing w:after="0"/>
              <w:rPr>
                <w:sz w:val="20"/>
                <w:szCs w:val="20"/>
                <w:color w:val="auto"/>
              </w:rPr>
            </w:pPr>
            <w:r>
              <w:rPr>
                <w:rFonts w:ascii="Arial" w:cs="Arial" w:eastAsia="Arial" w:hAnsi="Arial"/>
                <w:sz w:val="14"/>
                <w:szCs w:val="14"/>
                <w:color w:val="auto"/>
              </w:rPr>
              <w:t>13.</w:t>
            </w:r>
          </w:p>
        </w:tc>
        <w:tc>
          <w:tcPr>
            <w:tcW w:w="5080" w:type="dxa"/>
            <w:vAlign w:val="bottom"/>
          </w:tcPr>
          <w:p>
            <w:pPr>
              <w:ind w:left="20"/>
              <w:spacing w:after="0"/>
              <w:rPr>
                <w:sz w:val="20"/>
                <w:szCs w:val="20"/>
                <w:color w:val="auto"/>
              </w:rPr>
            </w:pPr>
            <w:r>
              <w:rPr>
                <w:rFonts w:ascii="Arial" w:cs="Arial" w:eastAsia="Arial" w:hAnsi="Arial"/>
                <w:sz w:val="14"/>
                <w:szCs w:val="14"/>
                <w:color w:val="auto"/>
              </w:rPr>
              <w:t>Deposits: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160" w:type="dxa"/>
            <w:vAlign w:val="bottom"/>
            <w:tcBorders>
              <w:bottom w:val="single" w:sz="8" w:color="auto"/>
              <w:right w:val="single" w:sz="8" w:color="BEBEBE"/>
            </w:tcBorders>
            <w:shd w:val="clear" w:color="auto" w:fill="BEBEBE"/>
          </w:tcPr>
          <w:p>
            <w:pPr>
              <w:spacing w:after="0"/>
              <w:rPr>
                <w:sz w:val="14"/>
                <w:szCs w:val="14"/>
                <w:color w:val="auto"/>
              </w:rPr>
            </w:pPr>
          </w:p>
        </w:tc>
        <w:tc>
          <w:tcPr>
            <w:tcW w:w="1100" w:type="dxa"/>
            <w:vAlign w:val="bottom"/>
            <w:tcBorders>
              <w:bottom w:val="single" w:sz="8" w:color="auto"/>
              <w:right w:val="single" w:sz="8" w:color="auto"/>
            </w:tcBorders>
            <w:shd w:val="clear" w:color="auto" w:fill="BEBEBE"/>
          </w:tcPr>
          <w:p>
            <w:pPr>
              <w:spacing w:after="0"/>
              <w:rPr>
                <w:sz w:val="14"/>
                <w:szCs w:val="14"/>
                <w:color w:val="auto"/>
              </w:rPr>
            </w:pPr>
          </w:p>
        </w:tc>
      </w:tr>
      <w:tr>
        <w:trPr>
          <w:trHeight w:val="149"/>
        </w:trPr>
        <w:tc>
          <w:tcPr>
            <w:tcW w:w="5420" w:type="dxa"/>
            <w:vAlign w:val="bottom"/>
            <w:gridSpan w:val="2"/>
          </w:tcPr>
          <w:p>
            <w:pPr>
              <w:ind w:left="280"/>
              <w:spacing w:after="0" w:line="141" w:lineRule="exact"/>
              <w:rPr>
                <w:sz w:val="20"/>
                <w:szCs w:val="20"/>
                <w:color w:val="auto"/>
              </w:rPr>
            </w:pPr>
            <w:r>
              <w:rPr>
                <w:rFonts w:ascii="Arial" w:cs="Arial" w:eastAsia="Arial" w:hAnsi="Arial"/>
                <w:sz w:val="14"/>
                <w:szCs w:val="14"/>
                <w:color w:val="auto"/>
              </w:rPr>
              <w:t>a. In domestic offices (sum of totals of columns A and C from Schedule RC-E)</w:t>
            </w:r>
          </w:p>
        </w:tc>
        <w:tc>
          <w:tcPr>
            <w:tcW w:w="3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right"/>
              <w:ind w:right="28"/>
              <w:spacing w:after="0" w:line="141" w:lineRule="exact"/>
              <w:rPr>
                <w:sz w:val="20"/>
                <w:szCs w:val="20"/>
                <w:color w:val="auto"/>
              </w:rPr>
            </w:pPr>
            <w:r>
              <w:rPr>
                <w:rFonts w:ascii="Arial" w:cs="Arial" w:eastAsia="Arial" w:hAnsi="Arial"/>
                <w:sz w:val="14"/>
                <w:szCs w:val="14"/>
                <w:color w:val="auto"/>
              </w:rPr>
              <w:t>RCON2200</w:t>
            </w:r>
          </w:p>
        </w:tc>
        <w:tc>
          <w:tcPr>
            <w:tcW w:w="11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4"/>
                <w:szCs w:val="14"/>
                <w:color w:val="auto"/>
              </w:rPr>
              <w:t>0</w:t>
            </w:r>
          </w:p>
        </w:tc>
      </w:tr>
      <w:tr>
        <w:trPr>
          <w:trHeight w:val="176"/>
        </w:trPr>
        <w:tc>
          <w:tcPr>
            <w:tcW w:w="34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3"/>
                <w:szCs w:val="13"/>
                <w:color w:val="auto"/>
              </w:rPr>
              <w:t xml:space="preserve">(1) Noninterest-bearing </w:t>
            </w:r>
            <w:r>
              <w:rPr>
                <w:rFonts w:ascii="Arial" w:cs="Arial" w:eastAsia="Arial" w:hAnsi="Arial"/>
                <w:sz w:val="20"/>
                <w:szCs w:val="20"/>
                <w:color w:val="auto"/>
                <w:vertAlign w:val="superscript"/>
              </w:rPr>
              <w:t>(1)</w:t>
            </w:r>
          </w:p>
        </w:tc>
        <w:tc>
          <w:tcPr>
            <w:tcW w:w="320" w:type="dxa"/>
            <w:vAlign w:val="bottom"/>
            <w:tcBorders>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color w:val="auto"/>
              </w:rPr>
              <w:t>RCON6631</w:t>
            </w: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BEBEBE"/>
              <w:right w:val="single" w:sz="8" w:color="BEBEBE"/>
            </w:tcBorders>
            <w:shd w:val="clear" w:color="auto" w:fill="BEBEBE"/>
          </w:tcPr>
          <w:p>
            <w:pPr>
              <w:spacing w:after="0"/>
              <w:rPr>
                <w:sz w:val="15"/>
                <w:szCs w:val="15"/>
                <w:color w:val="auto"/>
              </w:rPr>
            </w:pPr>
          </w:p>
        </w:tc>
        <w:tc>
          <w:tcPr>
            <w:tcW w:w="1100" w:type="dxa"/>
            <w:vAlign w:val="bottom"/>
            <w:tcBorders>
              <w:bottom w:val="single" w:sz="8" w:color="BEBEBE"/>
              <w:right w:val="single" w:sz="8" w:color="auto"/>
            </w:tcBorders>
            <w:shd w:val="clear" w:color="auto" w:fill="BEBEBE"/>
          </w:tcPr>
          <w:p>
            <w:pPr>
              <w:spacing w:after="0"/>
              <w:rPr>
                <w:sz w:val="15"/>
                <w:szCs w:val="15"/>
                <w:color w:val="auto"/>
              </w:rPr>
            </w:pPr>
          </w:p>
        </w:tc>
      </w:tr>
      <w:tr>
        <w:trPr>
          <w:trHeight w:val="156"/>
        </w:trPr>
        <w:tc>
          <w:tcPr>
            <w:tcW w:w="340" w:type="dxa"/>
            <w:vAlign w:val="bottom"/>
          </w:tcPr>
          <w:p>
            <w:pPr>
              <w:spacing w:after="0"/>
              <w:rPr>
                <w:sz w:val="13"/>
                <w:szCs w:val="13"/>
                <w:color w:val="auto"/>
              </w:rPr>
            </w:pPr>
          </w:p>
        </w:tc>
        <w:tc>
          <w:tcPr>
            <w:tcW w:w="5080" w:type="dxa"/>
            <w:vAlign w:val="bottom"/>
          </w:tcPr>
          <w:p>
            <w:pPr>
              <w:ind w:left="20"/>
              <w:spacing w:after="0" w:line="155" w:lineRule="exact"/>
              <w:rPr>
                <w:sz w:val="20"/>
                <w:szCs w:val="20"/>
                <w:color w:val="auto"/>
              </w:rPr>
            </w:pPr>
            <w:r>
              <w:rPr>
                <w:rFonts w:ascii="Arial" w:cs="Arial" w:eastAsia="Arial" w:hAnsi="Arial"/>
                <w:sz w:val="14"/>
                <w:szCs w:val="14"/>
                <w:color w:val="auto"/>
              </w:rPr>
              <w:t>(2) Interest-bearing</w:t>
            </w:r>
          </w:p>
        </w:tc>
        <w:tc>
          <w:tcPr>
            <w:tcW w:w="320" w:type="dxa"/>
            <w:vAlign w:val="bottom"/>
            <w:tcBorders>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center"/>
              <w:ind w:left="208"/>
              <w:spacing w:after="0" w:line="155" w:lineRule="exact"/>
              <w:rPr>
                <w:sz w:val="20"/>
                <w:szCs w:val="20"/>
                <w:color w:val="auto"/>
              </w:rPr>
            </w:pPr>
            <w:r>
              <w:rPr>
                <w:rFonts w:ascii="Arial" w:cs="Arial" w:eastAsia="Arial" w:hAnsi="Arial"/>
                <w:sz w:val="14"/>
                <w:szCs w:val="14"/>
                <w:color w:val="auto"/>
              </w:rPr>
              <w:t>RCON6636</w:t>
            </w: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0</w:t>
            </w:r>
          </w:p>
        </w:tc>
        <w:tc>
          <w:tcPr>
            <w:tcW w:w="1160" w:type="dxa"/>
            <w:vAlign w:val="bottom"/>
            <w:tcBorders>
              <w:bottom w:val="single" w:sz="8" w:color="BEBEBE"/>
              <w:right w:val="single" w:sz="8" w:color="BEBEBE"/>
            </w:tcBorders>
            <w:shd w:val="clear" w:color="auto" w:fill="BEBEBE"/>
          </w:tcPr>
          <w:p>
            <w:pPr>
              <w:spacing w:after="0"/>
              <w:rPr>
                <w:sz w:val="13"/>
                <w:szCs w:val="13"/>
                <w:color w:val="auto"/>
              </w:rPr>
            </w:pPr>
          </w:p>
        </w:tc>
        <w:tc>
          <w:tcPr>
            <w:tcW w:w="1100" w:type="dxa"/>
            <w:vAlign w:val="bottom"/>
            <w:tcBorders>
              <w:bottom w:val="single" w:sz="8" w:color="BEBEBE"/>
              <w:right w:val="single" w:sz="8" w:color="auto"/>
            </w:tcBorders>
            <w:shd w:val="clear" w:color="auto" w:fill="BEBEBE"/>
          </w:tcPr>
          <w:p>
            <w:pPr>
              <w:spacing w:after="0"/>
              <w:rPr>
                <w:sz w:val="13"/>
                <w:szCs w:val="13"/>
                <w:color w:val="auto"/>
              </w:rPr>
            </w:pPr>
          </w:p>
        </w:tc>
      </w:tr>
      <w:tr>
        <w:trPr>
          <w:trHeight w:val="129"/>
        </w:trPr>
        <w:tc>
          <w:tcPr>
            <w:tcW w:w="5420" w:type="dxa"/>
            <w:vAlign w:val="bottom"/>
            <w:gridSpan w:val="2"/>
          </w:tcPr>
          <w:p>
            <w:pPr>
              <w:ind w:left="280"/>
              <w:spacing w:after="0" w:line="129" w:lineRule="exact"/>
              <w:rPr>
                <w:sz w:val="20"/>
                <w:szCs w:val="20"/>
                <w:color w:val="auto"/>
              </w:rPr>
            </w:pPr>
            <w:r>
              <w:rPr>
                <w:rFonts w:ascii="Arial" w:cs="Arial" w:eastAsia="Arial" w:hAnsi="Arial"/>
                <w:sz w:val="14"/>
                <w:szCs w:val="14"/>
                <w:color w:val="auto"/>
              </w:rPr>
              <w:t>b. Not applicable</w:t>
            </w: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160" w:type="dxa"/>
            <w:vAlign w:val="bottom"/>
            <w:tcBorders>
              <w:right w:val="single" w:sz="8" w:color="BEBEBE"/>
            </w:tcBorders>
            <w:shd w:val="clear" w:color="auto" w:fill="BEBEBE"/>
          </w:tcPr>
          <w:p>
            <w:pPr>
              <w:spacing w:after="0"/>
              <w:rPr>
                <w:sz w:val="11"/>
                <w:szCs w:val="11"/>
                <w:color w:val="auto"/>
              </w:rPr>
            </w:pPr>
          </w:p>
        </w:tc>
        <w:tc>
          <w:tcPr>
            <w:tcW w:w="1100" w:type="dxa"/>
            <w:vAlign w:val="bottom"/>
            <w:tcBorders>
              <w:right w:val="single" w:sz="8" w:color="auto"/>
            </w:tcBorders>
            <w:shd w:val="clear" w:color="auto" w:fill="BEBEBE"/>
          </w:tcPr>
          <w:p>
            <w:pPr>
              <w:spacing w:after="0"/>
              <w:rPr>
                <w:sz w:val="11"/>
                <w:szCs w:val="11"/>
                <w:color w:val="auto"/>
              </w:rPr>
            </w:pPr>
          </w:p>
        </w:tc>
      </w:tr>
      <w:tr>
        <w:trPr>
          <w:trHeight w:val="169"/>
        </w:trPr>
        <w:tc>
          <w:tcPr>
            <w:tcW w:w="340" w:type="dxa"/>
            <w:vAlign w:val="bottom"/>
          </w:tcPr>
          <w:p>
            <w:pPr>
              <w:ind w:left="120"/>
              <w:spacing w:after="0"/>
              <w:rPr>
                <w:sz w:val="20"/>
                <w:szCs w:val="20"/>
                <w:color w:val="auto"/>
              </w:rPr>
            </w:pPr>
            <w:r>
              <w:rPr>
                <w:rFonts w:ascii="Arial" w:cs="Arial" w:eastAsia="Arial" w:hAnsi="Arial"/>
                <w:sz w:val="14"/>
                <w:szCs w:val="14"/>
                <w:color w:val="auto"/>
              </w:rPr>
              <w:t>14.</w:t>
            </w:r>
          </w:p>
        </w:tc>
        <w:tc>
          <w:tcPr>
            <w:tcW w:w="5080" w:type="dxa"/>
            <w:vAlign w:val="bottom"/>
          </w:tcPr>
          <w:p>
            <w:pPr>
              <w:ind w:left="20"/>
              <w:spacing w:after="0"/>
              <w:rPr>
                <w:sz w:val="20"/>
                <w:szCs w:val="20"/>
                <w:color w:val="auto"/>
              </w:rPr>
            </w:pPr>
            <w:r>
              <w:rPr>
                <w:rFonts w:ascii="Arial" w:cs="Arial" w:eastAsia="Arial" w:hAnsi="Arial"/>
                <w:sz w:val="14"/>
                <w:szCs w:val="14"/>
                <w:color w:val="auto"/>
              </w:rPr>
              <w:t>Federal funds purchased and securities sold under agreements to repurchase:</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160" w:type="dxa"/>
            <w:vAlign w:val="bottom"/>
            <w:tcBorders>
              <w:bottom w:val="single" w:sz="8" w:color="auto"/>
              <w:right w:val="single" w:sz="8" w:color="BEBEBE"/>
            </w:tcBorders>
            <w:shd w:val="clear" w:color="auto" w:fill="BEBEBE"/>
          </w:tcPr>
          <w:p>
            <w:pPr>
              <w:spacing w:after="0"/>
              <w:rPr>
                <w:sz w:val="14"/>
                <w:szCs w:val="14"/>
                <w:color w:val="auto"/>
              </w:rPr>
            </w:pPr>
          </w:p>
        </w:tc>
        <w:tc>
          <w:tcPr>
            <w:tcW w:w="1100" w:type="dxa"/>
            <w:vAlign w:val="bottom"/>
            <w:tcBorders>
              <w:bottom w:val="single" w:sz="8" w:color="auto"/>
              <w:right w:val="single" w:sz="8" w:color="auto"/>
            </w:tcBorders>
            <w:shd w:val="clear" w:color="auto" w:fill="BEBEBE"/>
          </w:tcPr>
          <w:p>
            <w:pPr>
              <w:spacing w:after="0"/>
              <w:rPr>
                <w:sz w:val="14"/>
                <w:szCs w:val="14"/>
                <w:color w:val="auto"/>
              </w:rPr>
            </w:pPr>
          </w:p>
        </w:tc>
      </w:tr>
      <w:tr>
        <w:trPr>
          <w:trHeight w:val="169"/>
        </w:trPr>
        <w:tc>
          <w:tcPr>
            <w:tcW w:w="5420" w:type="dxa"/>
            <w:vAlign w:val="bottom"/>
            <w:gridSpan w:val="2"/>
          </w:tcPr>
          <w:p>
            <w:pPr>
              <w:ind w:left="280"/>
              <w:spacing w:after="0" w:line="161" w:lineRule="exact"/>
              <w:rPr>
                <w:sz w:val="20"/>
                <w:szCs w:val="20"/>
                <w:color w:val="auto"/>
              </w:rPr>
            </w:pPr>
            <w:r>
              <w:rPr>
                <w:rFonts w:ascii="Arial" w:cs="Arial" w:eastAsia="Arial" w:hAnsi="Arial"/>
                <w:sz w:val="12"/>
                <w:szCs w:val="12"/>
                <w:color w:val="auto"/>
              </w:rPr>
              <w:t xml:space="preserve">a. Federal funds purchased </w:t>
            </w:r>
            <w:r>
              <w:rPr>
                <w:rFonts w:ascii="Arial" w:cs="Arial" w:eastAsia="Arial" w:hAnsi="Arial"/>
                <w:sz w:val="18"/>
                <w:szCs w:val="18"/>
                <w:color w:val="auto"/>
                <w:vertAlign w:val="superscript"/>
              </w:rPr>
              <w:t>(2)</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RCONB993</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76"/>
        </w:trPr>
        <w:tc>
          <w:tcPr>
            <w:tcW w:w="5420" w:type="dxa"/>
            <w:vAlign w:val="bottom"/>
            <w:gridSpan w:val="2"/>
          </w:tcPr>
          <w:p>
            <w:pPr>
              <w:ind w:left="280"/>
              <w:spacing w:after="0" w:line="176" w:lineRule="exact"/>
              <w:rPr>
                <w:sz w:val="20"/>
                <w:szCs w:val="20"/>
                <w:color w:val="auto"/>
              </w:rPr>
            </w:pPr>
            <w:r>
              <w:rPr>
                <w:rFonts w:ascii="Arial" w:cs="Arial" w:eastAsia="Arial" w:hAnsi="Arial"/>
                <w:sz w:val="13"/>
                <w:szCs w:val="13"/>
                <w:color w:val="auto"/>
              </w:rPr>
              <w:t xml:space="preserve">b. Securities sold under agreements to repurchase </w:t>
            </w:r>
            <w:r>
              <w:rPr>
                <w:rFonts w:ascii="Arial" w:cs="Arial" w:eastAsia="Arial" w:hAnsi="Arial"/>
                <w:sz w:val="20"/>
                <w:szCs w:val="20"/>
                <w:color w:val="auto"/>
                <w:vertAlign w:val="superscript"/>
              </w:rPr>
              <w:t>(3)</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RCONB995</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56"/>
        </w:trPr>
        <w:tc>
          <w:tcPr>
            <w:tcW w:w="340" w:type="dxa"/>
            <w:vAlign w:val="bottom"/>
          </w:tcPr>
          <w:p>
            <w:pPr>
              <w:ind w:left="120"/>
              <w:spacing w:after="0" w:line="155" w:lineRule="exact"/>
              <w:rPr>
                <w:sz w:val="20"/>
                <w:szCs w:val="20"/>
                <w:color w:val="auto"/>
              </w:rPr>
            </w:pPr>
            <w:r>
              <w:rPr>
                <w:rFonts w:ascii="Arial" w:cs="Arial" w:eastAsia="Arial" w:hAnsi="Arial"/>
                <w:sz w:val="14"/>
                <w:szCs w:val="14"/>
                <w:color w:val="auto"/>
              </w:rPr>
              <w:t>15.</w:t>
            </w:r>
          </w:p>
        </w:tc>
        <w:tc>
          <w:tcPr>
            <w:tcW w:w="5080" w:type="dxa"/>
            <w:vAlign w:val="bottom"/>
          </w:tcPr>
          <w:p>
            <w:pPr>
              <w:ind w:left="20"/>
              <w:spacing w:after="0" w:line="155" w:lineRule="exact"/>
              <w:rPr>
                <w:sz w:val="20"/>
                <w:szCs w:val="20"/>
                <w:color w:val="auto"/>
              </w:rPr>
            </w:pPr>
            <w:r>
              <w:rPr>
                <w:rFonts w:ascii="Arial" w:cs="Arial" w:eastAsia="Arial" w:hAnsi="Arial"/>
                <w:sz w:val="14"/>
                <w:szCs w:val="14"/>
                <w:color w:val="auto"/>
              </w:rPr>
              <w:t>Trading liabilities (from Schedule RC-D)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RCON3548</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r>
      <w:tr>
        <w:trPr>
          <w:trHeight w:val="156"/>
        </w:trPr>
        <w:tc>
          <w:tcPr>
            <w:tcW w:w="340" w:type="dxa"/>
            <w:vAlign w:val="bottom"/>
          </w:tcPr>
          <w:p>
            <w:pPr>
              <w:ind w:left="120"/>
              <w:spacing w:after="0" w:line="155" w:lineRule="exact"/>
              <w:rPr>
                <w:sz w:val="20"/>
                <w:szCs w:val="20"/>
                <w:color w:val="auto"/>
              </w:rPr>
            </w:pPr>
            <w:r>
              <w:rPr>
                <w:rFonts w:ascii="Arial" w:cs="Arial" w:eastAsia="Arial" w:hAnsi="Arial"/>
                <w:sz w:val="14"/>
                <w:szCs w:val="14"/>
                <w:color w:val="auto"/>
              </w:rPr>
              <w:t>16.</w:t>
            </w:r>
          </w:p>
        </w:tc>
        <w:tc>
          <w:tcPr>
            <w:tcW w:w="5080" w:type="dxa"/>
            <w:vAlign w:val="bottom"/>
          </w:tcPr>
          <w:p>
            <w:pPr>
              <w:ind w:left="20"/>
              <w:spacing w:after="0" w:line="155" w:lineRule="exact"/>
              <w:rPr>
                <w:sz w:val="20"/>
                <w:szCs w:val="20"/>
                <w:color w:val="auto"/>
              </w:rPr>
            </w:pPr>
            <w:r>
              <w:rPr>
                <w:rFonts w:ascii="Arial" w:cs="Arial" w:eastAsia="Arial" w:hAnsi="Arial"/>
                <w:sz w:val="14"/>
                <w:szCs w:val="14"/>
                <w:color w:val="auto"/>
              </w:rPr>
              <w:t>Other borrowed money (includes mortgage indebtedness and obligations</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BEBEBE"/>
            </w:tcBorders>
            <w:shd w:val="clear" w:color="auto" w:fill="BEBEBE"/>
          </w:tcPr>
          <w:p>
            <w:pPr>
              <w:spacing w:after="0"/>
              <w:rPr>
                <w:sz w:val="13"/>
                <w:szCs w:val="13"/>
                <w:color w:val="auto"/>
              </w:rPr>
            </w:pPr>
          </w:p>
        </w:tc>
        <w:tc>
          <w:tcPr>
            <w:tcW w:w="1100" w:type="dxa"/>
            <w:vAlign w:val="bottom"/>
            <w:tcBorders>
              <w:bottom w:val="single" w:sz="8" w:color="auto"/>
              <w:right w:val="single" w:sz="8" w:color="auto"/>
            </w:tcBorders>
            <w:shd w:val="clear" w:color="auto" w:fill="BEBEBE"/>
          </w:tcPr>
          <w:p>
            <w:pPr>
              <w:spacing w:after="0"/>
              <w:rPr>
                <w:sz w:val="13"/>
                <w:szCs w:val="13"/>
                <w:color w:val="auto"/>
              </w:rPr>
            </w:pPr>
          </w:p>
        </w:tc>
      </w:tr>
      <w:tr>
        <w:trPr>
          <w:trHeight w:val="156"/>
        </w:trPr>
        <w:tc>
          <w:tcPr>
            <w:tcW w:w="340" w:type="dxa"/>
            <w:vAlign w:val="bottom"/>
          </w:tcPr>
          <w:p>
            <w:pPr>
              <w:spacing w:after="0"/>
              <w:rPr>
                <w:sz w:val="13"/>
                <w:szCs w:val="13"/>
                <w:color w:val="auto"/>
              </w:rPr>
            </w:pPr>
          </w:p>
        </w:tc>
        <w:tc>
          <w:tcPr>
            <w:tcW w:w="5080" w:type="dxa"/>
            <w:vAlign w:val="bottom"/>
          </w:tcPr>
          <w:p>
            <w:pPr>
              <w:ind w:left="20"/>
              <w:spacing w:after="0" w:line="155" w:lineRule="exact"/>
              <w:rPr>
                <w:sz w:val="20"/>
                <w:szCs w:val="20"/>
                <w:color w:val="auto"/>
              </w:rPr>
            </w:pPr>
            <w:r>
              <w:rPr>
                <w:rFonts w:ascii="Arial" w:cs="Arial" w:eastAsia="Arial" w:hAnsi="Arial"/>
                <w:sz w:val="14"/>
                <w:szCs w:val="14"/>
                <w:color w:val="auto"/>
              </w:rPr>
              <w:t>under capitalized leases) (from Schedule RC-M)</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RCON3190</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977</w:t>
            </w:r>
          </w:p>
        </w:tc>
      </w:tr>
      <w:tr>
        <w:trPr>
          <w:trHeight w:val="156"/>
        </w:trPr>
        <w:tc>
          <w:tcPr>
            <w:tcW w:w="340" w:type="dxa"/>
            <w:vAlign w:val="bottom"/>
          </w:tcPr>
          <w:p>
            <w:pPr>
              <w:ind w:left="120"/>
              <w:spacing w:after="0" w:line="155" w:lineRule="exact"/>
              <w:rPr>
                <w:sz w:val="20"/>
                <w:szCs w:val="20"/>
                <w:color w:val="auto"/>
              </w:rPr>
            </w:pPr>
            <w:r>
              <w:rPr>
                <w:rFonts w:ascii="Arial" w:cs="Arial" w:eastAsia="Arial" w:hAnsi="Arial"/>
                <w:sz w:val="14"/>
                <w:szCs w:val="14"/>
                <w:color w:val="auto"/>
              </w:rPr>
              <w:t>17.</w:t>
            </w:r>
          </w:p>
        </w:tc>
        <w:tc>
          <w:tcPr>
            <w:tcW w:w="5080" w:type="dxa"/>
            <w:vAlign w:val="bottom"/>
          </w:tcPr>
          <w:p>
            <w:pPr>
              <w:ind w:left="20"/>
              <w:spacing w:after="0" w:line="155" w:lineRule="exact"/>
              <w:rPr>
                <w:sz w:val="20"/>
                <w:szCs w:val="20"/>
                <w:color w:val="auto"/>
              </w:rPr>
            </w:pPr>
            <w:r>
              <w:rPr>
                <w:rFonts w:ascii="Arial" w:cs="Arial" w:eastAsia="Arial" w:hAnsi="Arial"/>
                <w:sz w:val="14"/>
                <w:szCs w:val="14"/>
                <w:color w:val="auto"/>
              </w:rPr>
              <w:t>Not applicable</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right w:val="single" w:sz="8" w:color="BEBEBE"/>
            </w:tcBorders>
            <w:shd w:val="clear" w:color="auto" w:fill="BEBEBE"/>
          </w:tcPr>
          <w:p>
            <w:pPr>
              <w:spacing w:after="0"/>
              <w:rPr>
                <w:sz w:val="13"/>
                <w:szCs w:val="13"/>
                <w:color w:val="auto"/>
              </w:rPr>
            </w:pPr>
          </w:p>
        </w:tc>
        <w:tc>
          <w:tcPr>
            <w:tcW w:w="1100" w:type="dxa"/>
            <w:vAlign w:val="bottom"/>
            <w:tcBorders>
              <w:right w:val="single" w:sz="8" w:color="auto"/>
            </w:tcBorders>
            <w:shd w:val="clear" w:color="auto" w:fill="BEBEBE"/>
          </w:tcPr>
          <w:p>
            <w:pPr>
              <w:spacing w:after="0"/>
              <w:rPr>
                <w:sz w:val="13"/>
                <w:szCs w:val="13"/>
                <w:color w:val="auto"/>
              </w:rPr>
            </w:pPr>
          </w:p>
        </w:tc>
      </w:tr>
      <w:tr>
        <w:trPr>
          <w:trHeight w:val="156"/>
        </w:trPr>
        <w:tc>
          <w:tcPr>
            <w:tcW w:w="340" w:type="dxa"/>
            <w:vAlign w:val="bottom"/>
          </w:tcPr>
          <w:p>
            <w:pPr>
              <w:ind w:left="120"/>
              <w:spacing w:after="0" w:line="147" w:lineRule="exact"/>
              <w:rPr>
                <w:sz w:val="20"/>
                <w:szCs w:val="20"/>
                <w:color w:val="auto"/>
              </w:rPr>
            </w:pPr>
            <w:r>
              <w:rPr>
                <w:rFonts w:ascii="Arial" w:cs="Arial" w:eastAsia="Arial" w:hAnsi="Arial"/>
                <w:sz w:val="14"/>
                <w:szCs w:val="14"/>
                <w:color w:val="auto"/>
              </w:rPr>
              <w:t>18.</w:t>
            </w:r>
          </w:p>
        </w:tc>
        <w:tc>
          <w:tcPr>
            <w:tcW w:w="5080" w:type="dxa"/>
            <w:vAlign w:val="bottom"/>
          </w:tcPr>
          <w:p>
            <w:pPr>
              <w:ind w:left="20"/>
              <w:spacing w:after="0" w:line="147" w:lineRule="exact"/>
              <w:rPr>
                <w:sz w:val="20"/>
                <w:szCs w:val="20"/>
                <w:color w:val="auto"/>
              </w:rPr>
            </w:pPr>
            <w:r>
              <w:rPr>
                <w:rFonts w:ascii="Arial" w:cs="Arial" w:eastAsia="Arial" w:hAnsi="Arial"/>
                <w:sz w:val="14"/>
                <w:szCs w:val="14"/>
                <w:color w:val="auto"/>
              </w:rPr>
              <w:t>Not applicable</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BEBEBE"/>
            </w:tcBorders>
            <w:shd w:val="clear" w:color="auto" w:fill="BEBEBE"/>
          </w:tcPr>
          <w:p>
            <w:pPr>
              <w:spacing w:after="0"/>
              <w:rPr>
                <w:sz w:val="13"/>
                <w:szCs w:val="13"/>
                <w:color w:val="auto"/>
              </w:rPr>
            </w:pPr>
          </w:p>
        </w:tc>
        <w:tc>
          <w:tcPr>
            <w:tcW w:w="1100" w:type="dxa"/>
            <w:vAlign w:val="bottom"/>
            <w:tcBorders>
              <w:bottom w:val="single" w:sz="8" w:color="auto"/>
              <w:right w:val="single" w:sz="8" w:color="auto"/>
            </w:tcBorders>
            <w:shd w:val="clear" w:color="auto" w:fill="BEBEBE"/>
          </w:tcPr>
          <w:p>
            <w:pPr>
              <w:spacing w:after="0"/>
              <w:rPr>
                <w:sz w:val="13"/>
                <w:szCs w:val="13"/>
                <w:color w:val="auto"/>
              </w:rPr>
            </w:pPr>
          </w:p>
        </w:tc>
      </w:tr>
      <w:tr>
        <w:trPr>
          <w:trHeight w:val="176"/>
        </w:trPr>
        <w:tc>
          <w:tcPr>
            <w:tcW w:w="340" w:type="dxa"/>
            <w:vAlign w:val="bottom"/>
          </w:tcPr>
          <w:p>
            <w:pPr>
              <w:ind w:left="120"/>
              <w:spacing w:after="0"/>
              <w:rPr>
                <w:sz w:val="20"/>
                <w:szCs w:val="20"/>
                <w:color w:val="auto"/>
              </w:rPr>
            </w:pPr>
            <w:r>
              <w:rPr>
                <w:rFonts w:ascii="Arial" w:cs="Arial" w:eastAsia="Arial" w:hAnsi="Arial"/>
                <w:sz w:val="14"/>
                <w:szCs w:val="14"/>
                <w:color w:val="auto"/>
              </w:rPr>
              <w:t>19.</w:t>
            </w:r>
          </w:p>
        </w:tc>
        <w:tc>
          <w:tcPr>
            <w:tcW w:w="5080" w:type="dxa"/>
            <w:vAlign w:val="bottom"/>
          </w:tcPr>
          <w:p>
            <w:pPr>
              <w:ind w:left="20"/>
              <w:spacing w:after="0" w:line="176" w:lineRule="exact"/>
              <w:rPr>
                <w:sz w:val="20"/>
                <w:szCs w:val="20"/>
                <w:color w:val="auto"/>
              </w:rPr>
            </w:pPr>
            <w:r>
              <w:rPr>
                <w:rFonts w:ascii="Arial" w:cs="Arial" w:eastAsia="Arial" w:hAnsi="Arial"/>
                <w:sz w:val="13"/>
                <w:szCs w:val="13"/>
                <w:color w:val="auto"/>
              </w:rPr>
              <w:t xml:space="preserve">Subordinated notes and debentures </w:t>
            </w:r>
            <w:r>
              <w:rPr>
                <w:rFonts w:ascii="Arial" w:cs="Arial" w:eastAsia="Arial" w:hAnsi="Arial"/>
                <w:sz w:val="20"/>
                <w:szCs w:val="20"/>
                <w:color w:val="auto"/>
                <w:vertAlign w:val="superscript"/>
              </w:rPr>
              <w:t>(4)</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RCON3200</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56"/>
        </w:trPr>
        <w:tc>
          <w:tcPr>
            <w:tcW w:w="340" w:type="dxa"/>
            <w:vAlign w:val="bottom"/>
          </w:tcPr>
          <w:p>
            <w:pPr>
              <w:ind w:left="120"/>
              <w:spacing w:after="0" w:line="155" w:lineRule="exact"/>
              <w:rPr>
                <w:sz w:val="20"/>
                <w:szCs w:val="20"/>
                <w:color w:val="auto"/>
              </w:rPr>
            </w:pPr>
            <w:r>
              <w:rPr>
                <w:rFonts w:ascii="Arial" w:cs="Arial" w:eastAsia="Arial" w:hAnsi="Arial"/>
                <w:sz w:val="14"/>
                <w:szCs w:val="14"/>
                <w:color w:val="auto"/>
              </w:rPr>
              <w:t>20.</w:t>
            </w:r>
          </w:p>
        </w:tc>
        <w:tc>
          <w:tcPr>
            <w:tcW w:w="5080" w:type="dxa"/>
            <w:vAlign w:val="bottom"/>
          </w:tcPr>
          <w:p>
            <w:pPr>
              <w:ind w:left="20"/>
              <w:spacing w:after="0" w:line="155" w:lineRule="exact"/>
              <w:rPr>
                <w:sz w:val="20"/>
                <w:szCs w:val="20"/>
                <w:color w:val="auto"/>
              </w:rPr>
            </w:pPr>
            <w:r>
              <w:rPr>
                <w:rFonts w:ascii="Arial" w:cs="Arial" w:eastAsia="Arial" w:hAnsi="Arial"/>
                <w:sz w:val="14"/>
                <w:szCs w:val="14"/>
                <w:color w:val="auto"/>
              </w:rPr>
              <w:t>Other liabilities (from Schedule RC-G)</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RCON2930</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12,928</w:t>
            </w:r>
          </w:p>
        </w:tc>
      </w:tr>
      <w:tr>
        <w:trPr>
          <w:trHeight w:val="156"/>
        </w:trPr>
        <w:tc>
          <w:tcPr>
            <w:tcW w:w="340" w:type="dxa"/>
            <w:vAlign w:val="bottom"/>
          </w:tcPr>
          <w:p>
            <w:pPr>
              <w:ind w:left="120"/>
              <w:spacing w:after="0" w:line="155" w:lineRule="exact"/>
              <w:rPr>
                <w:sz w:val="20"/>
                <w:szCs w:val="20"/>
                <w:color w:val="auto"/>
              </w:rPr>
            </w:pPr>
            <w:r>
              <w:rPr>
                <w:rFonts w:ascii="Arial" w:cs="Arial" w:eastAsia="Arial" w:hAnsi="Arial"/>
                <w:sz w:val="14"/>
                <w:szCs w:val="14"/>
                <w:color w:val="auto"/>
              </w:rPr>
              <w:t>21.</w:t>
            </w:r>
          </w:p>
        </w:tc>
        <w:tc>
          <w:tcPr>
            <w:tcW w:w="5080" w:type="dxa"/>
            <w:vAlign w:val="bottom"/>
          </w:tcPr>
          <w:p>
            <w:pPr>
              <w:ind w:left="20"/>
              <w:spacing w:after="0" w:line="155" w:lineRule="exact"/>
              <w:rPr>
                <w:sz w:val="20"/>
                <w:szCs w:val="20"/>
                <w:color w:val="auto"/>
              </w:rPr>
            </w:pPr>
            <w:r>
              <w:rPr>
                <w:rFonts w:ascii="Arial" w:cs="Arial" w:eastAsia="Arial" w:hAnsi="Arial"/>
                <w:sz w:val="14"/>
                <w:szCs w:val="14"/>
                <w:color w:val="auto"/>
              </w:rPr>
              <w:t>Total liabilities (sum of items 13 through 20)</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RCON2948</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13,905</w:t>
            </w:r>
          </w:p>
        </w:tc>
      </w:tr>
      <w:tr>
        <w:trPr>
          <w:trHeight w:val="156"/>
        </w:trPr>
        <w:tc>
          <w:tcPr>
            <w:tcW w:w="340" w:type="dxa"/>
            <w:vAlign w:val="bottom"/>
          </w:tcPr>
          <w:p>
            <w:pPr>
              <w:ind w:left="120"/>
              <w:spacing w:after="0" w:line="155" w:lineRule="exact"/>
              <w:rPr>
                <w:sz w:val="20"/>
                <w:szCs w:val="20"/>
                <w:color w:val="auto"/>
              </w:rPr>
            </w:pPr>
            <w:r>
              <w:rPr>
                <w:rFonts w:ascii="Arial" w:cs="Arial" w:eastAsia="Arial" w:hAnsi="Arial"/>
                <w:sz w:val="14"/>
                <w:szCs w:val="14"/>
                <w:color w:val="auto"/>
              </w:rPr>
              <w:t>22.</w:t>
            </w:r>
          </w:p>
        </w:tc>
        <w:tc>
          <w:tcPr>
            <w:tcW w:w="5080" w:type="dxa"/>
            <w:vAlign w:val="bottom"/>
          </w:tcPr>
          <w:p>
            <w:pPr>
              <w:ind w:left="20"/>
              <w:spacing w:after="0" w:line="155" w:lineRule="exact"/>
              <w:rPr>
                <w:sz w:val="20"/>
                <w:szCs w:val="20"/>
                <w:color w:val="auto"/>
              </w:rPr>
            </w:pPr>
            <w:r>
              <w:rPr>
                <w:rFonts w:ascii="Arial" w:cs="Arial" w:eastAsia="Arial" w:hAnsi="Arial"/>
                <w:sz w:val="14"/>
                <w:szCs w:val="14"/>
                <w:color w:val="auto"/>
              </w:rPr>
              <w:t>Not applicable</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right w:val="single" w:sz="8" w:color="BEBEBE"/>
            </w:tcBorders>
            <w:shd w:val="clear" w:color="auto" w:fill="BEBEBE"/>
          </w:tcPr>
          <w:p>
            <w:pPr>
              <w:spacing w:after="0"/>
              <w:rPr>
                <w:sz w:val="13"/>
                <w:szCs w:val="13"/>
                <w:color w:val="auto"/>
              </w:rPr>
            </w:pPr>
          </w:p>
        </w:tc>
        <w:tc>
          <w:tcPr>
            <w:tcW w:w="1100" w:type="dxa"/>
            <w:vAlign w:val="bottom"/>
            <w:tcBorders>
              <w:right w:val="single" w:sz="8" w:color="auto"/>
            </w:tcBorders>
            <w:shd w:val="clear" w:color="auto" w:fill="BEBEBE"/>
          </w:tcPr>
          <w:p>
            <w:pPr>
              <w:spacing w:after="0"/>
              <w:rPr>
                <w:sz w:val="13"/>
                <w:szCs w:val="13"/>
                <w:color w:val="auto"/>
              </w:rPr>
            </w:pPr>
          </w:p>
        </w:tc>
      </w:tr>
      <w:tr>
        <w:trPr>
          <w:trHeight w:val="309"/>
        </w:trPr>
        <w:tc>
          <w:tcPr>
            <w:tcW w:w="5420" w:type="dxa"/>
            <w:vAlign w:val="bottom"/>
            <w:gridSpan w:val="2"/>
          </w:tcPr>
          <w:p>
            <w:pPr>
              <w:ind w:left="180"/>
              <w:spacing w:after="0"/>
              <w:rPr>
                <w:sz w:val="20"/>
                <w:szCs w:val="20"/>
                <w:color w:val="auto"/>
              </w:rPr>
            </w:pPr>
            <w:r>
              <w:rPr>
                <w:rFonts w:ascii="Arial" w:cs="Arial" w:eastAsia="Arial" w:hAnsi="Arial"/>
                <w:sz w:val="14"/>
                <w:szCs w:val="14"/>
                <w:b w:val="1"/>
                <w:bCs w:val="1"/>
                <w:color w:val="auto"/>
              </w:rPr>
              <w:t>Equity Capital</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160" w:type="dxa"/>
            <w:vAlign w:val="bottom"/>
            <w:tcBorders>
              <w:right w:val="single" w:sz="8" w:color="BEBEBE"/>
            </w:tcBorders>
            <w:shd w:val="clear" w:color="auto" w:fill="BEBEBE"/>
          </w:tcPr>
          <w:p>
            <w:pPr>
              <w:spacing w:after="0"/>
              <w:rPr>
                <w:sz w:val="24"/>
                <w:szCs w:val="24"/>
                <w:color w:val="auto"/>
              </w:rPr>
            </w:pPr>
          </w:p>
        </w:tc>
        <w:tc>
          <w:tcPr>
            <w:tcW w:w="1100" w:type="dxa"/>
            <w:vAlign w:val="bottom"/>
            <w:tcBorders>
              <w:right w:val="single" w:sz="8" w:color="auto"/>
            </w:tcBorders>
            <w:shd w:val="clear" w:color="auto" w:fill="BEBEBE"/>
          </w:tcPr>
          <w:p>
            <w:pPr>
              <w:spacing w:after="0"/>
              <w:rPr>
                <w:sz w:val="24"/>
                <w:szCs w:val="24"/>
                <w:color w:val="auto"/>
              </w:rPr>
            </w:pPr>
          </w:p>
        </w:tc>
      </w:tr>
      <w:tr>
        <w:trPr>
          <w:trHeight w:val="177"/>
        </w:trPr>
        <w:tc>
          <w:tcPr>
            <w:tcW w:w="5420" w:type="dxa"/>
            <w:vAlign w:val="bottom"/>
            <w:gridSpan w:val="2"/>
          </w:tcPr>
          <w:p>
            <w:pPr>
              <w:ind w:left="180"/>
              <w:spacing w:after="0"/>
              <w:rPr>
                <w:sz w:val="20"/>
                <w:szCs w:val="20"/>
                <w:color w:val="auto"/>
              </w:rPr>
            </w:pPr>
            <w:r>
              <w:rPr>
                <w:rFonts w:ascii="Arial" w:cs="Arial" w:eastAsia="Arial" w:hAnsi="Arial"/>
                <w:sz w:val="14"/>
                <w:szCs w:val="14"/>
                <w:b w:val="1"/>
                <w:bCs w:val="1"/>
                <w:color w:val="auto"/>
              </w:rPr>
              <w:t>Bank Equity Capital</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160" w:type="dxa"/>
            <w:vAlign w:val="bottom"/>
            <w:tcBorders>
              <w:bottom w:val="single" w:sz="8" w:color="auto"/>
              <w:right w:val="single" w:sz="8" w:color="BEBEBE"/>
            </w:tcBorders>
            <w:shd w:val="clear" w:color="auto" w:fill="BEBEBE"/>
          </w:tcPr>
          <w:p>
            <w:pPr>
              <w:spacing w:after="0"/>
              <w:rPr>
                <w:sz w:val="15"/>
                <w:szCs w:val="15"/>
                <w:color w:val="auto"/>
              </w:rPr>
            </w:pPr>
          </w:p>
        </w:tc>
        <w:tc>
          <w:tcPr>
            <w:tcW w:w="1100" w:type="dxa"/>
            <w:vAlign w:val="bottom"/>
            <w:tcBorders>
              <w:bottom w:val="single" w:sz="8" w:color="auto"/>
              <w:right w:val="single" w:sz="8" w:color="auto"/>
            </w:tcBorders>
            <w:shd w:val="clear" w:color="auto" w:fill="BEBEBE"/>
          </w:tcPr>
          <w:p>
            <w:pPr>
              <w:spacing w:after="0"/>
              <w:rPr>
                <w:sz w:val="15"/>
                <w:szCs w:val="15"/>
                <w:color w:val="auto"/>
              </w:rPr>
            </w:pPr>
          </w:p>
        </w:tc>
      </w:tr>
      <w:tr>
        <w:trPr>
          <w:trHeight w:val="156"/>
        </w:trPr>
        <w:tc>
          <w:tcPr>
            <w:tcW w:w="340" w:type="dxa"/>
            <w:vAlign w:val="bottom"/>
          </w:tcPr>
          <w:p>
            <w:pPr>
              <w:ind w:left="120"/>
              <w:spacing w:after="0" w:line="155" w:lineRule="exact"/>
              <w:rPr>
                <w:sz w:val="20"/>
                <w:szCs w:val="20"/>
                <w:color w:val="auto"/>
              </w:rPr>
            </w:pPr>
            <w:r>
              <w:rPr>
                <w:rFonts w:ascii="Arial" w:cs="Arial" w:eastAsia="Arial" w:hAnsi="Arial"/>
                <w:sz w:val="14"/>
                <w:szCs w:val="14"/>
                <w:color w:val="auto"/>
              </w:rPr>
              <w:t>23.</w:t>
            </w:r>
          </w:p>
        </w:tc>
        <w:tc>
          <w:tcPr>
            <w:tcW w:w="5080" w:type="dxa"/>
            <w:vAlign w:val="bottom"/>
          </w:tcPr>
          <w:p>
            <w:pPr>
              <w:ind w:left="20"/>
              <w:spacing w:after="0" w:line="155" w:lineRule="exact"/>
              <w:rPr>
                <w:sz w:val="20"/>
                <w:szCs w:val="20"/>
                <w:color w:val="auto"/>
              </w:rPr>
            </w:pPr>
            <w:r>
              <w:rPr>
                <w:rFonts w:ascii="Arial" w:cs="Arial" w:eastAsia="Arial" w:hAnsi="Arial"/>
                <w:sz w:val="14"/>
                <w:szCs w:val="14"/>
                <w:color w:val="auto"/>
              </w:rPr>
              <w:t>Perpetual preferred stock and related surplus</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RCON3838</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r>
      <w:tr>
        <w:trPr>
          <w:trHeight w:val="156"/>
        </w:trPr>
        <w:tc>
          <w:tcPr>
            <w:tcW w:w="542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24. Common stock</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RCON3230</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5,000</w:t>
            </w:r>
          </w:p>
        </w:tc>
      </w:tr>
      <w:tr>
        <w:trPr>
          <w:trHeight w:val="156"/>
        </w:trPr>
        <w:tc>
          <w:tcPr>
            <w:tcW w:w="340" w:type="dxa"/>
            <w:vAlign w:val="bottom"/>
          </w:tcPr>
          <w:p>
            <w:pPr>
              <w:ind w:left="120"/>
              <w:spacing w:after="0" w:line="155" w:lineRule="exact"/>
              <w:rPr>
                <w:sz w:val="20"/>
                <w:szCs w:val="20"/>
                <w:color w:val="auto"/>
              </w:rPr>
            </w:pPr>
            <w:r>
              <w:rPr>
                <w:rFonts w:ascii="Arial" w:cs="Arial" w:eastAsia="Arial" w:hAnsi="Arial"/>
                <w:sz w:val="14"/>
                <w:szCs w:val="14"/>
                <w:color w:val="auto"/>
              </w:rPr>
              <w:t>25.</w:t>
            </w:r>
          </w:p>
        </w:tc>
        <w:tc>
          <w:tcPr>
            <w:tcW w:w="5080" w:type="dxa"/>
            <w:vAlign w:val="bottom"/>
          </w:tcPr>
          <w:p>
            <w:pPr>
              <w:ind w:left="20"/>
              <w:spacing w:after="0" w:line="155" w:lineRule="exact"/>
              <w:rPr>
                <w:sz w:val="20"/>
                <w:szCs w:val="20"/>
                <w:color w:val="auto"/>
              </w:rPr>
            </w:pPr>
            <w:r>
              <w:rPr>
                <w:rFonts w:ascii="Arial" w:cs="Arial" w:eastAsia="Arial" w:hAnsi="Arial"/>
                <w:sz w:val="14"/>
                <w:szCs w:val="14"/>
                <w:color w:val="auto"/>
              </w:rPr>
              <w:t>Surplus (exclude all surplus related to preferred stock)</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RCON3839</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1,044,578</w:t>
            </w:r>
          </w:p>
        </w:tc>
      </w:tr>
      <w:tr>
        <w:trPr>
          <w:trHeight w:val="156"/>
        </w:trPr>
        <w:tc>
          <w:tcPr>
            <w:tcW w:w="340" w:type="dxa"/>
            <w:vAlign w:val="bottom"/>
          </w:tcPr>
          <w:p>
            <w:pPr>
              <w:ind w:left="120"/>
              <w:spacing w:after="0" w:line="155" w:lineRule="exact"/>
              <w:rPr>
                <w:sz w:val="20"/>
                <w:szCs w:val="20"/>
                <w:color w:val="auto"/>
              </w:rPr>
            </w:pPr>
            <w:r>
              <w:rPr>
                <w:rFonts w:ascii="Arial" w:cs="Arial" w:eastAsia="Arial" w:hAnsi="Arial"/>
                <w:sz w:val="14"/>
                <w:szCs w:val="14"/>
                <w:color w:val="auto"/>
              </w:rPr>
              <w:t>26.</w:t>
            </w:r>
          </w:p>
        </w:tc>
        <w:tc>
          <w:tcPr>
            <w:tcW w:w="5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BEBEBE"/>
            </w:tcBorders>
            <w:shd w:val="clear" w:color="auto" w:fill="BEBEBE"/>
          </w:tcPr>
          <w:p>
            <w:pPr>
              <w:spacing w:after="0"/>
              <w:rPr>
                <w:sz w:val="13"/>
                <w:szCs w:val="13"/>
                <w:color w:val="auto"/>
              </w:rPr>
            </w:pPr>
          </w:p>
        </w:tc>
        <w:tc>
          <w:tcPr>
            <w:tcW w:w="1100" w:type="dxa"/>
            <w:vAlign w:val="bottom"/>
            <w:tcBorders>
              <w:bottom w:val="single" w:sz="8" w:color="auto"/>
              <w:right w:val="single" w:sz="8" w:color="auto"/>
            </w:tcBorders>
            <w:shd w:val="clear" w:color="auto" w:fill="BEBEBE"/>
          </w:tcPr>
          <w:p>
            <w:pPr>
              <w:spacing w:after="0"/>
              <w:rPr>
                <w:sz w:val="13"/>
                <w:szCs w:val="13"/>
                <w:color w:val="auto"/>
              </w:rPr>
            </w:pPr>
          </w:p>
        </w:tc>
      </w:tr>
      <w:tr>
        <w:trPr>
          <w:trHeight w:val="149"/>
        </w:trPr>
        <w:tc>
          <w:tcPr>
            <w:tcW w:w="5420" w:type="dxa"/>
            <w:vAlign w:val="bottom"/>
            <w:gridSpan w:val="2"/>
          </w:tcPr>
          <w:p>
            <w:pPr>
              <w:ind w:left="280"/>
              <w:spacing w:after="0" w:line="141" w:lineRule="exact"/>
              <w:rPr>
                <w:sz w:val="20"/>
                <w:szCs w:val="20"/>
                <w:color w:val="auto"/>
              </w:rPr>
            </w:pPr>
            <w:r>
              <w:rPr>
                <w:rFonts w:ascii="Arial" w:cs="Arial" w:eastAsia="Arial" w:hAnsi="Arial"/>
                <w:sz w:val="14"/>
                <w:szCs w:val="14"/>
                <w:color w:val="auto"/>
              </w:rPr>
              <w:t>a. Retained earnings</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right"/>
              <w:ind w:right="28"/>
              <w:spacing w:after="0" w:line="141" w:lineRule="exact"/>
              <w:rPr>
                <w:sz w:val="20"/>
                <w:szCs w:val="20"/>
                <w:color w:val="auto"/>
              </w:rPr>
            </w:pPr>
            <w:r>
              <w:rPr>
                <w:rFonts w:ascii="Arial" w:cs="Arial" w:eastAsia="Arial" w:hAnsi="Arial"/>
                <w:sz w:val="14"/>
                <w:szCs w:val="14"/>
                <w:color w:val="auto"/>
              </w:rPr>
              <w:t>RCON3632</w:t>
            </w:r>
          </w:p>
        </w:tc>
        <w:tc>
          <w:tcPr>
            <w:tcW w:w="11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4"/>
                <w:szCs w:val="14"/>
                <w:color w:val="auto"/>
              </w:rPr>
              <w:t>(506,916)</w:t>
            </w:r>
          </w:p>
        </w:tc>
      </w:tr>
      <w:tr>
        <w:trPr>
          <w:trHeight w:val="169"/>
        </w:trPr>
        <w:tc>
          <w:tcPr>
            <w:tcW w:w="5420" w:type="dxa"/>
            <w:vAlign w:val="bottom"/>
            <w:gridSpan w:val="2"/>
          </w:tcPr>
          <w:p>
            <w:pPr>
              <w:ind w:left="280"/>
              <w:spacing w:after="0" w:line="161" w:lineRule="exact"/>
              <w:rPr>
                <w:sz w:val="20"/>
                <w:szCs w:val="20"/>
                <w:color w:val="auto"/>
              </w:rPr>
            </w:pPr>
            <w:r>
              <w:rPr>
                <w:rFonts w:ascii="Arial" w:cs="Arial" w:eastAsia="Arial" w:hAnsi="Arial"/>
                <w:sz w:val="12"/>
                <w:szCs w:val="12"/>
                <w:color w:val="auto"/>
              </w:rPr>
              <w:t xml:space="preserve">b. Accumulated other comprehensive income </w:t>
            </w:r>
            <w:r>
              <w:rPr>
                <w:rFonts w:ascii="Arial" w:cs="Arial" w:eastAsia="Arial" w:hAnsi="Arial"/>
                <w:sz w:val="18"/>
                <w:szCs w:val="18"/>
                <w:color w:val="auto"/>
                <w:vertAlign w:val="superscript"/>
              </w:rPr>
              <w:t>(5)</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RCONB530</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76"/>
        </w:trPr>
        <w:tc>
          <w:tcPr>
            <w:tcW w:w="5420" w:type="dxa"/>
            <w:vAlign w:val="bottom"/>
            <w:gridSpan w:val="2"/>
          </w:tcPr>
          <w:p>
            <w:pPr>
              <w:ind w:left="280"/>
              <w:spacing w:after="0" w:line="176" w:lineRule="exact"/>
              <w:rPr>
                <w:sz w:val="20"/>
                <w:szCs w:val="20"/>
                <w:color w:val="auto"/>
              </w:rPr>
            </w:pPr>
            <w:r>
              <w:rPr>
                <w:rFonts w:ascii="Arial" w:cs="Arial" w:eastAsia="Arial" w:hAnsi="Arial"/>
                <w:sz w:val="13"/>
                <w:szCs w:val="13"/>
                <w:color w:val="auto"/>
              </w:rPr>
              <w:t xml:space="preserve">c. Other equity capital components </w:t>
            </w:r>
            <w:r>
              <w:rPr>
                <w:rFonts w:ascii="Arial" w:cs="Arial" w:eastAsia="Arial" w:hAnsi="Arial"/>
                <w:sz w:val="20"/>
                <w:szCs w:val="20"/>
                <w:color w:val="auto"/>
                <w:vertAlign w:val="superscript"/>
              </w:rPr>
              <w:t>(6)</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RCONA130</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56"/>
        </w:trPr>
        <w:tc>
          <w:tcPr>
            <w:tcW w:w="340" w:type="dxa"/>
            <w:vAlign w:val="bottom"/>
          </w:tcPr>
          <w:p>
            <w:pPr>
              <w:ind w:left="120"/>
              <w:spacing w:after="0" w:line="155" w:lineRule="exact"/>
              <w:rPr>
                <w:sz w:val="20"/>
                <w:szCs w:val="20"/>
                <w:color w:val="auto"/>
              </w:rPr>
            </w:pPr>
            <w:r>
              <w:rPr>
                <w:rFonts w:ascii="Arial" w:cs="Arial" w:eastAsia="Arial" w:hAnsi="Arial"/>
                <w:sz w:val="14"/>
                <w:szCs w:val="14"/>
                <w:color w:val="auto"/>
              </w:rPr>
              <w:t>27.</w:t>
            </w:r>
          </w:p>
        </w:tc>
        <w:tc>
          <w:tcPr>
            <w:tcW w:w="5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BEBEBE"/>
            </w:tcBorders>
            <w:shd w:val="clear" w:color="auto" w:fill="BEBEBE"/>
          </w:tcPr>
          <w:p>
            <w:pPr>
              <w:spacing w:after="0"/>
              <w:rPr>
                <w:sz w:val="13"/>
                <w:szCs w:val="13"/>
                <w:color w:val="auto"/>
              </w:rPr>
            </w:pPr>
          </w:p>
        </w:tc>
        <w:tc>
          <w:tcPr>
            <w:tcW w:w="1100" w:type="dxa"/>
            <w:vAlign w:val="bottom"/>
            <w:tcBorders>
              <w:bottom w:val="single" w:sz="8" w:color="auto"/>
              <w:right w:val="single" w:sz="8" w:color="auto"/>
            </w:tcBorders>
            <w:shd w:val="clear" w:color="auto" w:fill="BEBEBE"/>
          </w:tcPr>
          <w:p>
            <w:pPr>
              <w:spacing w:after="0"/>
              <w:rPr>
                <w:sz w:val="13"/>
                <w:szCs w:val="13"/>
                <w:color w:val="auto"/>
              </w:rPr>
            </w:pPr>
          </w:p>
        </w:tc>
      </w:tr>
      <w:tr>
        <w:trPr>
          <w:trHeight w:val="156"/>
        </w:trPr>
        <w:tc>
          <w:tcPr>
            <w:tcW w:w="542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a. Total bank equity capital (sum of items 23 through 26.c)</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RCON3210</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542,662</w:t>
            </w:r>
          </w:p>
        </w:tc>
      </w:tr>
      <w:tr>
        <w:trPr>
          <w:trHeight w:val="156"/>
        </w:trPr>
        <w:tc>
          <w:tcPr>
            <w:tcW w:w="542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b. Noncontrolling (minority) interests in consolidated subsidiaries</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RCON3000</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r>
      <w:tr>
        <w:trPr>
          <w:trHeight w:val="156"/>
        </w:trPr>
        <w:tc>
          <w:tcPr>
            <w:tcW w:w="340" w:type="dxa"/>
            <w:vAlign w:val="bottom"/>
          </w:tcPr>
          <w:p>
            <w:pPr>
              <w:ind w:left="120"/>
              <w:spacing w:after="0" w:line="155" w:lineRule="exact"/>
              <w:rPr>
                <w:sz w:val="20"/>
                <w:szCs w:val="20"/>
                <w:color w:val="auto"/>
              </w:rPr>
            </w:pPr>
            <w:r>
              <w:rPr>
                <w:rFonts w:ascii="Arial" w:cs="Arial" w:eastAsia="Arial" w:hAnsi="Arial"/>
                <w:sz w:val="14"/>
                <w:szCs w:val="14"/>
                <w:color w:val="auto"/>
              </w:rPr>
              <w:t>28.</w:t>
            </w:r>
          </w:p>
        </w:tc>
        <w:tc>
          <w:tcPr>
            <w:tcW w:w="5080" w:type="dxa"/>
            <w:vAlign w:val="bottom"/>
          </w:tcPr>
          <w:p>
            <w:pPr>
              <w:ind w:left="20"/>
              <w:spacing w:after="0" w:line="155" w:lineRule="exact"/>
              <w:rPr>
                <w:sz w:val="20"/>
                <w:szCs w:val="20"/>
                <w:color w:val="auto"/>
              </w:rPr>
            </w:pPr>
            <w:r>
              <w:rPr>
                <w:rFonts w:ascii="Arial" w:cs="Arial" w:eastAsia="Arial" w:hAnsi="Arial"/>
                <w:sz w:val="14"/>
                <w:szCs w:val="14"/>
                <w:color w:val="auto"/>
              </w:rPr>
              <w:t>Total equity capital (sum of items 27.a and 27.b)</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RCONG105</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542,662</w:t>
            </w:r>
          </w:p>
        </w:tc>
      </w:tr>
      <w:tr>
        <w:trPr>
          <w:trHeight w:val="156"/>
        </w:trPr>
        <w:tc>
          <w:tcPr>
            <w:tcW w:w="340" w:type="dxa"/>
            <w:vAlign w:val="bottom"/>
          </w:tcPr>
          <w:p>
            <w:pPr>
              <w:ind w:left="120"/>
              <w:spacing w:after="0" w:line="155" w:lineRule="exact"/>
              <w:rPr>
                <w:sz w:val="20"/>
                <w:szCs w:val="20"/>
                <w:color w:val="auto"/>
              </w:rPr>
            </w:pPr>
            <w:r>
              <w:rPr>
                <w:rFonts w:ascii="Arial" w:cs="Arial" w:eastAsia="Arial" w:hAnsi="Arial"/>
                <w:sz w:val="14"/>
                <w:szCs w:val="14"/>
                <w:color w:val="auto"/>
              </w:rPr>
              <w:t>29.</w:t>
            </w:r>
          </w:p>
        </w:tc>
        <w:tc>
          <w:tcPr>
            <w:tcW w:w="5080" w:type="dxa"/>
            <w:vAlign w:val="bottom"/>
          </w:tcPr>
          <w:p>
            <w:pPr>
              <w:ind w:left="20"/>
              <w:spacing w:after="0" w:line="155" w:lineRule="exact"/>
              <w:rPr>
                <w:sz w:val="20"/>
                <w:szCs w:val="20"/>
                <w:color w:val="auto"/>
              </w:rPr>
            </w:pPr>
            <w:r>
              <w:rPr>
                <w:rFonts w:ascii="Arial" w:cs="Arial" w:eastAsia="Arial" w:hAnsi="Arial"/>
                <w:sz w:val="14"/>
                <w:szCs w:val="14"/>
                <w:color w:val="auto"/>
              </w:rPr>
              <w:t>Total liabilities and equity capital (sum of items 21 and 28)</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RCON3300</w:t>
            </w:r>
          </w:p>
        </w:tc>
        <w:tc>
          <w:tcPr>
            <w:tcW w:w="11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556,567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0890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13.a.</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13.a.(1)</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13.a.(2)</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14.a.</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14.b.</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15.</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16.</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23.</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25.</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26.a.</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26.b.</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26.c.</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27.a.</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27.b.</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pacing w:after="0" w:line="199" w:lineRule="exact"/>
        <w:rPr>
          <w:sz w:val="20"/>
          <w:szCs w:val="20"/>
          <w:color w:val="auto"/>
        </w:rPr>
      </w:pPr>
    </w:p>
    <w:p>
      <w:pPr>
        <w:sectPr>
          <w:pgSz w:w="11900" w:h="16838" w:orient="portrait"/>
          <w:cols w:equalWidth="0" w:num="2">
            <w:col w:w="10300" w:space="80"/>
            <w:col w:w="1040"/>
          </w:cols>
          <w:pgMar w:left="240" w:top="410" w:right="239" w:bottom="1440" w:gutter="0" w:footer="0" w:header="0"/>
          <w:type w:val="continuous"/>
        </w:sectPr>
      </w:pPr>
    </w:p>
    <w:p>
      <w:pPr>
        <w:ind w:left="360" w:hanging="352"/>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noninterest-bearing demand, time, and savings deposits.</w:t>
      </w:r>
    </w:p>
    <w:p>
      <w:pPr>
        <w:spacing w:after="0" w:line="19" w:lineRule="exact"/>
        <w:rPr>
          <w:rFonts w:ascii="Arial" w:cs="Arial" w:eastAsia="Arial" w:hAnsi="Arial"/>
          <w:sz w:val="14"/>
          <w:szCs w:val="14"/>
          <w:color w:val="auto"/>
        </w:rPr>
      </w:pPr>
    </w:p>
    <w:p>
      <w:pPr>
        <w:ind w:left="360" w:hanging="352"/>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Report overnight FederaI Home Loan Bank advances in Schedule RC, item 16</w:t>
      </w:r>
      <w:r>
        <w:rPr>
          <w:rFonts w:ascii="Arial" w:cs="Arial" w:eastAsia="Arial" w:hAnsi="Arial"/>
          <w:sz w:val="14"/>
          <w:szCs w:val="14"/>
          <w:i w:val="1"/>
          <w:iCs w:val="1"/>
          <w:color w:val="auto"/>
        </w:rPr>
        <w:t>,</w:t>
      </w:r>
      <w:r>
        <w:rPr>
          <w:rFonts w:ascii="Arial" w:cs="Arial" w:eastAsia="Arial" w:hAnsi="Arial"/>
          <w:sz w:val="14"/>
          <w:szCs w:val="14"/>
          <w:color w:val="auto"/>
        </w:rPr>
        <w:t xml:space="preserve"> “Other borrowed money.”</w:t>
      </w:r>
    </w:p>
    <w:p>
      <w:pPr>
        <w:spacing w:after="0" w:line="1" w:lineRule="exact"/>
        <w:rPr>
          <w:rFonts w:ascii="Arial" w:cs="Arial" w:eastAsia="Arial" w:hAnsi="Arial"/>
          <w:sz w:val="14"/>
          <w:szCs w:val="14"/>
          <w:color w:val="auto"/>
        </w:rPr>
      </w:pPr>
    </w:p>
    <w:p>
      <w:pPr>
        <w:ind w:left="360" w:hanging="352"/>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all securities repurchase agreements, regardless of maturity.</w:t>
      </w:r>
    </w:p>
    <w:p>
      <w:pPr>
        <w:spacing w:after="0" w:line="1" w:lineRule="exact"/>
        <w:rPr>
          <w:rFonts w:ascii="Arial" w:cs="Arial" w:eastAsia="Arial" w:hAnsi="Arial"/>
          <w:sz w:val="14"/>
          <w:szCs w:val="14"/>
          <w:color w:val="auto"/>
        </w:rPr>
      </w:pPr>
    </w:p>
    <w:p>
      <w:pPr>
        <w:ind w:left="360" w:hanging="352"/>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limited-life preferred stock and related surplus.</w:t>
      </w:r>
    </w:p>
    <w:p>
      <w:pPr>
        <w:spacing w:after="0" w:line="1" w:lineRule="exact"/>
        <w:rPr>
          <w:rFonts w:ascii="Arial" w:cs="Arial" w:eastAsia="Arial" w:hAnsi="Arial"/>
          <w:sz w:val="14"/>
          <w:szCs w:val="14"/>
          <w:color w:val="auto"/>
        </w:rPr>
      </w:pPr>
    </w:p>
    <w:p>
      <w:pPr>
        <w:ind w:left="360" w:right="260" w:hanging="352"/>
        <w:spacing w:after="0" w:line="241" w:lineRule="auto"/>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but is not limited to, net unrealized holding gains (losses) on available-for-sale securities, accumulated net gains (losses) on cash flow hedges, and accumulated defined benefit pension and other postretirement plan adjustments.</w:t>
      </w:r>
    </w:p>
    <w:p>
      <w:pPr>
        <w:ind w:left="360" w:hanging="352"/>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treasury stock and unearned Employee Stock Ownership Plan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1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Letter"/>
      <w:start w:val="1"/>
    </w:lvl>
  </w:abstractNum>
  <w:abstractNum w:abstractNumId="2">
    <w:nsid w:val="6B68079A"/>
    <w:multiLevelType w:val="hybridMultilevel"/>
    <w:lvl w:ilvl="0">
      <w:lvlJc w:val="left"/>
      <w:lvlText w:val="(%1)"/>
      <w:numFmt w:val="lowerLetter"/>
      <w:start w:val="2"/>
    </w:lvl>
  </w:abstractNum>
  <w:abstractNum w:abstractNumId="3">
    <w:nsid w:val="4E6AFB66"/>
    <w:multiLevelType w:val="hybridMultilevel"/>
    <w:lvl w:ilvl="0">
      <w:lvlJc w:val="left"/>
      <w:lvlText w:val="1"/>
      <w:numFmt w:val="bullet"/>
      <w:start w:val="1"/>
    </w:lvl>
  </w:abstractNum>
  <w:abstractNum w:abstractNumId="4">
    <w:nsid w:val="25E45D32"/>
    <w:multiLevelType w:val="hybridMultilevel"/>
    <w:lvl w:ilvl="0">
      <w:lvlJc w:val="left"/>
      <w:lvlText w:val="2"/>
      <w:numFmt w:val="bullet"/>
      <w:start w:val="1"/>
    </w:lvl>
  </w:abstractNum>
  <w:abstractNum w:abstractNumId="5">
    <w:nsid w:val="519B500D"/>
    <w:multiLevelType w:val="hybridMultilevel"/>
    <w:lvl w:ilvl="0">
      <w:lvlJc w:val="left"/>
      <w:lvlText w:val="4"/>
      <w:numFmt w:val="bullet"/>
      <w:start w:val="1"/>
    </w:lvl>
  </w:abstractNum>
  <w:abstractNum w:abstractNumId="6">
    <w:nsid w:val="431BD7B7"/>
    <w:multiLevelType w:val="hybridMultilevel"/>
    <w:lvl w:ilvl="0">
      <w:lvlJc w:val="left"/>
      <w:lvlText w:val="6"/>
      <w:numFmt w:val="bullet"/>
      <w:start w:val="1"/>
    </w:lvl>
  </w:abstractNum>
  <w:abstractNum w:abstractNumId="7">
    <w:nsid w:val="3F2DBA31"/>
    <w:multiLevelType w:val="hybridMultilevel"/>
    <w:lvl w:ilvl="0">
      <w:lvlJc w:val="left"/>
      <w:lvlText w:val="7"/>
      <w:numFmt w:val="bullet"/>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lowerRoman"/>
      <w:start w:val="1"/>
    </w:lvl>
  </w:abstractNum>
  <w:abstractNum w:abstractNumId="10">
    <w:nsid w:val="62BBD95A"/>
    <w:multiLevelType w:val="hybridMultilevel"/>
    <w:lvl w:ilvl="0">
      <w:lvlJc w:val="left"/>
      <w:lvlText w:val="%1."/>
      <w:numFmt w:val="lowerLetter"/>
      <w:start w:val="4"/>
    </w:lvl>
  </w:abstractNum>
  <w:abstractNum w:abstractNumId="11">
    <w:nsid w:val="436C6125"/>
    <w:multiLevelType w:val="hybridMultilevel"/>
    <w:lvl w:ilvl="0">
      <w:lvlJc w:val="left"/>
      <w:lvlText w:val="%1."/>
      <w:numFmt w:val="lowerLetter"/>
      <w:start w:val="2"/>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Roman"/>
      <w:start w:val="1"/>
    </w:lvl>
  </w:abstractNum>
  <w:abstractNum w:abstractNumId="14">
    <w:nsid w:val="721DA317"/>
    <w:multiLevelType w:val="hybridMultilevel"/>
    <w:lvl w:ilvl="0">
      <w:lvlJc w:val="left"/>
      <w:lvlText w:val="%1."/>
      <w:numFmt w:val="lowerLetter"/>
      <w:start w:val="2"/>
    </w:lvl>
  </w:abstractNum>
  <w:abstractNum w:abstractNumId="15">
    <w:nsid w:val="2443A858"/>
    <w:multiLevelType w:val="hybridMultilevel"/>
    <w:lvl w:ilvl="0">
      <w:lvlJc w:val="left"/>
      <w:lvlText w:val="(%1)"/>
      <w:numFmt w:val="lowerRoman"/>
      <w:start w:val="1"/>
    </w:lvl>
  </w:abstractNum>
  <w:abstractNum w:abstractNumId="16">
    <w:nsid w:val="2D1D5AE9"/>
    <w:multiLevelType w:val="hybridMultilevel"/>
    <w:lvl w:ilvl="0">
      <w:lvlJc w:val="left"/>
      <w:lvlText w:val="(%1)"/>
      <w:numFmt w:val="lowerRoman"/>
      <w:start w:val="2"/>
    </w:lvl>
  </w:abstractNum>
  <w:abstractNum w:abstractNumId="17">
    <w:nsid w:val="6763845E"/>
    <w:multiLevelType w:val="hybridMultilevel"/>
    <w:lvl w:ilvl="0">
      <w:lvlJc w:val="left"/>
      <w:lvlText w:val="%1."/>
      <w:numFmt w:val="lowerLetter"/>
      <w:start w:val="3"/>
    </w:lvl>
  </w:abstractNum>
  <w:abstractNum w:abstractNumId="18">
    <w:nsid w:val="75A2A8D4"/>
    <w:multiLevelType w:val="hybridMultilevel"/>
    <w:lvl w:ilvl="0">
      <w:lvlJc w:val="left"/>
      <w:lvlText w:val="(%1)"/>
      <w:numFmt w:val="lowerRoman"/>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5"/>
    </w:lvl>
  </w:abstractNum>
  <w:abstractNum w:abstractNumId="21">
    <w:nsid w:val="4353D0CD"/>
    <w:multiLevelType w:val="hybridMultilevel"/>
    <w:lvl w:ilvl="0">
      <w:lvlJc w:val="left"/>
      <w:lvlText w:val="%1."/>
      <w:numFmt w:val="lowerLetter"/>
      <w:start w:val="1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2"/>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2019-12-07T16:32:07Z</dcterms:created>
  <dcterms:modified xsi:type="dcterms:W3CDTF">2019-12-07T16:32:07Z</dcterms:modified>
</cp:coreProperties>
</file>