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520" w:type="dxa"/>
            <w:vAlign w:val="bottom"/>
          </w:tcPr>
          <w:p>
            <w:pPr>
              <w:jc w:val="center"/>
              <w:ind w:left="630"/>
              <w:spacing w:after="0"/>
              <w:rPr>
                <w:sz w:val="20"/>
                <w:szCs w:val="20"/>
                <w:color w:val="auto"/>
              </w:rPr>
            </w:pPr>
            <w:r>
              <w:rPr>
                <w:rFonts w:ascii="Arial" w:cs="Arial" w:eastAsia="Arial" w:hAnsi="Arial"/>
                <w:sz w:val="18"/>
                <w:szCs w:val="18"/>
                <w:b w:val="1"/>
                <w:bCs w:val="1"/>
                <w:color w:val="auto"/>
                <w:w w:val="96"/>
              </w:rPr>
              <w:t>Form 6-K</w:t>
            </w:r>
          </w:p>
        </w:tc>
        <w:tc>
          <w:tcPr>
            <w:tcW w:w="720" w:type="dxa"/>
            <w:vAlign w:val="bottom"/>
          </w:tcPr>
          <w:p>
            <w:pPr>
              <w:spacing w:after="0"/>
              <w:rPr>
                <w:sz w:val="20"/>
                <w:szCs w:val="20"/>
                <w:color w:val="auto"/>
              </w:rPr>
            </w:pPr>
          </w:p>
        </w:tc>
      </w:tr>
      <w:tr>
        <w:trPr>
          <w:trHeight w:val="414"/>
        </w:trPr>
        <w:tc>
          <w:tcPr>
            <w:tcW w:w="10520" w:type="dxa"/>
            <w:vAlign w:val="bottom"/>
          </w:tcPr>
          <w:p>
            <w:pPr>
              <w:jc w:val="center"/>
              <w:ind w:left="650"/>
              <w:spacing w:after="0"/>
              <w:rPr>
                <w:sz w:val="20"/>
                <w:szCs w:val="20"/>
                <w:color w:val="auto"/>
              </w:rPr>
            </w:pPr>
            <w:r>
              <w:rPr>
                <w:rFonts w:ascii="Arial" w:cs="Arial" w:eastAsia="Arial" w:hAnsi="Arial"/>
                <w:sz w:val="18"/>
                <w:szCs w:val="18"/>
                <w:b w:val="1"/>
                <w:bCs w:val="1"/>
                <w:color w:val="auto"/>
                <w:w w:val="98"/>
              </w:rPr>
              <w:t>REPORT OF FOREIGN PRIVATE ISSUER PURSUANT TO RULE 13a-16 OR 15d-16 UNDER THE SECURITIES</w:t>
            </w:r>
          </w:p>
        </w:tc>
        <w:tc>
          <w:tcPr>
            <w:tcW w:w="720" w:type="dxa"/>
            <w:vAlign w:val="bottom"/>
          </w:tcPr>
          <w:p>
            <w:pPr>
              <w:spacing w:after="0"/>
              <w:rPr>
                <w:sz w:val="24"/>
                <w:szCs w:val="24"/>
                <w:color w:val="auto"/>
              </w:rPr>
            </w:pPr>
          </w:p>
        </w:tc>
      </w:tr>
      <w:tr>
        <w:trPr>
          <w:trHeight w:val="234"/>
        </w:trPr>
        <w:tc>
          <w:tcPr>
            <w:tcW w:w="10520" w:type="dxa"/>
            <w:vAlign w:val="bottom"/>
          </w:tcPr>
          <w:p>
            <w:pPr>
              <w:jc w:val="center"/>
              <w:ind w:left="630"/>
              <w:spacing w:after="0"/>
              <w:rPr>
                <w:sz w:val="20"/>
                <w:szCs w:val="20"/>
                <w:color w:val="auto"/>
              </w:rPr>
            </w:pPr>
            <w:r>
              <w:rPr>
                <w:rFonts w:ascii="Arial" w:cs="Arial" w:eastAsia="Arial" w:hAnsi="Arial"/>
                <w:sz w:val="18"/>
                <w:szCs w:val="18"/>
                <w:b w:val="1"/>
                <w:bCs w:val="1"/>
                <w:color w:val="auto"/>
                <w:w w:val="98"/>
              </w:rPr>
              <w:t>EXCHANGE ACT OF 1934</w:t>
            </w:r>
          </w:p>
        </w:tc>
        <w:tc>
          <w:tcPr>
            <w:tcW w:w="720" w:type="dxa"/>
            <w:vAlign w:val="bottom"/>
          </w:tcPr>
          <w:p>
            <w:pPr>
              <w:spacing w:after="0"/>
              <w:rPr>
                <w:sz w:val="20"/>
                <w:szCs w:val="20"/>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For the month of November 2021</w:t>
            </w:r>
          </w:p>
        </w:tc>
        <w:tc>
          <w:tcPr>
            <w:tcW w:w="720" w:type="dxa"/>
            <w:vAlign w:val="bottom"/>
          </w:tcPr>
          <w:p>
            <w:pPr>
              <w:spacing w:after="0"/>
              <w:rPr>
                <w:sz w:val="24"/>
                <w:szCs w:val="24"/>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720" w:type="dxa"/>
            <w:vAlign w:val="bottom"/>
          </w:tcPr>
          <w:p>
            <w:pPr>
              <w:spacing w:after="0"/>
              <w:rPr>
                <w:sz w:val="24"/>
                <w:szCs w:val="24"/>
                <w:color w:val="auto"/>
              </w:rPr>
            </w:pPr>
          </w:p>
        </w:tc>
      </w:tr>
      <w:tr>
        <w:trPr>
          <w:trHeight w:val="418"/>
        </w:trPr>
        <w:tc>
          <w:tcPr>
            <w:tcW w:w="10520" w:type="dxa"/>
            <w:vAlign w:val="bottom"/>
          </w:tcPr>
          <w:p>
            <w:pPr>
              <w:jc w:val="center"/>
              <w:ind w:left="630"/>
              <w:spacing w:after="0"/>
              <w:rPr>
                <w:sz w:val="20"/>
                <w:szCs w:val="20"/>
                <w:color w:val="auto"/>
              </w:rPr>
            </w:pPr>
            <w:r>
              <w:rPr>
                <w:rFonts w:ascii="Arial" w:cs="Arial" w:eastAsia="Arial" w:hAnsi="Arial"/>
                <w:sz w:val="18"/>
                <w:szCs w:val="18"/>
                <w:b w:val="1"/>
                <w:bCs w:val="1"/>
                <w:color w:val="auto"/>
                <w:w w:val="91"/>
              </w:rPr>
              <w:t>GasLog Ltd.</w:t>
            </w:r>
          </w:p>
        </w:tc>
        <w:tc>
          <w:tcPr>
            <w:tcW w:w="720" w:type="dxa"/>
            <w:vAlign w:val="bottom"/>
          </w:tcPr>
          <w:p>
            <w:pPr>
              <w:spacing w:after="0"/>
              <w:rPr>
                <w:sz w:val="24"/>
                <w:szCs w:val="24"/>
                <w:color w:val="auto"/>
              </w:rPr>
            </w:pPr>
          </w:p>
        </w:tc>
      </w:tr>
      <w:tr>
        <w:trPr>
          <w:trHeight w:val="230"/>
        </w:trPr>
        <w:tc>
          <w:tcPr>
            <w:tcW w:w="10520" w:type="dxa"/>
            <w:vAlign w:val="bottom"/>
          </w:tcPr>
          <w:p>
            <w:pPr>
              <w:jc w:val="center"/>
              <w:ind w:left="630"/>
              <w:spacing w:after="0"/>
              <w:rPr>
                <w:sz w:val="20"/>
                <w:szCs w:val="20"/>
                <w:color w:val="auto"/>
              </w:rPr>
            </w:pPr>
            <w:r>
              <w:rPr>
                <w:rFonts w:ascii="Arial" w:cs="Arial" w:eastAsia="Arial" w:hAnsi="Arial"/>
                <w:sz w:val="18"/>
                <w:szCs w:val="18"/>
                <w:color w:val="auto"/>
                <w:w w:val="91"/>
              </w:rPr>
              <w:t>(Translation of registrant’s name into English)</w:t>
            </w:r>
          </w:p>
        </w:tc>
        <w:tc>
          <w:tcPr>
            <w:tcW w:w="720" w:type="dxa"/>
            <w:vAlign w:val="bottom"/>
          </w:tcPr>
          <w:p>
            <w:pPr>
              <w:spacing w:after="0"/>
              <w:rPr>
                <w:sz w:val="20"/>
                <w:szCs w:val="20"/>
                <w:color w:val="auto"/>
              </w:rPr>
            </w:pPr>
          </w:p>
        </w:tc>
      </w:tr>
      <w:tr>
        <w:trPr>
          <w:trHeight w:val="418"/>
        </w:trPr>
        <w:tc>
          <w:tcPr>
            <w:tcW w:w="10520" w:type="dxa"/>
            <w:vAlign w:val="bottom"/>
          </w:tcPr>
          <w:p>
            <w:pPr>
              <w:jc w:val="center"/>
              <w:ind w:left="630"/>
              <w:spacing w:after="0"/>
              <w:rPr>
                <w:sz w:val="20"/>
                <w:szCs w:val="20"/>
                <w:color w:val="auto"/>
              </w:rPr>
            </w:pPr>
            <w:r>
              <w:rPr>
                <w:rFonts w:ascii="Arial" w:cs="Arial" w:eastAsia="Arial" w:hAnsi="Arial"/>
                <w:sz w:val="18"/>
                <w:szCs w:val="18"/>
                <w:color w:val="auto"/>
                <w:w w:val="92"/>
              </w:rPr>
              <w:t>c/o GasLog LNG Services Ltd.</w:t>
            </w:r>
          </w:p>
        </w:tc>
        <w:tc>
          <w:tcPr>
            <w:tcW w:w="720" w:type="dxa"/>
            <w:vAlign w:val="bottom"/>
          </w:tcPr>
          <w:p>
            <w:pPr>
              <w:spacing w:after="0"/>
              <w:rPr>
                <w:sz w:val="24"/>
                <w:szCs w:val="24"/>
                <w:color w:val="auto"/>
              </w:rPr>
            </w:pPr>
          </w:p>
        </w:tc>
      </w:tr>
      <w:tr>
        <w:trPr>
          <w:trHeight w:val="216"/>
        </w:trPr>
        <w:tc>
          <w:tcPr>
            <w:tcW w:w="10520" w:type="dxa"/>
            <w:vAlign w:val="bottom"/>
          </w:tcPr>
          <w:p>
            <w:pPr>
              <w:jc w:val="center"/>
              <w:ind w:left="650"/>
              <w:spacing w:after="0"/>
              <w:rPr>
                <w:sz w:val="20"/>
                <w:szCs w:val="20"/>
                <w:color w:val="auto"/>
              </w:rPr>
            </w:pPr>
            <w:r>
              <w:rPr>
                <w:rFonts w:ascii="Arial" w:cs="Arial" w:eastAsia="Arial" w:hAnsi="Arial"/>
                <w:sz w:val="18"/>
                <w:szCs w:val="18"/>
                <w:color w:val="auto"/>
                <w:w w:val="95"/>
              </w:rPr>
              <w:t>69 Akti Miaouli, 18537</w:t>
            </w:r>
          </w:p>
        </w:tc>
        <w:tc>
          <w:tcPr>
            <w:tcW w:w="720" w:type="dxa"/>
            <w:vAlign w:val="bottom"/>
          </w:tcPr>
          <w:p>
            <w:pPr>
              <w:spacing w:after="0"/>
              <w:rPr>
                <w:sz w:val="18"/>
                <w:szCs w:val="18"/>
                <w:color w:val="auto"/>
              </w:rPr>
            </w:pPr>
          </w:p>
        </w:tc>
      </w:tr>
      <w:tr>
        <w:trPr>
          <w:trHeight w:val="216"/>
        </w:trPr>
        <w:tc>
          <w:tcPr>
            <w:tcW w:w="10520" w:type="dxa"/>
            <w:vAlign w:val="bottom"/>
          </w:tcPr>
          <w:p>
            <w:pPr>
              <w:jc w:val="center"/>
              <w:ind w:left="630"/>
              <w:spacing w:after="0"/>
              <w:rPr>
                <w:sz w:val="20"/>
                <w:szCs w:val="20"/>
                <w:color w:val="auto"/>
              </w:rPr>
            </w:pPr>
            <w:r>
              <w:rPr>
                <w:rFonts w:ascii="Arial" w:cs="Arial" w:eastAsia="Arial" w:hAnsi="Arial"/>
                <w:sz w:val="18"/>
                <w:szCs w:val="18"/>
                <w:color w:val="auto"/>
                <w:w w:val="86"/>
              </w:rPr>
              <w:t>Piraeus, Greece</w:t>
            </w:r>
          </w:p>
        </w:tc>
        <w:tc>
          <w:tcPr>
            <w:tcW w:w="720" w:type="dxa"/>
            <w:vAlign w:val="bottom"/>
          </w:tcPr>
          <w:p>
            <w:pPr>
              <w:spacing w:after="0"/>
              <w:rPr>
                <w:sz w:val="18"/>
                <w:szCs w:val="18"/>
                <w:color w:val="auto"/>
              </w:rPr>
            </w:pPr>
          </w:p>
        </w:tc>
      </w:tr>
      <w:tr>
        <w:trPr>
          <w:trHeight w:val="230"/>
        </w:trPr>
        <w:tc>
          <w:tcPr>
            <w:tcW w:w="10520" w:type="dxa"/>
            <w:vAlign w:val="bottom"/>
          </w:tcPr>
          <w:p>
            <w:pPr>
              <w:jc w:val="center"/>
              <w:ind w:left="650"/>
              <w:spacing w:after="0"/>
              <w:rPr>
                <w:sz w:val="20"/>
                <w:szCs w:val="20"/>
                <w:color w:val="auto"/>
              </w:rPr>
            </w:pPr>
            <w:r>
              <w:rPr>
                <w:rFonts w:ascii="Arial" w:cs="Arial" w:eastAsia="Arial" w:hAnsi="Arial"/>
                <w:sz w:val="18"/>
                <w:szCs w:val="18"/>
                <w:color w:val="auto"/>
                <w:w w:val="92"/>
              </w:rPr>
              <w:t>(Address of principal executive office)</w:t>
            </w:r>
          </w:p>
        </w:tc>
        <w:tc>
          <w:tcPr>
            <w:tcW w:w="720" w:type="dxa"/>
            <w:vAlign w:val="bottom"/>
          </w:tcPr>
          <w:p>
            <w:pPr>
              <w:spacing w:after="0"/>
              <w:rPr>
                <w:sz w:val="20"/>
                <w:szCs w:val="20"/>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720" w:type="dxa"/>
            <w:vAlign w:val="bottom"/>
          </w:tcPr>
          <w:p>
            <w:pPr>
              <w:spacing w:after="0"/>
              <w:rPr>
                <w:sz w:val="24"/>
                <w:szCs w:val="24"/>
                <w:color w:val="auto"/>
              </w:rPr>
            </w:pPr>
          </w:p>
        </w:tc>
      </w:tr>
      <w:tr>
        <w:trPr>
          <w:trHeight w:val="452"/>
        </w:trPr>
        <w:tc>
          <w:tcPr>
            <w:tcW w:w="1052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tc>
        <w:tc>
          <w:tcPr>
            <w:tcW w:w="720" w:type="dxa"/>
            <w:vAlign w:val="bottom"/>
          </w:tcPr>
          <w:p>
            <w:pPr>
              <w:spacing w:after="0"/>
              <w:rPr>
                <w:sz w:val="24"/>
                <w:szCs w:val="24"/>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7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7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r>
      <w:tr>
        <w:trPr>
          <w:trHeight w:val="250"/>
        </w:trPr>
        <w:tc>
          <w:tcPr>
            <w:tcW w:w="105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r>
      <w:tr>
        <w:trPr>
          <w:trHeight w:val="28"/>
        </w:trPr>
        <w:tc>
          <w:tcPr>
            <w:tcW w:w="10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729"/>
        </w:trPr>
        <w:tc>
          <w:tcPr>
            <w:tcW w:w="10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37" w:right="339" w:bottom="1440" w:gutter="0" w:footer="0" w:header="0"/>
        </w:sectPr>
      </w:pPr>
    </w:p>
    <w:bookmarkStart w:id="1" w:name="page2"/>
    <w:bookmarkEnd w:id="1"/>
    <w:p>
      <w:pPr>
        <w:ind w:firstLine="356"/>
        <w:spacing w:after="0" w:line="293" w:lineRule="auto"/>
        <w:rPr>
          <w:sz w:val="20"/>
          <w:szCs w:val="20"/>
          <w:color w:val="auto"/>
        </w:rPr>
      </w:pPr>
      <w:r>
        <w:rPr>
          <w:rFonts w:ascii="Arial" w:cs="Arial" w:eastAsia="Arial" w:hAnsi="Arial"/>
          <w:sz w:val="16"/>
          <w:szCs w:val="16"/>
          <w:color w:val="auto"/>
        </w:rPr>
        <w:t>The press release issued by GasLog Ltd. on November 16, 2021, relating to its results for the three-month period ended September 30, 2021, is attached hereto as Exhibit 99.1.</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LIST</w:t>
      </w:r>
    </w:p>
    <w:p>
      <w:pPr>
        <w:spacing w:after="0" w:line="22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6"/>
          <w:szCs w:val="16"/>
          <w:color w:val="auto"/>
        </w:rPr>
        <w:t>Description</w:t>
      </w:r>
    </w:p>
    <w:p>
      <w:pPr>
        <w:spacing w:after="0" w:line="226" w:lineRule="exact"/>
        <w:rPr>
          <w:sz w:val="20"/>
          <w:szCs w:val="20"/>
          <w:color w:val="auto"/>
        </w:rPr>
      </w:pPr>
    </w:p>
    <w:p>
      <w:pPr>
        <w:spacing w:after="0"/>
        <w:tabs>
          <w:tab w:leader="none" w:pos="78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November 16,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color w:val="auto"/>
        </w:rPr>
        <w:t>SIGNATURES</w:t>
      </w:r>
    </w:p>
    <w:p>
      <w:pPr>
        <w:spacing w:after="0" w:line="235" w:lineRule="exact"/>
        <w:rPr>
          <w:sz w:val="20"/>
          <w:szCs w:val="20"/>
          <w:color w:val="auto"/>
        </w:rPr>
      </w:pPr>
    </w:p>
    <w:p>
      <w:pPr>
        <w:ind w:right="100" w:firstLine="356"/>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16, 2021</w:t>
      </w:r>
    </w:p>
    <w:p>
      <w:pPr>
        <w:spacing w:after="0" w:line="22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GASLOG LTD.,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40" w:type="dxa"/>
            <w:vAlign w:val="bottom"/>
          </w:tcPr>
          <w:p>
            <w:pPr>
              <w:ind w:left="6080"/>
              <w:spacing w:after="0"/>
              <w:rPr>
                <w:sz w:val="20"/>
                <w:szCs w:val="20"/>
                <w:color w:val="auto"/>
              </w:rPr>
            </w:pPr>
            <w:r>
              <w:rPr>
                <w:rFonts w:ascii="Arial" w:cs="Arial" w:eastAsia="Arial" w:hAnsi="Arial"/>
                <w:sz w:val="16"/>
                <w:szCs w:val="16"/>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Paul Wogan</w:t>
            </w:r>
          </w:p>
        </w:tc>
      </w:tr>
      <w:tr>
        <w:trPr>
          <w:trHeight w:val="192"/>
        </w:trPr>
        <w:tc>
          <w:tcPr>
            <w:tcW w:w="6640" w:type="dxa"/>
            <w:vAlign w:val="bottom"/>
          </w:tcPr>
          <w:p>
            <w:pPr>
              <w:ind w:left="6080"/>
              <w:spacing w:after="0"/>
              <w:rPr>
                <w:sz w:val="20"/>
                <w:szCs w:val="20"/>
                <w:color w:val="auto"/>
              </w:rPr>
            </w:pPr>
            <w:r>
              <w:rPr>
                <w:rFonts w:ascii="Arial" w:cs="Arial" w:eastAsia="Arial" w:hAnsi="Arial"/>
                <w:sz w:val="16"/>
                <w:szCs w:val="16"/>
                <w:color w:val="auto"/>
              </w:rPr>
              <w:t>Name:</w:t>
            </w:r>
          </w:p>
        </w:tc>
        <w:tc>
          <w:tcPr>
            <w:tcW w:w="4600" w:type="dxa"/>
            <w:vAlign w:val="bottom"/>
          </w:tcPr>
          <w:p>
            <w:pPr>
              <w:spacing w:after="0"/>
              <w:rPr>
                <w:sz w:val="20"/>
                <w:szCs w:val="20"/>
                <w:color w:val="auto"/>
              </w:rPr>
            </w:pPr>
            <w:r>
              <w:rPr>
                <w:rFonts w:ascii="Arial" w:cs="Arial" w:eastAsia="Arial" w:hAnsi="Arial"/>
                <w:sz w:val="16"/>
                <w:szCs w:val="16"/>
                <w:color w:val="auto"/>
              </w:rPr>
              <w:t>Paul Wogan</w:t>
            </w:r>
          </w:p>
        </w:tc>
      </w:tr>
      <w:tr>
        <w:trPr>
          <w:trHeight w:val="206"/>
        </w:trPr>
        <w:tc>
          <w:tcPr>
            <w:tcW w:w="6640" w:type="dxa"/>
            <w:vAlign w:val="bottom"/>
          </w:tcPr>
          <w:p>
            <w:pPr>
              <w:ind w:left="6080"/>
              <w:spacing w:after="0"/>
              <w:rPr>
                <w:sz w:val="20"/>
                <w:szCs w:val="20"/>
                <w:color w:val="auto"/>
              </w:rPr>
            </w:pPr>
            <w:r>
              <w:rPr>
                <w:rFonts w:ascii="Arial" w:cs="Arial" w:eastAsia="Arial" w:hAnsi="Arial"/>
                <w:sz w:val="16"/>
                <w:szCs w:val="16"/>
                <w:color w:val="auto"/>
              </w:rPr>
              <w:t>Title:</w:t>
            </w:r>
          </w:p>
        </w:tc>
        <w:tc>
          <w:tcPr>
            <w:tcW w:w="460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681"/>
        </w:trPr>
        <w:tc>
          <w:tcPr>
            <w:tcW w:w="66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Press Release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Ltd. Reports Financial Results for the Three-Month Period Ended September 30, 2021</w:t>
      </w:r>
    </w:p>
    <w:p>
      <w:pPr>
        <w:spacing w:after="0" w:line="221"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Hamilton, Bermuda, November 16, 2021, GasLog Ltd. and its subsidiaries (“GasLog”, “Group” or “Company”) (NYSE: GLOG-PA)</w:t>
      </w:r>
      <w:r>
        <w:rPr>
          <w:rFonts w:ascii="Arial" w:cs="Arial" w:eastAsia="Arial" w:hAnsi="Arial"/>
          <w:sz w:val="16"/>
          <w:szCs w:val="16"/>
          <w:color w:val="auto"/>
        </w:rPr>
        <w:t>, an international owner,</w:t>
      </w:r>
      <w:r>
        <w:rPr>
          <w:rFonts w:ascii="Arial" w:cs="Arial" w:eastAsia="Arial" w:hAnsi="Arial"/>
          <w:sz w:val="16"/>
          <w:szCs w:val="16"/>
          <w:b w:val="1"/>
          <w:bCs w:val="1"/>
          <w:color w:val="auto"/>
        </w:rPr>
        <w:t xml:space="preserve"> </w:t>
      </w:r>
      <w:r>
        <w:rPr>
          <w:rFonts w:ascii="Arial" w:cs="Arial" w:eastAsia="Arial" w:hAnsi="Arial"/>
          <w:sz w:val="16"/>
          <w:szCs w:val="16"/>
          <w:color w:val="auto"/>
        </w:rPr>
        <w:t>operator and manager of liquefied natural gas (“LNG”) carriers, today reported its financial results for the quarter ended September 30, 2021.</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Delivery of the </w:t>
      </w:r>
      <w:r>
        <w:rPr>
          <w:rFonts w:ascii="Arial" w:cs="Arial" w:eastAsia="Arial" w:hAnsi="Arial"/>
          <w:sz w:val="16"/>
          <w:szCs w:val="16"/>
          <w:b w:val="1"/>
          <w:bCs w:val="1"/>
          <w:i w:val="1"/>
          <w:iCs w:val="1"/>
          <w:u w:val="single" w:color="auto"/>
          <w:color w:val="auto"/>
        </w:rPr>
        <w:t>GasLog Winchester</w:t>
      </w:r>
    </w:p>
    <w:p>
      <w:pPr>
        <w:spacing w:after="0" w:line="225" w:lineRule="exact"/>
        <w:rPr>
          <w:sz w:val="20"/>
          <w:szCs w:val="20"/>
          <w:color w:val="auto"/>
        </w:rPr>
      </w:pPr>
    </w:p>
    <w:p>
      <w:pPr>
        <w:ind w:right="140" w:firstLine="405"/>
        <w:spacing w:after="0" w:line="278" w:lineRule="auto"/>
        <w:rPr>
          <w:sz w:val="20"/>
          <w:szCs w:val="20"/>
          <w:color w:val="auto"/>
        </w:rPr>
      </w:pPr>
      <w:r>
        <w:rPr>
          <w:rFonts w:ascii="Arial" w:cs="Arial" w:eastAsia="Arial" w:hAnsi="Arial"/>
          <w:sz w:val="16"/>
          <w:szCs w:val="16"/>
          <w:color w:val="auto"/>
        </w:rPr>
        <w:t xml:space="preserve">On August 24, 2021, GasLog took delivery of the </w:t>
      </w:r>
      <w:r>
        <w:rPr>
          <w:rFonts w:ascii="Arial" w:cs="Arial" w:eastAsia="Arial" w:hAnsi="Arial"/>
          <w:sz w:val="16"/>
          <w:szCs w:val="16"/>
          <w:i w:val="1"/>
          <w:iCs w:val="1"/>
          <w:color w:val="auto"/>
        </w:rPr>
        <w:t>GasLog Winchester</w:t>
      </w:r>
      <w:r>
        <w:rPr>
          <w:rFonts w:ascii="Arial" w:cs="Arial" w:eastAsia="Arial" w:hAnsi="Arial"/>
          <w:sz w:val="16"/>
          <w:szCs w:val="16"/>
          <w:color w:val="auto"/>
        </w:rPr>
        <w:t>, a 180,000 cubic meters (“cbm”) LNG carrier with dual fuel medium speed propulsion (“X-DF”) constructed by Samsung Heavy Industries Co., Ltd. (“Samsung”). Upon delivery, the vessel immediately commenced its seven-year charter with Cheniere Marketing International LLP, a wholly owned subsidiary of Cheniere Energy Inc. (“Cheniere”).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Refinancing of 8.875% Senior Notes due in March 2022 (the “8.875% Senior Notes”)</w:t>
      </w:r>
    </w:p>
    <w:p>
      <w:pPr>
        <w:spacing w:after="0" w:line="225" w:lineRule="exact"/>
        <w:rPr>
          <w:sz w:val="20"/>
          <w:szCs w:val="20"/>
          <w:color w:val="auto"/>
        </w:rPr>
      </w:pPr>
    </w:p>
    <w:p>
      <w:pPr>
        <w:ind w:right="40" w:firstLine="383"/>
        <w:spacing w:after="0" w:line="269" w:lineRule="auto"/>
        <w:rPr>
          <w:sz w:val="20"/>
          <w:szCs w:val="20"/>
          <w:color w:val="auto"/>
        </w:rPr>
      </w:pPr>
      <w:r>
        <w:rPr>
          <w:rFonts w:ascii="Arial" w:cs="Arial" w:eastAsia="Arial" w:hAnsi="Arial"/>
          <w:sz w:val="16"/>
          <w:szCs w:val="16"/>
          <w:color w:val="auto"/>
        </w:rPr>
        <w:t>On September 24, 2021, GasLog entered into a Note Purchase Agreement (the “Note Purchase Agreement”) with certain affiliates of The Carlyle Group and EIG (such affiliates, the “Purchasers”) and Wilmington Trust (London) Limited, as administrative agent, for an amount of up to $325.0 million of 7.75% Notes due in 2029 (the “Notes”). The Company anticipates drawing down the Notes by March 2022. The proceeds of the Notes will be used to refinance the Company’s 8.875% Senior Notes. Any remaining proceeds may be used to pay transaction costs and expenses incurred in connection with the refinancing and/or general corporate purposes. The Note Purchase Agreement allows for the issuance of additional Notes in an amount up to $100.0 million for the purpose of refinancing existing obligations or pursuing new growth opportunities.</w:t>
      </w:r>
    </w:p>
    <w:p>
      <w:pPr>
        <w:spacing w:after="0" w:line="180" w:lineRule="exact"/>
        <w:rPr>
          <w:sz w:val="20"/>
          <w:szCs w:val="20"/>
          <w:color w:val="auto"/>
        </w:rPr>
      </w:pPr>
    </w:p>
    <w:p>
      <w:pPr>
        <w:jc w:val="both"/>
        <w:ind w:right="60" w:firstLine="383"/>
        <w:spacing w:after="0" w:line="278" w:lineRule="auto"/>
        <w:rPr>
          <w:sz w:val="20"/>
          <w:szCs w:val="20"/>
          <w:color w:val="auto"/>
        </w:rPr>
      </w:pPr>
      <w:r>
        <w:rPr>
          <w:rFonts w:ascii="Arial" w:cs="Arial" w:eastAsia="Arial" w:hAnsi="Arial"/>
          <w:sz w:val="16"/>
          <w:szCs w:val="16"/>
          <w:color w:val="auto"/>
        </w:rPr>
        <w:t>The Notes will be issued at 99.25% of face value and bear a fixed interest rate of 7.75%. The Purchasers received an upfront fee of 0.75% on signing and shall receive a ticking fee of 1.5% from signing until drawing. Under certain conditions, the Company may elect to pay interest in kind up to three times, with the interest rate increasing to 9.75% for the applicable quarter.</w:t>
      </w:r>
    </w:p>
    <w:p>
      <w:pPr>
        <w:spacing w:after="0" w:line="171" w:lineRule="exact"/>
        <w:rPr>
          <w:sz w:val="20"/>
          <w:szCs w:val="20"/>
          <w:color w:val="auto"/>
        </w:rPr>
      </w:pPr>
    </w:p>
    <w:p>
      <w:pPr>
        <w:ind w:right="40" w:firstLine="383"/>
        <w:spacing w:after="0" w:line="269" w:lineRule="auto"/>
        <w:rPr>
          <w:sz w:val="20"/>
          <w:szCs w:val="20"/>
          <w:color w:val="auto"/>
        </w:rPr>
      </w:pPr>
      <w:r>
        <w:rPr>
          <w:rFonts w:ascii="Arial" w:cs="Arial" w:eastAsia="Arial" w:hAnsi="Arial"/>
          <w:sz w:val="16"/>
          <w:szCs w:val="16"/>
          <w:color w:val="auto"/>
        </w:rPr>
        <w:t>The Notes can be redeemed in whole or in part at any time subject to a pre-determined premium until year 4 and at par thereafter. If the Company’s historical or projected EBITDA to debt service ratio falls below a certain threshold during years 6 and 7, a percentage of the Company’s excess cash flow will be applied towards prepayment of the Notes. The Note Purchase Agreement requires that the Company comply with financial covenants that are identical to GasLog’s financial covenants as described in Note 13 of our annual audited consolidated financial statements included in the Company’s Annual Report on Form 20-F filed with the U.S. Securities and Exchange Commission on March 5, 2021. Upon funding, the Purchasers will obtain a charge on the shares of GasLog Carriers Limited (“GLC”) held by the Company and a pledge on a designated bank account of GLC.</w:t>
      </w:r>
    </w:p>
    <w:p>
      <w:pPr>
        <w:spacing w:after="0" w:line="180" w:lineRule="exact"/>
        <w:rPr>
          <w:sz w:val="20"/>
          <w:szCs w:val="20"/>
          <w:color w:val="auto"/>
        </w:rPr>
      </w:pPr>
    </w:p>
    <w:p>
      <w:pPr>
        <w:ind w:right="180" w:firstLine="383"/>
        <w:spacing w:after="0" w:line="269" w:lineRule="auto"/>
        <w:rPr>
          <w:sz w:val="20"/>
          <w:szCs w:val="20"/>
          <w:color w:val="auto"/>
        </w:rPr>
      </w:pPr>
      <w:r>
        <w:rPr>
          <w:rFonts w:ascii="Arial" w:cs="Arial" w:eastAsia="Arial" w:hAnsi="Arial"/>
          <w:sz w:val="16"/>
          <w:szCs w:val="16"/>
          <w:color w:val="auto"/>
        </w:rPr>
        <w:t>In addition, the Note Purchase Agreement includes restrictions on distributions consistent with the Company’s Norwegian Kroner (“NOK”) denominated bond, according to which the Company may not make distributions that in aggregate exceed $1.10/share during any calendar year. Notwithstanding the foregoing, GasLog may make any amounts of distributions so long as the Company’s cash and cash equivalents (on a consolidated basis) exceed $150.0 million. Finally, the Note Purchase Agreement also contains certain restrictions on indebtedness, liens, guarantees, asset sales and distributions, among others. Among other exceptions, new indebtedness is permitted when the Company meets pre-determined thresholds on a pro-forma basis for its “Charter Coverage Ratio” (the ratio of the present value of qualified contracted revenues to the aggregate indebtedness of the Company on any date).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Sale and Lease-Back of the </w:t>
      </w:r>
      <w:r>
        <w:rPr>
          <w:rFonts w:ascii="Arial" w:cs="Arial" w:eastAsia="Arial" w:hAnsi="Arial"/>
          <w:sz w:val="16"/>
          <w:szCs w:val="16"/>
          <w:b w:val="1"/>
          <w:bCs w:val="1"/>
          <w:i w:val="1"/>
          <w:iCs w:val="1"/>
          <w:u w:val="single" w:color="auto"/>
          <w:color w:val="auto"/>
        </w:rPr>
        <w:t>GasLog Shanghai</w:t>
      </w:r>
      <w:r>
        <w:rPr>
          <w:rFonts w:ascii="Arial" w:cs="Arial" w:eastAsia="Arial" w:hAnsi="Arial"/>
          <w:sz w:val="16"/>
          <w:szCs w:val="16"/>
          <w:b w:val="1"/>
          <w:bCs w:val="1"/>
          <w:u w:val="single" w:color="auto"/>
          <w:color w:val="auto"/>
        </w:rPr>
        <w:t xml:space="preserve"> and the </w:t>
      </w:r>
      <w:r>
        <w:rPr>
          <w:rFonts w:ascii="Arial" w:cs="Arial" w:eastAsia="Arial" w:hAnsi="Arial"/>
          <w:sz w:val="16"/>
          <w:szCs w:val="16"/>
          <w:b w:val="1"/>
          <w:bCs w:val="1"/>
          <w:i w:val="1"/>
          <w:iCs w:val="1"/>
          <w:u w:val="single" w:color="auto"/>
          <w:color w:val="auto"/>
        </w:rPr>
        <w:t>GasLog Salem</w:t>
      </w:r>
    </w:p>
    <w:p>
      <w:pPr>
        <w:spacing w:after="0" w:line="225" w:lineRule="exact"/>
        <w:rPr>
          <w:sz w:val="20"/>
          <w:szCs w:val="20"/>
          <w:color w:val="auto"/>
        </w:rPr>
      </w:pPr>
    </w:p>
    <w:p>
      <w:pPr>
        <w:jc w:val="both"/>
        <w:ind w:right="140" w:firstLine="383"/>
        <w:spacing w:after="0" w:line="271" w:lineRule="auto"/>
        <w:rPr>
          <w:sz w:val="20"/>
          <w:szCs w:val="20"/>
          <w:color w:val="auto"/>
        </w:rPr>
      </w:pPr>
      <w:r>
        <w:rPr>
          <w:rFonts w:ascii="Arial" w:cs="Arial" w:eastAsia="Arial" w:hAnsi="Arial"/>
          <w:sz w:val="16"/>
          <w:szCs w:val="16"/>
          <w:color w:val="auto"/>
        </w:rPr>
        <w:t xml:space="preserve">On October 26, 2021, GasLog Partners LP (“GasLog Partners” or the “Partnership”) and GasLog completed the sale and lease-back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Salem</w:t>
      </w:r>
      <w:r>
        <w:rPr>
          <w:rFonts w:ascii="Arial" w:cs="Arial" w:eastAsia="Arial" w:hAnsi="Arial"/>
          <w:sz w:val="16"/>
          <w:szCs w:val="16"/>
          <w:color w:val="auto"/>
        </w:rPr>
        <w:t>, two 155,000 cbm tri-fuel diesel electric propulsion (“TFDE”) LNG carriers, built in 2013 and 2015, respectively, with a wholly-owned subsidiary of China</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Bank Leasing (“CDBL”). The vessels were sold and leased back under bareboat charters with CDBL for a period of five years with no repurchase option or obligation. The completion of both transactions released $42.8 million of incremental net liquidity (net sale proceeds less debt prepayment) to the Group, while the vessels remain on their charters with a subsidiary of Gunvor Group Ltd. (“Gunvor”).</w:t>
      </w:r>
    </w:p>
    <w:p>
      <w:pPr>
        <w:spacing w:after="0" w:line="176" w:lineRule="exact"/>
        <w:rPr>
          <w:sz w:val="20"/>
          <w:szCs w:val="20"/>
          <w:color w:val="auto"/>
        </w:rPr>
      </w:pPr>
    </w:p>
    <w:p>
      <w:pPr>
        <w:ind w:right="100" w:firstLine="383"/>
        <w:spacing w:after="0" w:line="278" w:lineRule="auto"/>
        <w:rPr>
          <w:sz w:val="20"/>
          <w:szCs w:val="20"/>
          <w:color w:val="auto"/>
        </w:rPr>
      </w:pPr>
      <w:r>
        <w:rPr>
          <w:rFonts w:ascii="Arial" w:cs="Arial" w:eastAsia="Arial" w:hAnsi="Arial"/>
          <w:sz w:val="16"/>
          <w:szCs w:val="16"/>
          <w:color w:val="auto"/>
        </w:rPr>
        <w:t xml:space="preserve">As of September 30, 2021, both vessels were remeasured at the lower of their carrying amount and fair value less cost to sell and were reclassified in current assets as Vessels held for sale. Similarly, their debt net of the unamortized portion of loan issuance costs of $199.8 million was classified as current. Finally, a non-cash impairment loss of $16.9 million was recorded for </w:t>
      </w:r>
      <w:r>
        <w:rPr>
          <w:rFonts w:ascii="Arial" w:cs="Arial" w:eastAsia="Arial" w:hAnsi="Arial"/>
          <w:sz w:val="16"/>
          <w:szCs w:val="16"/>
          <w:i w:val="1"/>
          <w:iCs w:val="1"/>
          <w:color w:val="auto"/>
        </w:rPr>
        <w:t>GasLog Salem</w:t>
      </w:r>
      <w:r>
        <w:rPr>
          <w:rFonts w:ascii="Arial" w:cs="Arial" w:eastAsia="Arial" w:hAnsi="Arial"/>
          <w:sz w:val="16"/>
          <w:szCs w:val="16"/>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New Charter Agreements</w:t>
      </w:r>
    </w:p>
    <w:p>
      <w:pPr>
        <w:spacing w:after="0" w:line="225" w:lineRule="exact"/>
        <w:rPr>
          <w:sz w:val="20"/>
          <w:szCs w:val="20"/>
          <w:color w:val="auto"/>
        </w:rPr>
      </w:pPr>
    </w:p>
    <w:p>
      <w:pPr>
        <w:ind w:right="40" w:firstLine="383"/>
        <w:spacing w:after="0" w:line="318" w:lineRule="auto"/>
        <w:rPr>
          <w:sz w:val="20"/>
          <w:szCs w:val="20"/>
          <w:color w:val="auto"/>
        </w:rPr>
      </w:pPr>
      <w:r>
        <w:rPr>
          <w:rFonts w:ascii="Arial" w:cs="Arial" w:eastAsia="Arial" w:hAnsi="Arial"/>
          <w:sz w:val="14"/>
          <w:szCs w:val="14"/>
          <w:color w:val="auto"/>
        </w:rPr>
        <w:t xml:space="preserve">During the third quarter of 2021, GasLog entered into a three-year time charter agreement with Mitsui &amp; Co., Ltd. (“Mitsui”) for the </w:t>
      </w:r>
      <w:r>
        <w:rPr>
          <w:rFonts w:ascii="Arial" w:cs="Arial" w:eastAsia="Arial" w:hAnsi="Arial"/>
          <w:sz w:val="14"/>
          <w:szCs w:val="14"/>
          <w:i w:val="1"/>
          <w:iCs w:val="1"/>
          <w:color w:val="auto"/>
        </w:rPr>
        <w:t>GasLog Saratoga</w:t>
      </w:r>
      <w:r>
        <w:rPr>
          <w:rFonts w:ascii="Arial" w:cs="Arial" w:eastAsia="Arial" w:hAnsi="Arial"/>
          <w:sz w:val="14"/>
          <w:szCs w:val="14"/>
          <w:color w:val="auto"/>
        </w:rPr>
        <w:t xml:space="preserve">, a 155,000 cbm TFDE LNG carrier built in 2014, which was operating in the spot market. In addition, the </w:t>
      </w:r>
      <w:r>
        <w:rPr>
          <w:rFonts w:ascii="Arial" w:cs="Arial" w:eastAsia="Arial" w:hAnsi="Arial"/>
          <w:sz w:val="14"/>
          <w:szCs w:val="14"/>
          <w:i w:val="1"/>
          <w:iCs w:val="1"/>
          <w:color w:val="auto"/>
        </w:rPr>
        <w:t>GasLog Skagen</w:t>
      </w:r>
      <w:r>
        <w:rPr>
          <w:rFonts w:ascii="Arial" w:cs="Arial" w:eastAsia="Arial" w:hAnsi="Arial"/>
          <w:sz w:val="14"/>
          <w:szCs w:val="14"/>
          <w:color w:val="auto"/>
        </w:rPr>
        <w:t xml:space="preserve">, which was also operating in the spot market, was chartered to Chevron Asia Pacific Shipping Pte. Ltd. (“Chevron”) for one year. The </w:t>
      </w:r>
      <w:r>
        <w:rPr>
          <w:rFonts w:ascii="Arial" w:cs="Arial" w:eastAsia="Arial" w:hAnsi="Arial"/>
          <w:sz w:val="14"/>
          <w:szCs w:val="14"/>
          <w:i w:val="1"/>
          <w:iCs w:val="1"/>
          <w:color w:val="auto"/>
        </w:rPr>
        <w:t>GasLog Skagen</w:t>
      </w:r>
      <w:r>
        <w:rPr>
          <w:rFonts w:ascii="Arial" w:cs="Arial" w:eastAsia="Arial" w:hAnsi="Arial"/>
          <w:sz w:val="14"/>
          <w:szCs w:val="14"/>
          <w:color w:val="auto"/>
        </w:rPr>
        <w:t xml:space="preserve"> is a 155,000 cbm TFDE LNG carrier built in 2013. During the third quarter of 2021, GasLog Partners also signed a new one-year time charter agreement with TotalEnergies SE (“TotalEnergies”) for the </w:t>
      </w:r>
      <w:r>
        <w:rPr>
          <w:rFonts w:ascii="Arial" w:cs="Arial" w:eastAsia="Arial" w:hAnsi="Arial"/>
          <w:sz w:val="14"/>
          <w:szCs w:val="14"/>
          <w:i w:val="1"/>
          <w:iCs w:val="1"/>
          <w:color w:val="auto"/>
        </w:rPr>
        <w:t>GasLog Seattle</w:t>
      </w:r>
      <w:r>
        <w:rPr>
          <w:rFonts w:ascii="Arial" w:cs="Arial" w:eastAsia="Arial" w:hAnsi="Arial"/>
          <w:sz w:val="14"/>
          <w:szCs w:val="14"/>
          <w:color w:val="auto"/>
        </w:rPr>
        <w:t xml:space="preserve">, a 155,000 cbm TFDE LNG carrier, built in 2013 and extended the time charter of the </w:t>
      </w:r>
      <w:r>
        <w:rPr>
          <w:rFonts w:ascii="Arial" w:cs="Arial" w:eastAsia="Arial" w:hAnsi="Arial"/>
          <w:sz w:val="14"/>
          <w:szCs w:val="14"/>
          <w:i w:val="1"/>
          <w:iCs w:val="1"/>
          <w:color w:val="auto"/>
        </w:rPr>
        <w:t>GasLog Santiago</w:t>
      </w:r>
      <w:r>
        <w:rPr>
          <w:rFonts w:ascii="Arial" w:cs="Arial" w:eastAsia="Arial" w:hAnsi="Arial"/>
          <w:sz w:val="14"/>
          <w:szCs w:val="14"/>
          <w:color w:val="auto"/>
        </w:rPr>
        <w:t xml:space="preserve"> with Trafigura Maritime Logistics PTE Ltd. (“Trafigura”) for an additional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0"/>
        </w:trPr>
        <w:tc>
          <w:tcPr>
            <w:tcW w:w="6200" w:type="dxa"/>
            <w:vAlign w:val="bottom"/>
          </w:tcPr>
          <w:p>
            <w:pPr>
              <w:spacing w:after="0"/>
              <w:rPr>
                <w:sz w:val="20"/>
                <w:szCs w:val="20"/>
                <w:color w:val="auto"/>
              </w:rPr>
            </w:pPr>
            <w:r>
              <w:rPr>
                <w:rFonts w:ascii="Arial" w:cs="Arial" w:eastAsia="Arial" w:hAnsi="Arial"/>
                <w:sz w:val="16"/>
                <w:szCs w:val="16"/>
                <w:b w:val="1"/>
                <w:bCs w:val="1"/>
                <w:color w:val="auto"/>
              </w:rPr>
              <w:t>Financial Summary</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6200" w:type="dxa"/>
            <w:vAlign w:val="bottom"/>
          </w:tcPr>
          <w:p>
            <w:pPr>
              <w:spacing w:after="0"/>
              <w:rPr>
                <w:sz w:val="20"/>
                <w:szCs w:val="20"/>
                <w:color w:val="auto"/>
              </w:rPr>
            </w:pPr>
            <w:r>
              <w:rPr>
                <w:rFonts w:ascii="Arial" w:cs="Arial" w:eastAsia="Arial" w:hAnsi="Arial"/>
                <w:sz w:val="16"/>
                <w:szCs w:val="16"/>
                <w:b w:val="1"/>
                <w:bCs w:val="1"/>
                <w:i w:val="1"/>
                <w:iCs w:val="1"/>
                <w:color w:val="auto"/>
              </w:rPr>
              <w:t>Amounts in thousands of U.S. dollars except per share data</w:t>
            </w: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6"/>
          </w:tcPr>
          <w:p>
            <w:pPr>
              <w:ind w:left="280"/>
              <w:spacing w:after="0"/>
              <w:rPr>
                <w:sz w:val="20"/>
                <w:szCs w:val="20"/>
                <w:color w:val="auto"/>
              </w:rPr>
            </w:pPr>
            <w:r>
              <w:rPr>
                <w:rFonts w:ascii="Arial" w:cs="Arial" w:eastAsia="Arial" w:hAnsi="Arial"/>
                <w:sz w:val="16"/>
                <w:szCs w:val="16"/>
                <w:b w:val="1"/>
                <w:bCs w:val="1"/>
                <w:color w:val="auto"/>
              </w:rPr>
              <w:t>For the three months ended</w:t>
            </w:r>
          </w:p>
        </w:tc>
      </w:tr>
      <w:tr>
        <w:trPr>
          <w:trHeight w:val="203"/>
        </w:trPr>
        <w:tc>
          <w:tcPr>
            <w:tcW w:w="6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620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r>
      <w:tr>
        <w:trPr>
          <w:trHeight w:val="199"/>
        </w:trPr>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156,729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208,162</w:t>
            </w:r>
          </w:p>
        </w:tc>
        <w:tc>
          <w:tcPr>
            <w:tcW w:w="100" w:type="dxa"/>
            <w:vAlign w:val="bottom"/>
            <w:shd w:val="clear" w:color="auto" w:fill="CCEEFF"/>
          </w:tcPr>
          <w:p>
            <w:pPr>
              <w:spacing w:after="0"/>
              <w:rPr>
                <w:sz w:val="17"/>
                <w:szCs w:val="17"/>
                <w:color w:val="auto"/>
              </w:rPr>
            </w:pPr>
          </w:p>
        </w:tc>
      </w:tr>
      <w:tr>
        <w:trPr>
          <w:trHeight w:val="203"/>
        </w:trPr>
        <w:tc>
          <w:tcPr>
            <w:tcW w:w="6200" w:type="dxa"/>
            <w:vAlign w:val="bottom"/>
          </w:tcPr>
          <w:p>
            <w:pPr>
              <w:spacing w:after="0"/>
              <w:rPr>
                <w:sz w:val="20"/>
                <w:szCs w:val="20"/>
                <w:color w:val="auto"/>
              </w:rPr>
            </w:pPr>
            <w:r>
              <w:rPr>
                <w:rFonts w:ascii="Arial" w:cs="Arial" w:eastAsia="Arial" w:hAnsi="Arial"/>
                <w:sz w:val="16"/>
                <w:szCs w:val="16"/>
                <w:color w:val="auto"/>
              </w:rPr>
              <w:t>Profit for the period</w:t>
            </w:r>
          </w:p>
        </w:tc>
        <w:tc>
          <w:tcPr>
            <w:tcW w:w="2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10,116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48,542</w:t>
            </w:r>
          </w:p>
        </w:tc>
      </w:tr>
      <w:tr>
        <w:trPr>
          <w:trHeight w:val="243"/>
        </w:trPr>
        <w:tc>
          <w:tcPr>
            <w:tcW w:w="6200" w:type="dxa"/>
            <w:vAlign w:val="bottom"/>
            <w:shd w:val="clear" w:color="auto" w:fill="CCEEFF"/>
          </w:tcPr>
          <w:p>
            <w:pPr>
              <w:spacing w:after="0" w:line="243" w:lineRule="exact"/>
              <w:rPr>
                <w:sz w:val="20"/>
                <w:szCs w:val="20"/>
                <w:color w:val="auto"/>
              </w:rPr>
            </w:pPr>
            <w:r>
              <w:rPr>
                <w:rFonts w:ascii="Arial" w:cs="Arial" w:eastAsia="Arial" w:hAnsi="Arial"/>
                <w:sz w:val="16"/>
                <w:szCs w:val="16"/>
                <w:color w:val="auto"/>
              </w:rPr>
              <w:t>Adjusted EBITDA</w:t>
            </w:r>
            <w:r>
              <w:rPr>
                <w:rFonts w:ascii="Arial" w:cs="Arial" w:eastAsia="Arial" w:hAnsi="Arial"/>
                <w:sz w:val="26"/>
                <w:szCs w:val="26"/>
                <w:color w:val="auto"/>
                <w:vertAlign w:val="superscript"/>
              </w:rPr>
              <w:t>1</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102,111</w:t>
            </w:r>
          </w:p>
        </w:tc>
        <w:tc>
          <w:tcPr>
            <w:tcW w:w="1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157,722</w:t>
            </w:r>
          </w:p>
        </w:tc>
      </w:tr>
      <w:tr>
        <w:trPr>
          <w:trHeight w:val="353"/>
        </w:trPr>
        <w:tc>
          <w:tcPr>
            <w:tcW w:w="6200" w:type="dxa"/>
            <w:vAlign w:val="bottom"/>
          </w:tcPr>
          <w:p>
            <w:pPr>
              <w:spacing w:after="0"/>
              <w:rPr>
                <w:sz w:val="20"/>
                <w:szCs w:val="20"/>
                <w:color w:val="auto"/>
              </w:rPr>
            </w:pPr>
            <w:r>
              <w:rPr>
                <w:rFonts w:ascii="Arial" w:cs="Arial" w:eastAsia="Arial" w:hAnsi="Arial"/>
                <w:sz w:val="16"/>
                <w:szCs w:val="16"/>
                <w:color w:val="auto"/>
              </w:rPr>
              <w:t>Adjusted Profit</w:t>
            </w:r>
            <w:r>
              <w:rPr>
                <w:rFonts w:ascii="Arial" w:cs="Arial" w:eastAsia="Arial" w:hAnsi="Arial"/>
                <w:sz w:val="26"/>
                <w:szCs w:val="26"/>
                <w:color w:val="auto"/>
                <w:vertAlign w:val="superscript"/>
              </w:rPr>
              <w:t>1</w:t>
            </w:r>
          </w:p>
        </w:tc>
        <w:tc>
          <w:tcPr>
            <w:tcW w:w="2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13,019</w:t>
            </w:r>
          </w:p>
        </w:tc>
        <w:tc>
          <w:tcPr>
            <w:tcW w:w="1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60,183</w:t>
            </w:r>
          </w:p>
        </w:tc>
      </w:tr>
    </w:tbl>
    <w:p>
      <w:pPr>
        <w:spacing w:after="0" w:line="119" w:lineRule="exact"/>
        <w:rPr>
          <w:sz w:val="20"/>
          <w:szCs w:val="20"/>
          <w:color w:val="auto"/>
        </w:rPr>
      </w:pPr>
    </w:p>
    <w:p>
      <w:pPr>
        <w:ind w:left="140" w:right="80" w:hanging="132"/>
        <w:spacing w:after="0" w:line="191" w:lineRule="auto"/>
        <w:tabs>
          <w:tab w:leader="none" w:pos="96" w:val="left"/>
        </w:tabs>
        <w:numPr>
          <w:ilvl w:val="0"/>
          <w:numId w:val="1"/>
        </w:numPr>
        <w:rPr>
          <w:rFonts w:ascii="Arial" w:cs="Arial" w:eastAsia="Arial" w:hAnsi="Arial"/>
          <w:sz w:val="21"/>
          <w:szCs w:val="21"/>
          <w:color w:val="auto"/>
          <w:vertAlign w:val="superscript"/>
        </w:rPr>
      </w:pPr>
      <w:r>
        <w:rPr>
          <w:rFonts w:ascii="Arial" w:cs="Arial" w:eastAsia="Arial" w:hAnsi="Arial"/>
          <w:sz w:val="13"/>
          <w:szCs w:val="13"/>
          <w:color w:val="auto"/>
        </w:rPr>
        <w:t>Adjusted EBITDA and Adjusted Profit are non-GAAP financial measures and should not be used in isolation or as substitutes for GasLog’s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 at the end of this press release.</w:t>
      </w:r>
    </w:p>
    <w:p>
      <w:pPr>
        <w:spacing w:after="0" w:line="195" w:lineRule="exact"/>
        <w:rPr>
          <w:sz w:val="20"/>
          <w:szCs w:val="20"/>
          <w:color w:val="auto"/>
        </w:rPr>
      </w:pPr>
    </w:p>
    <w:p>
      <w:pPr>
        <w:ind w:right="140" w:firstLine="383"/>
        <w:spacing w:after="0" w:line="315" w:lineRule="auto"/>
        <w:rPr>
          <w:sz w:val="20"/>
          <w:szCs w:val="20"/>
          <w:color w:val="auto"/>
        </w:rPr>
      </w:pPr>
      <w:r>
        <w:rPr>
          <w:rFonts w:ascii="Arial" w:cs="Arial" w:eastAsia="Arial" w:hAnsi="Arial"/>
          <w:sz w:val="14"/>
          <w:szCs w:val="14"/>
          <w:color w:val="auto"/>
        </w:rPr>
        <w:t xml:space="preserve">There were 3,096 available days for the quarter ended September 30, 2021, as compared to 2,627 available days for the quarter ended September 30, 2020. Available days represent total calendar days in the period after deducting off-hire days where vessels are undergoing dry-dockings and unavailable days (i.e. days before and after a dry-docking where the vessel has limited practical ability for chartering opportunities). The increase in available days was mainly driven by the deliveries of the GasLog wholly owned vessels, the </w:t>
      </w:r>
      <w:r>
        <w:rPr>
          <w:rFonts w:ascii="Arial" w:cs="Arial" w:eastAsia="Arial" w:hAnsi="Arial"/>
          <w:sz w:val="14"/>
          <w:szCs w:val="14"/>
          <w:i w:val="1"/>
          <w:iCs w:val="1"/>
          <w:color w:val="auto"/>
        </w:rPr>
        <w:t>GasLog Westminster</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Georgetown,</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Galveston,</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Wellington</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Winchester</w:t>
      </w:r>
      <w:r>
        <w:rPr>
          <w:rFonts w:ascii="Arial" w:cs="Arial" w:eastAsia="Arial" w:hAnsi="Arial"/>
          <w:sz w:val="14"/>
          <w:szCs w:val="14"/>
          <w:color w:val="auto"/>
        </w:rPr>
        <w:t xml:space="preserve"> on July 15, 2020, November 16, 2020, January 4, 2021, June 15, 2021 and August 24, 2021, respectively, and decreased off-hire days for scheduled dry-dockings (202 dry-docking off-hire days in the three-month period ended September 30, 2020 compared to 65 dry-docking off-hire days in the three-month period ended September 30, 2021).</w:t>
      </w:r>
    </w:p>
    <w:p>
      <w:pPr>
        <w:spacing w:after="0" w:line="150" w:lineRule="exact"/>
        <w:rPr>
          <w:sz w:val="20"/>
          <w:szCs w:val="20"/>
          <w:color w:val="auto"/>
        </w:rPr>
      </w:pPr>
    </w:p>
    <w:p>
      <w:pPr>
        <w:ind w:right="80" w:firstLine="383"/>
        <w:spacing w:after="0" w:line="335" w:lineRule="auto"/>
        <w:rPr>
          <w:sz w:val="20"/>
          <w:szCs w:val="20"/>
          <w:color w:val="auto"/>
        </w:rPr>
      </w:pPr>
      <w:r>
        <w:rPr>
          <w:rFonts w:ascii="Arial" w:cs="Arial" w:eastAsia="Arial" w:hAnsi="Arial"/>
          <w:sz w:val="14"/>
          <w:szCs w:val="14"/>
          <w:color w:val="auto"/>
        </w:rPr>
        <w:t>Revenues were $208.2 million for the quarter ended September 30, 2021 ($156.7 million for the quarter ended September 30, 2020). The increase in revenues is mainly attributable to an increase of $25.0 million due to the aforementioned deliveries of the GasLog wholly owned vessels, a net increase of $23.7 million due to the improved performance of the vessels in our spot fleet and an increase of $2.5 million due to 137 fewer off-hire days for scheduled dry-dockings in the third quarter of 2021.</w:t>
      </w:r>
    </w:p>
    <w:p>
      <w:pPr>
        <w:spacing w:after="0" w:line="136" w:lineRule="exact"/>
        <w:rPr>
          <w:sz w:val="20"/>
          <w:szCs w:val="20"/>
          <w:color w:val="auto"/>
        </w:rPr>
      </w:pPr>
    </w:p>
    <w:p>
      <w:pPr>
        <w:ind w:right="100" w:firstLine="383"/>
        <w:spacing w:after="0" w:line="273" w:lineRule="auto"/>
        <w:rPr>
          <w:sz w:val="20"/>
          <w:szCs w:val="20"/>
          <w:color w:val="auto"/>
        </w:rPr>
      </w:pPr>
      <w:r>
        <w:rPr>
          <w:rFonts w:ascii="Arial" w:cs="Arial" w:eastAsia="Arial" w:hAnsi="Arial"/>
          <w:sz w:val="16"/>
          <w:szCs w:val="16"/>
          <w:color w:val="auto"/>
        </w:rPr>
        <w:t xml:space="preserve">Profit for the period was $48.5 million for the quarter ended September 30, 2021 (profit of $10.1 million for the quarter ended September 30, 2020). The increase in Profit is mainly attributable to the increase in profit from operations, which is mainly affected by the increase in revenues, as discussed above, partially offset by the impairment loss of </w:t>
      </w:r>
      <w:r>
        <w:rPr>
          <w:rFonts w:ascii="Arial" w:cs="Arial" w:eastAsia="Arial" w:hAnsi="Arial"/>
          <w:sz w:val="16"/>
          <w:szCs w:val="16"/>
          <w:i w:val="1"/>
          <w:iCs w:val="1"/>
          <w:color w:val="auto"/>
        </w:rPr>
        <w:t>GasLog Salem</w:t>
      </w:r>
      <w:r>
        <w:rPr>
          <w:rFonts w:ascii="Arial" w:cs="Arial" w:eastAsia="Arial" w:hAnsi="Arial"/>
          <w:sz w:val="16"/>
          <w:szCs w:val="16"/>
          <w:color w:val="auto"/>
        </w:rPr>
        <w:t xml:space="preserve"> and the decrease in financial costs, mainly due to the decrease in write-off of unamortized loan fees relating to the refinancing completed in 2020, partially offset by an increase in other financial costs.</w:t>
      </w:r>
    </w:p>
    <w:p>
      <w:pPr>
        <w:spacing w:after="0" w:line="175" w:lineRule="exact"/>
        <w:rPr>
          <w:sz w:val="20"/>
          <w:szCs w:val="20"/>
          <w:color w:val="auto"/>
        </w:rPr>
      </w:pPr>
    </w:p>
    <w:p>
      <w:pPr>
        <w:ind w:right="80" w:firstLine="383"/>
        <w:spacing w:after="0" w:line="269" w:lineRule="auto"/>
        <w:rPr>
          <w:sz w:val="20"/>
          <w:szCs w:val="20"/>
          <w:color w:val="auto"/>
        </w:rPr>
      </w:pPr>
      <w:r>
        <w:rPr>
          <w:rFonts w:ascii="Arial" w:cs="Arial" w:eastAsia="Arial" w:hAnsi="Arial"/>
          <w:sz w:val="16"/>
          <w:szCs w:val="16"/>
          <w:color w:val="auto"/>
        </w:rPr>
        <w:t>Adjusted EBITDA was $157.7 million for the quarter ended September 30, 2021 ($102.1 million for the quarter ended September 30, 2020). The increase in Adjusted EBITDA is mainly attributable to the increase in revenues of $51.5 million, as discussed above and a decrease of $7.7 million from reduced general and administrative expenses due to reduced employee costs and amortization of share-based compensation, both driven by cost-reduction initiatives. The above variances were partially offset by an increase of $2.7 million in vessel operating expenses mainly due to the increased fleet from the newbuilding deliveries, which was partially offset by a decrease in technical maintenance expenses primarily in connection with increased maintenance needs of the fleet in the third quarter of 2020 compared to the same period in 2021 and decreased insurance costs.</w:t>
      </w:r>
    </w:p>
    <w:p>
      <w:pPr>
        <w:spacing w:after="0" w:line="180" w:lineRule="exact"/>
        <w:rPr>
          <w:sz w:val="20"/>
          <w:szCs w:val="20"/>
          <w:color w:val="auto"/>
        </w:rPr>
      </w:pPr>
    </w:p>
    <w:p>
      <w:pPr>
        <w:ind w:right="60" w:firstLine="383"/>
        <w:spacing w:after="0" w:line="324" w:lineRule="auto"/>
        <w:rPr>
          <w:sz w:val="20"/>
          <w:szCs w:val="20"/>
          <w:color w:val="auto"/>
        </w:rPr>
      </w:pPr>
      <w:r>
        <w:rPr>
          <w:rFonts w:ascii="Arial" w:cs="Arial" w:eastAsia="Arial" w:hAnsi="Arial"/>
          <w:sz w:val="14"/>
          <w:szCs w:val="14"/>
          <w:color w:val="auto"/>
        </w:rPr>
        <w:t xml:space="preserve">Adjusted Profit was $60.2 million for the quarter ended September 30, 2021 ($13.0 million for the quarter ended September 30, 2020). The increase in Adjusted Profit is mainly attributable to the increase in Profit for the period as discussed above, adjusted for the effects of the write-off of unamortized loan fees due to the debt refinancing in 2020, the restructuring costs, the foreign exchange gains, net, the net unrealized foreign exchange losses on cash and bonds, the costs relating to the transaction with BlackRock’s Global Energy &amp; Power Infrastructure team (the “Transaction”) (such costs, the “Transaction Costs”) and the impairment loss of </w:t>
      </w:r>
      <w:r>
        <w:rPr>
          <w:rFonts w:ascii="Arial" w:cs="Arial" w:eastAsia="Arial" w:hAnsi="Arial"/>
          <w:sz w:val="14"/>
          <w:szCs w:val="14"/>
          <w:i w:val="1"/>
          <w:iCs w:val="1"/>
          <w:color w:val="auto"/>
        </w:rPr>
        <w:t>GasLog Salem</w:t>
      </w:r>
      <w:r>
        <w:rPr>
          <w:rFonts w:ascii="Arial" w:cs="Arial" w:eastAsia="Arial" w:hAnsi="Arial"/>
          <w:sz w:val="14"/>
          <w:szCs w:val="14"/>
          <w:color w:val="auto"/>
        </w:rPr>
        <w:t>.</w:t>
      </w:r>
    </w:p>
    <w:p>
      <w:pPr>
        <w:spacing w:after="0" w:line="143" w:lineRule="exact"/>
        <w:rPr>
          <w:sz w:val="20"/>
          <w:szCs w:val="20"/>
          <w:color w:val="auto"/>
        </w:rPr>
      </w:pPr>
    </w:p>
    <w:p>
      <w:pPr>
        <w:ind w:right="40" w:firstLine="383"/>
        <w:spacing w:after="0" w:line="293" w:lineRule="auto"/>
        <w:rPr>
          <w:sz w:val="20"/>
          <w:szCs w:val="20"/>
          <w:color w:val="auto"/>
        </w:rPr>
      </w:pPr>
      <w:r>
        <w:rPr>
          <w:rFonts w:ascii="Arial" w:cs="Arial" w:eastAsia="Arial" w:hAnsi="Arial"/>
          <w:sz w:val="16"/>
          <w:szCs w:val="16"/>
          <w:color w:val="auto"/>
        </w:rPr>
        <w:t>As of September 30, 2021, GasLog had $224.3 million of cash and cash equivalents. In addition, an amount of $5.1 million was held as cash collaterals with respect to our swaps and is included in Prepayments and other current assets.</w:t>
      </w:r>
    </w:p>
    <w:p>
      <w:pPr>
        <w:spacing w:after="0" w:line="158" w:lineRule="exact"/>
        <w:rPr>
          <w:sz w:val="20"/>
          <w:szCs w:val="20"/>
          <w:color w:val="auto"/>
        </w:rPr>
      </w:pPr>
    </w:p>
    <w:p>
      <w:pPr>
        <w:ind w:right="60" w:firstLine="383"/>
        <w:spacing w:after="0" w:line="293" w:lineRule="auto"/>
        <w:rPr>
          <w:sz w:val="20"/>
          <w:szCs w:val="20"/>
          <w:color w:val="auto"/>
        </w:rPr>
      </w:pPr>
      <w:r>
        <w:rPr>
          <w:rFonts w:ascii="Arial" w:cs="Arial" w:eastAsia="Arial" w:hAnsi="Arial"/>
          <w:sz w:val="15"/>
          <w:szCs w:val="15"/>
          <w:color w:val="auto"/>
        </w:rPr>
        <w:t xml:space="preserve">As of September 30, 2021, GasLog had an aggregate of $3.9 billion of indebtedness outstanding under its credit facilities and bond agreements, of which $752.4 million is repayable within one year ($315.0 million of which relates to the 8.875% Senior Notes and $199.8 million of which was prepaid pursuant to the completion of the sale and lease-back transactions of the </w:t>
      </w:r>
      <w:r>
        <w:rPr>
          <w:rFonts w:ascii="Arial" w:cs="Arial" w:eastAsia="Arial" w:hAnsi="Arial"/>
          <w:sz w:val="15"/>
          <w:szCs w:val="15"/>
          <w:i w:val="1"/>
          <w:iCs w:val="1"/>
          <w:color w:val="auto"/>
        </w:rPr>
        <w:t>GasLog Shanghai</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Salem</w:t>
      </w:r>
      <w:r>
        <w:rPr>
          <w:rFonts w:ascii="Arial" w:cs="Arial" w:eastAsia="Arial" w:hAnsi="Arial"/>
          <w:sz w:val="15"/>
          <w:szCs w:val="15"/>
          <w:color w:val="auto"/>
        </w:rPr>
        <w:t xml:space="preserve"> with CDBL in October 2021), and $191.2 million of lease liabilities mainly related to the sale and leaseback of the </w:t>
      </w:r>
      <w:r>
        <w:rPr>
          <w:rFonts w:ascii="Arial" w:cs="Arial" w:eastAsia="Arial" w:hAnsi="Arial"/>
          <w:sz w:val="15"/>
          <w:szCs w:val="15"/>
          <w:i w:val="1"/>
          <w:iCs w:val="1"/>
          <w:color w:val="auto"/>
        </w:rPr>
        <w:t>Methane Julia Louise,</w:t>
      </w:r>
      <w:r>
        <w:rPr>
          <w:rFonts w:ascii="Arial" w:cs="Arial" w:eastAsia="Arial" w:hAnsi="Arial"/>
          <w:sz w:val="15"/>
          <w:szCs w:val="15"/>
          <w:color w:val="auto"/>
        </w:rPr>
        <w:t xml:space="preserve"> of which $10.0 million is payable within one year. GasLog has hedged 40.7% of its expected floating interest rate exposure on its outstanding debt (excluding the lease liabilities and the 8.875% Senior Notes) as of September 30, 2021.</w:t>
      </w:r>
    </w:p>
    <w:p>
      <w:pPr>
        <w:spacing w:after="0" w:line="162" w:lineRule="exact"/>
        <w:rPr>
          <w:sz w:val="20"/>
          <w:szCs w:val="20"/>
          <w:color w:val="auto"/>
        </w:rPr>
      </w:pPr>
    </w:p>
    <w:p>
      <w:pPr>
        <w:ind w:right="220" w:firstLine="383"/>
        <w:spacing w:after="0" w:line="293" w:lineRule="auto"/>
        <w:rPr>
          <w:sz w:val="20"/>
          <w:szCs w:val="20"/>
          <w:color w:val="auto"/>
        </w:rPr>
      </w:pPr>
      <w:r>
        <w:rPr>
          <w:rFonts w:ascii="Arial" w:cs="Arial" w:eastAsia="Arial" w:hAnsi="Arial"/>
          <w:sz w:val="15"/>
          <w:szCs w:val="15"/>
          <w:color w:val="auto"/>
        </w:rPr>
        <w:t xml:space="preserve">As of September 30, 2021, GasLog’s current assets totaled $573.7 million, while current liabilities totaled $965.8 million, resulting in a negative working capital position of $392.1 million. Current liabilities include $315.0 million relating to the 8.875% Senior Notes, that mature on March 22, 2022 and which we have successfully refinanced with the Note Purchase Agreement discussed above, $199.8 million which was prepaid in October 2021 pursuant to the completion of the sale and lease-back transactions of the </w:t>
      </w:r>
      <w:r>
        <w:rPr>
          <w:rFonts w:ascii="Arial" w:cs="Arial" w:eastAsia="Arial" w:hAnsi="Arial"/>
          <w:sz w:val="15"/>
          <w:szCs w:val="15"/>
          <w:i w:val="1"/>
          <w:iCs w:val="1"/>
          <w:color w:val="auto"/>
        </w:rPr>
        <w:t>GasLog Shanghai</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Salem</w:t>
      </w:r>
      <w:r>
        <w:rPr>
          <w:rFonts w:ascii="Arial" w:cs="Arial" w:eastAsia="Arial" w:hAnsi="Arial"/>
          <w:sz w:val="15"/>
          <w:szCs w:val="15"/>
          <w:color w:val="auto"/>
        </w:rPr>
        <w:t xml:space="preserve"> and $68.2 million of unearned revenue in relation to hires received in advance of September 30, 2021 (which represents a non-cash liability that will be recognized as revenue in October 2021 as the services are rendered).</w:t>
      </w:r>
    </w:p>
    <w:p>
      <w:pPr>
        <w:spacing w:after="0" w:line="162" w:lineRule="exact"/>
        <w:rPr>
          <w:sz w:val="20"/>
          <w:szCs w:val="20"/>
          <w:color w:val="auto"/>
        </w:rPr>
      </w:pPr>
    </w:p>
    <w:p>
      <w:pPr>
        <w:ind w:right="100" w:firstLine="383"/>
        <w:spacing w:after="0" w:line="273" w:lineRule="auto"/>
        <w:rPr>
          <w:sz w:val="20"/>
          <w:szCs w:val="20"/>
          <w:color w:val="auto"/>
        </w:rPr>
      </w:pPr>
      <w:r>
        <w:rPr>
          <w:rFonts w:ascii="Arial" w:cs="Arial" w:eastAsia="Arial" w:hAnsi="Arial"/>
          <w:sz w:val="16"/>
          <w:szCs w:val="16"/>
          <w:color w:val="auto"/>
        </w:rPr>
        <w:t>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We anticipate that our primary sources of funds for at least twelve months from the date of this report will be available cash, cash from operations and existing borrowings, the Refinancing of the 8.875% Senior Notes we concluded in September 2021 and the sale and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5" w:name="page6"/>
    <w:bookmarkEnd w:id="5"/>
    <w:p>
      <w:pPr>
        <w:ind w:right="300"/>
        <w:spacing w:after="0" w:line="369" w:lineRule="auto"/>
        <w:rPr>
          <w:sz w:val="20"/>
          <w:szCs w:val="20"/>
          <w:color w:val="auto"/>
        </w:rPr>
      </w:pPr>
      <w:r>
        <w:rPr>
          <w:rFonts w:ascii="Arial" w:cs="Arial" w:eastAsia="Arial" w:hAnsi="Arial"/>
          <w:sz w:val="14"/>
          <w:szCs w:val="14"/>
          <w:color w:val="auto"/>
        </w:rPr>
        <w:t>back transactions we concluded in October 2021. We believe that these anticipated sources of funds will be sufficient to meet our liquidity needs and to comply with our financial covenants for at least twelve months from the date of this report and therefore it is appropriate to prepare the financial statements on a going concern basis.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GasLog Partners Preference Unit Repurchase Programme</w:t>
      </w:r>
    </w:p>
    <w:p>
      <w:pPr>
        <w:spacing w:after="0" w:line="225" w:lineRule="exact"/>
        <w:rPr>
          <w:sz w:val="20"/>
          <w:szCs w:val="20"/>
          <w:color w:val="auto"/>
        </w:rPr>
      </w:pPr>
    </w:p>
    <w:p>
      <w:pPr>
        <w:ind w:right="140" w:firstLine="383"/>
        <w:spacing w:after="0" w:line="271" w:lineRule="auto"/>
        <w:rPr>
          <w:sz w:val="20"/>
          <w:szCs w:val="20"/>
          <w:color w:val="auto"/>
        </w:rPr>
      </w:pPr>
      <w:r>
        <w:rPr>
          <w:rFonts w:ascii="Arial" w:cs="Arial" w:eastAsia="Arial" w:hAnsi="Arial"/>
          <w:sz w:val="16"/>
          <w:szCs w:val="16"/>
          <w:color w:val="auto"/>
        </w:rPr>
        <w:t>In March 2021, GasLog Partners established a preference unit repurchase programme (the “Repurchase Programme”), which authorized the repurchase of preference units through March 31, 2023. In the three and nine months ended September 30, 2021, GasLog Partners repurchased and cancelled a total of 334,336 Series B Preference Units and 155,001 Series C Preference Units at a weighted average price below par of $24.64 per Series B Preference Unit and $24.89 per Series C Preference Unit, respectively, under the Repurchase Programme. The aggregate amount repaid during the period for repurchases of preference units was $12.4 million, including commissions.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Fleet Update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Owned Fleet</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November 16, 2021, our wholly owned fleet consisted of the following vessels: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Charterer (for</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Optional</w:t>
            </w: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21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Vessel Name</w:t>
            </w:r>
          </w:p>
        </w:tc>
        <w:tc>
          <w:tcPr>
            <w:tcW w:w="120" w:type="dxa"/>
            <w:vAlign w:val="bottom"/>
            <w:vMerge w:val="restart"/>
          </w:tcPr>
          <w:p>
            <w:pPr>
              <w:spacing w:after="0"/>
              <w:rPr>
                <w:sz w:val="12"/>
                <w:szCs w:val="12"/>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Year Built</w:t>
            </w:r>
          </w:p>
        </w:tc>
        <w:tc>
          <w:tcPr>
            <w:tcW w:w="220" w:type="dxa"/>
            <w:vAlign w:val="bottom"/>
            <w:vMerge w:val="restart"/>
          </w:tcPr>
          <w:p>
            <w:pPr>
              <w:spacing w:after="0"/>
              <w:rPr>
                <w:sz w:val="12"/>
                <w:szCs w:val="12"/>
                <w:color w:val="auto"/>
              </w:rPr>
            </w:pP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Cbm</w:t>
            </w:r>
          </w:p>
        </w:tc>
        <w:tc>
          <w:tcPr>
            <w:tcW w:w="220" w:type="dxa"/>
            <w:vAlign w:val="bottom"/>
            <w:vMerge w:val="restart"/>
          </w:tcPr>
          <w:p>
            <w:pPr>
              <w:spacing w:after="0"/>
              <w:rPr>
                <w:sz w:val="12"/>
                <w:szCs w:val="12"/>
                <w:color w:val="auto"/>
              </w:rPr>
            </w:pPr>
          </w:p>
        </w:tc>
        <w:tc>
          <w:tcPr>
            <w:tcW w:w="15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contracts of more than</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Propulsion</w:t>
            </w:r>
          </w:p>
        </w:tc>
        <w:tc>
          <w:tcPr>
            <w:tcW w:w="100" w:type="dxa"/>
            <w:vAlign w:val="bottom"/>
            <w:vMerge w:val="restart"/>
          </w:tcPr>
          <w:p>
            <w:pPr>
              <w:spacing w:after="0"/>
              <w:rPr>
                <w:sz w:val="12"/>
                <w:szCs w:val="12"/>
                <w:color w:val="auto"/>
              </w:rPr>
            </w:pPr>
          </w:p>
        </w:tc>
        <w:tc>
          <w:tcPr>
            <w:tcW w:w="15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Charter Expiration</w:t>
            </w:r>
            <w:r>
              <w:rPr>
                <w:rFonts w:ascii="Arial" w:cs="Arial" w:eastAsia="Arial" w:hAnsi="Arial"/>
                <w:sz w:val="23"/>
                <w:szCs w:val="23"/>
                <w:b w:val="1"/>
                <w:bCs w:val="1"/>
                <w:color w:val="auto"/>
                <w:vertAlign w:val="superscript"/>
              </w:rPr>
              <w:t>(1)</w:t>
            </w:r>
          </w:p>
        </w:tc>
        <w:tc>
          <w:tcPr>
            <w:tcW w:w="220" w:type="dxa"/>
            <w:vAlign w:val="bottom"/>
            <w:vMerge w:val="restart"/>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six months)</w:t>
            </w:r>
          </w:p>
        </w:tc>
        <w:tc>
          <w:tcPr>
            <w:tcW w:w="12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1120" w:type="dxa"/>
            <w:vAlign w:val="bottom"/>
            <w:tcBorders>
              <w:bottom w:val="single" w:sz="8" w:color="auto"/>
            </w:tcBorders>
          </w:tcPr>
          <w:p>
            <w:pPr>
              <w:ind w:left="280"/>
              <w:spacing w:after="0" w:line="176" w:lineRule="exact"/>
              <w:rPr>
                <w:sz w:val="20"/>
                <w:szCs w:val="20"/>
                <w:color w:val="auto"/>
              </w:rPr>
            </w:pPr>
            <w:r>
              <w:rPr>
                <w:rFonts w:ascii="Arial" w:cs="Arial" w:eastAsia="Arial" w:hAnsi="Arial"/>
                <w:sz w:val="13"/>
                <w:szCs w:val="13"/>
                <w:b w:val="1"/>
                <w:bCs w:val="1"/>
                <w:color w:val="auto"/>
              </w:rPr>
              <w:t>Period</w:t>
            </w:r>
            <w:r>
              <w:rPr>
                <w:rFonts w:ascii="Arial" w:cs="Arial" w:eastAsia="Arial" w:hAnsi="Arial"/>
                <w:sz w:val="20"/>
                <w:szCs w:val="20"/>
                <w:b w:val="1"/>
                <w:bCs w:val="1"/>
                <w:color w:val="auto"/>
                <w:vertAlign w:val="superscript"/>
              </w:rPr>
              <w:t>(2)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1</w:t>
            </w:r>
          </w:p>
        </w:tc>
        <w:tc>
          <w:tcPr>
            <w:tcW w:w="2280" w:type="dxa"/>
            <w:vAlign w:val="bottom"/>
            <w:gridSpan w:val="2"/>
            <w:shd w:val="clear" w:color="auto" w:fill="CCEEFF"/>
          </w:tcPr>
          <w:p>
            <w:pPr>
              <w:ind w:left="460"/>
              <w:spacing w:after="0"/>
              <w:rPr>
                <w:sz w:val="20"/>
                <w:szCs w:val="20"/>
                <w:color w:val="auto"/>
              </w:rPr>
            </w:pPr>
            <w:r>
              <w:rPr>
                <w:rFonts w:ascii="Arial" w:cs="Arial" w:eastAsia="Arial" w:hAnsi="Arial"/>
                <w:sz w:val="14"/>
                <w:szCs w:val="14"/>
                <w:i w:val="1"/>
                <w:iCs w:val="1"/>
                <w:color w:val="auto"/>
              </w:rPr>
              <w:t>GasLog Chelsea</w:t>
            </w: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2010</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153,600</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line="183" w:lineRule="exact"/>
              <w:rPr>
                <w:sz w:val="20"/>
                <w:szCs w:val="20"/>
                <w:color w:val="auto"/>
              </w:rPr>
            </w:pPr>
            <w:r>
              <w:rPr>
                <w:rFonts w:ascii="Arial" w:cs="Arial" w:eastAsia="Arial" w:hAnsi="Arial"/>
                <w:sz w:val="13"/>
                <w:szCs w:val="13"/>
                <w:color w:val="auto"/>
                <w:w w:val="97"/>
              </w:rPr>
              <w:t xml:space="preserve">Glencore </w:t>
            </w:r>
            <w:r>
              <w:rPr>
                <w:rFonts w:ascii="Arial" w:cs="Arial" w:eastAsia="Arial" w:hAnsi="Arial"/>
                <w:sz w:val="21"/>
                <w:szCs w:val="21"/>
                <w:color w:val="auto"/>
                <w:w w:val="97"/>
                <w:vertAlign w:val="superscript"/>
              </w:rPr>
              <w:t>(3)</w:t>
            </w:r>
          </w:p>
        </w:tc>
        <w:tc>
          <w:tcPr>
            <w:tcW w:w="1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TFDE</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9"/>
              </w:rPr>
              <w:t>January 2022</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580" w:type="dxa"/>
            <w:vAlign w:val="bottom"/>
          </w:tcPr>
          <w:p>
            <w:pPr>
              <w:spacing w:after="0"/>
              <w:rPr>
                <w:sz w:val="20"/>
                <w:szCs w:val="20"/>
                <w:color w:val="auto"/>
              </w:rPr>
            </w:pPr>
            <w:r>
              <w:rPr>
                <w:rFonts w:ascii="Arial" w:cs="Arial" w:eastAsia="Arial" w:hAnsi="Arial"/>
                <w:sz w:val="14"/>
                <w:szCs w:val="14"/>
                <w:b w:val="1"/>
                <w:bCs w:val="1"/>
                <w:color w:val="auto"/>
              </w:rPr>
              <w:t>2</w:t>
            </w:r>
          </w:p>
        </w:tc>
        <w:tc>
          <w:tcPr>
            <w:tcW w:w="2280" w:type="dxa"/>
            <w:vAlign w:val="bottom"/>
            <w:gridSpan w:val="2"/>
          </w:tcPr>
          <w:p>
            <w:pPr>
              <w:ind w:left="460"/>
              <w:spacing w:after="0"/>
              <w:rPr>
                <w:sz w:val="20"/>
                <w:szCs w:val="20"/>
                <w:color w:val="auto"/>
              </w:rPr>
            </w:pPr>
            <w:r>
              <w:rPr>
                <w:rFonts w:ascii="Arial" w:cs="Arial" w:eastAsia="Arial" w:hAnsi="Arial"/>
                <w:sz w:val="14"/>
                <w:szCs w:val="14"/>
                <w:i w:val="1"/>
                <w:iCs w:val="1"/>
                <w:color w:val="auto"/>
              </w:rPr>
              <w:t>GasLog Savannah</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2010</w:t>
            </w:r>
          </w:p>
        </w:tc>
        <w:tc>
          <w:tcPr>
            <w:tcW w:w="22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155,000</w:t>
            </w:r>
          </w:p>
        </w:tc>
        <w:tc>
          <w:tcPr>
            <w:tcW w:w="220" w:type="dxa"/>
            <w:vAlign w:val="bottom"/>
          </w:tcPr>
          <w:p>
            <w:pPr>
              <w:spacing w:after="0"/>
              <w:rPr>
                <w:sz w:val="16"/>
                <w:szCs w:val="16"/>
                <w:color w:val="auto"/>
              </w:rPr>
            </w:pPr>
          </w:p>
        </w:tc>
        <w:tc>
          <w:tcPr>
            <w:tcW w:w="1560" w:type="dxa"/>
            <w:vAlign w:val="bottom"/>
            <w:gridSpan w:val="2"/>
          </w:tcPr>
          <w:p>
            <w:pPr>
              <w:jc w:val="center"/>
              <w:ind w:right="120"/>
              <w:spacing w:after="0" w:line="189" w:lineRule="exact"/>
              <w:rPr>
                <w:sz w:val="20"/>
                <w:szCs w:val="20"/>
                <w:color w:val="auto"/>
              </w:rPr>
            </w:pPr>
            <w:r>
              <w:rPr>
                <w:rFonts w:ascii="Arial" w:cs="Arial" w:eastAsia="Arial" w:hAnsi="Arial"/>
                <w:sz w:val="21"/>
                <w:szCs w:val="21"/>
                <w:color w:val="auto"/>
                <w:vertAlign w:val="subscript"/>
              </w:rPr>
              <w:t>Eni</w:t>
            </w:r>
            <w:r>
              <w:rPr>
                <w:rFonts w:ascii="Arial" w:cs="Arial" w:eastAsia="Arial" w:hAnsi="Arial"/>
                <w:sz w:val="10"/>
                <w:szCs w:val="10"/>
                <w:color w:val="auto"/>
              </w:rPr>
              <w:t xml:space="preserve"> (4)</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TFDE</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rPr>
              <w:t>April 2022</w:t>
            </w:r>
          </w:p>
        </w:tc>
        <w:tc>
          <w:tcPr>
            <w:tcW w:w="122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0"/>
        </w:trPr>
        <w:tc>
          <w:tcPr>
            <w:tcW w:w="5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3</w:t>
            </w:r>
          </w:p>
        </w:tc>
        <w:tc>
          <w:tcPr>
            <w:tcW w:w="2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9"/>
              </w:rPr>
              <w:t xml:space="preserve">Naturgy </w:t>
            </w:r>
            <w:r>
              <w:rPr>
                <w:rFonts w:ascii="Arial" w:cs="Arial" w:eastAsia="Arial" w:hAnsi="Arial"/>
                <w:sz w:val="23"/>
                <w:szCs w:val="23"/>
                <w:color w:val="auto"/>
                <w:w w:val="89"/>
                <w:vertAlign w:val="superscript"/>
              </w:rPr>
              <w:t>(5)</w:t>
            </w:r>
          </w:p>
        </w:tc>
        <w:tc>
          <w:tcPr>
            <w:tcW w:w="15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Steam turbine propulsion</w:t>
            </w:r>
          </w:p>
        </w:tc>
        <w:tc>
          <w:tcPr>
            <w:tcW w:w="1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80" w:type="dxa"/>
            <w:vAlign w:val="bottom"/>
            <w:vMerge w:val="continue"/>
            <w:shd w:val="clear" w:color="auto" w:fill="CCEEFF"/>
          </w:tcPr>
          <w:p>
            <w:pPr>
              <w:spacing w:after="0"/>
              <w:rPr>
                <w:sz w:val="14"/>
                <w:szCs w:val="14"/>
                <w:color w:val="auto"/>
              </w:rPr>
            </w:pPr>
          </w:p>
        </w:tc>
        <w:tc>
          <w:tcPr>
            <w:tcW w:w="2280" w:type="dxa"/>
            <w:vAlign w:val="bottom"/>
            <w:gridSpan w:val="2"/>
            <w:shd w:val="clear" w:color="auto" w:fill="CCEEFF"/>
          </w:tcPr>
          <w:p>
            <w:pPr>
              <w:ind w:left="460"/>
              <w:spacing w:after="0"/>
              <w:rPr>
                <w:sz w:val="20"/>
                <w:szCs w:val="20"/>
                <w:color w:val="auto"/>
              </w:rPr>
            </w:pPr>
            <w:r>
              <w:rPr>
                <w:rFonts w:ascii="Arial" w:cs="Arial" w:eastAsia="Arial" w:hAnsi="Arial"/>
                <w:sz w:val="14"/>
                <w:szCs w:val="14"/>
                <w:i w:val="1"/>
                <w:iCs w:val="1"/>
                <w:color w:val="auto"/>
              </w:rPr>
              <w:t>Methane Lydon Volney</w:t>
            </w: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2006</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145,000</w:t>
            </w:r>
          </w:p>
        </w:tc>
        <w:tc>
          <w:tcPr>
            <w:tcW w:w="220" w:type="dxa"/>
            <w:vAlign w:val="bottom"/>
            <w:shd w:val="clear" w:color="auto" w:fill="CCEEFF"/>
          </w:tcPr>
          <w:p>
            <w:pPr>
              <w:spacing w:after="0"/>
              <w:rPr>
                <w:sz w:val="14"/>
                <w:szCs w:val="14"/>
                <w:color w:val="auto"/>
              </w:rPr>
            </w:pPr>
          </w:p>
        </w:tc>
        <w:tc>
          <w:tcPr>
            <w:tcW w:w="1560" w:type="dxa"/>
            <w:vAlign w:val="bottom"/>
            <w:gridSpan w:val="2"/>
            <w:vMerge w:val="continue"/>
            <w:shd w:val="clear" w:color="auto" w:fill="CCEEFF"/>
          </w:tcPr>
          <w:p>
            <w:pPr>
              <w:spacing w:after="0"/>
              <w:rPr>
                <w:sz w:val="14"/>
                <w:szCs w:val="14"/>
                <w:color w:val="auto"/>
              </w:rPr>
            </w:pP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(“Steam”)</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June 2022</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580" w:type="dxa"/>
            <w:vAlign w:val="bottom"/>
          </w:tcPr>
          <w:p>
            <w:pPr>
              <w:spacing w:after="0"/>
              <w:rPr>
                <w:sz w:val="20"/>
                <w:szCs w:val="20"/>
                <w:color w:val="auto"/>
              </w:rPr>
            </w:pPr>
            <w:r>
              <w:rPr>
                <w:rFonts w:ascii="Arial" w:cs="Arial" w:eastAsia="Arial" w:hAnsi="Arial"/>
                <w:sz w:val="14"/>
                <w:szCs w:val="14"/>
                <w:b w:val="1"/>
                <w:bCs w:val="1"/>
                <w:color w:val="auto"/>
              </w:rPr>
              <w:t>4</w:t>
            </w:r>
          </w:p>
        </w:tc>
        <w:tc>
          <w:tcPr>
            <w:tcW w:w="2280" w:type="dxa"/>
            <w:vAlign w:val="bottom"/>
            <w:gridSpan w:val="2"/>
          </w:tcPr>
          <w:p>
            <w:pPr>
              <w:ind w:left="460"/>
              <w:spacing w:after="0" w:line="189" w:lineRule="exact"/>
              <w:rPr>
                <w:sz w:val="20"/>
                <w:szCs w:val="20"/>
                <w:color w:val="auto"/>
              </w:rPr>
            </w:pPr>
            <w:r>
              <w:rPr>
                <w:rFonts w:ascii="Arial" w:cs="Arial" w:eastAsia="Arial" w:hAnsi="Arial"/>
                <w:sz w:val="13"/>
                <w:szCs w:val="13"/>
                <w:i w:val="1"/>
                <w:iCs w:val="1"/>
                <w:color w:val="auto"/>
              </w:rPr>
              <w:t xml:space="preserve">GasLog Singapore </w:t>
            </w:r>
            <w:r>
              <w:rPr>
                <w:rFonts w:ascii="Arial" w:cs="Arial" w:eastAsia="Arial" w:hAnsi="Arial"/>
                <w:sz w:val="21"/>
                <w:szCs w:val="21"/>
                <w:i w:val="1"/>
                <w:iCs w:val="1"/>
                <w:color w:val="auto"/>
                <w:vertAlign w:val="superscript"/>
              </w:rPr>
              <w:t>(6)</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2010</w:t>
            </w:r>
          </w:p>
        </w:tc>
        <w:tc>
          <w:tcPr>
            <w:tcW w:w="22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155,000</w:t>
            </w:r>
          </w:p>
        </w:tc>
        <w:tc>
          <w:tcPr>
            <w:tcW w:w="220" w:type="dxa"/>
            <w:vAlign w:val="bottom"/>
          </w:tcPr>
          <w:p>
            <w:pPr>
              <w:spacing w:after="0"/>
              <w:rPr>
                <w:sz w:val="16"/>
                <w:szCs w:val="16"/>
                <w:color w:val="auto"/>
              </w:rPr>
            </w:pPr>
          </w:p>
        </w:tc>
        <w:tc>
          <w:tcPr>
            <w:tcW w:w="1560" w:type="dxa"/>
            <w:vAlign w:val="bottom"/>
            <w:gridSpan w:val="2"/>
          </w:tcPr>
          <w:p>
            <w:pPr>
              <w:jc w:val="center"/>
              <w:ind w:right="120"/>
              <w:spacing w:after="0" w:line="189" w:lineRule="exact"/>
              <w:rPr>
                <w:sz w:val="20"/>
                <w:szCs w:val="20"/>
                <w:color w:val="auto"/>
              </w:rPr>
            </w:pPr>
            <w:r>
              <w:rPr>
                <w:rFonts w:ascii="Arial" w:cs="Arial" w:eastAsia="Arial" w:hAnsi="Arial"/>
                <w:sz w:val="13"/>
                <w:szCs w:val="13"/>
                <w:color w:val="auto"/>
                <w:w w:val="93"/>
              </w:rPr>
              <w:t xml:space="preserve">RWE </w:t>
            </w:r>
            <w:r>
              <w:rPr>
                <w:rFonts w:ascii="Arial" w:cs="Arial" w:eastAsia="Arial" w:hAnsi="Arial"/>
                <w:sz w:val="21"/>
                <w:szCs w:val="21"/>
                <w:color w:val="auto"/>
                <w:w w:val="93"/>
                <w:vertAlign w:val="superscript"/>
              </w:rPr>
              <w:t>(6)</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TFDE</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July 2022</w:t>
            </w:r>
          </w:p>
        </w:tc>
        <w:tc>
          <w:tcPr>
            <w:tcW w:w="1120" w:type="dxa"/>
            <w:vAlign w:val="bottom"/>
          </w:tcPr>
          <w:p>
            <w:pPr>
              <w:jc w:val="center"/>
              <w:ind w:left="31"/>
              <w:spacing w:after="0" w:line="189" w:lineRule="exact"/>
              <w:rPr>
                <w:sz w:val="20"/>
                <w:szCs w:val="20"/>
                <w:color w:val="auto"/>
              </w:rPr>
            </w:pPr>
            <w:r>
              <w:rPr>
                <w:rFonts w:ascii="Arial" w:cs="Arial" w:eastAsia="Arial" w:hAnsi="Arial"/>
                <w:sz w:val="13"/>
                <w:szCs w:val="13"/>
                <w:color w:val="auto"/>
                <w:w w:val="92"/>
              </w:rPr>
              <w:t xml:space="preserve">2023 </w:t>
            </w:r>
            <w:r>
              <w:rPr>
                <w:rFonts w:ascii="Arial" w:cs="Arial" w:eastAsia="Arial" w:hAnsi="Arial"/>
                <w:sz w:val="21"/>
                <w:szCs w:val="21"/>
                <w:color w:val="auto"/>
                <w:w w:val="92"/>
                <w:vertAlign w:val="superscript"/>
              </w:rPr>
              <w:t>(6)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5</w:t>
            </w:r>
          </w:p>
        </w:tc>
        <w:tc>
          <w:tcPr>
            <w:tcW w:w="22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i w:val="1"/>
                <w:iCs w:val="1"/>
                <w:color w:val="auto"/>
              </w:rPr>
              <w:t>GasLog Skagen</w:t>
            </w:r>
          </w:p>
        </w:tc>
        <w:tc>
          <w:tcPr>
            <w:tcW w:w="92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2013</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155,000</w:t>
            </w:r>
          </w:p>
        </w:tc>
        <w:tc>
          <w:tcPr>
            <w:tcW w:w="2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0"/>
              </w:rPr>
              <w:t>Chevron</w:t>
            </w:r>
          </w:p>
        </w:tc>
        <w:tc>
          <w:tcPr>
            <w:tcW w:w="15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TFDE</w:t>
            </w:r>
          </w:p>
        </w:tc>
        <w:tc>
          <w:tcPr>
            <w:tcW w:w="17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September 2022</w:t>
            </w:r>
          </w:p>
        </w:tc>
        <w:tc>
          <w:tcPr>
            <w:tcW w:w="12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580" w:type="dxa"/>
            <w:vAlign w:val="bottom"/>
          </w:tcPr>
          <w:p>
            <w:pPr>
              <w:spacing w:after="0" w:line="149" w:lineRule="exact"/>
              <w:rPr>
                <w:sz w:val="20"/>
                <w:szCs w:val="20"/>
                <w:color w:val="auto"/>
              </w:rPr>
            </w:pPr>
            <w:r>
              <w:rPr>
                <w:rFonts w:ascii="Arial" w:cs="Arial" w:eastAsia="Arial" w:hAnsi="Arial"/>
                <w:sz w:val="14"/>
                <w:szCs w:val="14"/>
                <w:b w:val="1"/>
                <w:bCs w:val="1"/>
                <w:color w:val="auto"/>
              </w:rPr>
              <w:t>6</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i w:val="1"/>
                <w:iCs w:val="1"/>
                <w:color w:val="auto"/>
              </w:rPr>
              <w:t>GasLog Saratoga</w:t>
            </w:r>
          </w:p>
        </w:tc>
        <w:tc>
          <w:tcPr>
            <w:tcW w:w="9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2014</w:t>
            </w:r>
          </w:p>
        </w:tc>
        <w:tc>
          <w:tcPr>
            <w:tcW w:w="220" w:type="dxa"/>
            <w:vAlign w:val="bottom"/>
          </w:tcPr>
          <w:p>
            <w:pPr>
              <w:spacing w:after="0"/>
              <w:rPr>
                <w:sz w:val="12"/>
                <w:szCs w:val="12"/>
                <w:color w:val="auto"/>
              </w:rPr>
            </w:pPr>
          </w:p>
        </w:tc>
        <w:tc>
          <w:tcPr>
            <w:tcW w:w="9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155,000</w:t>
            </w:r>
          </w:p>
        </w:tc>
        <w:tc>
          <w:tcPr>
            <w:tcW w:w="22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Mitsui</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TFDE</w:t>
            </w:r>
          </w:p>
        </w:tc>
        <w:tc>
          <w:tcPr>
            <w:tcW w:w="1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September 2024</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7</w:t>
            </w:r>
          </w:p>
        </w:tc>
        <w:tc>
          <w:tcPr>
            <w:tcW w:w="2280" w:type="dxa"/>
            <w:vAlign w:val="bottom"/>
            <w:gridSpan w:val="2"/>
            <w:shd w:val="clear" w:color="auto" w:fill="CCEEFF"/>
          </w:tcPr>
          <w:p>
            <w:pPr>
              <w:ind w:left="460"/>
              <w:spacing w:after="0"/>
              <w:rPr>
                <w:sz w:val="20"/>
                <w:szCs w:val="20"/>
                <w:color w:val="auto"/>
              </w:rPr>
            </w:pPr>
            <w:r>
              <w:rPr>
                <w:rFonts w:ascii="Arial" w:cs="Arial" w:eastAsia="Arial" w:hAnsi="Arial"/>
                <w:sz w:val="14"/>
                <w:szCs w:val="14"/>
                <w:i w:val="1"/>
                <w:iCs w:val="1"/>
                <w:color w:val="auto"/>
              </w:rPr>
              <w:t>GasLog Genoa</w:t>
            </w: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2018</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174,000</w:t>
            </w:r>
          </w:p>
        </w:tc>
        <w:tc>
          <w:tcPr>
            <w:tcW w:w="2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3"/>
                <w:szCs w:val="13"/>
                <w:color w:val="auto"/>
                <w:w w:val="96"/>
              </w:rPr>
              <w:t xml:space="preserve">Shell </w:t>
            </w:r>
            <w:r>
              <w:rPr>
                <w:rFonts w:ascii="Arial" w:cs="Arial" w:eastAsia="Arial" w:hAnsi="Arial"/>
                <w:sz w:val="21"/>
                <w:szCs w:val="21"/>
                <w:color w:val="auto"/>
                <w:w w:val="96"/>
                <w:vertAlign w:val="superscript"/>
              </w:rPr>
              <w:t>(7)</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X-DF</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March 2027</w:t>
            </w:r>
          </w:p>
        </w:tc>
        <w:tc>
          <w:tcPr>
            <w:tcW w:w="1120" w:type="dxa"/>
            <w:vAlign w:val="bottom"/>
            <w:shd w:val="clear" w:color="auto" w:fill="CCEEFF"/>
          </w:tcPr>
          <w:p>
            <w:pPr>
              <w:jc w:val="center"/>
              <w:ind w:left="51"/>
              <w:spacing w:after="0" w:line="189" w:lineRule="exact"/>
              <w:rPr>
                <w:sz w:val="20"/>
                <w:szCs w:val="20"/>
                <w:color w:val="auto"/>
              </w:rPr>
            </w:pPr>
            <w:r>
              <w:rPr>
                <w:rFonts w:ascii="Arial" w:cs="Arial" w:eastAsia="Arial" w:hAnsi="Arial"/>
                <w:sz w:val="13"/>
                <w:szCs w:val="13"/>
                <w:color w:val="auto"/>
                <w:w w:val="96"/>
              </w:rPr>
              <w:t xml:space="preserve">2030-2033 </w:t>
            </w:r>
            <w:r>
              <w:rPr>
                <w:rFonts w:ascii="Arial" w:cs="Arial" w:eastAsia="Arial" w:hAnsi="Arial"/>
                <w:sz w:val="21"/>
                <w:szCs w:val="21"/>
                <w:color w:val="auto"/>
                <w:w w:val="96"/>
                <w:vertAlign w:val="superscript"/>
              </w:rPr>
              <w:t>(7)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20"/>
                <w:szCs w:val="20"/>
                <w:color w:val="auto"/>
              </w:rPr>
            </w:pPr>
            <w:r>
              <w:rPr>
                <w:rFonts w:ascii="Arial" w:cs="Arial" w:eastAsia="Arial" w:hAnsi="Arial"/>
                <w:sz w:val="14"/>
                <w:szCs w:val="14"/>
                <w:b w:val="1"/>
                <w:bCs w:val="1"/>
                <w:color w:val="auto"/>
              </w:rPr>
              <w:t>8</w:t>
            </w:r>
          </w:p>
        </w:tc>
        <w:tc>
          <w:tcPr>
            <w:tcW w:w="2280" w:type="dxa"/>
            <w:vAlign w:val="bottom"/>
            <w:gridSpan w:val="2"/>
          </w:tcPr>
          <w:p>
            <w:pPr>
              <w:ind w:left="460"/>
              <w:spacing w:after="0"/>
              <w:rPr>
                <w:sz w:val="20"/>
                <w:szCs w:val="20"/>
                <w:color w:val="auto"/>
              </w:rPr>
            </w:pPr>
            <w:r>
              <w:rPr>
                <w:rFonts w:ascii="Arial" w:cs="Arial" w:eastAsia="Arial" w:hAnsi="Arial"/>
                <w:sz w:val="14"/>
                <w:szCs w:val="14"/>
                <w:i w:val="1"/>
                <w:iCs w:val="1"/>
                <w:color w:val="auto"/>
              </w:rPr>
              <w:t>GasLog Windsor</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180,000</w:t>
            </w:r>
          </w:p>
        </w:tc>
        <w:tc>
          <w:tcPr>
            <w:tcW w:w="220" w:type="dxa"/>
            <w:vAlign w:val="bottom"/>
          </w:tcPr>
          <w:p>
            <w:pPr>
              <w:spacing w:after="0"/>
              <w:rPr>
                <w:sz w:val="16"/>
                <w:szCs w:val="16"/>
                <w:color w:val="auto"/>
              </w:rPr>
            </w:pPr>
          </w:p>
        </w:tc>
        <w:tc>
          <w:tcPr>
            <w:tcW w:w="1560" w:type="dxa"/>
            <w:vAlign w:val="bottom"/>
            <w:gridSpan w:val="2"/>
          </w:tcPr>
          <w:p>
            <w:pPr>
              <w:jc w:val="center"/>
              <w:ind w:right="120"/>
              <w:spacing w:after="0" w:line="189" w:lineRule="exact"/>
              <w:rPr>
                <w:sz w:val="20"/>
                <w:szCs w:val="20"/>
                <w:color w:val="auto"/>
              </w:rPr>
            </w:pPr>
            <w:r>
              <w:rPr>
                <w:rFonts w:ascii="Arial" w:cs="Arial" w:eastAsia="Arial" w:hAnsi="Arial"/>
                <w:sz w:val="13"/>
                <w:szCs w:val="13"/>
                <w:color w:val="auto"/>
                <w:w w:val="98"/>
              </w:rPr>
              <w:t xml:space="preserve">Centrica </w:t>
            </w:r>
            <w:r>
              <w:rPr>
                <w:rFonts w:ascii="Arial" w:cs="Arial" w:eastAsia="Arial" w:hAnsi="Arial"/>
                <w:sz w:val="21"/>
                <w:szCs w:val="21"/>
                <w:color w:val="auto"/>
                <w:w w:val="98"/>
                <w:vertAlign w:val="superscript"/>
              </w:rPr>
              <w:t>(8)</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rPr>
              <w:t>X-DF</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rPr>
              <w:t>April 2027</w:t>
            </w:r>
          </w:p>
        </w:tc>
        <w:tc>
          <w:tcPr>
            <w:tcW w:w="1120" w:type="dxa"/>
            <w:vAlign w:val="bottom"/>
          </w:tcPr>
          <w:p>
            <w:pPr>
              <w:jc w:val="center"/>
              <w:ind w:left="51"/>
              <w:spacing w:after="0" w:line="189" w:lineRule="exact"/>
              <w:rPr>
                <w:sz w:val="20"/>
                <w:szCs w:val="20"/>
                <w:color w:val="auto"/>
              </w:rPr>
            </w:pPr>
            <w:r>
              <w:rPr>
                <w:rFonts w:ascii="Arial" w:cs="Arial" w:eastAsia="Arial" w:hAnsi="Arial"/>
                <w:sz w:val="13"/>
                <w:szCs w:val="13"/>
                <w:color w:val="auto"/>
                <w:w w:val="96"/>
              </w:rPr>
              <w:t xml:space="preserve">2029-2033 </w:t>
            </w:r>
            <w:r>
              <w:rPr>
                <w:rFonts w:ascii="Arial" w:cs="Arial" w:eastAsia="Arial" w:hAnsi="Arial"/>
                <w:sz w:val="21"/>
                <w:szCs w:val="21"/>
                <w:color w:val="auto"/>
                <w:w w:val="96"/>
                <w:vertAlign w:val="superscript"/>
              </w:rPr>
              <w:t>(8)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9</w:t>
            </w:r>
          </w:p>
        </w:tc>
        <w:tc>
          <w:tcPr>
            <w:tcW w:w="2280" w:type="dxa"/>
            <w:vAlign w:val="bottom"/>
            <w:gridSpan w:val="2"/>
            <w:shd w:val="clear" w:color="auto" w:fill="CCEEFF"/>
          </w:tcPr>
          <w:p>
            <w:pPr>
              <w:ind w:left="460"/>
              <w:spacing w:after="0"/>
              <w:rPr>
                <w:sz w:val="20"/>
                <w:szCs w:val="20"/>
                <w:color w:val="auto"/>
              </w:rPr>
            </w:pPr>
            <w:r>
              <w:rPr>
                <w:rFonts w:ascii="Arial" w:cs="Arial" w:eastAsia="Arial" w:hAnsi="Arial"/>
                <w:sz w:val="14"/>
                <w:szCs w:val="14"/>
                <w:i w:val="1"/>
                <w:iCs w:val="1"/>
                <w:color w:val="auto"/>
              </w:rPr>
              <w:t>GasLog Westminster</w:t>
            </w: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2020</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180,000</w:t>
            </w:r>
          </w:p>
        </w:tc>
        <w:tc>
          <w:tcPr>
            <w:tcW w:w="2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3"/>
                <w:szCs w:val="13"/>
                <w:color w:val="auto"/>
                <w:w w:val="98"/>
              </w:rPr>
              <w:t xml:space="preserve">Centrica </w:t>
            </w:r>
            <w:r>
              <w:rPr>
                <w:rFonts w:ascii="Arial" w:cs="Arial" w:eastAsia="Arial" w:hAnsi="Arial"/>
                <w:sz w:val="21"/>
                <w:szCs w:val="21"/>
                <w:color w:val="auto"/>
                <w:w w:val="98"/>
                <w:vertAlign w:val="superscript"/>
              </w:rPr>
              <w:t>(8)</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X-DF</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July 2027</w:t>
            </w:r>
          </w:p>
        </w:tc>
        <w:tc>
          <w:tcPr>
            <w:tcW w:w="1120" w:type="dxa"/>
            <w:vAlign w:val="bottom"/>
            <w:shd w:val="clear" w:color="auto" w:fill="CCEEFF"/>
          </w:tcPr>
          <w:p>
            <w:pPr>
              <w:jc w:val="center"/>
              <w:ind w:left="51"/>
              <w:spacing w:after="0" w:line="189" w:lineRule="exact"/>
              <w:rPr>
                <w:sz w:val="20"/>
                <w:szCs w:val="20"/>
                <w:color w:val="auto"/>
              </w:rPr>
            </w:pPr>
            <w:r>
              <w:rPr>
                <w:rFonts w:ascii="Arial" w:cs="Arial" w:eastAsia="Arial" w:hAnsi="Arial"/>
                <w:sz w:val="13"/>
                <w:szCs w:val="13"/>
                <w:color w:val="auto"/>
                <w:w w:val="96"/>
              </w:rPr>
              <w:t xml:space="preserve">2029-2033 </w:t>
            </w:r>
            <w:r>
              <w:rPr>
                <w:rFonts w:ascii="Arial" w:cs="Arial" w:eastAsia="Arial" w:hAnsi="Arial"/>
                <w:sz w:val="21"/>
                <w:szCs w:val="21"/>
                <w:color w:val="auto"/>
                <w:w w:val="96"/>
                <w:vertAlign w:val="superscript"/>
              </w:rPr>
              <w:t>(8)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20"/>
                <w:szCs w:val="20"/>
                <w:color w:val="auto"/>
              </w:rPr>
            </w:pPr>
            <w:r>
              <w:rPr>
                <w:rFonts w:ascii="Arial" w:cs="Arial" w:eastAsia="Arial" w:hAnsi="Arial"/>
                <w:sz w:val="14"/>
                <w:szCs w:val="14"/>
                <w:b w:val="1"/>
                <w:bCs w:val="1"/>
                <w:color w:val="auto"/>
              </w:rPr>
              <w:t>10</w:t>
            </w:r>
          </w:p>
        </w:tc>
        <w:tc>
          <w:tcPr>
            <w:tcW w:w="2280" w:type="dxa"/>
            <w:vAlign w:val="bottom"/>
            <w:gridSpan w:val="2"/>
          </w:tcPr>
          <w:p>
            <w:pPr>
              <w:ind w:left="460"/>
              <w:spacing w:after="0"/>
              <w:rPr>
                <w:sz w:val="20"/>
                <w:szCs w:val="20"/>
                <w:color w:val="auto"/>
              </w:rPr>
            </w:pPr>
            <w:r>
              <w:rPr>
                <w:rFonts w:ascii="Arial" w:cs="Arial" w:eastAsia="Arial" w:hAnsi="Arial"/>
                <w:sz w:val="14"/>
                <w:szCs w:val="14"/>
                <w:i w:val="1"/>
                <w:iCs w:val="1"/>
                <w:color w:val="auto"/>
              </w:rPr>
              <w:t>GasLog Georgetown</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174,000</w:t>
            </w:r>
          </w:p>
        </w:tc>
        <w:tc>
          <w:tcPr>
            <w:tcW w:w="220" w:type="dxa"/>
            <w:vAlign w:val="bottom"/>
          </w:tcPr>
          <w:p>
            <w:pPr>
              <w:spacing w:after="0"/>
              <w:rPr>
                <w:sz w:val="16"/>
                <w:szCs w:val="16"/>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Cheniere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rPr>
              <w:t>X-DF</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November 2027</w:t>
            </w:r>
          </w:p>
        </w:tc>
        <w:tc>
          <w:tcPr>
            <w:tcW w:w="1120" w:type="dxa"/>
            <w:vAlign w:val="bottom"/>
          </w:tcPr>
          <w:p>
            <w:pPr>
              <w:jc w:val="center"/>
              <w:ind w:left="51"/>
              <w:spacing w:after="0" w:line="189" w:lineRule="exact"/>
              <w:rPr>
                <w:sz w:val="20"/>
                <w:szCs w:val="20"/>
                <w:color w:val="auto"/>
              </w:rPr>
            </w:pPr>
            <w:r>
              <w:rPr>
                <w:rFonts w:ascii="Arial" w:cs="Arial" w:eastAsia="Arial" w:hAnsi="Arial"/>
                <w:sz w:val="13"/>
                <w:szCs w:val="13"/>
                <w:color w:val="auto"/>
                <w:w w:val="96"/>
              </w:rPr>
              <w:t xml:space="preserve">2030-2034 </w:t>
            </w:r>
            <w:r>
              <w:rPr>
                <w:rFonts w:ascii="Arial" w:cs="Arial" w:eastAsia="Arial" w:hAnsi="Arial"/>
                <w:sz w:val="21"/>
                <w:szCs w:val="21"/>
                <w:color w:val="auto"/>
                <w:w w:val="96"/>
                <w:vertAlign w:val="superscript"/>
              </w:rPr>
              <w:t>(9)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11</w:t>
            </w:r>
          </w:p>
        </w:tc>
        <w:tc>
          <w:tcPr>
            <w:tcW w:w="2280" w:type="dxa"/>
            <w:vAlign w:val="bottom"/>
            <w:gridSpan w:val="2"/>
            <w:shd w:val="clear" w:color="auto" w:fill="CCEEFF"/>
          </w:tcPr>
          <w:p>
            <w:pPr>
              <w:ind w:left="460"/>
              <w:spacing w:after="0"/>
              <w:rPr>
                <w:sz w:val="20"/>
                <w:szCs w:val="20"/>
                <w:color w:val="auto"/>
              </w:rPr>
            </w:pPr>
            <w:r>
              <w:rPr>
                <w:rFonts w:ascii="Arial" w:cs="Arial" w:eastAsia="Arial" w:hAnsi="Arial"/>
                <w:sz w:val="14"/>
                <w:szCs w:val="14"/>
                <w:i w:val="1"/>
                <w:iCs w:val="1"/>
                <w:color w:val="auto"/>
              </w:rPr>
              <w:t>GasLog Galveston</w:t>
            </w: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2021</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174,000</w:t>
            </w:r>
          </w:p>
        </w:tc>
        <w:tc>
          <w:tcPr>
            <w:tcW w:w="2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Cheniere</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X-DF</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9"/>
              </w:rPr>
              <w:t>January 2028</w:t>
            </w:r>
          </w:p>
        </w:tc>
        <w:tc>
          <w:tcPr>
            <w:tcW w:w="1120" w:type="dxa"/>
            <w:vAlign w:val="bottom"/>
            <w:shd w:val="clear" w:color="auto" w:fill="CCEEFF"/>
          </w:tcPr>
          <w:p>
            <w:pPr>
              <w:jc w:val="center"/>
              <w:ind w:left="51"/>
              <w:spacing w:after="0" w:line="189" w:lineRule="exact"/>
              <w:rPr>
                <w:sz w:val="20"/>
                <w:szCs w:val="20"/>
                <w:color w:val="auto"/>
              </w:rPr>
            </w:pPr>
            <w:r>
              <w:rPr>
                <w:rFonts w:ascii="Arial" w:cs="Arial" w:eastAsia="Arial" w:hAnsi="Arial"/>
                <w:sz w:val="13"/>
                <w:szCs w:val="13"/>
                <w:color w:val="auto"/>
                <w:w w:val="96"/>
              </w:rPr>
              <w:t xml:space="preserve">2031-2035 </w:t>
            </w:r>
            <w:r>
              <w:rPr>
                <w:rFonts w:ascii="Arial" w:cs="Arial" w:eastAsia="Arial" w:hAnsi="Arial"/>
                <w:sz w:val="21"/>
                <w:szCs w:val="21"/>
                <w:color w:val="auto"/>
                <w:w w:val="96"/>
                <w:vertAlign w:val="superscript"/>
              </w:rPr>
              <w:t>(9)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20"/>
                <w:szCs w:val="20"/>
                <w:color w:val="auto"/>
              </w:rPr>
            </w:pPr>
            <w:r>
              <w:rPr>
                <w:rFonts w:ascii="Arial" w:cs="Arial" w:eastAsia="Arial" w:hAnsi="Arial"/>
                <w:sz w:val="14"/>
                <w:szCs w:val="14"/>
                <w:b w:val="1"/>
                <w:bCs w:val="1"/>
                <w:color w:val="auto"/>
              </w:rPr>
              <w:t>12</w:t>
            </w:r>
          </w:p>
        </w:tc>
        <w:tc>
          <w:tcPr>
            <w:tcW w:w="2280" w:type="dxa"/>
            <w:vAlign w:val="bottom"/>
            <w:gridSpan w:val="2"/>
          </w:tcPr>
          <w:p>
            <w:pPr>
              <w:ind w:left="460"/>
              <w:spacing w:after="0"/>
              <w:rPr>
                <w:sz w:val="20"/>
                <w:szCs w:val="20"/>
                <w:color w:val="auto"/>
              </w:rPr>
            </w:pPr>
            <w:r>
              <w:rPr>
                <w:rFonts w:ascii="Arial" w:cs="Arial" w:eastAsia="Arial" w:hAnsi="Arial"/>
                <w:sz w:val="14"/>
                <w:szCs w:val="14"/>
                <w:i w:val="1"/>
                <w:iCs w:val="1"/>
                <w:color w:val="auto"/>
              </w:rPr>
              <w:t>GasLog Wellington</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2021</w:t>
            </w:r>
          </w:p>
        </w:tc>
        <w:tc>
          <w:tcPr>
            <w:tcW w:w="22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180,000</w:t>
            </w:r>
          </w:p>
        </w:tc>
        <w:tc>
          <w:tcPr>
            <w:tcW w:w="220" w:type="dxa"/>
            <w:vAlign w:val="bottom"/>
          </w:tcPr>
          <w:p>
            <w:pPr>
              <w:spacing w:after="0"/>
              <w:rPr>
                <w:sz w:val="16"/>
                <w:szCs w:val="16"/>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Cheniere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rPr>
              <w:t>X-DF</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June 2028</w:t>
            </w:r>
          </w:p>
        </w:tc>
        <w:tc>
          <w:tcPr>
            <w:tcW w:w="1120" w:type="dxa"/>
            <w:vAlign w:val="bottom"/>
          </w:tcPr>
          <w:p>
            <w:pPr>
              <w:jc w:val="center"/>
              <w:ind w:left="51"/>
              <w:spacing w:after="0" w:line="189" w:lineRule="exact"/>
              <w:rPr>
                <w:sz w:val="20"/>
                <w:szCs w:val="20"/>
                <w:color w:val="auto"/>
              </w:rPr>
            </w:pPr>
            <w:r>
              <w:rPr>
                <w:rFonts w:ascii="Arial" w:cs="Arial" w:eastAsia="Arial" w:hAnsi="Arial"/>
                <w:sz w:val="13"/>
                <w:szCs w:val="13"/>
                <w:color w:val="auto"/>
                <w:w w:val="96"/>
              </w:rPr>
              <w:t xml:space="preserve">2031-2035 </w:t>
            </w:r>
            <w:r>
              <w:rPr>
                <w:rFonts w:ascii="Arial" w:cs="Arial" w:eastAsia="Arial" w:hAnsi="Arial"/>
                <w:sz w:val="21"/>
                <w:szCs w:val="21"/>
                <w:color w:val="auto"/>
                <w:w w:val="96"/>
                <w:vertAlign w:val="superscript"/>
              </w:rPr>
              <w:t>(9)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13</w:t>
            </w:r>
          </w:p>
        </w:tc>
        <w:tc>
          <w:tcPr>
            <w:tcW w:w="2280" w:type="dxa"/>
            <w:vAlign w:val="bottom"/>
            <w:gridSpan w:val="2"/>
            <w:shd w:val="clear" w:color="auto" w:fill="CCEEFF"/>
          </w:tcPr>
          <w:p>
            <w:pPr>
              <w:ind w:left="460"/>
              <w:spacing w:after="0"/>
              <w:rPr>
                <w:sz w:val="20"/>
                <w:szCs w:val="20"/>
                <w:color w:val="auto"/>
              </w:rPr>
            </w:pPr>
            <w:r>
              <w:rPr>
                <w:rFonts w:ascii="Arial" w:cs="Arial" w:eastAsia="Arial" w:hAnsi="Arial"/>
                <w:sz w:val="14"/>
                <w:szCs w:val="14"/>
                <w:i w:val="1"/>
                <w:iCs w:val="1"/>
                <w:color w:val="auto"/>
              </w:rPr>
              <w:t>GasLog Winchester</w:t>
            </w: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2021</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180,000</w:t>
            </w:r>
          </w:p>
        </w:tc>
        <w:tc>
          <w:tcPr>
            <w:tcW w:w="2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Cheniere</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X-DF</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August 2028</w:t>
            </w:r>
          </w:p>
        </w:tc>
        <w:tc>
          <w:tcPr>
            <w:tcW w:w="1120" w:type="dxa"/>
            <w:vAlign w:val="bottom"/>
            <w:shd w:val="clear" w:color="auto" w:fill="CCEEFF"/>
          </w:tcPr>
          <w:p>
            <w:pPr>
              <w:jc w:val="center"/>
              <w:ind w:left="51"/>
              <w:spacing w:after="0" w:line="189" w:lineRule="exact"/>
              <w:rPr>
                <w:sz w:val="20"/>
                <w:szCs w:val="20"/>
                <w:color w:val="auto"/>
              </w:rPr>
            </w:pPr>
            <w:r>
              <w:rPr>
                <w:rFonts w:ascii="Arial" w:cs="Arial" w:eastAsia="Arial" w:hAnsi="Arial"/>
                <w:sz w:val="13"/>
                <w:szCs w:val="13"/>
                <w:color w:val="auto"/>
                <w:w w:val="96"/>
              </w:rPr>
              <w:t xml:space="preserve">2031-2035 </w:t>
            </w:r>
            <w:r>
              <w:rPr>
                <w:rFonts w:ascii="Arial" w:cs="Arial" w:eastAsia="Arial" w:hAnsi="Arial"/>
                <w:sz w:val="21"/>
                <w:szCs w:val="21"/>
                <w:color w:val="auto"/>
                <w:w w:val="96"/>
                <w:vertAlign w:val="superscript"/>
              </w:rPr>
              <w:t>(9)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20"/>
                <w:szCs w:val="20"/>
                <w:color w:val="auto"/>
              </w:rPr>
            </w:pPr>
            <w:r>
              <w:rPr>
                <w:rFonts w:ascii="Arial" w:cs="Arial" w:eastAsia="Arial" w:hAnsi="Arial"/>
                <w:sz w:val="14"/>
                <w:szCs w:val="14"/>
                <w:b w:val="1"/>
                <w:bCs w:val="1"/>
                <w:color w:val="auto"/>
              </w:rPr>
              <w:t>14</w:t>
            </w:r>
          </w:p>
        </w:tc>
        <w:tc>
          <w:tcPr>
            <w:tcW w:w="2280" w:type="dxa"/>
            <w:vAlign w:val="bottom"/>
            <w:gridSpan w:val="2"/>
          </w:tcPr>
          <w:p>
            <w:pPr>
              <w:ind w:left="460"/>
              <w:spacing w:after="0"/>
              <w:rPr>
                <w:sz w:val="20"/>
                <w:szCs w:val="20"/>
                <w:color w:val="auto"/>
              </w:rPr>
            </w:pPr>
            <w:r>
              <w:rPr>
                <w:rFonts w:ascii="Arial" w:cs="Arial" w:eastAsia="Arial" w:hAnsi="Arial"/>
                <w:sz w:val="14"/>
                <w:szCs w:val="14"/>
                <w:i w:val="1"/>
                <w:iCs w:val="1"/>
                <w:color w:val="auto"/>
              </w:rPr>
              <w:t>GasLog Gladstone</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2019</w:t>
            </w:r>
          </w:p>
        </w:tc>
        <w:tc>
          <w:tcPr>
            <w:tcW w:w="22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174,000</w:t>
            </w:r>
          </w:p>
        </w:tc>
        <w:tc>
          <w:tcPr>
            <w:tcW w:w="220" w:type="dxa"/>
            <w:vAlign w:val="bottom"/>
          </w:tcPr>
          <w:p>
            <w:pPr>
              <w:spacing w:after="0"/>
              <w:rPr>
                <w:sz w:val="16"/>
                <w:szCs w:val="16"/>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Shell</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rPr>
              <w:t>X-DF</w:t>
            </w:r>
          </w:p>
        </w:tc>
        <w:tc>
          <w:tcPr>
            <w:tcW w:w="178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January 2029</w:t>
            </w:r>
          </w:p>
        </w:tc>
        <w:tc>
          <w:tcPr>
            <w:tcW w:w="1120" w:type="dxa"/>
            <w:vAlign w:val="bottom"/>
          </w:tcPr>
          <w:p>
            <w:pPr>
              <w:jc w:val="center"/>
              <w:ind w:left="51"/>
              <w:spacing w:after="0" w:line="189" w:lineRule="exact"/>
              <w:rPr>
                <w:sz w:val="20"/>
                <w:szCs w:val="20"/>
                <w:color w:val="auto"/>
              </w:rPr>
            </w:pPr>
            <w:r>
              <w:rPr>
                <w:rFonts w:ascii="Arial" w:cs="Arial" w:eastAsia="Arial" w:hAnsi="Arial"/>
                <w:sz w:val="13"/>
                <w:szCs w:val="13"/>
                <w:color w:val="auto"/>
                <w:w w:val="96"/>
              </w:rPr>
              <w:t xml:space="preserve">2032-2035 </w:t>
            </w:r>
            <w:r>
              <w:rPr>
                <w:rFonts w:ascii="Arial" w:cs="Arial" w:eastAsia="Arial" w:hAnsi="Arial"/>
                <w:sz w:val="21"/>
                <w:szCs w:val="21"/>
                <w:color w:val="auto"/>
                <w:w w:val="96"/>
                <w:vertAlign w:val="superscript"/>
              </w:rPr>
              <w:t>(7)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15</w:t>
            </w:r>
          </w:p>
        </w:tc>
        <w:tc>
          <w:tcPr>
            <w:tcW w:w="2280" w:type="dxa"/>
            <w:vAlign w:val="bottom"/>
            <w:gridSpan w:val="2"/>
            <w:shd w:val="clear" w:color="auto" w:fill="CCEEFF"/>
          </w:tcPr>
          <w:p>
            <w:pPr>
              <w:ind w:left="460"/>
              <w:spacing w:after="0"/>
              <w:rPr>
                <w:sz w:val="20"/>
                <w:szCs w:val="20"/>
                <w:color w:val="auto"/>
              </w:rPr>
            </w:pPr>
            <w:r>
              <w:rPr>
                <w:rFonts w:ascii="Arial" w:cs="Arial" w:eastAsia="Arial" w:hAnsi="Arial"/>
                <w:sz w:val="14"/>
                <w:szCs w:val="14"/>
                <w:i w:val="1"/>
                <w:iCs w:val="1"/>
                <w:color w:val="auto"/>
              </w:rPr>
              <w:t>GasLog Warsaw</w:t>
            </w: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2019</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180,000</w:t>
            </w:r>
          </w:p>
        </w:tc>
        <w:tc>
          <w:tcPr>
            <w:tcW w:w="2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3"/>
                <w:szCs w:val="13"/>
                <w:color w:val="auto"/>
                <w:w w:val="88"/>
              </w:rPr>
              <w:t xml:space="preserve">Endesa </w:t>
            </w:r>
            <w:r>
              <w:rPr>
                <w:rFonts w:ascii="Arial" w:cs="Arial" w:eastAsia="Arial" w:hAnsi="Arial"/>
                <w:sz w:val="21"/>
                <w:szCs w:val="21"/>
                <w:color w:val="auto"/>
                <w:w w:val="88"/>
                <w:vertAlign w:val="superscript"/>
              </w:rPr>
              <w:t>(10)</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X-DF</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7"/>
              </w:rPr>
              <w:t>May 2029</w:t>
            </w:r>
          </w:p>
        </w:tc>
        <w:tc>
          <w:tcPr>
            <w:tcW w:w="1120" w:type="dxa"/>
            <w:vAlign w:val="bottom"/>
            <w:shd w:val="clear" w:color="auto" w:fill="CCEEFF"/>
          </w:tcPr>
          <w:p>
            <w:pPr>
              <w:jc w:val="center"/>
              <w:ind w:left="31"/>
              <w:spacing w:after="0" w:line="189" w:lineRule="exact"/>
              <w:rPr>
                <w:sz w:val="20"/>
                <w:szCs w:val="20"/>
                <w:color w:val="auto"/>
              </w:rPr>
            </w:pPr>
            <w:r>
              <w:rPr>
                <w:rFonts w:ascii="Arial" w:cs="Arial" w:eastAsia="Arial" w:hAnsi="Arial"/>
                <w:sz w:val="13"/>
                <w:szCs w:val="13"/>
                <w:color w:val="auto"/>
                <w:w w:val="94"/>
              </w:rPr>
              <w:t xml:space="preserve">2035-2041 </w:t>
            </w:r>
            <w:r>
              <w:rPr>
                <w:rFonts w:ascii="Arial" w:cs="Arial" w:eastAsia="Arial" w:hAnsi="Arial"/>
                <w:sz w:val="21"/>
                <w:szCs w:val="21"/>
                <w:color w:val="auto"/>
                <w:w w:val="94"/>
                <w:vertAlign w:val="superscript"/>
              </w:rPr>
              <w:t>(10)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80" w:type="dxa"/>
            <w:vAlign w:val="bottom"/>
          </w:tcPr>
          <w:p>
            <w:pPr>
              <w:spacing w:after="0"/>
              <w:rPr>
                <w:sz w:val="20"/>
                <w:szCs w:val="20"/>
                <w:color w:val="auto"/>
              </w:rPr>
            </w:pPr>
            <w:r>
              <w:rPr>
                <w:rFonts w:ascii="Arial" w:cs="Arial" w:eastAsia="Arial" w:hAnsi="Arial"/>
                <w:sz w:val="14"/>
                <w:szCs w:val="14"/>
                <w:b w:val="1"/>
                <w:bCs w:val="1"/>
                <w:color w:val="auto"/>
              </w:rPr>
              <w:t>16</w:t>
            </w:r>
          </w:p>
        </w:tc>
        <w:tc>
          <w:tcPr>
            <w:tcW w:w="2280" w:type="dxa"/>
            <w:vAlign w:val="bottom"/>
            <w:gridSpan w:val="2"/>
          </w:tcPr>
          <w:p>
            <w:pPr>
              <w:ind w:left="460"/>
              <w:spacing w:after="0"/>
              <w:rPr>
                <w:sz w:val="20"/>
                <w:szCs w:val="20"/>
                <w:color w:val="auto"/>
              </w:rPr>
            </w:pPr>
            <w:r>
              <w:rPr>
                <w:rFonts w:ascii="Arial" w:cs="Arial" w:eastAsia="Arial" w:hAnsi="Arial"/>
                <w:sz w:val="14"/>
                <w:szCs w:val="14"/>
                <w:i w:val="1"/>
                <w:iCs w:val="1"/>
                <w:color w:val="auto"/>
              </w:rPr>
              <w:t>GasLog Wales</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24"/>
                <w:szCs w:val="2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180,000</w:t>
            </w:r>
          </w:p>
        </w:tc>
        <w:tc>
          <w:tcPr>
            <w:tcW w:w="22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color w:val="auto"/>
                <w:w w:val="82"/>
              </w:rPr>
              <w:t xml:space="preserve">Jera </w:t>
            </w:r>
            <w:r>
              <w:rPr>
                <w:rFonts w:ascii="Arial" w:cs="Arial" w:eastAsia="Arial" w:hAnsi="Arial"/>
                <w:sz w:val="23"/>
                <w:szCs w:val="23"/>
                <w:color w:val="auto"/>
                <w:w w:val="82"/>
                <w:vertAlign w:val="superscript"/>
              </w:rPr>
              <w:t>(11)</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rPr>
              <w:t>X-DF</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March 2032</w:t>
            </w:r>
          </w:p>
        </w:tc>
        <w:tc>
          <w:tcPr>
            <w:tcW w:w="1120" w:type="dxa"/>
            <w:vAlign w:val="bottom"/>
          </w:tcPr>
          <w:p>
            <w:pPr>
              <w:jc w:val="center"/>
              <w:ind w:left="31"/>
              <w:spacing w:after="0"/>
              <w:rPr>
                <w:sz w:val="20"/>
                <w:szCs w:val="20"/>
                <w:color w:val="auto"/>
              </w:rPr>
            </w:pPr>
            <w:r>
              <w:rPr>
                <w:rFonts w:ascii="Arial" w:cs="Arial" w:eastAsia="Arial" w:hAnsi="Arial"/>
                <w:sz w:val="14"/>
                <w:szCs w:val="14"/>
                <w:color w:val="auto"/>
                <w:w w:val="87"/>
              </w:rPr>
              <w:t xml:space="preserve">2035-2038 </w:t>
            </w:r>
            <w:r>
              <w:rPr>
                <w:rFonts w:ascii="Arial" w:cs="Arial" w:eastAsia="Arial" w:hAnsi="Arial"/>
                <w:sz w:val="23"/>
                <w:szCs w:val="23"/>
                <w:color w:val="auto"/>
                <w:w w:val="87"/>
                <w:vertAlign w:val="superscript"/>
              </w:rPr>
              <w:t>(11)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November 16, 2021, the Partnership’s fleet consisted of the following vessels: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Charterer (for</w:t>
            </w: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42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Vessel Name</w:t>
            </w:r>
          </w:p>
        </w:tc>
        <w:tc>
          <w:tcPr>
            <w:tcW w:w="120" w:type="dxa"/>
            <w:vAlign w:val="bottom"/>
            <w:vMerge w:val="restart"/>
          </w:tcPr>
          <w:p>
            <w:pPr>
              <w:spacing w:after="0"/>
              <w:rPr>
                <w:sz w:val="12"/>
                <w:szCs w:val="12"/>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Year Built</w:t>
            </w:r>
          </w:p>
        </w:tc>
        <w:tc>
          <w:tcPr>
            <w:tcW w:w="240" w:type="dxa"/>
            <w:vAlign w:val="bottom"/>
            <w:vMerge w:val="restart"/>
          </w:tcPr>
          <w:p>
            <w:pPr>
              <w:spacing w:after="0"/>
              <w:rPr>
                <w:sz w:val="12"/>
                <w:szCs w:val="12"/>
                <w:color w:val="auto"/>
              </w:rPr>
            </w:pP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Cbm</w:t>
            </w:r>
          </w:p>
        </w:tc>
        <w:tc>
          <w:tcPr>
            <w:tcW w:w="220" w:type="dxa"/>
            <w:vAlign w:val="bottom"/>
            <w:vMerge w:val="restart"/>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contracts of more</w:t>
            </w:r>
          </w:p>
        </w:tc>
        <w:tc>
          <w:tcPr>
            <w:tcW w:w="12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Propulsion</w:t>
            </w:r>
          </w:p>
        </w:tc>
        <w:tc>
          <w:tcPr>
            <w:tcW w:w="200" w:type="dxa"/>
            <w:vAlign w:val="bottom"/>
            <w:vMerge w:val="restart"/>
          </w:tcPr>
          <w:p>
            <w:pPr>
              <w:spacing w:after="0"/>
              <w:rPr>
                <w:sz w:val="12"/>
                <w:szCs w:val="12"/>
                <w:color w:val="auto"/>
              </w:rPr>
            </w:pPr>
          </w:p>
        </w:tc>
        <w:tc>
          <w:tcPr>
            <w:tcW w:w="14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7"/>
              </w:rPr>
              <w:t>Charter Expiration</w:t>
            </w:r>
            <w:r>
              <w:rPr>
                <w:rFonts w:ascii="Arial" w:cs="Arial" w:eastAsia="Arial" w:hAnsi="Arial"/>
                <w:sz w:val="23"/>
                <w:szCs w:val="23"/>
                <w:b w:val="1"/>
                <w:bCs w:val="1"/>
                <w:color w:val="auto"/>
                <w:w w:val="97"/>
                <w:vertAlign w:val="superscript"/>
              </w:rPr>
              <w:t>(1)</w:t>
            </w:r>
          </w:p>
        </w:tc>
        <w:tc>
          <w:tcPr>
            <w:tcW w:w="200" w:type="dxa"/>
            <w:vAlign w:val="bottom"/>
            <w:vMerge w:val="restart"/>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Optional Period</w:t>
            </w:r>
            <w:r>
              <w:rPr>
                <w:rFonts w:ascii="Arial" w:cs="Arial" w:eastAsia="Arial" w:hAnsi="Arial"/>
                <w:sz w:val="23"/>
                <w:szCs w:val="23"/>
                <w:b w:val="1"/>
                <w:bCs w:val="1"/>
                <w:color w:val="auto"/>
                <w:w w:val="92"/>
                <w:vertAlign w:val="superscript"/>
              </w:rPr>
              <w:t>(2)</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than six months)</w:t>
            </w:r>
          </w:p>
        </w:tc>
        <w:tc>
          <w:tcPr>
            <w:tcW w:w="1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1</w:t>
            </w:r>
          </w:p>
        </w:tc>
        <w:tc>
          <w:tcPr>
            <w:tcW w:w="2540" w:type="dxa"/>
            <w:vAlign w:val="bottom"/>
            <w:gridSpan w:val="2"/>
            <w:shd w:val="clear" w:color="auto" w:fill="CCEEFF"/>
          </w:tcPr>
          <w:p>
            <w:pPr>
              <w:ind w:left="600"/>
              <w:spacing w:after="0"/>
              <w:rPr>
                <w:sz w:val="20"/>
                <w:szCs w:val="20"/>
                <w:color w:val="auto"/>
              </w:rPr>
            </w:pPr>
            <w:r>
              <w:rPr>
                <w:rFonts w:ascii="Arial" w:cs="Arial" w:eastAsia="Arial" w:hAnsi="Arial"/>
                <w:sz w:val="14"/>
                <w:szCs w:val="14"/>
                <w:i w:val="1"/>
                <w:iCs w:val="1"/>
                <w:color w:val="auto"/>
              </w:rPr>
              <w:t>Methane Rita Andrea</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2006</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145,000</w:t>
            </w: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5"/>
              </w:rPr>
              <w:t>Gunvor</w:t>
            </w:r>
          </w:p>
        </w:tc>
        <w:tc>
          <w:tcPr>
            <w:tcW w:w="14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Steam</w:t>
            </w: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March 2022</w:t>
            </w:r>
          </w:p>
        </w:tc>
        <w:tc>
          <w:tcPr>
            <w:tcW w:w="1460" w:type="dxa"/>
            <w:vAlign w:val="bottom"/>
            <w:shd w:val="clear" w:color="auto" w:fill="CCEEFF"/>
          </w:tcPr>
          <w:p>
            <w:pPr>
              <w:jc w:val="center"/>
              <w:ind w:left="31"/>
              <w:spacing w:after="0" w:line="183" w:lineRule="exact"/>
              <w:rPr>
                <w:sz w:val="20"/>
                <w:szCs w:val="20"/>
                <w:color w:val="auto"/>
              </w:rPr>
            </w:pPr>
            <w:r>
              <w:rPr>
                <w:rFonts w:ascii="Arial" w:cs="Arial" w:eastAsia="Arial" w:hAnsi="Arial"/>
                <w:sz w:val="13"/>
                <w:szCs w:val="13"/>
                <w:color w:val="auto"/>
                <w:w w:val="90"/>
              </w:rPr>
              <w:t xml:space="preserve">2022 </w:t>
            </w:r>
            <w:r>
              <w:rPr>
                <w:rFonts w:ascii="Arial" w:cs="Arial" w:eastAsia="Arial" w:hAnsi="Arial"/>
                <w:sz w:val="21"/>
                <w:szCs w:val="21"/>
                <w:color w:val="auto"/>
                <w:w w:val="90"/>
                <w:vertAlign w:val="superscript"/>
              </w:rPr>
              <w:t>(12)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20"/>
                <w:szCs w:val="20"/>
                <w:color w:val="auto"/>
              </w:rPr>
            </w:pPr>
            <w:r>
              <w:rPr>
                <w:rFonts w:ascii="Arial" w:cs="Arial" w:eastAsia="Arial" w:hAnsi="Arial"/>
                <w:sz w:val="14"/>
                <w:szCs w:val="14"/>
                <w:b w:val="1"/>
                <w:bCs w:val="1"/>
                <w:color w:val="auto"/>
              </w:rPr>
              <w:t>2</w:t>
            </w:r>
          </w:p>
        </w:tc>
        <w:tc>
          <w:tcPr>
            <w:tcW w:w="2540" w:type="dxa"/>
            <w:vAlign w:val="bottom"/>
            <w:gridSpan w:val="2"/>
          </w:tcPr>
          <w:p>
            <w:pPr>
              <w:ind w:left="600"/>
              <w:spacing w:after="0"/>
              <w:rPr>
                <w:sz w:val="20"/>
                <w:szCs w:val="20"/>
                <w:color w:val="auto"/>
              </w:rPr>
            </w:pPr>
            <w:r>
              <w:rPr>
                <w:rFonts w:ascii="Arial" w:cs="Arial" w:eastAsia="Arial" w:hAnsi="Arial"/>
                <w:sz w:val="14"/>
                <w:szCs w:val="14"/>
                <w:i w:val="1"/>
                <w:iCs w:val="1"/>
                <w:color w:val="auto"/>
              </w:rPr>
              <w:t>Solaris</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2014</w:t>
            </w:r>
          </w:p>
        </w:tc>
        <w:tc>
          <w:tcPr>
            <w:tcW w:w="2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155,000</w:t>
            </w:r>
          </w:p>
        </w:tc>
        <w:tc>
          <w:tcPr>
            <w:tcW w:w="22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Shell</w:t>
            </w:r>
          </w:p>
        </w:tc>
        <w:tc>
          <w:tcPr>
            <w:tcW w:w="1440" w:type="dxa"/>
            <w:vAlign w:val="bottom"/>
            <w:gridSpan w:val="2"/>
          </w:tcPr>
          <w:p>
            <w:pPr>
              <w:ind w:left="500"/>
              <w:spacing w:after="0"/>
              <w:rPr>
                <w:sz w:val="20"/>
                <w:szCs w:val="20"/>
                <w:color w:val="auto"/>
              </w:rPr>
            </w:pPr>
            <w:r>
              <w:rPr>
                <w:rFonts w:ascii="Arial" w:cs="Arial" w:eastAsia="Arial" w:hAnsi="Arial"/>
                <w:sz w:val="14"/>
                <w:szCs w:val="14"/>
                <w:color w:val="auto"/>
              </w:rPr>
              <w:t>TFDE</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March 2022</w:t>
            </w:r>
          </w:p>
        </w:tc>
        <w:tc>
          <w:tcPr>
            <w:tcW w:w="1460" w:type="dxa"/>
            <w:vAlign w:val="bottom"/>
          </w:tcPr>
          <w:p>
            <w:pPr>
              <w:jc w:val="center"/>
              <w:ind w:left="51"/>
              <w:spacing w:after="0" w:line="189" w:lineRule="exact"/>
              <w:rPr>
                <w:sz w:val="20"/>
                <w:szCs w:val="20"/>
                <w:color w:val="auto"/>
              </w:rPr>
            </w:pPr>
            <w:r>
              <w:rPr>
                <w:rFonts w:ascii="Arial" w:cs="Arial" w:eastAsia="Arial" w:hAnsi="Arial"/>
                <w:sz w:val="13"/>
                <w:szCs w:val="13"/>
                <w:color w:val="auto"/>
                <w:w w:val="92"/>
              </w:rPr>
              <w:t xml:space="preserve">2022 </w:t>
            </w:r>
            <w:r>
              <w:rPr>
                <w:rFonts w:ascii="Arial" w:cs="Arial" w:eastAsia="Arial" w:hAnsi="Arial"/>
                <w:sz w:val="21"/>
                <w:szCs w:val="21"/>
                <w:color w:val="auto"/>
                <w:w w:val="92"/>
                <w:vertAlign w:val="superscript"/>
              </w:rPr>
              <w:t>(7)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3</w:t>
            </w:r>
          </w:p>
        </w:tc>
        <w:tc>
          <w:tcPr>
            <w:tcW w:w="25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i w:val="1"/>
                <w:iCs w:val="1"/>
                <w:color w:val="auto"/>
              </w:rPr>
              <w:t>Methane Heather Sally</w:t>
            </w:r>
          </w:p>
        </w:tc>
        <w:tc>
          <w:tcPr>
            <w:tcW w:w="80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2007</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145,000</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Cheniere</w:t>
            </w:r>
          </w:p>
        </w:tc>
        <w:tc>
          <w:tcPr>
            <w:tcW w:w="14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Steam</w:t>
            </w:r>
          </w:p>
        </w:tc>
        <w:tc>
          <w:tcPr>
            <w:tcW w:w="16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June 2022</w:t>
            </w:r>
          </w:p>
        </w:tc>
        <w:tc>
          <w:tcPr>
            <w:tcW w:w="15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660" w:type="dxa"/>
            <w:vAlign w:val="bottom"/>
          </w:tcPr>
          <w:p>
            <w:pPr>
              <w:spacing w:after="0" w:line="149" w:lineRule="exact"/>
              <w:rPr>
                <w:sz w:val="20"/>
                <w:szCs w:val="20"/>
                <w:color w:val="auto"/>
              </w:rPr>
            </w:pPr>
            <w:r>
              <w:rPr>
                <w:rFonts w:ascii="Arial" w:cs="Arial" w:eastAsia="Arial" w:hAnsi="Arial"/>
                <w:sz w:val="14"/>
                <w:szCs w:val="14"/>
                <w:b w:val="1"/>
                <w:bCs w:val="1"/>
                <w:color w:val="auto"/>
              </w:rPr>
              <w:t>4</w:t>
            </w:r>
          </w:p>
        </w:tc>
        <w:tc>
          <w:tcPr>
            <w:tcW w:w="2540" w:type="dxa"/>
            <w:vAlign w:val="bottom"/>
            <w:gridSpan w:val="2"/>
          </w:tcPr>
          <w:p>
            <w:pPr>
              <w:ind w:left="600"/>
              <w:spacing w:after="0" w:line="149" w:lineRule="exact"/>
              <w:rPr>
                <w:sz w:val="20"/>
                <w:szCs w:val="20"/>
                <w:color w:val="auto"/>
              </w:rPr>
            </w:pPr>
            <w:r>
              <w:rPr>
                <w:rFonts w:ascii="Arial" w:cs="Arial" w:eastAsia="Arial" w:hAnsi="Arial"/>
                <w:sz w:val="14"/>
                <w:szCs w:val="14"/>
                <w:i w:val="1"/>
                <w:iCs w:val="1"/>
                <w:color w:val="auto"/>
              </w:rPr>
              <w:t>GasLog Sydney</w:t>
            </w:r>
          </w:p>
        </w:tc>
        <w:tc>
          <w:tcPr>
            <w:tcW w:w="8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2013</w:t>
            </w:r>
          </w:p>
        </w:tc>
        <w:tc>
          <w:tcPr>
            <w:tcW w:w="24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155,000</w:t>
            </w:r>
          </w:p>
        </w:tc>
        <w:tc>
          <w:tcPr>
            <w:tcW w:w="2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TotalEnergies</w:t>
            </w:r>
          </w:p>
        </w:tc>
        <w:tc>
          <w:tcPr>
            <w:tcW w:w="14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TFDE</w:t>
            </w:r>
          </w:p>
        </w:tc>
        <w:tc>
          <w:tcPr>
            <w:tcW w:w="16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June 2022</w:t>
            </w:r>
          </w:p>
        </w:tc>
        <w:tc>
          <w:tcPr>
            <w:tcW w:w="15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5</w:t>
            </w:r>
          </w:p>
        </w:tc>
        <w:tc>
          <w:tcPr>
            <w:tcW w:w="25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i w:val="1"/>
                <w:iCs w:val="1"/>
                <w:color w:val="auto"/>
              </w:rPr>
              <w:t>GasLog Seattle</w:t>
            </w:r>
          </w:p>
        </w:tc>
        <w:tc>
          <w:tcPr>
            <w:tcW w:w="80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2013</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155,000</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2"/>
              </w:rPr>
              <w:t>TotalEnergies</w:t>
            </w:r>
          </w:p>
        </w:tc>
        <w:tc>
          <w:tcPr>
            <w:tcW w:w="14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TFDE</w:t>
            </w:r>
          </w:p>
        </w:tc>
        <w:tc>
          <w:tcPr>
            <w:tcW w:w="16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June 2022</w:t>
            </w:r>
          </w:p>
        </w:tc>
        <w:tc>
          <w:tcPr>
            <w:tcW w:w="15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20"/>
                <w:szCs w:val="20"/>
                <w:color w:val="auto"/>
              </w:rPr>
            </w:pPr>
            <w:r>
              <w:rPr>
                <w:rFonts w:ascii="Arial" w:cs="Arial" w:eastAsia="Arial" w:hAnsi="Arial"/>
                <w:sz w:val="14"/>
                <w:szCs w:val="14"/>
                <w:b w:val="1"/>
                <w:bCs w:val="1"/>
                <w:color w:val="auto"/>
              </w:rPr>
              <w:t>6</w:t>
            </w:r>
          </w:p>
        </w:tc>
        <w:tc>
          <w:tcPr>
            <w:tcW w:w="2540" w:type="dxa"/>
            <w:vAlign w:val="bottom"/>
            <w:gridSpan w:val="2"/>
          </w:tcPr>
          <w:p>
            <w:pPr>
              <w:ind w:left="600"/>
              <w:spacing w:after="0"/>
              <w:rPr>
                <w:sz w:val="20"/>
                <w:szCs w:val="20"/>
                <w:color w:val="auto"/>
              </w:rPr>
            </w:pPr>
            <w:r>
              <w:rPr>
                <w:rFonts w:ascii="Arial" w:cs="Arial" w:eastAsia="Arial" w:hAnsi="Arial"/>
                <w:sz w:val="14"/>
                <w:szCs w:val="14"/>
                <w:i w:val="1"/>
                <w:iCs w:val="1"/>
                <w:color w:val="auto"/>
              </w:rPr>
              <w:t>Methane Shirley Elisabeth</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2007</w:t>
            </w:r>
          </w:p>
        </w:tc>
        <w:tc>
          <w:tcPr>
            <w:tcW w:w="2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145,000</w:t>
            </w:r>
          </w:p>
        </w:tc>
        <w:tc>
          <w:tcPr>
            <w:tcW w:w="220" w:type="dxa"/>
            <w:vAlign w:val="bottom"/>
          </w:tcPr>
          <w:p>
            <w:pPr>
              <w:spacing w:after="0"/>
              <w:rPr>
                <w:sz w:val="16"/>
                <w:szCs w:val="16"/>
                <w:color w:val="auto"/>
              </w:rPr>
            </w:pPr>
          </w:p>
        </w:tc>
        <w:tc>
          <w:tcPr>
            <w:tcW w:w="1340" w:type="dxa"/>
            <w:vAlign w:val="bottom"/>
            <w:gridSpan w:val="2"/>
          </w:tcPr>
          <w:p>
            <w:pPr>
              <w:jc w:val="center"/>
              <w:ind w:right="100"/>
              <w:spacing w:after="0" w:line="189" w:lineRule="exact"/>
              <w:rPr>
                <w:sz w:val="20"/>
                <w:szCs w:val="20"/>
                <w:color w:val="auto"/>
              </w:rPr>
            </w:pPr>
            <w:r>
              <w:rPr>
                <w:rFonts w:ascii="Arial" w:cs="Arial" w:eastAsia="Arial" w:hAnsi="Arial"/>
                <w:sz w:val="13"/>
                <w:szCs w:val="13"/>
                <w:color w:val="auto"/>
                <w:w w:val="93"/>
              </w:rPr>
              <w:t xml:space="preserve">JOVO </w:t>
            </w:r>
            <w:r>
              <w:rPr>
                <w:rFonts w:ascii="Arial" w:cs="Arial" w:eastAsia="Arial" w:hAnsi="Arial"/>
                <w:sz w:val="21"/>
                <w:szCs w:val="21"/>
                <w:color w:val="auto"/>
                <w:w w:val="93"/>
                <w:vertAlign w:val="superscript"/>
              </w:rPr>
              <w:t>(13)</w:t>
            </w:r>
          </w:p>
        </w:tc>
        <w:tc>
          <w:tcPr>
            <w:tcW w:w="1440" w:type="dxa"/>
            <w:vAlign w:val="bottom"/>
            <w:gridSpan w:val="2"/>
          </w:tcPr>
          <w:p>
            <w:pPr>
              <w:ind w:left="500"/>
              <w:spacing w:after="0"/>
              <w:rPr>
                <w:sz w:val="20"/>
                <w:szCs w:val="20"/>
                <w:color w:val="auto"/>
              </w:rPr>
            </w:pPr>
            <w:r>
              <w:rPr>
                <w:rFonts w:ascii="Arial" w:cs="Arial" w:eastAsia="Arial" w:hAnsi="Arial"/>
                <w:sz w:val="14"/>
                <w:szCs w:val="14"/>
                <w:color w:val="auto"/>
              </w:rPr>
              <w:t>Steam</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August 2022</w:t>
            </w:r>
          </w:p>
        </w:tc>
        <w:tc>
          <w:tcPr>
            <w:tcW w:w="15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7</w:t>
            </w:r>
          </w:p>
        </w:tc>
        <w:tc>
          <w:tcPr>
            <w:tcW w:w="2540" w:type="dxa"/>
            <w:vAlign w:val="bottom"/>
            <w:gridSpan w:val="2"/>
            <w:shd w:val="clear" w:color="auto" w:fill="CCEEFF"/>
          </w:tcPr>
          <w:p>
            <w:pPr>
              <w:ind w:left="600"/>
              <w:spacing w:after="0"/>
              <w:rPr>
                <w:sz w:val="20"/>
                <w:szCs w:val="20"/>
                <w:color w:val="auto"/>
              </w:rPr>
            </w:pPr>
            <w:r>
              <w:rPr>
                <w:rFonts w:ascii="Arial" w:cs="Arial" w:eastAsia="Arial" w:hAnsi="Arial"/>
                <w:sz w:val="14"/>
                <w:szCs w:val="14"/>
                <w:i w:val="1"/>
                <w:iCs w:val="1"/>
                <w:color w:val="auto"/>
              </w:rPr>
              <w:t>GasLog Santiago</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2013</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155,000</w:t>
            </w:r>
          </w:p>
        </w:tc>
        <w:tc>
          <w:tcPr>
            <w:tcW w:w="2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Trafigura</w:t>
            </w:r>
          </w:p>
        </w:tc>
        <w:tc>
          <w:tcPr>
            <w:tcW w:w="14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TFDE</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December 2022</w:t>
            </w:r>
          </w:p>
        </w:tc>
        <w:tc>
          <w:tcPr>
            <w:tcW w:w="1560" w:type="dxa"/>
            <w:vAlign w:val="bottom"/>
            <w:gridSpan w:val="2"/>
            <w:shd w:val="clear" w:color="auto" w:fill="CCEEFF"/>
          </w:tcPr>
          <w:p>
            <w:pPr>
              <w:jc w:val="center"/>
              <w:ind w:right="80"/>
              <w:spacing w:after="0" w:line="189" w:lineRule="exact"/>
              <w:rPr>
                <w:sz w:val="20"/>
                <w:szCs w:val="20"/>
                <w:color w:val="auto"/>
              </w:rPr>
            </w:pPr>
            <w:r>
              <w:rPr>
                <w:rFonts w:ascii="Arial" w:cs="Arial" w:eastAsia="Arial" w:hAnsi="Arial"/>
                <w:sz w:val="13"/>
                <w:szCs w:val="13"/>
                <w:color w:val="auto"/>
                <w:w w:val="94"/>
              </w:rPr>
              <w:t xml:space="preserve">2023–2028 </w:t>
            </w:r>
            <w:r>
              <w:rPr>
                <w:rFonts w:ascii="Arial" w:cs="Arial" w:eastAsia="Arial" w:hAnsi="Arial"/>
                <w:sz w:val="21"/>
                <w:szCs w:val="21"/>
                <w:color w:val="auto"/>
                <w:w w:val="94"/>
                <w:vertAlign w:val="superscript"/>
              </w:rPr>
              <w:t>(14)</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20"/>
                <w:szCs w:val="20"/>
                <w:color w:val="auto"/>
              </w:rPr>
            </w:pPr>
            <w:r>
              <w:rPr>
                <w:rFonts w:ascii="Arial" w:cs="Arial" w:eastAsia="Arial" w:hAnsi="Arial"/>
                <w:sz w:val="14"/>
                <w:szCs w:val="14"/>
                <w:b w:val="1"/>
                <w:bCs w:val="1"/>
                <w:color w:val="auto"/>
              </w:rPr>
              <w:t>8</w:t>
            </w:r>
          </w:p>
        </w:tc>
        <w:tc>
          <w:tcPr>
            <w:tcW w:w="2540" w:type="dxa"/>
            <w:vAlign w:val="bottom"/>
            <w:gridSpan w:val="2"/>
          </w:tcPr>
          <w:p>
            <w:pPr>
              <w:ind w:left="600"/>
              <w:spacing w:after="0"/>
              <w:rPr>
                <w:sz w:val="20"/>
                <w:szCs w:val="20"/>
                <w:color w:val="auto"/>
              </w:rPr>
            </w:pPr>
            <w:r>
              <w:rPr>
                <w:rFonts w:ascii="Arial" w:cs="Arial" w:eastAsia="Arial" w:hAnsi="Arial"/>
                <w:sz w:val="14"/>
                <w:szCs w:val="14"/>
                <w:i w:val="1"/>
                <w:iCs w:val="1"/>
                <w:color w:val="auto"/>
              </w:rPr>
              <w:t>Methane Jane Elizabeth</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2006</w:t>
            </w:r>
          </w:p>
        </w:tc>
        <w:tc>
          <w:tcPr>
            <w:tcW w:w="2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145,000</w:t>
            </w:r>
          </w:p>
        </w:tc>
        <w:tc>
          <w:tcPr>
            <w:tcW w:w="22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Cheniere</w:t>
            </w:r>
          </w:p>
        </w:tc>
        <w:tc>
          <w:tcPr>
            <w:tcW w:w="1440" w:type="dxa"/>
            <w:vAlign w:val="bottom"/>
            <w:gridSpan w:val="2"/>
          </w:tcPr>
          <w:p>
            <w:pPr>
              <w:ind w:left="500"/>
              <w:spacing w:after="0"/>
              <w:rPr>
                <w:sz w:val="20"/>
                <w:szCs w:val="20"/>
                <w:color w:val="auto"/>
              </w:rPr>
            </w:pPr>
            <w:r>
              <w:rPr>
                <w:rFonts w:ascii="Arial" w:cs="Arial" w:eastAsia="Arial" w:hAnsi="Arial"/>
                <w:sz w:val="14"/>
                <w:szCs w:val="14"/>
                <w:color w:val="auto"/>
              </w:rPr>
              <w:t>Steam</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March 2023</w:t>
            </w:r>
          </w:p>
        </w:tc>
        <w:tc>
          <w:tcPr>
            <w:tcW w:w="1460" w:type="dxa"/>
            <w:vAlign w:val="bottom"/>
          </w:tcPr>
          <w:p>
            <w:pPr>
              <w:jc w:val="center"/>
              <w:ind w:left="31"/>
              <w:spacing w:after="0" w:line="189" w:lineRule="exact"/>
              <w:rPr>
                <w:sz w:val="20"/>
                <w:szCs w:val="20"/>
                <w:color w:val="auto"/>
              </w:rPr>
            </w:pPr>
            <w:r>
              <w:rPr>
                <w:rFonts w:ascii="Arial" w:cs="Arial" w:eastAsia="Arial" w:hAnsi="Arial"/>
                <w:sz w:val="13"/>
                <w:szCs w:val="13"/>
                <w:color w:val="auto"/>
                <w:w w:val="96"/>
              </w:rPr>
              <w:t xml:space="preserve">2024-2025 </w:t>
            </w:r>
            <w:r>
              <w:rPr>
                <w:rFonts w:ascii="Arial" w:cs="Arial" w:eastAsia="Arial" w:hAnsi="Arial"/>
                <w:sz w:val="21"/>
                <w:szCs w:val="21"/>
                <w:color w:val="auto"/>
                <w:w w:val="96"/>
                <w:vertAlign w:val="superscript"/>
              </w:rPr>
              <w:t>(9)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9</w:t>
            </w:r>
          </w:p>
        </w:tc>
        <w:tc>
          <w:tcPr>
            <w:tcW w:w="2540" w:type="dxa"/>
            <w:vAlign w:val="bottom"/>
            <w:gridSpan w:val="2"/>
            <w:shd w:val="clear" w:color="auto" w:fill="CCEEFF"/>
          </w:tcPr>
          <w:p>
            <w:pPr>
              <w:ind w:left="600"/>
              <w:spacing w:after="0"/>
              <w:rPr>
                <w:sz w:val="20"/>
                <w:szCs w:val="20"/>
                <w:color w:val="auto"/>
              </w:rPr>
            </w:pPr>
            <w:r>
              <w:rPr>
                <w:rFonts w:ascii="Arial" w:cs="Arial" w:eastAsia="Arial" w:hAnsi="Arial"/>
                <w:sz w:val="14"/>
                <w:szCs w:val="14"/>
                <w:i w:val="1"/>
                <w:iCs w:val="1"/>
                <w:color w:val="auto"/>
              </w:rPr>
              <w:t>GasLog Geneva</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2016</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174,000</w:t>
            </w:r>
          </w:p>
        </w:tc>
        <w:tc>
          <w:tcPr>
            <w:tcW w:w="2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9"/>
              </w:rPr>
              <w:t>Shell</w:t>
            </w:r>
          </w:p>
        </w:tc>
        <w:tc>
          <w:tcPr>
            <w:tcW w:w="14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TFDE</w:t>
            </w: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0"/>
              </w:rPr>
              <w:t>September 2023</w:t>
            </w:r>
          </w:p>
        </w:tc>
        <w:tc>
          <w:tcPr>
            <w:tcW w:w="1460" w:type="dxa"/>
            <w:vAlign w:val="bottom"/>
            <w:shd w:val="clear" w:color="auto" w:fill="CCEEFF"/>
          </w:tcPr>
          <w:p>
            <w:pPr>
              <w:jc w:val="center"/>
              <w:ind w:left="31"/>
              <w:spacing w:after="0" w:line="189" w:lineRule="exact"/>
              <w:rPr>
                <w:sz w:val="20"/>
                <w:szCs w:val="20"/>
                <w:color w:val="auto"/>
              </w:rPr>
            </w:pPr>
            <w:r>
              <w:rPr>
                <w:rFonts w:ascii="Arial" w:cs="Arial" w:eastAsia="Arial" w:hAnsi="Arial"/>
                <w:sz w:val="13"/>
                <w:szCs w:val="13"/>
                <w:color w:val="auto"/>
                <w:w w:val="96"/>
              </w:rPr>
              <w:t xml:space="preserve">2028-2031 </w:t>
            </w:r>
            <w:r>
              <w:rPr>
                <w:rFonts w:ascii="Arial" w:cs="Arial" w:eastAsia="Arial" w:hAnsi="Arial"/>
                <w:sz w:val="21"/>
                <w:szCs w:val="21"/>
                <w:color w:val="auto"/>
                <w:w w:val="96"/>
                <w:vertAlign w:val="superscript"/>
              </w:rPr>
              <w:t>(7)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20"/>
                <w:szCs w:val="20"/>
                <w:color w:val="auto"/>
              </w:rPr>
            </w:pPr>
            <w:r>
              <w:rPr>
                <w:rFonts w:ascii="Arial" w:cs="Arial" w:eastAsia="Arial" w:hAnsi="Arial"/>
                <w:sz w:val="14"/>
                <w:szCs w:val="14"/>
                <w:b w:val="1"/>
                <w:bCs w:val="1"/>
                <w:color w:val="auto"/>
              </w:rPr>
              <w:t>10</w:t>
            </w:r>
          </w:p>
        </w:tc>
        <w:tc>
          <w:tcPr>
            <w:tcW w:w="2540" w:type="dxa"/>
            <w:vAlign w:val="bottom"/>
            <w:gridSpan w:val="2"/>
          </w:tcPr>
          <w:p>
            <w:pPr>
              <w:ind w:left="600"/>
              <w:spacing w:after="0"/>
              <w:rPr>
                <w:sz w:val="20"/>
                <w:szCs w:val="20"/>
                <w:color w:val="auto"/>
              </w:rPr>
            </w:pPr>
            <w:r>
              <w:rPr>
                <w:rFonts w:ascii="Arial" w:cs="Arial" w:eastAsia="Arial" w:hAnsi="Arial"/>
                <w:sz w:val="14"/>
                <w:szCs w:val="14"/>
                <w:i w:val="1"/>
                <w:iCs w:val="1"/>
                <w:color w:val="auto"/>
              </w:rPr>
              <w:t>Methane Alison Victoria</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2007</w:t>
            </w:r>
          </w:p>
        </w:tc>
        <w:tc>
          <w:tcPr>
            <w:tcW w:w="2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145,000</w:t>
            </w:r>
          </w:p>
        </w:tc>
        <w:tc>
          <w:tcPr>
            <w:tcW w:w="220" w:type="dxa"/>
            <w:vAlign w:val="bottom"/>
          </w:tcPr>
          <w:p>
            <w:pPr>
              <w:spacing w:after="0"/>
              <w:rPr>
                <w:sz w:val="16"/>
                <w:szCs w:val="16"/>
                <w:color w:val="auto"/>
              </w:rPr>
            </w:pPr>
          </w:p>
        </w:tc>
        <w:tc>
          <w:tcPr>
            <w:tcW w:w="1340" w:type="dxa"/>
            <w:vAlign w:val="bottom"/>
            <w:gridSpan w:val="2"/>
          </w:tcPr>
          <w:p>
            <w:pPr>
              <w:jc w:val="center"/>
              <w:ind w:right="100"/>
              <w:spacing w:after="0" w:line="189" w:lineRule="exact"/>
              <w:rPr>
                <w:sz w:val="20"/>
                <w:szCs w:val="20"/>
                <w:color w:val="auto"/>
              </w:rPr>
            </w:pPr>
            <w:r>
              <w:rPr>
                <w:rFonts w:ascii="Arial" w:cs="Arial" w:eastAsia="Arial" w:hAnsi="Arial"/>
                <w:sz w:val="13"/>
                <w:szCs w:val="13"/>
                <w:color w:val="auto"/>
                <w:w w:val="98"/>
              </w:rPr>
              <w:t xml:space="preserve">CNTIC VPower </w:t>
            </w:r>
            <w:r>
              <w:rPr>
                <w:rFonts w:ascii="Arial" w:cs="Arial" w:eastAsia="Arial" w:hAnsi="Arial"/>
                <w:sz w:val="21"/>
                <w:szCs w:val="21"/>
                <w:color w:val="auto"/>
                <w:w w:val="98"/>
                <w:vertAlign w:val="superscript"/>
              </w:rPr>
              <w:t>(15)</w:t>
            </w:r>
          </w:p>
        </w:tc>
        <w:tc>
          <w:tcPr>
            <w:tcW w:w="1440" w:type="dxa"/>
            <w:vAlign w:val="bottom"/>
            <w:gridSpan w:val="2"/>
          </w:tcPr>
          <w:p>
            <w:pPr>
              <w:ind w:left="500"/>
              <w:spacing w:after="0"/>
              <w:rPr>
                <w:sz w:val="20"/>
                <w:szCs w:val="20"/>
                <w:color w:val="auto"/>
              </w:rPr>
            </w:pPr>
            <w:r>
              <w:rPr>
                <w:rFonts w:ascii="Arial" w:cs="Arial" w:eastAsia="Arial" w:hAnsi="Arial"/>
                <w:sz w:val="14"/>
                <w:szCs w:val="14"/>
                <w:color w:val="auto"/>
              </w:rPr>
              <w:t>Steam</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October 2023</w:t>
            </w:r>
          </w:p>
        </w:tc>
        <w:tc>
          <w:tcPr>
            <w:tcW w:w="1460" w:type="dxa"/>
            <w:vAlign w:val="bottom"/>
          </w:tcPr>
          <w:p>
            <w:pPr>
              <w:jc w:val="center"/>
              <w:ind w:left="51"/>
              <w:spacing w:after="0" w:line="189" w:lineRule="exact"/>
              <w:rPr>
                <w:sz w:val="20"/>
                <w:szCs w:val="20"/>
                <w:color w:val="auto"/>
              </w:rPr>
            </w:pPr>
            <w:r>
              <w:rPr>
                <w:rFonts w:ascii="Arial" w:cs="Arial" w:eastAsia="Arial" w:hAnsi="Arial"/>
                <w:sz w:val="13"/>
                <w:szCs w:val="13"/>
                <w:color w:val="auto"/>
                <w:w w:val="94"/>
              </w:rPr>
              <w:t xml:space="preserve">2024-2025 </w:t>
            </w:r>
            <w:r>
              <w:rPr>
                <w:rFonts w:ascii="Arial" w:cs="Arial" w:eastAsia="Arial" w:hAnsi="Arial"/>
                <w:sz w:val="21"/>
                <w:szCs w:val="21"/>
                <w:color w:val="auto"/>
                <w:w w:val="94"/>
                <w:vertAlign w:val="superscript"/>
              </w:rPr>
              <w:t>(15)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11</w:t>
            </w:r>
          </w:p>
        </w:tc>
        <w:tc>
          <w:tcPr>
            <w:tcW w:w="2540" w:type="dxa"/>
            <w:vAlign w:val="bottom"/>
            <w:gridSpan w:val="2"/>
            <w:shd w:val="clear" w:color="auto" w:fill="CCEEFF"/>
          </w:tcPr>
          <w:p>
            <w:pPr>
              <w:ind w:left="600"/>
              <w:spacing w:after="0"/>
              <w:rPr>
                <w:sz w:val="20"/>
                <w:szCs w:val="20"/>
                <w:color w:val="auto"/>
              </w:rPr>
            </w:pPr>
            <w:r>
              <w:rPr>
                <w:rFonts w:ascii="Arial" w:cs="Arial" w:eastAsia="Arial" w:hAnsi="Arial"/>
                <w:sz w:val="14"/>
                <w:szCs w:val="14"/>
                <w:i w:val="1"/>
                <w:iCs w:val="1"/>
                <w:color w:val="auto"/>
              </w:rPr>
              <w:t>GasLog Gibraltar</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2016</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174,000</w:t>
            </w:r>
          </w:p>
        </w:tc>
        <w:tc>
          <w:tcPr>
            <w:tcW w:w="2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9"/>
              </w:rPr>
              <w:t>Shell</w:t>
            </w:r>
          </w:p>
        </w:tc>
        <w:tc>
          <w:tcPr>
            <w:tcW w:w="14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TFDE</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October 2023</w:t>
            </w:r>
          </w:p>
        </w:tc>
        <w:tc>
          <w:tcPr>
            <w:tcW w:w="1460" w:type="dxa"/>
            <w:vAlign w:val="bottom"/>
            <w:shd w:val="clear" w:color="auto" w:fill="CCEEFF"/>
          </w:tcPr>
          <w:p>
            <w:pPr>
              <w:jc w:val="center"/>
              <w:ind w:left="31"/>
              <w:spacing w:after="0" w:line="189" w:lineRule="exact"/>
              <w:rPr>
                <w:sz w:val="20"/>
                <w:szCs w:val="20"/>
                <w:color w:val="auto"/>
              </w:rPr>
            </w:pPr>
            <w:r>
              <w:rPr>
                <w:rFonts w:ascii="Arial" w:cs="Arial" w:eastAsia="Arial" w:hAnsi="Arial"/>
                <w:sz w:val="13"/>
                <w:szCs w:val="13"/>
                <w:color w:val="auto"/>
                <w:w w:val="96"/>
              </w:rPr>
              <w:t xml:space="preserve">2028-2031 </w:t>
            </w:r>
            <w:r>
              <w:rPr>
                <w:rFonts w:ascii="Arial" w:cs="Arial" w:eastAsia="Arial" w:hAnsi="Arial"/>
                <w:sz w:val="21"/>
                <w:szCs w:val="21"/>
                <w:color w:val="auto"/>
                <w:w w:val="96"/>
                <w:vertAlign w:val="superscript"/>
              </w:rPr>
              <w:t>(7)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20"/>
                <w:szCs w:val="20"/>
                <w:color w:val="auto"/>
              </w:rPr>
            </w:pPr>
            <w:r>
              <w:rPr>
                <w:rFonts w:ascii="Arial" w:cs="Arial" w:eastAsia="Arial" w:hAnsi="Arial"/>
                <w:sz w:val="14"/>
                <w:szCs w:val="14"/>
                <w:b w:val="1"/>
                <w:bCs w:val="1"/>
                <w:color w:val="auto"/>
              </w:rPr>
              <w:t>12</w:t>
            </w:r>
          </w:p>
        </w:tc>
        <w:tc>
          <w:tcPr>
            <w:tcW w:w="2540" w:type="dxa"/>
            <w:vAlign w:val="bottom"/>
            <w:gridSpan w:val="2"/>
          </w:tcPr>
          <w:p>
            <w:pPr>
              <w:ind w:left="600"/>
              <w:spacing w:after="0"/>
              <w:rPr>
                <w:sz w:val="20"/>
                <w:szCs w:val="20"/>
                <w:color w:val="auto"/>
              </w:rPr>
            </w:pPr>
            <w:r>
              <w:rPr>
                <w:rFonts w:ascii="Arial" w:cs="Arial" w:eastAsia="Arial" w:hAnsi="Arial"/>
                <w:sz w:val="14"/>
                <w:szCs w:val="14"/>
                <w:i w:val="1"/>
                <w:iCs w:val="1"/>
                <w:color w:val="auto"/>
              </w:rPr>
              <w:t>Methane Becki Anne</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2010</w:t>
            </w:r>
          </w:p>
        </w:tc>
        <w:tc>
          <w:tcPr>
            <w:tcW w:w="2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170,000</w:t>
            </w:r>
          </w:p>
        </w:tc>
        <w:tc>
          <w:tcPr>
            <w:tcW w:w="22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Shell</w:t>
            </w:r>
          </w:p>
        </w:tc>
        <w:tc>
          <w:tcPr>
            <w:tcW w:w="1440" w:type="dxa"/>
            <w:vAlign w:val="bottom"/>
            <w:gridSpan w:val="2"/>
          </w:tcPr>
          <w:p>
            <w:pPr>
              <w:ind w:left="500"/>
              <w:spacing w:after="0"/>
              <w:rPr>
                <w:sz w:val="20"/>
                <w:szCs w:val="20"/>
                <w:color w:val="auto"/>
              </w:rPr>
            </w:pPr>
            <w:r>
              <w:rPr>
                <w:rFonts w:ascii="Arial" w:cs="Arial" w:eastAsia="Arial" w:hAnsi="Arial"/>
                <w:sz w:val="14"/>
                <w:szCs w:val="14"/>
                <w:color w:val="auto"/>
              </w:rPr>
              <w:t>TFDE</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March 2024</w:t>
            </w:r>
          </w:p>
        </w:tc>
        <w:tc>
          <w:tcPr>
            <w:tcW w:w="1460" w:type="dxa"/>
            <w:vAlign w:val="bottom"/>
          </w:tcPr>
          <w:p>
            <w:pPr>
              <w:jc w:val="center"/>
              <w:ind w:left="31"/>
              <w:spacing w:after="0" w:line="189" w:lineRule="exact"/>
              <w:rPr>
                <w:sz w:val="20"/>
                <w:szCs w:val="20"/>
                <w:color w:val="auto"/>
              </w:rPr>
            </w:pPr>
            <w:r>
              <w:rPr>
                <w:rFonts w:ascii="Arial" w:cs="Arial" w:eastAsia="Arial" w:hAnsi="Arial"/>
                <w:sz w:val="13"/>
                <w:szCs w:val="13"/>
                <w:color w:val="auto"/>
                <w:w w:val="96"/>
              </w:rPr>
              <w:t xml:space="preserve">2027-2029 </w:t>
            </w:r>
            <w:r>
              <w:rPr>
                <w:rFonts w:ascii="Arial" w:cs="Arial" w:eastAsia="Arial" w:hAnsi="Arial"/>
                <w:sz w:val="21"/>
                <w:szCs w:val="21"/>
                <w:color w:val="auto"/>
                <w:w w:val="96"/>
                <w:vertAlign w:val="superscript"/>
              </w:rPr>
              <w:t>(7)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13</w:t>
            </w:r>
          </w:p>
        </w:tc>
        <w:tc>
          <w:tcPr>
            <w:tcW w:w="2540" w:type="dxa"/>
            <w:vAlign w:val="bottom"/>
            <w:gridSpan w:val="2"/>
            <w:shd w:val="clear" w:color="auto" w:fill="CCEEFF"/>
          </w:tcPr>
          <w:p>
            <w:pPr>
              <w:ind w:left="600"/>
              <w:spacing w:after="0"/>
              <w:rPr>
                <w:sz w:val="20"/>
                <w:szCs w:val="20"/>
                <w:color w:val="auto"/>
              </w:rPr>
            </w:pPr>
            <w:r>
              <w:rPr>
                <w:rFonts w:ascii="Arial" w:cs="Arial" w:eastAsia="Arial" w:hAnsi="Arial"/>
                <w:sz w:val="14"/>
                <w:szCs w:val="14"/>
                <w:i w:val="1"/>
                <w:iCs w:val="1"/>
                <w:color w:val="auto"/>
              </w:rPr>
              <w:t>GasLog Greece</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2016</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174,000</w:t>
            </w:r>
          </w:p>
        </w:tc>
        <w:tc>
          <w:tcPr>
            <w:tcW w:w="2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9"/>
              </w:rPr>
              <w:t>Shell</w:t>
            </w:r>
          </w:p>
        </w:tc>
        <w:tc>
          <w:tcPr>
            <w:tcW w:w="14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TFDE</w:t>
            </w: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March 2026</w:t>
            </w:r>
          </w:p>
        </w:tc>
        <w:tc>
          <w:tcPr>
            <w:tcW w:w="1460" w:type="dxa"/>
            <w:vAlign w:val="bottom"/>
            <w:shd w:val="clear" w:color="auto" w:fill="CCEEFF"/>
          </w:tcPr>
          <w:p>
            <w:pPr>
              <w:jc w:val="center"/>
              <w:ind w:left="51"/>
              <w:spacing w:after="0" w:line="189" w:lineRule="exact"/>
              <w:rPr>
                <w:sz w:val="20"/>
                <w:szCs w:val="20"/>
                <w:color w:val="auto"/>
              </w:rPr>
            </w:pPr>
            <w:r>
              <w:rPr>
                <w:rFonts w:ascii="Arial" w:cs="Arial" w:eastAsia="Arial" w:hAnsi="Arial"/>
                <w:sz w:val="13"/>
                <w:szCs w:val="13"/>
                <w:color w:val="auto"/>
                <w:w w:val="92"/>
              </w:rPr>
              <w:t xml:space="preserve">2031 </w:t>
            </w:r>
            <w:r>
              <w:rPr>
                <w:rFonts w:ascii="Arial" w:cs="Arial" w:eastAsia="Arial" w:hAnsi="Arial"/>
                <w:sz w:val="21"/>
                <w:szCs w:val="21"/>
                <w:color w:val="auto"/>
                <w:w w:val="92"/>
                <w:vertAlign w:val="superscript"/>
              </w:rPr>
              <w:t>(7)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60" w:type="dxa"/>
            <w:vAlign w:val="bottom"/>
          </w:tcPr>
          <w:p>
            <w:pPr>
              <w:spacing w:after="0"/>
              <w:rPr>
                <w:sz w:val="20"/>
                <w:szCs w:val="20"/>
                <w:color w:val="auto"/>
              </w:rPr>
            </w:pPr>
            <w:r>
              <w:rPr>
                <w:rFonts w:ascii="Arial" w:cs="Arial" w:eastAsia="Arial" w:hAnsi="Arial"/>
                <w:sz w:val="14"/>
                <w:szCs w:val="14"/>
                <w:b w:val="1"/>
                <w:bCs w:val="1"/>
                <w:color w:val="auto"/>
              </w:rPr>
              <w:t>14</w:t>
            </w:r>
          </w:p>
        </w:tc>
        <w:tc>
          <w:tcPr>
            <w:tcW w:w="2540" w:type="dxa"/>
            <w:vAlign w:val="bottom"/>
            <w:gridSpan w:val="2"/>
          </w:tcPr>
          <w:p>
            <w:pPr>
              <w:ind w:left="600"/>
              <w:spacing w:after="0"/>
              <w:rPr>
                <w:sz w:val="20"/>
                <w:szCs w:val="20"/>
                <w:color w:val="auto"/>
              </w:rPr>
            </w:pPr>
            <w:r>
              <w:rPr>
                <w:rFonts w:ascii="Arial" w:cs="Arial" w:eastAsia="Arial" w:hAnsi="Arial"/>
                <w:sz w:val="14"/>
                <w:szCs w:val="14"/>
                <w:i w:val="1"/>
                <w:iCs w:val="1"/>
                <w:color w:val="auto"/>
              </w:rPr>
              <w:t>GasLog Glasgow</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2016</w:t>
            </w: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174,000</w:t>
            </w:r>
          </w:p>
        </w:tc>
        <w:tc>
          <w:tcPr>
            <w:tcW w:w="220" w:type="dxa"/>
            <w:vAlign w:val="bottom"/>
          </w:tcPr>
          <w:p>
            <w:pPr>
              <w:spacing w:after="0"/>
              <w:rPr>
                <w:sz w:val="24"/>
                <w:szCs w:val="2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Shell</w:t>
            </w:r>
          </w:p>
        </w:tc>
        <w:tc>
          <w:tcPr>
            <w:tcW w:w="1440" w:type="dxa"/>
            <w:vAlign w:val="bottom"/>
            <w:gridSpan w:val="2"/>
          </w:tcPr>
          <w:p>
            <w:pPr>
              <w:ind w:left="500"/>
              <w:spacing w:after="0"/>
              <w:rPr>
                <w:sz w:val="20"/>
                <w:szCs w:val="20"/>
                <w:color w:val="auto"/>
              </w:rPr>
            </w:pPr>
            <w:r>
              <w:rPr>
                <w:rFonts w:ascii="Arial" w:cs="Arial" w:eastAsia="Arial" w:hAnsi="Arial"/>
                <w:sz w:val="14"/>
                <w:szCs w:val="14"/>
                <w:color w:val="auto"/>
              </w:rPr>
              <w:t>TFDE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June 2026</w:t>
            </w:r>
          </w:p>
        </w:tc>
        <w:tc>
          <w:tcPr>
            <w:tcW w:w="1460" w:type="dxa"/>
            <w:vAlign w:val="bottom"/>
          </w:tcPr>
          <w:p>
            <w:pPr>
              <w:jc w:val="center"/>
              <w:ind w:left="51"/>
              <w:spacing w:after="0"/>
              <w:rPr>
                <w:sz w:val="20"/>
                <w:szCs w:val="20"/>
                <w:color w:val="auto"/>
              </w:rPr>
            </w:pPr>
            <w:r>
              <w:rPr>
                <w:rFonts w:ascii="Arial" w:cs="Arial" w:eastAsia="Arial" w:hAnsi="Arial"/>
                <w:sz w:val="14"/>
                <w:szCs w:val="14"/>
                <w:color w:val="auto"/>
                <w:w w:val="85"/>
              </w:rPr>
              <w:t xml:space="preserve">2031 </w:t>
            </w:r>
            <w:r>
              <w:rPr>
                <w:rFonts w:ascii="Arial" w:cs="Arial" w:eastAsia="Arial" w:hAnsi="Arial"/>
                <w:sz w:val="23"/>
                <w:szCs w:val="23"/>
                <w:color w:val="auto"/>
                <w:w w:val="85"/>
                <w:vertAlign w:val="superscript"/>
              </w:rPr>
              <w:t>(7)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1"/>
        </w:trPr>
        <w:tc>
          <w:tcPr>
            <w:tcW w:w="6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3"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i w:val="1"/>
          <w:iCs w:val="1"/>
          <w:color w:val="auto"/>
        </w:rPr>
        <w:t>Bareboat Vessels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7"/>
              </w:rPr>
              <w:t>Charterer (for</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Charter</w:t>
            </w:r>
          </w:p>
        </w:tc>
        <w:tc>
          <w:tcPr>
            <w:tcW w:w="200" w:type="dxa"/>
            <w:vAlign w:val="bottom"/>
          </w:tcPr>
          <w:p>
            <w:pPr>
              <w:spacing w:after="0"/>
              <w:rPr>
                <w:sz w:val="14"/>
                <w:szCs w:val="14"/>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Optional</w:t>
            </w: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contracts of more</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Vessel Name</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Year Built</w:t>
            </w:r>
          </w:p>
        </w:tc>
        <w:tc>
          <w:tcPr>
            <w:tcW w:w="240" w:type="dxa"/>
            <w:vAlign w:val="bottom"/>
          </w:tcPr>
          <w:p>
            <w:pPr>
              <w:spacing w:after="0"/>
              <w:rPr>
                <w:sz w:val="17"/>
                <w:szCs w:val="17"/>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Cbm</w:t>
            </w:r>
          </w:p>
        </w:tc>
        <w:tc>
          <w:tcPr>
            <w:tcW w:w="220" w:type="dxa"/>
            <w:vAlign w:val="bottom"/>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than six months)</w:t>
            </w:r>
          </w:p>
        </w:tc>
        <w:tc>
          <w:tcPr>
            <w:tcW w:w="120" w:type="dxa"/>
            <w:vAlign w:val="bottom"/>
          </w:tcPr>
          <w:p>
            <w:pPr>
              <w:spacing w:after="0"/>
              <w:rPr>
                <w:sz w:val="17"/>
                <w:szCs w:val="17"/>
                <w:color w:val="auto"/>
              </w:rPr>
            </w:pP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Propulsion</w:t>
            </w:r>
          </w:p>
        </w:tc>
        <w:tc>
          <w:tcPr>
            <w:tcW w:w="13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rPr>
              <w:t>Expiration</w:t>
            </w:r>
            <w:r>
              <w:rPr>
                <w:rFonts w:ascii="Arial" w:cs="Arial" w:eastAsia="Arial" w:hAnsi="Arial"/>
                <w:sz w:val="20"/>
                <w:szCs w:val="20"/>
                <w:b w:val="1"/>
                <w:bCs w:val="1"/>
                <w:color w:val="auto"/>
                <w:vertAlign w:val="superscript"/>
              </w:rPr>
              <w:t>(1)</w:t>
            </w:r>
          </w:p>
        </w:tc>
        <w:tc>
          <w:tcPr>
            <w:tcW w:w="200" w:type="dxa"/>
            <w:vAlign w:val="bottom"/>
          </w:tcPr>
          <w:p>
            <w:pPr>
              <w:spacing w:after="0"/>
              <w:rPr>
                <w:sz w:val="17"/>
                <w:szCs w:val="17"/>
                <w:color w:val="auto"/>
              </w:rPr>
            </w:pPr>
          </w:p>
        </w:tc>
        <w:tc>
          <w:tcPr>
            <w:tcW w:w="14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5"/>
              </w:rPr>
              <w:t>Period</w:t>
            </w:r>
            <w:r>
              <w:rPr>
                <w:rFonts w:ascii="Arial" w:cs="Arial" w:eastAsia="Arial" w:hAnsi="Arial"/>
                <w:sz w:val="20"/>
                <w:szCs w:val="20"/>
                <w:b w:val="1"/>
                <w:bCs w:val="1"/>
                <w:color w:val="auto"/>
                <w:w w:val="95"/>
                <w:vertAlign w:val="superscript"/>
              </w:rPr>
              <w:t>(2)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60" w:type="dxa"/>
            <w:vAlign w:val="bottom"/>
            <w:tcBorders>
              <w:top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w w:val="76"/>
              </w:rPr>
              <w:t>1</w:t>
            </w:r>
          </w:p>
        </w:tc>
        <w:tc>
          <w:tcPr>
            <w:tcW w:w="2400" w:type="dxa"/>
            <w:vAlign w:val="bottom"/>
            <w:tcBorders>
              <w:top w:val="single" w:sz="8" w:color="CCEEFF"/>
            </w:tcBorders>
            <w:shd w:val="clear" w:color="auto" w:fill="CCEEFF"/>
          </w:tcPr>
          <w:p>
            <w:pPr>
              <w:ind w:left="480"/>
              <w:spacing w:after="0" w:line="163" w:lineRule="exact"/>
              <w:rPr>
                <w:sz w:val="20"/>
                <w:szCs w:val="20"/>
                <w:color w:val="auto"/>
              </w:rPr>
            </w:pPr>
            <w:r>
              <w:rPr>
                <w:rFonts w:ascii="Arial" w:cs="Arial" w:eastAsia="Arial" w:hAnsi="Arial"/>
                <w:sz w:val="12"/>
                <w:szCs w:val="12"/>
                <w:i w:val="1"/>
                <w:iCs w:val="1"/>
                <w:color w:val="auto"/>
              </w:rPr>
              <w:t xml:space="preserve">GasLog Salem </w:t>
            </w:r>
            <w:r>
              <w:rPr>
                <w:rFonts w:ascii="Arial" w:cs="Arial" w:eastAsia="Arial" w:hAnsi="Arial"/>
                <w:sz w:val="18"/>
                <w:szCs w:val="18"/>
                <w:i w:val="1"/>
                <w:iCs w:val="1"/>
                <w:color w:val="auto"/>
                <w:vertAlign w:val="superscript"/>
              </w:rPr>
              <w:t>(16)</w:t>
            </w:r>
          </w:p>
        </w:tc>
        <w:tc>
          <w:tcPr>
            <w:tcW w:w="1040" w:type="dxa"/>
            <w:vAlign w:val="bottom"/>
            <w:tcBorders>
              <w:top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2015</w:t>
            </w:r>
          </w:p>
        </w:tc>
        <w:tc>
          <w:tcPr>
            <w:tcW w:w="1140" w:type="dxa"/>
            <w:vAlign w:val="bottom"/>
            <w:tcBorders>
              <w:top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155,000</w:t>
            </w:r>
          </w:p>
        </w:tc>
        <w:tc>
          <w:tcPr>
            <w:tcW w:w="22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Gunvor</w:t>
            </w:r>
          </w:p>
        </w:tc>
        <w:tc>
          <w:tcPr>
            <w:tcW w:w="12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TFDE</w:t>
            </w:r>
          </w:p>
        </w:tc>
        <w:tc>
          <w:tcPr>
            <w:tcW w:w="2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center"/>
              <w:ind w:left="9"/>
              <w:spacing w:after="0"/>
              <w:rPr>
                <w:sz w:val="20"/>
                <w:szCs w:val="20"/>
                <w:color w:val="auto"/>
              </w:rPr>
            </w:pPr>
            <w:r>
              <w:rPr>
                <w:rFonts w:ascii="Arial" w:cs="Arial" w:eastAsia="Arial" w:hAnsi="Arial"/>
                <w:sz w:val="14"/>
                <w:szCs w:val="14"/>
                <w:color w:val="auto"/>
                <w:w w:val="94"/>
              </w:rPr>
              <w:t>March 2022</w:t>
            </w:r>
          </w:p>
        </w:tc>
        <w:tc>
          <w:tcPr>
            <w:tcW w:w="2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560" w:type="dxa"/>
            <w:vAlign w:val="bottom"/>
          </w:tcPr>
          <w:p>
            <w:pPr>
              <w:jc w:val="right"/>
              <w:ind w:right="408"/>
              <w:spacing w:after="0"/>
              <w:rPr>
                <w:sz w:val="20"/>
                <w:szCs w:val="20"/>
                <w:color w:val="auto"/>
              </w:rPr>
            </w:pPr>
            <w:r>
              <w:rPr>
                <w:rFonts w:ascii="Arial" w:cs="Arial" w:eastAsia="Arial" w:hAnsi="Arial"/>
                <w:sz w:val="14"/>
                <w:szCs w:val="14"/>
                <w:b w:val="1"/>
                <w:bCs w:val="1"/>
                <w:color w:val="auto"/>
                <w:w w:val="76"/>
              </w:rPr>
              <w:t>2</w:t>
            </w:r>
          </w:p>
        </w:tc>
        <w:tc>
          <w:tcPr>
            <w:tcW w:w="2400" w:type="dxa"/>
            <w:vAlign w:val="bottom"/>
          </w:tcPr>
          <w:p>
            <w:pPr>
              <w:ind w:left="480"/>
              <w:spacing w:after="0" w:line="189" w:lineRule="exact"/>
              <w:rPr>
                <w:sz w:val="20"/>
                <w:szCs w:val="20"/>
                <w:color w:val="auto"/>
              </w:rPr>
            </w:pPr>
            <w:r>
              <w:rPr>
                <w:rFonts w:ascii="Arial" w:cs="Arial" w:eastAsia="Arial" w:hAnsi="Arial"/>
                <w:sz w:val="13"/>
                <w:szCs w:val="13"/>
                <w:i w:val="1"/>
                <w:iCs w:val="1"/>
                <w:color w:val="auto"/>
              </w:rPr>
              <w:t xml:space="preserve">GasLog Shanghai </w:t>
            </w:r>
            <w:r>
              <w:rPr>
                <w:rFonts w:ascii="Arial" w:cs="Arial" w:eastAsia="Arial" w:hAnsi="Arial"/>
                <w:sz w:val="21"/>
                <w:szCs w:val="21"/>
                <w:i w:val="1"/>
                <w:iCs w:val="1"/>
                <w:color w:val="auto"/>
                <w:vertAlign w:val="superscript"/>
              </w:rPr>
              <w:t>(16)</w:t>
            </w:r>
          </w:p>
        </w:tc>
        <w:tc>
          <w:tcPr>
            <w:tcW w:w="1040" w:type="dxa"/>
            <w:vAlign w:val="bottom"/>
            <w:gridSpan w:val="2"/>
          </w:tcPr>
          <w:p>
            <w:pPr>
              <w:jc w:val="right"/>
              <w:ind w:right="188"/>
              <w:spacing w:after="0"/>
              <w:rPr>
                <w:sz w:val="20"/>
                <w:szCs w:val="20"/>
                <w:color w:val="auto"/>
              </w:rPr>
            </w:pPr>
            <w:r>
              <w:rPr>
                <w:rFonts w:ascii="Arial" w:cs="Arial" w:eastAsia="Arial" w:hAnsi="Arial"/>
                <w:sz w:val="14"/>
                <w:szCs w:val="14"/>
                <w:color w:val="auto"/>
              </w:rPr>
              <w:t>2013</w:t>
            </w: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155,000</w:t>
            </w:r>
          </w:p>
        </w:tc>
        <w:tc>
          <w:tcPr>
            <w:tcW w:w="2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5"/>
              </w:rPr>
              <w:t>Gunvor</w:t>
            </w:r>
          </w:p>
        </w:tc>
        <w:tc>
          <w:tcPr>
            <w:tcW w:w="120" w:type="dxa"/>
            <w:vAlign w:val="bottom"/>
          </w:tcPr>
          <w:p>
            <w:pPr>
              <w:spacing w:after="0"/>
              <w:rPr>
                <w:sz w:val="16"/>
                <w:szCs w:val="16"/>
                <w:color w:val="auto"/>
              </w:rPr>
            </w:pPr>
          </w:p>
        </w:tc>
        <w:tc>
          <w:tcPr>
            <w:tcW w:w="1440" w:type="dxa"/>
            <w:vAlign w:val="bottom"/>
            <w:gridSpan w:val="2"/>
          </w:tcPr>
          <w:p>
            <w:pPr>
              <w:ind w:left="480"/>
              <w:spacing w:after="0"/>
              <w:rPr>
                <w:sz w:val="20"/>
                <w:szCs w:val="20"/>
                <w:color w:val="auto"/>
              </w:rPr>
            </w:pPr>
            <w:r>
              <w:rPr>
                <w:rFonts w:ascii="Arial" w:cs="Arial" w:eastAsia="Arial" w:hAnsi="Arial"/>
                <w:sz w:val="14"/>
                <w:szCs w:val="14"/>
                <w:color w:val="auto"/>
              </w:rPr>
              <w:t>TFDE</w:t>
            </w:r>
          </w:p>
        </w:tc>
        <w:tc>
          <w:tcPr>
            <w:tcW w:w="1340" w:type="dxa"/>
            <w:vAlign w:val="bottom"/>
          </w:tcPr>
          <w:p>
            <w:pPr>
              <w:jc w:val="center"/>
              <w:ind w:left="29"/>
              <w:spacing w:after="0"/>
              <w:rPr>
                <w:sz w:val="20"/>
                <w:szCs w:val="20"/>
                <w:color w:val="auto"/>
              </w:rPr>
            </w:pPr>
            <w:r>
              <w:rPr>
                <w:rFonts w:ascii="Arial" w:cs="Arial" w:eastAsia="Arial" w:hAnsi="Arial"/>
                <w:sz w:val="14"/>
                <w:szCs w:val="14"/>
                <w:color w:val="auto"/>
                <w:w w:val="92"/>
              </w:rPr>
              <w:t>November 2022</w:t>
            </w:r>
          </w:p>
        </w:tc>
        <w:tc>
          <w:tcPr>
            <w:tcW w:w="200" w:type="dxa"/>
            <w:vAlign w:val="bottom"/>
          </w:tcPr>
          <w:p>
            <w:pPr>
              <w:spacing w:after="0"/>
              <w:rPr>
                <w:sz w:val="16"/>
                <w:szCs w:val="16"/>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560" w:type="dxa"/>
            <w:vAlign w:val="bottom"/>
            <w:shd w:val="clear" w:color="auto" w:fill="CCEEFF"/>
          </w:tcPr>
          <w:p>
            <w:pPr>
              <w:jc w:val="right"/>
              <w:ind w:right="408"/>
              <w:spacing w:after="0"/>
              <w:rPr>
                <w:sz w:val="20"/>
                <w:szCs w:val="20"/>
                <w:color w:val="auto"/>
              </w:rPr>
            </w:pPr>
            <w:r>
              <w:rPr>
                <w:rFonts w:ascii="Arial" w:cs="Arial" w:eastAsia="Arial" w:hAnsi="Arial"/>
                <w:sz w:val="14"/>
                <w:szCs w:val="14"/>
                <w:b w:val="1"/>
                <w:bCs w:val="1"/>
                <w:color w:val="auto"/>
                <w:w w:val="76"/>
              </w:rPr>
              <w:t>3</w:t>
            </w:r>
          </w:p>
        </w:tc>
        <w:tc>
          <w:tcPr>
            <w:tcW w:w="2400" w:type="dxa"/>
            <w:vAlign w:val="bottom"/>
            <w:shd w:val="clear" w:color="auto" w:fill="CCEEFF"/>
          </w:tcPr>
          <w:p>
            <w:pPr>
              <w:ind w:left="480"/>
              <w:spacing w:after="0" w:line="189" w:lineRule="exact"/>
              <w:rPr>
                <w:sz w:val="20"/>
                <w:szCs w:val="20"/>
                <w:color w:val="auto"/>
              </w:rPr>
            </w:pPr>
            <w:r>
              <w:rPr>
                <w:rFonts w:ascii="Arial" w:cs="Arial" w:eastAsia="Arial" w:hAnsi="Arial"/>
                <w:sz w:val="13"/>
                <w:szCs w:val="13"/>
                <w:i w:val="1"/>
                <w:iCs w:val="1"/>
                <w:color w:val="auto"/>
              </w:rPr>
              <w:t xml:space="preserve">GasLog Hong Kong </w:t>
            </w:r>
            <w:r>
              <w:rPr>
                <w:rFonts w:ascii="Arial" w:cs="Arial" w:eastAsia="Arial" w:hAnsi="Arial"/>
                <w:sz w:val="21"/>
                <w:szCs w:val="21"/>
                <w:i w:val="1"/>
                <w:iCs w:val="1"/>
                <w:color w:val="auto"/>
                <w:vertAlign w:val="superscript"/>
              </w:rPr>
              <w:t>(16)</w:t>
            </w:r>
          </w:p>
        </w:tc>
        <w:tc>
          <w:tcPr>
            <w:tcW w:w="10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2018</w:t>
            </w:r>
          </w:p>
        </w:tc>
        <w:tc>
          <w:tcPr>
            <w:tcW w:w="11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174,000</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TotalEnergies</w:t>
            </w:r>
          </w:p>
        </w:tc>
        <w:tc>
          <w:tcPr>
            <w:tcW w:w="1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X-DF</w:t>
            </w:r>
          </w:p>
        </w:tc>
        <w:tc>
          <w:tcPr>
            <w:tcW w:w="1340" w:type="dxa"/>
            <w:vAlign w:val="bottom"/>
            <w:shd w:val="clear" w:color="auto" w:fill="CCEEFF"/>
          </w:tcPr>
          <w:p>
            <w:pPr>
              <w:jc w:val="center"/>
              <w:ind w:left="29"/>
              <w:spacing w:after="0"/>
              <w:rPr>
                <w:sz w:val="20"/>
                <w:szCs w:val="20"/>
                <w:color w:val="auto"/>
              </w:rPr>
            </w:pPr>
            <w:r>
              <w:rPr>
                <w:rFonts w:ascii="Arial" w:cs="Arial" w:eastAsia="Arial" w:hAnsi="Arial"/>
                <w:sz w:val="14"/>
                <w:szCs w:val="14"/>
                <w:color w:val="auto"/>
                <w:w w:val="92"/>
              </w:rPr>
              <w:t>December 2025</w:t>
            </w:r>
          </w:p>
        </w:tc>
        <w:tc>
          <w:tcPr>
            <w:tcW w:w="1660" w:type="dxa"/>
            <w:vAlign w:val="bottom"/>
            <w:gridSpan w:val="2"/>
            <w:shd w:val="clear" w:color="auto" w:fill="CCEEFF"/>
          </w:tcPr>
          <w:p>
            <w:pPr>
              <w:jc w:val="center"/>
              <w:ind w:left="233"/>
              <w:spacing w:after="0" w:line="189" w:lineRule="exact"/>
              <w:rPr>
                <w:sz w:val="20"/>
                <w:szCs w:val="20"/>
                <w:color w:val="auto"/>
              </w:rPr>
            </w:pPr>
            <w:r>
              <w:rPr>
                <w:rFonts w:ascii="Arial" w:cs="Arial" w:eastAsia="Arial" w:hAnsi="Arial"/>
                <w:sz w:val="13"/>
                <w:szCs w:val="13"/>
                <w:color w:val="auto"/>
                <w:w w:val="90"/>
              </w:rPr>
              <w:t xml:space="preserve">2028 </w:t>
            </w:r>
            <w:r>
              <w:rPr>
                <w:rFonts w:ascii="Arial" w:cs="Arial" w:eastAsia="Arial" w:hAnsi="Arial"/>
                <w:sz w:val="21"/>
                <w:szCs w:val="21"/>
                <w:color w:val="auto"/>
                <w:w w:val="90"/>
                <w:vertAlign w:val="superscript"/>
              </w:rPr>
              <w:t>(17)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 w:type="dxa"/>
            <w:vAlign w:val="bottom"/>
          </w:tcPr>
          <w:p>
            <w:pPr>
              <w:jc w:val="right"/>
              <w:ind w:right="408"/>
              <w:spacing w:after="0"/>
              <w:rPr>
                <w:sz w:val="20"/>
                <w:szCs w:val="20"/>
                <w:color w:val="auto"/>
              </w:rPr>
            </w:pPr>
            <w:r>
              <w:rPr>
                <w:rFonts w:ascii="Arial" w:cs="Arial" w:eastAsia="Arial" w:hAnsi="Arial"/>
                <w:sz w:val="14"/>
                <w:szCs w:val="14"/>
                <w:b w:val="1"/>
                <w:bCs w:val="1"/>
                <w:color w:val="auto"/>
                <w:w w:val="76"/>
              </w:rPr>
              <w:t>4</w:t>
            </w:r>
          </w:p>
        </w:tc>
        <w:tc>
          <w:tcPr>
            <w:tcW w:w="2400" w:type="dxa"/>
            <w:vAlign w:val="bottom"/>
          </w:tcPr>
          <w:p>
            <w:pPr>
              <w:ind w:left="480"/>
              <w:spacing w:after="0" w:line="189" w:lineRule="exact"/>
              <w:rPr>
                <w:sz w:val="20"/>
                <w:szCs w:val="20"/>
                <w:color w:val="auto"/>
              </w:rPr>
            </w:pPr>
            <w:r>
              <w:rPr>
                <w:rFonts w:ascii="Arial" w:cs="Arial" w:eastAsia="Arial" w:hAnsi="Arial"/>
                <w:sz w:val="13"/>
                <w:szCs w:val="13"/>
                <w:i w:val="1"/>
                <w:iCs w:val="1"/>
                <w:color w:val="auto"/>
              </w:rPr>
              <w:t xml:space="preserve">Methane Julia Louise </w:t>
            </w:r>
            <w:r>
              <w:rPr>
                <w:rFonts w:ascii="Arial" w:cs="Arial" w:eastAsia="Arial" w:hAnsi="Arial"/>
                <w:sz w:val="21"/>
                <w:szCs w:val="21"/>
                <w:i w:val="1"/>
                <w:iCs w:val="1"/>
                <w:color w:val="auto"/>
                <w:vertAlign w:val="superscript"/>
              </w:rPr>
              <w:t>(16)</w:t>
            </w:r>
          </w:p>
        </w:tc>
        <w:tc>
          <w:tcPr>
            <w:tcW w:w="1040" w:type="dxa"/>
            <w:vAlign w:val="bottom"/>
            <w:gridSpan w:val="2"/>
          </w:tcPr>
          <w:p>
            <w:pPr>
              <w:jc w:val="right"/>
              <w:ind w:right="188"/>
              <w:spacing w:after="0"/>
              <w:rPr>
                <w:sz w:val="20"/>
                <w:szCs w:val="20"/>
                <w:color w:val="auto"/>
              </w:rPr>
            </w:pPr>
            <w:r>
              <w:rPr>
                <w:rFonts w:ascii="Arial" w:cs="Arial" w:eastAsia="Arial" w:hAnsi="Arial"/>
                <w:sz w:val="14"/>
                <w:szCs w:val="14"/>
                <w:color w:val="auto"/>
              </w:rPr>
              <w:t>2010</w:t>
            </w: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170,000</w:t>
            </w:r>
          </w:p>
        </w:tc>
        <w:tc>
          <w:tcPr>
            <w:tcW w:w="2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6"/>
              </w:rPr>
              <w:t>Shell</w:t>
            </w:r>
          </w:p>
        </w:tc>
        <w:tc>
          <w:tcPr>
            <w:tcW w:w="120" w:type="dxa"/>
            <w:vAlign w:val="bottom"/>
          </w:tcPr>
          <w:p>
            <w:pPr>
              <w:spacing w:after="0"/>
              <w:rPr>
                <w:sz w:val="16"/>
                <w:szCs w:val="16"/>
                <w:color w:val="auto"/>
              </w:rPr>
            </w:pPr>
          </w:p>
        </w:tc>
        <w:tc>
          <w:tcPr>
            <w:tcW w:w="1440" w:type="dxa"/>
            <w:vAlign w:val="bottom"/>
            <w:gridSpan w:val="2"/>
          </w:tcPr>
          <w:p>
            <w:pPr>
              <w:ind w:left="480"/>
              <w:spacing w:after="0"/>
              <w:rPr>
                <w:sz w:val="20"/>
                <w:szCs w:val="20"/>
                <w:color w:val="auto"/>
              </w:rPr>
            </w:pPr>
            <w:r>
              <w:rPr>
                <w:rFonts w:ascii="Arial" w:cs="Arial" w:eastAsia="Arial" w:hAnsi="Arial"/>
                <w:sz w:val="14"/>
                <w:szCs w:val="14"/>
                <w:color w:val="auto"/>
              </w:rPr>
              <w:t>TFDE</w:t>
            </w:r>
          </w:p>
        </w:tc>
        <w:tc>
          <w:tcPr>
            <w:tcW w:w="1340" w:type="dxa"/>
            <w:vAlign w:val="bottom"/>
          </w:tcPr>
          <w:p>
            <w:pPr>
              <w:jc w:val="center"/>
              <w:ind w:left="9"/>
              <w:spacing w:after="0"/>
              <w:rPr>
                <w:sz w:val="20"/>
                <w:szCs w:val="20"/>
                <w:color w:val="auto"/>
              </w:rPr>
            </w:pPr>
            <w:r>
              <w:rPr>
                <w:rFonts w:ascii="Arial" w:cs="Arial" w:eastAsia="Arial" w:hAnsi="Arial"/>
                <w:sz w:val="14"/>
                <w:szCs w:val="14"/>
                <w:color w:val="auto"/>
                <w:w w:val="94"/>
              </w:rPr>
              <w:t>March 2026</w:t>
            </w:r>
          </w:p>
        </w:tc>
        <w:tc>
          <w:tcPr>
            <w:tcW w:w="1660" w:type="dxa"/>
            <w:vAlign w:val="bottom"/>
            <w:gridSpan w:val="2"/>
          </w:tcPr>
          <w:p>
            <w:pPr>
              <w:jc w:val="center"/>
              <w:ind w:left="233"/>
              <w:spacing w:after="0" w:line="189" w:lineRule="exact"/>
              <w:rPr>
                <w:sz w:val="20"/>
                <w:szCs w:val="20"/>
                <w:color w:val="auto"/>
              </w:rPr>
            </w:pPr>
            <w:r>
              <w:rPr>
                <w:rFonts w:ascii="Arial" w:cs="Arial" w:eastAsia="Arial" w:hAnsi="Arial"/>
                <w:sz w:val="13"/>
                <w:szCs w:val="13"/>
                <w:color w:val="auto"/>
                <w:w w:val="96"/>
              </w:rPr>
              <w:t xml:space="preserve">2029-2031 </w:t>
            </w:r>
            <w:r>
              <w:rPr>
                <w:rFonts w:ascii="Arial" w:cs="Arial" w:eastAsia="Arial" w:hAnsi="Arial"/>
                <w:sz w:val="21"/>
                <w:szCs w:val="21"/>
                <w:color w:val="auto"/>
                <w:w w:val="96"/>
                <w:vertAlign w:val="superscript"/>
              </w:rPr>
              <w:t>(7)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 w:type="dxa"/>
            <w:vAlign w:val="bottom"/>
            <w:shd w:val="clear" w:color="auto" w:fill="CCEEFF"/>
          </w:tcPr>
          <w:p>
            <w:pPr>
              <w:jc w:val="right"/>
              <w:ind w:right="408"/>
              <w:spacing w:after="0"/>
              <w:rPr>
                <w:sz w:val="20"/>
                <w:szCs w:val="20"/>
                <w:color w:val="auto"/>
              </w:rPr>
            </w:pPr>
            <w:r>
              <w:rPr>
                <w:rFonts w:ascii="Arial" w:cs="Arial" w:eastAsia="Arial" w:hAnsi="Arial"/>
                <w:sz w:val="14"/>
                <w:szCs w:val="14"/>
                <w:b w:val="1"/>
                <w:bCs w:val="1"/>
                <w:color w:val="auto"/>
                <w:w w:val="76"/>
              </w:rPr>
              <w:t>5</w:t>
            </w:r>
          </w:p>
        </w:tc>
        <w:tc>
          <w:tcPr>
            <w:tcW w:w="2400" w:type="dxa"/>
            <w:vAlign w:val="bottom"/>
            <w:shd w:val="clear" w:color="auto" w:fill="CCEEFF"/>
          </w:tcPr>
          <w:p>
            <w:pPr>
              <w:ind w:left="480"/>
              <w:spacing w:after="0" w:line="189" w:lineRule="exact"/>
              <w:rPr>
                <w:sz w:val="20"/>
                <w:szCs w:val="20"/>
                <w:color w:val="auto"/>
              </w:rPr>
            </w:pPr>
            <w:r>
              <w:rPr>
                <w:rFonts w:ascii="Arial" w:cs="Arial" w:eastAsia="Arial" w:hAnsi="Arial"/>
                <w:sz w:val="13"/>
                <w:szCs w:val="13"/>
                <w:i w:val="1"/>
                <w:iCs w:val="1"/>
                <w:color w:val="auto"/>
              </w:rPr>
              <w:t xml:space="preserve">GasLog Houston </w:t>
            </w:r>
            <w:r>
              <w:rPr>
                <w:rFonts w:ascii="Arial" w:cs="Arial" w:eastAsia="Arial" w:hAnsi="Arial"/>
                <w:sz w:val="21"/>
                <w:szCs w:val="21"/>
                <w:i w:val="1"/>
                <w:iCs w:val="1"/>
                <w:color w:val="auto"/>
                <w:vertAlign w:val="superscript"/>
              </w:rPr>
              <w:t>(16)</w:t>
            </w:r>
          </w:p>
        </w:tc>
        <w:tc>
          <w:tcPr>
            <w:tcW w:w="10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2018</w:t>
            </w:r>
          </w:p>
        </w:tc>
        <w:tc>
          <w:tcPr>
            <w:tcW w:w="11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174,000</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Shell</w:t>
            </w:r>
          </w:p>
        </w:tc>
        <w:tc>
          <w:tcPr>
            <w:tcW w:w="1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X-DF</w:t>
            </w:r>
          </w:p>
        </w:tc>
        <w:tc>
          <w:tcPr>
            <w:tcW w:w="1340" w:type="dxa"/>
            <w:vAlign w:val="bottom"/>
            <w:shd w:val="clear" w:color="auto" w:fill="CCEEFF"/>
          </w:tcPr>
          <w:p>
            <w:pPr>
              <w:jc w:val="center"/>
              <w:ind w:left="29"/>
              <w:spacing w:after="0"/>
              <w:rPr>
                <w:sz w:val="20"/>
                <w:szCs w:val="20"/>
                <w:color w:val="auto"/>
              </w:rPr>
            </w:pPr>
            <w:r>
              <w:rPr>
                <w:rFonts w:ascii="Arial" w:cs="Arial" w:eastAsia="Arial" w:hAnsi="Arial"/>
                <w:sz w:val="14"/>
                <w:szCs w:val="14"/>
                <w:color w:val="auto"/>
                <w:w w:val="97"/>
              </w:rPr>
              <w:t>May 2028</w:t>
            </w:r>
          </w:p>
        </w:tc>
        <w:tc>
          <w:tcPr>
            <w:tcW w:w="1660" w:type="dxa"/>
            <w:vAlign w:val="bottom"/>
            <w:gridSpan w:val="2"/>
            <w:shd w:val="clear" w:color="auto" w:fill="CCEEFF"/>
          </w:tcPr>
          <w:p>
            <w:pPr>
              <w:jc w:val="center"/>
              <w:ind w:left="233"/>
              <w:spacing w:after="0" w:line="189" w:lineRule="exact"/>
              <w:rPr>
                <w:sz w:val="20"/>
                <w:szCs w:val="20"/>
                <w:color w:val="auto"/>
              </w:rPr>
            </w:pPr>
            <w:r>
              <w:rPr>
                <w:rFonts w:ascii="Arial" w:cs="Arial" w:eastAsia="Arial" w:hAnsi="Arial"/>
                <w:sz w:val="13"/>
                <w:szCs w:val="13"/>
                <w:color w:val="auto"/>
                <w:w w:val="96"/>
              </w:rPr>
              <w:t xml:space="preserve">2031-2034 </w:t>
            </w:r>
            <w:r>
              <w:rPr>
                <w:rFonts w:ascii="Arial" w:cs="Arial" w:eastAsia="Arial" w:hAnsi="Arial"/>
                <w:sz w:val="21"/>
                <w:szCs w:val="21"/>
                <w:color w:val="auto"/>
                <w:w w:val="96"/>
                <w:vertAlign w:val="superscript"/>
              </w:rPr>
              <w:t>(7)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0"/>
          <w:szCs w:val="10"/>
          <w:color w:val="auto"/>
        </w:rPr>
      </w:pPr>
      <w:r>
        <w:rPr>
          <w:rFonts w:ascii="Arial" w:cs="Arial" w:eastAsia="Arial" w:hAnsi="Arial"/>
          <w:sz w:val="14"/>
          <w:szCs w:val="14"/>
          <w:color w:val="auto"/>
        </w:rPr>
        <w:t>Indicates the expiration of the initial term.</w:t>
      </w:r>
    </w:p>
    <w:p>
      <w:pPr>
        <w:spacing w:after="0" w:line="122" w:lineRule="exact"/>
        <w:rPr>
          <w:rFonts w:ascii="Arial" w:cs="Arial" w:eastAsia="Arial" w:hAnsi="Arial"/>
          <w:sz w:val="10"/>
          <w:szCs w:val="10"/>
          <w:color w:val="auto"/>
        </w:rPr>
      </w:pPr>
    </w:p>
    <w:p>
      <w:pPr>
        <w:ind w:left="340" w:hanging="332"/>
        <w:spacing w:after="0"/>
        <w:tabs>
          <w:tab w:leader="none" w:pos="340" w:val="left"/>
        </w:tabs>
        <w:numPr>
          <w:ilvl w:val="0"/>
          <w:numId w:val="2"/>
        </w:numPr>
        <w:rPr>
          <w:rFonts w:ascii="Arial" w:cs="Arial" w:eastAsia="Arial" w:hAnsi="Arial"/>
          <w:sz w:val="10"/>
          <w:szCs w:val="10"/>
          <w:color w:val="auto"/>
        </w:rPr>
      </w:pPr>
      <w:r>
        <w:rPr>
          <w:rFonts w:ascii="Arial" w:cs="Arial" w:eastAsia="Arial" w:hAnsi="Arial"/>
          <w:sz w:val="14"/>
          <w:szCs w:val="14"/>
          <w:color w:val="auto"/>
        </w:rPr>
        <w:t>The period shown reflects the expiration of the minimum optional period and the maximum optional period.</w:t>
      </w:r>
    </w:p>
    <w:p>
      <w:pPr>
        <w:spacing w:after="0" w:line="136" w:lineRule="exact"/>
        <w:rPr>
          <w:rFonts w:ascii="Arial" w:cs="Arial" w:eastAsia="Arial" w:hAnsi="Arial"/>
          <w:sz w:val="10"/>
          <w:szCs w:val="10"/>
          <w:color w:val="auto"/>
        </w:rPr>
      </w:pPr>
    </w:p>
    <w:p>
      <w:pPr>
        <w:ind w:left="340" w:hanging="332"/>
        <w:spacing w:after="0"/>
        <w:tabs>
          <w:tab w:leader="none" w:pos="340" w:val="left"/>
        </w:tabs>
        <w:numPr>
          <w:ilvl w:val="0"/>
          <w:numId w:val="2"/>
        </w:numPr>
        <w:rPr>
          <w:rFonts w:ascii="Arial" w:cs="Arial" w:eastAsia="Arial" w:hAnsi="Arial"/>
          <w:sz w:val="10"/>
          <w:szCs w:val="10"/>
          <w:color w:val="auto"/>
        </w:rPr>
      </w:pPr>
      <w:r>
        <w:rPr>
          <w:rFonts w:ascii="Arial" w:cs="Arial" w:eastAsia="Arial" w:hAnsi="Arial"/>
          <w:sz w:val="14"/>
          <w:szCs w:val="14"/>
          <w:color w:val="auto"/>
        </w:rPr>
        <w:t>The vessel is chartered to ST Shipping &amp; Transport Pte. Ltd., a wholly owned subsidiary of Glencore PLC. (“Glencore”).</w:t>
      </w:r>
    </w:p>
    <w:p>
      <w:pPr>
        <w:spacing w:after="0" w:line="122" w:lineRule="exact"/>
        <w:rPr>
          <w:rFonts w:ascii="Arial" w:cs="Arial" w:eastAsia="Arial" w:hAnsi="Arial"/>
          <w:sz w:val="10"/>
          <w:szCs w:val="10"/>
          <w:color w:val="auto"/>
        </w:rPr>
      </w:pPr>
    </w:p>
    <w:p>
      <w:pPr>
        <w:ind w:left="340" w:hanging="332"/>
        <w:spacing w:after="0"/>
        <w:tabs>
          <w:tab w:leader="none" w:pos="340" w:val="left"/>
        </w:tabs>
        <w:numPr>
          <w:ilvl w:val="0"/>
          <w:numId w:val="2"/>
        </w:numPr>
        <w:rPr>
          <w:rFonts w:ascii="Arial" w:cs="Arial" w:eastAsia="Arial" w:hAnsi="Arial"/>
          <w:sz w:val="10"/>
          <w:szCs w:val="10"/>
          <w:color w:val="auto"/>
        </w:rPr>
      </w:pPr>
      <w:r>
        <w:rPr>
          <w:rFonts w:ascii="Arial" w:cs="Arial" w:eastAsia="Arial" w:hAnsi="Arial"/>
          <w:sz w:val="14"/>
          <w:szCs w:val="14"/>
          <w:color w:val="auto"/>
        </w:rPr>
        <w:t>The vessel is chartered to LNG Shipping SpA, a wholly owned subsidiary of Eni SpA (“Eni”).</w:t>
      </w:r>
    </w:p>
    <w:p>
      <w:pPr>
        <w:spacing w:after="0" w:line="122" w:lineRule="exact"/>
        <w:rPr>
          <w:rFonts w:ascii="Arial" w:cs="Arial" w:eastAsia="Arial" w:hAnsi="Arial"/>
          <w:sz w:val="10"/>
          <w:szCs w:val="10"/>
          <w:color w:val="auto"/>
        </w:rPr>
      </w:pPr>
    </w:p>
    <w:p>
      <w:pPr>
        <w:ind w:left="340" w:hanging="332"/>
        <w:spacing w:after="0"/>
        <w:tabs>
          <w:tab w:leader="none" w:pos="340" w:val="left"/>
        </w:tabs>
        <w:numPr>
          <w:ilvl w:val="0"/>
          <w:numId w:val="2"/>
        </w:numPr>
        <w:rPr>
          <w:rFonts w:ascii="Arial" w:cs="Arial" w:eastAsia="Arial" w:hAnsi="Arial"/>
          <w:sz w:val="10"/>
          <w:szCs w:val="10"/>
          <w:color w:val="auto"/>
        </w:rPr>
      </w:pPr>
      <w:r>
        <w:rPr>
          <w:rFonts w:ascii="Arial" w:cs="Arial" w:eastAsia="Arial" w:hAnsi="Arial"/>
          <w:sz w:val="14"/>
          <w:szCs w:val="14"/>
          <w:color w:val="auto"/>
        </w:rPr>
        <w:t>The vessel is chartered to Naturgy Aprovisionamientos SA. (“Naturgy”).</w:t>
      </w:r>
    </w:p>
    <w:p>
      <w:pPr>
        <w:spacing w:after="0" w:line="122" w:lineRule="exact"/>
        <w:rPr>
          <w:rFonts w:ascii="Arial" w:cs="Arial" w:eastAsia="Arial" w:hAnsi="Arial"/>
          <w:sz w:val="10"/>
          <w:szCs w:val="10"/>
          <w:color w:val="auto"/>
        </w:rPr>
      </w:pPr>
    </w:p>
    <w:p>
      <w:pPr>
        <w:ind w:left="340" w:right="40" w:hanging="332"/>
        <w:spacing w:after="0" w:line="248" w:lineRule="auto"/>
        <w:tabs>
          <w:tab w:leader="none" w:pos="340" w:val="left"/>
        </w:tabs>
        <w:numPr>
          <w:ilvl w:val="0"/>
          <w:numId w:val="2"/>
        </w:numPr>
        <w:rPr>
          <w:rFonts w:ascii="Arial" w:cs="Arial" w:eastAsia="Arial" w:hAnsi="Arial"/>
          <w:sz w:val="10"/>
          <w:szCs w:val="10"/>
          <w:color w:val="auto"/>
        </w:rPr>
      </w:pPr>
      <w:r>
        <w:rPr>
          <w:rFonts w:ascii="Arial" w:cs="Arial" w:eastAsia="Arial" w:hAnsi="Arial"/>
          <w:sz w:val="13"/>
          <w:szCs w:val="13"/>
          <w:color w:val="auto"/>
        </w:rPr>
        <w:t>The vessel is chartered to RWE Supply &amp; Trading GmbH (“RWE”). RWE has the option to extend the term of the time charter by an additional period of six months or one year. Following the completion of the charter with RWE, the vessel is expected to be delivered to Sinolam LNG Terminal, S.A. (“Sinolam LNG”) for use as a floating storage unit (“FSU”) in support of a LNG gas-fired power plant currently being developed near Colon, Panama, by Sinolam Smarter Energy LNG Power Company, a subsidiary of private Chinese investment group Shanghai Gorgeous Development Company. The completion of the power plant was initially scheduled for the second quarter of 2020 but has since been significantly delayed as a result of COVID-19 related impacts to the construction schedule. GasLog is currently under discussions with Sinolam LNG to determine the project’s new expected start date. In the meantime, the vessel has undergone FSU conversion for the Sinolam LNG charter during its scheduled dry-dock in the second quarter of 2021.</w:t>
      </w:r>
    </w:p>
    <w:p>
      <w:pPr>
        <w:spacing w:after="0" w:line="99" w:lineRule="exact"/>
        <w:rPr>
          <w:rFonts w:ascii="Arial" w:cs="Arial" w:eastAsia="Arial" w:hAnsi="Arial"/>
          <w:sz w:val="10"/>
          <w:szCs w:val="10"/>
          <w:color w:val="auto"/>
        </w:rPr>
      </w:pPr>
    </w:p>
    <w:p>
      <w:pPr>
        <w:ind w:left="340" w:right="120" w:hanging="332"/>
        <w:spacing w:after="0" w:line="233" w:lineRule="auto"/>
        <w:tabs>
          <w:tab w:leader="none" w:pos="340" w:val="left"/>
        </w:tabs>
        <w:numPr>
          <w:ilvl w:val="0"/>
          <w:numId w:val="2"/>
        </w:numPr>
        <w:rPr>
          <w:rFonts w:ascii="Arial" w:cs="Arial" w:eastAsia="Arial" w:hAnsi="Arial"/>
          <w:sz w:val="10"/>
          <w:szCs w:val="10"/>
          <w:color w:val="auto"/>
        </w:rPr>
      </w:pPr>
      <w:r>
        <w:rPr>
          <w:rFonts w:ascii="Arial" w:cs="Arial" w:eastAsia="Arial" w:hAnsi="Arial"/>
          <w:sz w:val="14"/>
          <w:szCs w:val="14"/>
          <w:color w:val="auto"/>
        </w:rPr>
        <w:t xml:space="preserve">The vessel is chartered to Royal Dutch Shell plc (“Shell”). Shell has the right to extend the charters of (a) the </w:t>
      </w:r>
      <w:r>
        <w:rPr>
          <w:rFonts w:ascii="Arial" w:cs="Arial" w:eastAsia="Arial" w:hAnsi="Arial"/>
          <w:sz w:val="14"/>
          <w:szCs w:val="14"/>
          <w:i w:val="1"/>
          <w:iCs w:val="1"/>
          <w:color w:val="auto"/>
        </w:rPr>
        <w:t>GasLog Genoa</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Houston</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Gladstone</w:t>
      </w:r>
      <w:r>
        <w:rPr>
          <w:rFonts w:ascii="Arial" w:cs="Arial" w:eastAsia="Arial" w:hAnsi="Arial"/>
          <w:sz w:val="14"/>
          <w:szCs w:val="14"/>
          <w:color w:val="auto"/>
        </w:rPr>
        <w:t xml:space="preserve"> by two additional periods of three years, (b) the </w:t>
      </w:r>
      <w:r>
        <w:rPr>
          <w:rFonts w:ascii="Arial" w:cs="Arial" w:eastAsia="Arial" w:hAnsi="Arial"/>
          <w:sz w:val="14"/>
          <w:szCs w:val="14"/>
          <w:i w:val="1"/>
          <w:iCs w:val="1"/>
          <w:color w:val="auto"/>
        </w:rPr>
        <w:t>Solaris</w:t>
      </w:r>
      <w:r>
        <w:rPr>
          <w:rFonts w:ascii="Arial" w:cs="Arial" w:eastAsia="Arial" w:hAnsi="Arial"/>
          <w:sz w:val="14"/>
          <w:szCs w:val="14"/>
          <w:color w:val="auto"/>
        </w:rPr>
        <w:t xml:space="preserve"> by an additional four months, (c) the </w:t>
      </w:r>
      <w:r>
        <w:rPr>
          <w:rFonts w:ascii="Arial" w:cs="Arial" w:eastAsia="Arial" w:hAnsi="Arial"/>
          <w:sz w:val="14"/>
          <w:szCs w:val="14"/>
          <w:i w:val="1"/>
          <w:iCs w:val="1"/>
          <w:color w:val="auto"/>
        </w:rPr>
        <w:t>GasLog Geneva</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Gibraltar</w:t>
      </w:r>
      <w:r>
        <w:rPr>
          <w:rFonts w:ascii="Arial" w:cs="Arial" w:eastAsia="Arial" w:hAnsi="Arial"/>
          <w:sz w:val="14"/>
          <w:szCs w:val="14"/>
          <w:color w:val="auto"/>
        </w:rPr>
        <w:t xml:space="preserve"> by two additional periods of five and three years, respectively, (d) the </w:t>
      </w:r>
      <w:r>
        <w:rPr>
          <w:rFonts w:ascii="Arial" w:cs="Arial" w:eastAsia="Arial" w:hAnsi="Arial"/>
          <w:sz w:val="14"/>
          <w:szCs w:val="14"/>
          <w:i w:val="1"/>
          <w:iCs w:val="1"/>
          <w:color w:val="auto"/>
        </w:rPr>
        <w:t>Methane Becki Anne</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Methane Julia Louise</w:t>
      </w:r>
      <w:r>
        <w:rPr>
          <w:rFonts w:ascii="Arial" w:cs="Arial" w:eastAsia="Arial" w:hAnsi="Arial"/>
          <w:sz w:val="14"/>
          <w:szCs w:val="14"/>
          <w:color w:val="auto"/>
        </w:rPr>
        <w:t xml:space="preserve"> for a period of either three or five years, (e) the </w:t>
      </w:r>
      <w:r>
        <w:rPr>
          <w:rFonts w:ascii="Arial" w:cs="Arial" w:eastAsia="Arial" w:hAnsi="Arial"/>
          <w:sz w:val="14"/>
          <w:szCs w:val="14"/>
          <w:i w:val="1"/>
          <w:iCs w:val="1"/>
          <w:color w:val="auto"/>
        </w:rPr>
        <w:t>GasLog Greece</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Glasgow</w:t>
      </w:r>
      <w:r>
        <w:rPr>
          <w:rFonts w:ascii="Arial" w:cs="Arial" w:eastAsia="Arial" w:hAnsi="Arial"/>
          <w:sz w:val="14"/>
          <w:szCs w:val="14"/>
          <w:color w:val="auto"/>
        </w:rPr>
        <w:t xml:space="preserve"> for a period of five years, provided that Shell gives us advance notice of the declarations.</w:t>
      </w:r>
    </w:p>
    <w:p>
      <w:pPr>
        <w:spacing w:after="0" w:line="103" w:lineRule="exact"/>
        <w:rPr>
          <w:rFonts w:ascii="Arial" w:cs="Arial" w:eastAsia="Arial" w:hAnsi="Arial"/>
          <w:sz w:val="10"/>
          <w:szCs w:val="10"/>
          <w:color w:val="auto"/>
        </w:rPr>
      </w:pPr>
    </w:p>
    <w:p>
      <w:pPr>
        <w:ind w:left="340" w:right="220" w:hanging="332"/>
        <w:spacing w:after="0" w:line="253" w:lineRule="auto"/>
        <w:tabs>
          <w:tab w:leader="none" w:pos="340" w:val="left"/>
        </w:tabs>
        <w:numPr>
          <w:ilvl w:val="0"/>
          <w:numId w:val="2"/>
        </w:numPr>
        <w:rPr>
          <w:rFonts w:ascii="Arial" w:cs="Arial" w:eastAsia="Arial" w:hAnsi="Arial"/>
          <w:sz w:val="10"/>
          <w:szCs w:val="10"/>
          <w:color w:val="auto"/>
        </w:rPr>
      </w:pPr>
      <w:r>
        <w:rPr>
          <w:rFonts w:ascii="Arial" w:cs="Arial" w:eastAsia="Arial" w:hAnsi="Arial"/>
          <w:sz w:val="14"/>
          <w:szCs w:val="14"/>
          <w:color w:val="auto"/>
        </w:rPr>
        <w:t>The vessels are chartered to Pioneer Shipping Limited, a wholly owned subsidiary of Centrica Plc (“Centrica”). Centrica has the right to extend the charters by three additional periods of two years, provided that Centrica gives us advance notice of declaration.</w:t>
      </w:r>
    </w:p>
    <w:p>
      <w:pPr>
        <w:spacing w:after="0" w:line="92" w:lineRule="exact"/>
        <w:rPr>
          <w:rFonts w:ascii="Arial" w:cs="Arial" w:eastAsia="Arial" w:hAnsi="Arial"/>
          <w:sz w:val="10"/>
          <w:szCs w:val="10"/>
          <w:color w:val="auto"/>
        </w:rPr>
      </w:pPr>
    </w:p>
    <w:p>
      <w:pPr>
        <w:ind w:left="340" w:right="40" w:hanging="332"/>
        <w:spacing w:after="0" w:line="335" w:lineRule="auto"/>
        <w:tabs>
          <w:tab w:leader="none" w:pos="340" w:val="left"/>
        </w:tabs>
        <w:numPr>
          <w:ilvl w:val="0"/>
          <w:numId w:val="2"/>
        </w:numPr>
        <w:rPr>
          <w:rFonts w:ascii="Arial" w:cs="Arial" w:eastAsia="Arial" w:hAnsi="Arial"/>
          <w:sz w:val="9"/>
          <w:szCs w:val="9"/>
          <w:color w:val="auto"/>
        </w:rPr>
      </w:pPr>
      <w:r>
        <w:rPr>
          <w:rFonts w:ascii="Arial" w:cs="Arial" w:eastAsia="Arial" w:hAnsi="Arial"/>
          <w:sz w:val="12"/>
          <w:szCs w:val="12"/>
          <w:color w:val="auto"/>
        </w:rPr>
        <w:t xml:space="preserve">Cheniere has the right to extend the charters of (a) the </w:t>
      </w:r>
      <w:r>
        <w:rPr>
          <w:rFonts w:ascii="Arial" w:cs="Arial" w:eastAsia="Arial" w:hAnsi="Arial"/>
          <w:sz w:val="12"/>
          <w:szCs w:val="12"/>
          <w:i w:val="1"/>
          <w:iCs w:val="1"/>
          <w:color w:val="auto"/>
        </w:rPr>
        <w:t>GasLog Georgetown</w:t>
      </w:r>
      <w:r>
        <w:rPr>
          <w:rFonts w:ascii="Arial" w:cs="Arial" w:eastAsia="Arial" w:hAnsi="Arial"/>
          <w:sz w:val="12"/>
          <w:szCs w:val="12"/>
          <w:color w:val="auto"/>
        </w:rPr>
        <w:t xml:space="preserve">, the </w:t>
      </w:r>
      <w:r>
        <w:rPr>
          <w:rFonts w:ascii="Arial" w:cs="Arial" w:eastAsia="Arial" w:hAnsi="Arial"/>
          <w:sz w:val="12"/>
          <w:szCs w:val="12"/>
          <w:i w:val="1"/>
          <w:iCs w:val="1"/>
          <w:color w:val="auto"/>
        </w:rPr>
        <w:t>GasLog Galveston,</w:t>
      </w:r>
      <w:r>
        <w:rPr>
          <w:rFonts w:ascii="Arial" w:cs="Arial" w:eastAsia="Arial" w:hAnsi="Arial"/>
          <w:sz w:val="12"/>
          <w:szCs w:val="12"/>
          <w:color w:val="auto"/>
        </w:rPr>
        <w:t xml:space="preserve"> the </w:t>
      </w:r>
      <w:r>
        <w:rPr>
          <w:rFonts w:ascii="Arial" w:cs="Arial" w:eastAsia="Arial" w:hAnsi="Arial"/>
          <w:sz w:val="12"/>
          <w:szCs w:val="12"/>
          <w:i w:val="1"/>
          <w:iCs w:val="1"/>
          <w:color w:val="auto"/>
        </w:rPr>
        <w:t>GasLog Wellington</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GasLog Winchester</w:t>
      </w:r>
      <w:r>
        <w:rPr>
          <w:rFonts w:ascii="Arial" w:cs="Arial" w:eastAsia="Arial" w:hAnsi="Arial"/>
          <w:sz w:val="12"/>
          <w:szCs w:val="12"/>
          <w:color w:val="auto"/>
        </w:rPr>
        <w:t xml:space="preserve"> by three consecutive periods of three years, two years and two years, respectively and (b) the </w:t>
      </w:r>
      <w:r>
        <w:rPr>
          <w:rFonts w:ascii="Arial" w:cs="Arial" w:eastAsia="Arial" w:hAnsi="Arial"/>
          <w:sz w:val="12"/>
          <w:szCs w:val="12"/>
          <w:i w:val="1"/>
          <w:iCs w:val="1"/>
          <w:color w:val="auto"/>
        </w:rPr>
        <w:t>Methane Jane Elizabeth</w:t>
      </w:r>
      <w:r>
        <w:rPr>
          <w:rFonts w:ascii="Arial" w:cs="Arial" w:eastAsia="Arial" w:hAnsi="Arial"/>
          <w:sz w:val="12"/>
          <w:szCs w:val="12"/>
          <w:color w:val="auto"/>
        </w:rPr>
        <w:t xml:space="preserve"> by two additional periods of one year, provided that Cheniere gives us advance notice of the declarations.</w:t>
      </w:r>
    </w:p>
    <w:p>
      <w:pPr>
        <w:spacing w:after="0" w:line="46" w:lineRule="exact"/>
        <w:rPr>
          <w:rFonts w:ascii="Arial" w:cs="Arial" w:eastAsia="Arial" w:hAnsi="Arial"/>
          <w:sz w:val="9"/>
          <w:szCs w:val="9"/>
          <w:color w:val="auto"/>
        </w:rPr>
      </w:pPr>
    </w:p>
    <w:p>
      <w:pPr>
        <w:ind w:left="340" w:right="300" w:hanging="332"/>
        <w:spacing w:after="0" w:line="253" w:lineRule="auto"/>
        <w:tabs>
          <w:tab w:leader="none" w:pos="340" w:val="left"/>
        </w:tabs>
        <w:numPr>
          <w:ilvl w:val="0"/>
          <w:numId w:val="2"/>
        </w:numPr>
        <w:rPr>
          <w:rFonts w:ascii="Arial" w:cs="Arial" w:eastAsia="Arial" w:hAnsi="Arial"/>
          <w:sz w:val="10"/>
          <w:szCs w:val="10"/>
          <w:color w:val="auto"/>
        </w:rPr>
      </w:pPr>
      <w:r>
        <w:rPr>
          <w:rFonts w:ascii="Arial" w:cs="Arial" w:eastAsia="Arial" w:hAnsi="Arial"/>
          <w:sz w:val="14"/>
          <w:szCs w:val="14"/>
          <w:color w:val="auto"/>
        </w:rPr>
        <w:t xml:space="preserve">“Endesa” refers to Endesa S.A. Endesa has the right to extend the charter of the </w:t>
      </w:r>
      <w:r>
        <w:rPr>
          <w:rFonts w:ascii="Arial" w:cs="Arial" w:eastAsia="Arial" w:hAnsi="Arial"/>
          <w:sz w:val="14"/>
          <w:szCs w:val="14"/>
          <w:i w:val="1"/>
          <w:iCs w:val="1"/>
          <w:color w:val="auto"/>
        </w:rPr>
        <w:t>GasLog Warsaw</w:t>
      </w:r>
      <w:r>
        <w:rPr>
          <w:rFonts w:ascii="Arial" w:cs="Arial" w:eastAsia="Arial" w:hAnsi="Arial"/>
          <w:sz w:val="14"/>
          <w:szCs w:val="14"/>
          <w:color w:val="auto"/>
        </w:rPr>
        <w:t xml:space="preserve"> by two additional periods of six years, provided that Endesa gives us advance notice of declaration.</w:t>
      </w:r>
    </w:p>
    <w:p>
      <w:pPr>
        <w:spacing w:after="0" w:line="92" w:lineRule="exact"/>
        <w:rPr>
          <w:rFonts w:ascii="Arial" w:cs="Arial" w:eastAsia="Arial" w:hAnsi="Arial"/>
          <w:sz w:val="10"/>
          <w:szCs w:val="10"/>
          <w:color w:val="auto"/>
        </w:rPr>
      </w:pPr>
    </w:p>
    <w:p>
      <w:pPr>
        <w:ind w:left="340" w:right="160" w:hanging="332"/>
        <w:spacing w:after="0" w:line="253" w:lineRule="auto"/>
        <w:tabs>
          <w:tab w:leader="none" w:pos="340" w:val="left"/>
        </w:tabs>
        <w:numPr>
          <w:ilvl w:val="0"/>
          <w:numId w:val="2"/>
        </w:numPr>
        <w:rPr>
          <w:rFonts w:ascii="Arial" w:cs="Arial" w:eastAsia="Arial" w:hAnsi="Arial"/>
          <w:sz w:val="10"/>
          <w:szCs w:val="10"/>
          <w:color w:val="auto"/>
        </w:rPr>
      </w:pPr>
      <w:r>
        <w:rPr>
          <w:rFonts w:ascii="Arial" w:cs="Arial" w:eastAsia="Arial" w:hAnsi="Arial"/>
          <w:sz w:val="14"/>
          <w:szCs w:val="14"/>
          <w:color w:val="auto"/>
        </w:rPr>
        <w:t>“Jera” refers to LNG Marine Transport Limited, the principal LNG shipping entity of Japan’s Jera Co., Inc. Jera has the right to extend the charter by two additional periods of three years, provided that Jera gives us advance notice of declaration.</w:t>
      </w:r>
    </w:p>
    <w:p>
      <w:pPr>
        <w:spacing w:after="0" w:line="92" w:lineRule="exact"/>
        <w:rPr>
          <w:rFonts w:ascii="Arial" w:cs="Arial" w:eastAsia="Arial" w:hAnsi="Arial"/>
          <w:sz w:val="10"/>
          <w:szCs w:val="10"/>
          <w:color w:val="auto"/>
        </w:rPr>
      </w:pPr>
    </w:p>
    <w:p>
      <w:pPr>
        <w:ind w:left="340" w:hanging="332"/>
        <w:spacing w:after="0"/>
        <w:tabs>
          <w:tab w:leader="none" w:pos="340" w:val="left"/>
        </w:tabs>
        <w:numPr>
          <w:ilvl w:val="0"/>
          <w:numId w:val="2"/>
        </w:numPr>
        <w:rPr>
          <w:rFonts w:ascii="Arial" w:cs="Arial" w:eastAsia="Arial" w:hAnsi="Arial"/>
          <w:sz w:val="10"/>
          <w:szCs w:val="10"/>
          <w:color w:val="auto"/>
        </w:rPr>
      </w:pPr>
      <w:r>
        <w:rPr>
          <w:rFonts w:ascii="Arial" w:cs="Arial" w:eastAsia="Arial" w:hAnsi="Arial"/>
          <w:sz w:val="14"/>
          <w:szCs w:val="14"/>
          <w:color w:val="auto"/>
        </w:rPr>
        <w:t xml:space="preserve">Gunvor may extend the term of the time charter of the </w:t>
      </w:r>
      <w:r>
        <w:rPr>
          <w:rFonts w:ascii="Arial" w:cs="Arial" w:eastAsia="Arial" w:hAnsi="Arial"/>
          <w:sz w:val="14"/>
          <w:szCs w:val="14"/>
          <w:i w:val="1"/>
          <w:iCs w:val="1"/>
          <w:color w:val="auto"/>
        </w:rPr>
        <w:t>Methane Rita Andrea</w:t>
      </w:r>
      <w:r>
        <w:rPr>
          <w:rFonts w:ascii="Arial" w:cs="Arial" w:eastAsia="Arial" w:hAnsi="Arial"/>
          <w:sz w:val="14"/>
          <w:szCs w:val="14"/>
          <w:color w:val="auto"/>
        </w:rPr>
        <w:t xml:space="preserve"> by an additional period of six months.</w:t>
      </w:r>
    </w:p>
    <w:p>
      <w:pPr>
        <w:spacing w:after="0" w:line="122" w:lineRule="exact"/>
        <w:rPr>
          <w:rFonts w:ascii="Arial" w:cs="Arial" w:eastAsia="Arial" w:hAnsi="Arial"/>
          <w:sz w:val="10"/>
          <w:szCs w:val="10"/>
          <w:color w:val="auto"/>
        </w:rPr>
      </w:pPr>
    </w:p>
    <w:p>
      <w:pPr>
        <w:ind w:left="340" w:hanging="332"/>
        <w:spacing w:after="0"/>
        <w:tabs>
          <w:tab w:leader="none" w:pos="340" w:val="left"/>
        </w:tabs>
        <w:numPr>
          <w:ilvl w:val="0"/>
          <w:numId w:val="2"/>
        </w:numPr>
        <w:rPr>
          <w:rFonts w:ascii="Arial" w:cs="Arial" w:eastAsia="Arial" w:hAnsi="Arial"/>
          <w:sz w:val="10"/>
          <w:szCs w:val="10"/>
          <w:color w:val="auto"/>
        </w:rPr>
      </w:pPr>
      <w:r>
        <w:rPr>
          <w:rFonts w:ascii="Arial" w:cs="Arial" w:eastAsia="Arial" w:hAnsi="Arial"/>
          <w:sz w:val="14"/>
          <w:szCs w:val="14"/>
          <w:color w:val="auto"/>
        </w:rPr>
        <w:t>The vessel is chartered to Singapore Carbon Hydrogen Energy Pte. Ltd., a wholly owned subsidiary of JOVO Group (“JOVO”).</w:t>
      </w:r>
    </w:p>
    <w:p>
      <w:pPr>
        <w:spacing w:after="0" w:line="122" w:lineRule="exact"/>
        <w:rPr>
          <w:rFonts w:ascii="Arial" w:cs="Arial" w:eastAsia="Arial" w:hAnsi="Arial"/>
          <w:sz w:val="10"/>
          <w:szCs w:val="10"/>
          <w:color w:val="auto"/>
        </w:rPr>
      </w:pPr>
    </w:p>
    <w:p>
      <w:pPr>
        <w:ind w:left="340" w:hanging="332"/>
        <w:spacing w:after="0"/>
        <w:tabs>
          <w:tab w:leader="none" w:pos="340" w:val="left"/>
        </w:tabs>
        <w:numPr>
          <w:ilvl w:val="0"/>
          <w:numId w:val="2"/>
        </w:numPr>
        <w:rPr>
          <w:rFonts w:ascii="Arial" w:cs="Arial" w:eastAsia="Arial" w:hAnsi="Arial"/>
          <w:sz w:val="10"/>
          <w:szCs w:val="10"/>
          <w:color w:val="auto"/>
        </w:rPr>
      </w:pPr>
      <w:r>
        <w:rPr>
          <w:rFonts w:ascii="Arial" w:cs="Arial" w:eastAsia="Arial" w:hAnsi="Arial"/>
          <w:sz w:val="14"/>
          <w:szCs w:val="14"/>
          <w:color w:val="auto"/>
        </w:rPr>
        <w:t>Trafigura may extend the term of this time charter for a period ranging from one to six years, provided that the charterer gives us advance notice of declaration.</w:t>
      </w:r>
    </w:p>
    <w:p>
      <w:pPr>
        <w:spacing w:after="0" w:line="136" w:lineRule="exact"/>
        <w:rPr>
          <w:rFonts w:ascii="Arial" w:cs="Arial" w:eastAsia="Arial" w:hAnsi="Arial"/>
          <w:sz w:val="10"/>
          <w:szCs w:val="10"/>
          <w:color w:val="auto"/>
        </w:rPr>
      </w:pPr>
    </w:p>
    <w:p>
      <w:pPr>
        <w:ind w:left="340" w:right="240" w:hanging="332"/>
        <w:spacing w:after="0" w:line="253" w:lineRule="auto"/>
        <w:tabs>
          <w:tab w:leader="none" w:pos="340" w:val="left"/>
        </w:tabs>
        <w:numPr>
          <w:ilvl w:val="0"/>
          <w:numId w:val="2"/>
        </w:numPr>
        <w:rPr>
          <w:rFonts w:ascii="Arial" w:cs="Arial" w:eastAsia="Arial" w:hAnsi="Arial"/>
          <w:sz w:val="10"/>
          <w:szCs w:val="10"/>
          <w:color w:val="auto"/>
        </w:rPr>
      </w:pPr>
      <w:r>
        <w:rPr>
          <w:rFonts w:ascii="Arial" w:cs="Arial" w:eastAsia="Arial" w:hAnsi="Arial"/>
          <w:sz w:val="14"/>
          <w:szCs w:val="14"/>
          <w:color w:val="auto"/>
        </w:rPr>
        <w:t>The vessel is chartered to CNTIC VPower Energy Ltd. (“CNTIC VPower”), an independent Chinese energy company. CNTIC VPower may extend the term of the related charter by two additional periods of one year, provided that the charterer gives us advance notice of declaration.</w:t>
      </w:r>
    </w:p>
    <w:p>
      <w:pPr>
        <w:spacing w:after="0" w:line="92" w:lineRule="exact"/>
        <w:rPr>
          <w:rFonts w:ascii="Arial" w:cs="Arial" w:eastAsia="Arial" w:hAnsi="Arial"/>
          <w:sz w:val="10"/>
          <w:szCs w:val="10"/>
          <w:color w:val="auto"/>
        </w:rPr>
      </w:pPr>
    </w:p>
    <w:p>
      <w:pPr>
        <w:ind w:left="340" w:right="40" w:hanging="332"/>
        <w:spacing w:after="0" w:line="233" w:lineRule="auto"/>
        <w:tabs>
          <w:tab w:leader="none" w:pos="340" w:val="left"/>
        </w:tabs>
        <w:numPr>
          <w:ilvl w:val="0"/>
          <w:numId w:val="2"/>
        </w:numPr>
        <w:rPr>
          <w:rFonts w:ascii="Arial" w:cs="Arial" w:eastAsia="Arial" w:hAnsi="Arial"/>
          <w:sz w:val="10"/>
          <w:szCs w:val="10"/>
          <w:color w:val="auto"/>
        </w:rPr>
      </w:pPr>
      <w:r>
        <w:rPr>
          <w:rFonts w:ascii="Arial" w:cs="Arial" w:eastAsia="Arial" w:hAnsi="Arial"/>
          <w:sz w:val="14"/>
          <w:szCs w:val="14"/>
          <w:color w:val="auto"/>
        </w:rPr>
        <w:t xml:space="preserve">GAS-ten Ltd. and GAS-three Ltd. have sold the </w:t>
      </w:r>
      <w:r>
        <w:rPr>
          <w:rFonts w:ascii="Arial" w:cs="Arial" w:eastAsia="Arial" w:hAnsi="Arial"/>
          <w:sz w:val="14"/>
          <w:szCs w:val="14"/>
          <w:i w:val="1"/>
          <w:iCs w:val="1"/>
          <w:color w:val="auto"/>
        </w:rPr>
        <w:t>GasLog Salem</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Shanghai</w:t>
      </w:r>
      <w:r>
        <w:rPr>
          <w:rFonts w:ascii="Arial" w:cs="Arial" w:eastAsia="Arial" w:hAnsi="Arial"/>
          <w:sz w:val="14"/>
          <w:szCs w:val="14"/>
          <w:color w:val="auto"/>
        </w:rPr>
        <w:t xml:space="preserve">, respectively, to CDBL and leased them back for a period of five years, with no repurchase option or obligation. GAS-twenty five Ltd., GAS-twenty six Ltd. and GAS-twenty four Ltd. have sold the </w:t>
      </w:r>
      <w:r>
        <w:rPr>
          <w:rFonts w:ascii="Arial" w:cs="Arial" w:eastAsia="Arial" w:hAnsi="Arial"/>
          <w:sz w:val="14"/>
          <w:szCs w:val="14"/>
          <w:i w:val="1"/>
          <w:iCs w:val="1"/>
          <w:color w:val="auto"/>
        </w:rPr>
        <w:t>GasLog Hong Kong</w:t>
      </w:r>
      <w:r>
        <w:rPr>
          <w:rFonts w:ascii="Arial" w:cs="Arial" w:eastAsia="Arial" w:hAnsi="Arial"/>
          <w:sz w:val="14"/>
          <w:szCs w:val="14"/>
          <w:color w:val="auto"/>
        </w:rPr>
        <w:t xml:space="preserve"> to Sea 190 Leasing</w:t>
      </w:r>
      <w:r>
        <w:rPr>
          <w:rFonts w:ascii="Arial" w:cs="Arial" w:eastAsia="Arial" w:hAnsi="Arial"/>
          <w:sz w:val="14"/>
          <w:szCs w:val="14"/>
          <w:i w:val="1"/>
          <w:iCs w:val="1"/>
          <w:color w:val="auto"/>
        </w:rPr>
        <w:t>,</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 Julia Louise</w:t>
      </w:r>
      <w:r>
        <w:rPr>
          <w:rFonts w:ascii="Arial" w:cs="Arial" w:eastAsia="Arial" w:hAnsi="Arial"/>
          <w:sz w:val="14"/>
          <w:szCs w:val="14"/>
          <w:color w:val="auto"/>
        </w:rPr>
        <w:t xml:space="preserve"> to Lepta Shipping and the </w:t>
      </w:r>
      <w:r>
        <w:rPr>
          <w:rFonts w:ascii="Arial" w:cs="Arial" w:eastAsia="Arial" w:hAnsi="Arial"/>
          <w:sz w:val="14"/>
          <w:szCs w:val="14"/>
          <w:i w:val="1"/>
          <w:iCs w:val="1"/>
          <w:color w:val="auto"/>
        </w:rPr>
        <w:t>GasLog Houston</w:t>
      </w:r>
      <w:r>
        <w:rPr>
          <w:rFonts w:ascii="Arial" w:cs="Arial" w:eastAsia="Arial" w:hAnsi="Arial"/>
          <w:sz w:val="14"/>
          <w:szCs w:val="14"/>
          <w:color w:val="auto"/>
        </w:rPr>
        <w:t xml:space="preserve"> to Hai Kuo Shipping, respectively, and leased them back for a period of up to twelve, 17 and eight years, respectively. GAS-twenty five Ltd. and GAS-twenty six Ltd. have the option and GAS-twenty four Ltd. has the option and the obligation to re-purchase the vessels on pre-agreed terms.</w:t>
      </w:r>
    </w:p>
    <w:p>
      <w:pPr>
        <w:spacing w:after="0" w:line="103" w:lineRule="exact"/>
        <w:rPr>
          <w:rFonts w:ascii="Arial" w:cs="Arial" w:eastAsia="Arial" w:hAnsi="Arial"/>
          <w:sz w:val="10"/>
          <w:szCs w:val="10"/>
          <w:color w:val="auto"/>
        </w:rPr>
      </w:pPr>
    </w:p>
    <w:p>
      <w:pPr>
        <w:ind w:left="340" w:hanging="332"/>
        <w:spacing w:after="0"/>
        <w:tabs>
          <w:tab w:leader="none" w:pos="340" w:val="left"/>
        </w:tabs>
        <w:numPr>
          <w:ilvl w:val="0"/>
          <w:numId w:val="2"/>
        </w:numPr>
        <w:rPr>
          <w:rFonts w:ascii="Arial" w:cs="Arial" w:eastAsia="Arial" w:hAnsi="Arial"/>
          <w:sz w:val="10"/>
          <w:szCs w:val="10"/>
          <w:color w:val="auto"/>
        </w:rPr>
      </w:pPr>
      <w:r>
        <w:rPr>
          <w:rFonts w:ascii="Arial" w:cs="Arial" w:eastAsia="Arial" w:hAnsi="Arial"/>
          <w:sz w:val="14"/>
          <w:szCs w:val="14"/>
          <w:color w:val="auto"/>
        </w:rPr>
        <w:t>TotalEnergies has the right to extend the charter for a period of three years, provided that TotalEnergies provides us with advance notice of declaration.</w:t>
      </w:r>
    </w:p>
    <w:p>
      <w:pPr>
        <w:spacing w:after="0" w:line="131" w:lineRule="exact"/>
        <w:rPr>
          <w:sz w:val="20"/>
          <w:szCs w:val="20"/>
          <w:color w:val="auto"/>
        </w:rPr>
      </w:pPr>
    </w:p>
    <w:p>
      <w:pPr>
        <w:ind w:right="340" w:firstLine="648"/>
        <w:spacing w:after="0" w:line="271" w:lineRule="auto"/>
        <w:rPr>
          <w:sz w:val="20"/>
          <w:szCs w:val="20"/>
          <w:color w:val="auto"/>
        </w:rPr>
      </w:pPr>
      <w:r>
        <w:rPr>
          <w:rFonts w:ascii="Arial" w:cs="Arial" w:eastAsia="Arial" w:hAnsi="Arial"/>
          <w:sz w:val="16"/>
          <w:szCs w:val="16"/>
          <w:color w:val="auto"/>
        </w:rPr>
        <w:t>Under the omnibus agreement entered into with GasLog Partners and certain of its subsidiaries in connection with the Partnership’s initial public offering, as amended, GasLog has agreed, and has caused our controlled affiliates (other than GasLog Partners, its general partner and its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and offering GasLog Partners the opportunity to purchase such a vessel at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20"/>
                <w:szCs w:val="20"/>
                <w:color w:val="auto"/>
              </w:rPr>
            </w:pPr>
            <w:r>
              <w:rPr>
                <w:rFonts w:ascii="Arial" w:cs="Arial" w:eastAsia="Arial" w:hAnsi="Arial"/>
                <w:sz w:val="16"/>
                <w:szCs w:val="16"/>
                <w:b w:val="1"/>
                <w:bCs w:val="1"/>
                <w:color w:val="auto"/>
              </w:rPr>
              <w:t>EXHIBIT I - Unaudited Interim Financial Information</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844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b w:val="1"/>
                <w:bCs w:val="1"/>
                <w:color w:val="auto"/>
              </w:rPr>
              <w:t>As of December 31, 2020 and September 30, 2021</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440" w:type="dxa"/>
            <w:vAlign w:val="bottom"/>
          </w:tcPr>
          <w:p>
            <w:pPr>
              <w:spacing w:after="0"/>
              <w:rPr>
                <w:sz w:val="24"/>
                <w:szCs w:val="24"/>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December 31,</w:t>
            </w:r>
          </w:p>
        </w:tc>
        <w:tc>
          <w:tcPr>
            <w:tcW w:w="13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9,511</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9,511</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Investment in associates</w:t>
            </w:r>
          </w:p>
        </w:tc>
        <w:tc>
          <w:tcPr>
            <w:tcW w:w="1240" w:type="dxa"/>
            <w:vAlign w:val="bottom"/>
          </w:tcPr>
          <w:p>
            <w:pPr>
              <w:jc w:val="right"/>
              <w:spacing w:after="0"/>
              <w:rPr>
                <w:sz w:val="20"/>
                <w:szCs w:val="20"/>
                <w:color w:val="auto"/>
              </w:rPr>
            </w:pPr>
            <w:r>
              <w:rPr>
                <w:rFonts w:ascii="Arial" w:cs="Arial" w:eastAsia="Arial" w:hAnsi="Arial"/>
                <w:sz w:val="16"/>
                <w:szCs w:val="16"/>
                <w:color w:val="auto"/>
              </w:rPr>
              <w:t>21,759</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23,076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Deferred financing costs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5,150</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3,894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240" w:type="dxa"/>
            <w:vAlign w:val="bottom"/>
          </w:tcPr>
          <w:p>
            <w:pPr>
              <w:jc w:val="right"/>
              <w:spacing w:after="0"/>
              <w:rPr>
                <w:sz w:val="20"/>
                <w:szCs w:val="20"/>
                <w:color w:val="auto"/>
              </w:rPr>
            </w:pPr>
            <w:r>
              <w:rPr>
                <w:rFonts w:ascii="Arial" w:cs="Arial" w:eastAsia="Arial" w:hAnsi="Arial"/>
                <w:sz w:val="16"/>
                <w:szCs w:val="16"/>
                <w:color w:val="auto"/>
              </w:rPr>
              <w:t>12,463</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5,538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instruments, non-current portion</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5,561</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2,692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Tangible fixed assets</w:t>
            </w:r>
          </w:p>
        </w:tc>
        <w:tc>
          <w:tcPr>
            <w:tcW w:w="1240" w:type="dxa"/>
            <w:vAlign w:val="bottom"/>
          </w:tcPr>
          <w:p>
            <w:pPr>
              <w:jc w:val="right"/>
              <w:spacing w:after="0"/>
              <w:rPr>
                <w:sz w:val="20"/>
                <w:szCs w:val="20"/>
                <w:color w:val="auto"/>
              </w:rPr>
            </w:pPr>
            <w:r>
              <w:rPr>
                <w:rFonts w:ascii="Arial" w:cs="Arial" w:eastAsia="Arial" w:hAnsi="Arial"/>
                <w:sz w:val="16"/>
                <w:szCs w:val="16"/>
                <w:color w:val="auto"/>
              </w:rPr>
              <w:t>5,028,509</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5,170,895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Vessels under construction</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132,839</w:t>
            </w:r>
          </w:p>
        </w:tc>
        <w:tc>
          <w:tcPr>
            <w:tcW w:w="2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30,211</w:t>
            </w:r>
          </w:p>
        </w:tc>
        <w:tc>
          <w:tcPr>
            <w:tcW w:w="0" w:type="dxa"/>
            <w:vAlign w:val="bottom"/>
          </w:tcPr>
          <w:p>
            <w:pPr>
              <w:spacing w:after="0"/>
              <w:rPr>
                <w:sz w:val="1"/>
                <w:szCs w:val="1"/>
                <w:color w:val="auto"/>
              </w:rPr>
            </w:pPr>
          </w:p>
        </w:tc>
      </w:tr>
      <w:tr>
        <w:trPr>
          <w:trHeight w:val="213"/>
        </w:trPr>
        <w:tc>
          <w:tcPr>
            <w:tcW w:w="8440" w:type="dxa"/>
            <w:vAlign w:val="bottom"/>
          </w:tcPr>
          <w:p>
            <w:pPr>
              <w:spacing w:after="0"/>
              <w:rPr>
                <w:sz w:val="20"/>
                <w:szCs w:val="20"/>
                <w:color w:val="auto"/>
              </w:rPr>
            </w:pPr>
            <w:r>
              <w:rPr>
                <w:rFonts w:ascii="Arial" w:cs="Arial" w:eastAsia="Arial" w:hAnsi="Arial"/>
                <w:sz w:val="16"/>
                <w:szCs w:val="16"/>
                <w:color w:val="auto"/>
              </w:rPr>
              <w:t>Right-of-use assets</w:t>
            </w:r>
          </w:p>
        </w:tc>
        <w:tc>
          <w:tcPr>
            <w:tcW w:w="1240" w:type="dxa"/>
            <w:vAlign w:val="bottom"/>
          </w:tcPr>
          <w:p>
            <w:pPr>
              <w:jc w:val="right"/>
              <w:spacing w:after="0"/>
              <w:rPr>
                <w:sz w:val="20"/>
                <w:szCs w:val="20"/>
                <w:color w:val="auto"/>
              </w:rPr>
            </w:pPr>
            <w:r>
              <w:rPr>
                <w:rFonts w:ascii="Arial" w:cs="Arial" w:eastAsia="Arial" w:hAnsi="Arial"/>
                <w:sz w:val="16"/>
                <w:szCs w:val="16"/>
                <w:color w:val="auto"/>
              </w:rPr>
              <w:t>203,437</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198,589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non-current assets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5,419,229</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5,444,406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44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Vessels held for sale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299,452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Trade and other receivables</w:t>
            </w:r>
          </w:p>
        </w:tc>
        <w:tc>
          <w:tcPr>
            <w:tcW w:w="1240" w:type="dxa"/>
            <w:vAlign w:val="bottom"/>
          </w:tcPr>
          <w:p>
            <w:pPr>
              <w:jc w:val="right"/>
              <w:spacing w:after="0"/>
              <w:rPr>
                <w:sz w:val="20"/>
                <w:szCs w:val="20"/>
                <w:color w:val="auto"/>
              </w:rPr>
            </w:pPr>
            <w:r>
              <w:rPr>
                <w:rFonts w:ascii="Arial" w:cs="Arial" w:eastAsia="Arial" w:hAnsi="Arial"/>
                <w:sz w:val="16"/>
                <w:szCs w:val="16"/>
                <w:color w:val="auto"/>
              </w:rPr>
              <w:t>36,223</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30,472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Dividends receivable and other amounts due from related parties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497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Derivative financial instruments, current portion</w:t>
            </w:r>
          </w:p>
        </w:tc>
        <w:tc>
          <w:tcPr>
            <w:tcW w:w="1240" w:type="dxa"/>
            <w:vAlign w:val="bottom"/>
          </w:tcPr>
          <w:p>
            <w:pPr>
              <w:jc w:val="right"/>
              <w:spacing w:after="0"/>
              <w:rPr>
                <w:sz w:val="20"/>
                <w:szCs w:val="20"/>
                <w:color w:val="auto"/>
              </w:rPr>
            </w:pPr>
            <w:r>
              <w:rPr>
                <w:rFonts w:ascii="Arial" w:cs="Arial" w:eastAsia="Arial" w:hAnsi="Arial"/>
                <w:sz w:val="16"/>
                <w:szCs w:val="16"/>
                <w:color w:val="auto"/>
              </w:rPr>
              <w:t>534</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635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Inventories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7,564</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7,947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Prepayments and other current assets</w:t>
            </w:r>
          </w:p>
        </w:tc>
        <w:tc>
          <w:tcPr>
            <w:tcW w:w="1240" w:type="dxa"/>
            <w:vAlign w:val="bottom"/>
          </w:tcPr>
          <w:p>
            <w:pPr>
              <w:jc w:val="right"/>
              <w:spacing w:after="0"/>
              <w:rPr>
                <w:sz w:val="20"/>
                <w:szCs w:val="20"/>
                <w:color w:val="auto"/>
              </w:rPr>
            </w:pPr>
            <w:r>
              <w:rPr>
                <w:rFonts w:ascii="Arial" w:cs="Arial" w:eastAsia="Arial" w:hAnsi="Arial"/>
                <w:sz w:val="16"/>
                <w:szCs w:val="16"/>
                <w:color w:val="auto"/>
              </w:rPr>
              <w:t>24,685</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10,450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367,269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224,289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current assets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437,534</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573,742</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5,856,763</w:t>
            </w: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6,018,148</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6"/>
                <w:szCs w:val="16"/>
                <w:b w:val="1"/>
                <w:bCs w:val="1"/>
                <w:color w:val="auto"/>
              </w:rPr>
              <w:t>Equity and liabilities</w:t>
            </w: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Equity</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Preference shares</w:t>
            </w:r>
          </w:p>
        </w:tc>
        <w:tc>
          <w:tcPr>
            <w:tcW w:w="1240" w:type="dxa"/>
            <w:vAlign w:val="bottom"/>
          </w:tcPr>
          <w:p>
            <w:pPr>
              <w:jc w:val="right"/>
              <w:spacing w:after="0"/>
              <w:rPr>
                <w:sz w:val="20"/>
                <w:szCs w:val="20"/>
                <w:color w:val="auto"/>
              </w:rPr>
            </w:pPr>
            <w:r>
              <w:rPr>
                <w:rFonts w:ascii="Arial" w:cs="Arial" w:eastAsia="Arial" w:hAnsi="Arial"/>
                <w:sz w:val="16"/>
                <w:szCs w:val="16"/>
                <w:color w:val="auto"/>
              </w:rPr>
              <w:t>46</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Share capital</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Contributed surplus</w:t>
            </w:r>
          </w:p>
        </w:tc>
        <w:tc>
          <w:tcPr>
            <w:tcW w:w="1240" w:type="dxa"/>
            <w:vAlign w:val="bottom"/>
          </w:tcPr>
          <w:p>
            <w:pPr>
              <w:jc w:val="right"/>
              <w:spacing w:after="0"/>
              <w:rPr>
                <w:sz w:val="20"/>
                <w:szCs w:val="20"/>
                <w:color w:val="auto"/>
              </w:rPr>
            </w:pPr>
            <w:r>
              <w:rPr>
                <w:rFonts w:ascii="Arial" w:cs="Arial" w:eastAsia="Arial" w:hAnsi="Arial"/>
                <w:sz w:val="16"/>
                <w:szCs w:val="16"/>
                <w:color w:val="auto"/>
              </w:rPr>
              <w:t>759,822</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718,899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Reserves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18,667</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15,547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Treasury shares</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(1,340)</w:t>
            </w:r>
          </w:p>
        </w:tc>
        <w:tc>
          <w:tcPr>
            <w:tcW w:w="13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(132,780)</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(51,599)</w:t>
            </w:r>
          </w:p>
        </w:tc>
        <w:tc>
          <w:tcPr>
            <w:tcW w:w="0" w:type="dxa"/>
            <w:vAlign w:val="bottom"/>
          </w:tcPr>
          <w:p>
            <w:pPr>
              <w:spacing w:after="0"/>
              <w:rPr>
                <w:sz w:val="1"/>
                <w:szCs w:val="1"/>
                <w:color w:val="auto"/>
              </w:rPr>
            </w:pPr>
          </w:p>
        </w:tc>
      </w:tr>
      <w:tr>
        <w:trPr>
          <w:trHeight w:val="196"/>
        </w:trPr>
        <w:tc>
          <w:tcPr>
            <w:tcW w:w="8440" w:type="dxa"/>
            <w:vAlign w:val="bottom"/>
          </w:tcPr>
          <w:p>
            <w:pPr>
              <w:spacing w:after="0"/>
              <w:rPr>
                <w:sz w:val="20"/>
                <w:szCs w:val="20"/>
                <w:color w:val="auto"/>
              </w:rPr>
            </w:pPr>
            <w:r>
              <w:rPr>
                <w:rFonts w:ascii="Arial" w:cs="Arial" w:eastAsia="Arial" w:hAnsi="Arial"/>
                <w:sz w:val="16"/>
                <w:szCs w:val="16"/>
                <w:b w:val="1"/>
                <w:bCs w:val="1"/>
                <w:color w:val="auto"/>
              </w:rPr>
              <w:t>Equity attributable to owners of the Group</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645,369</w:t>
            </w:r>
          </w:p>
        </w:tc>
        <w:tc>
          <w:tcPr>
            <w:tcW w:w="22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683,847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951,768</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984,770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equity</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1,597,137</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1,668,617</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Trade accounts payable</w:t>
            </w:r>
          </w:p>
        </w:tc>
        <w:tc>
          <w:tcPr>
            <w:tcW w:w="1240" w:type="dxa"/>
            <w:vAlign w:val="bottom"/>
          </w:tcPr>
          <w:p>
            <w:pPr>
              <w:jc w:val="right"/>
              <w:spacing w:after="0"/>
              <w:rPr>
                <w:sz w:val="20"/>
                <w:szCs w:val="20"/>
                <w:color w:val="auto"/>
              </w:rPr>
            </w:pPr>
            <w:r>
              <w:rPr>
                <w:rFonts w:ascii="Arial" w:cs="Arial" w:eastAsia="Arial" w:hAnsi="Arial"/>
                <w:sz w:val="16"/>
                <w:szCs w:val="16"/>
                <w:color w:val="auto"/>
              </w:rPr>
              <w:t>25,046</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26,549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Ship management creditors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425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Amounts due to related parties</w:t>
            </w:r>
          </w:p>
        </w:tc>
        <w:tc>
          <w:tcPr>
            <w:tcW w:w="1240" w:type="dxa"/>
            <w:vAlign w:val="bottom"/>
          </w:tcPr>
          <w:p>
            <w:pPr>
              <w:jc w:val="right"/>
              <w:spacing w:after="0"/>
              <w:rPr>
                <w:sz w:val="20"/>
                <w:szCs w:val="20"/>
                <w:color w:val="auto"/>
              </w:rPr>
            </w:pPr>
            <w:r>
              <w:rPr>
                <w:rFonts w:ascii="Arial" w:cs="Arial" w:eastAsia="Arial" w:hAnsi="Arial"/>
                <w:sz w:val="16"/>
                <w:szCs w:val="16"/>
                <w:color w:val="auto"/>
              </w:rPr>
              <w:t>164</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instruments, current portion</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35,415</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31,678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Other payables and accruals</w:t>
            </w:r>
          </w:p>
        </w:tc>
        <w:tc>
          <w:tcPr>
            <w:tcW w:w="1240" w:type="dxa"/>
            <w:vAlign w:val="bottom"/>
          </w:tcPr>
          <w:p>
            <w:pPr>
              <w:jc w:val="right"/>
              <w:spacing w:after="0"/>
              <w:rPr>
                <w:sz w:val="20"/>
                <w:szCs w:val="20"/>
                <w:color w:val="auto"/>
              </w:rPr>
            </w:pPr>
            <w:r>
              <w:rPr>
                <w:rFonts w:ascii="Arial" w:cs="Arial" w:eastAsia="Arial" w:hAnsi="Arial"/>
                <w:sz w:val="16"/>
                <w:szCs w:val="16"/>
                <w:color w:val="auto"/>
              </w:rPr>
              <w:t>143,057</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144,673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Borrowings, current portion</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245,626</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752,413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40" w:type="dxa"/>
            <w:vAlign w:val="bottom"/>
          </w:tcPr>
          <w:p>
            <w:pPr>
              <w:spacing w:after="0"/>
              <w:rPr>
                <w:sz w:val="20"/>
                <w:szCs w:val="20"/>
                <w:color w:val="auto"/>
              </w:rPr>
            </w:pPr>
            <w:r>
              <w:rPr>
                <w:rFonts w:ascii="Arial" w:cs="Arial" w:eastAsia="Arial" w:hAnsi="Arial"/>
                <w:sz w:val="16"/>
                <w:szCs w:val="16"/>
                <w:color w:val="auto"/>
              </w:rPr>
              <w:t>Lease liability, current portion</w:t>
            </w:r>
          </w:p>
        </w:tc>
        <w:tc>
          <w:tcPr>
            <w:tcW w:w="1240" w:type="dxa"/>
            <w:vAlign w:val="bottom"/>
          </w:tcPr>
          <w:p>
            <w:pPr>
              <w:jc w:val="right"/>
              <w:spacing w:after="0"/>
              <w:rPr>
                <w:sz w:val="20"/>
                <w:szCs w:val="20"/>
                <w:color w:val="auto"/>
              </w:rPr>
            </w:pPr>
            <w:r>
              <w:rPr>
                <w:rFonts w:ascii="Arial" w:cs="Arial" w:eastAsia="Arial" w:hAnsi="Arial"/>
                <w:sz w:val="16"/>
                <w:szCs w:val="16"/>
                <w:color w:val="auto"/>
              </w:rPr>
              <w:t>9,644</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10,018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current liabilities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459,349</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965,789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44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instruments, non-current portion</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78,440</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42,874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Borrowings, non-current portion</w:t>
            </w:r>
          </w:p>
        </w:tc>
        <w:tc>
          <w:tcPr>
            <w:tcW w:w="1240" w:type="dxa"/>
            <w:vAlign w:val="bottom"/>
          </w:tcPr>
          <w:p>
            <w:pPr>
              <w:jc w:val="right"/>
              <w:spacing w:after="0"/>
              <w:rPr>
                <w:sz w:val="20"/>
                <w:szCs w:val="20"/>
                <w:color w:val="auto"/>
              </w:rPr>
            </w:pPr>
            <w:r>
              <w:rPr>
                <w:rFonts w:ascii="Arial" w:cs="Arial" w:eastAsia="Arial" w:hAnsi="Arial"/>
                <w:sz w:val="16"/>
                <w:szCs w:val="16"/>
                <w:color w:val="auto"/>
              </w:rPr>
              <w:t>3,527,595</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3,152,516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Lease liability, non-current portion</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186,526</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181,217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4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240" w:type="dxa"/>
            <w:vAlign w:val="bottom"/>
          </w:tcPr>
          <w:p>
            <w:pPr>
              <w:jc w:val="right"/>
              <w:spacing w:after="0"/>
              <w:rPr>
                <w:sz w:val="20"/>
                <w:szCs w:val="20"/>
                <w:color w:val="auto"/>
              </w:rPr>
            </w:pPr>
            <w:r>
              <w:rPr>
                <w:rFonts w:ascii="Arial" w:cs="Arial" w:eastAsia="Arial" w:hAnsi="Arial"/>
                <w:sz w:val="16"/>
                <w:szCs w:val="16"/>
                <w:color w:val="auto"/>
              </w:rPr>
              <w:t>7,716</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7,135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non-current liabilities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3,800,277</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3,383,742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40" w:type="dxa"/>
            <w:vAlign w:val="bottom"/>
          </w:tcPr>
          <w:p>
            <w:pPr>
              <w:spacing w:after="0"/>
              <w:rPr>
                <w:sz w:val="20"/>
                <w:szCs w:val="20"/>
                <w:color w:val="auto"/>
              </w:rPr>
            </w:pPr>
            <w:r>
              <w:rPr>
                <w:rFonts w:ascii="Arial" w:cs="Arial" w:eastAsia="Arial" w:hAnsi="Arial"/>
                <w:sz w:val="16"/>
                <w:szCs w:val="16"/>
                <w:b w:val="1"/>
                <w:bCs w:val="1"/>
                <w:color w:val="auto"/>
              </w:rPr>
              <w:t>Total equity and liabilities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5,856,763</w:t>
            </w:r>
          </w:p>
        </w:tc>
        <w:tc>
          <w:tcPr>
            <w:tcW w:w="22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6,018,148</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8"/>
        </w:trPr>
        <w:tc>
          <w:tcPr>
            <w:tcW w:w="8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9"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and nine months ended September 30, 2020 and 2021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294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For the three months ended</w:t>
            </w:r>
          </w:p>
        </w:tc>
        <w:tc>
          <w:tcPr>
            <w:tcW w:w="2780" w:type="dxa"/>
            <w:vAlign w:val="bottom"/>
            <w:gridSpan w:val="5"/>
          </w:tcPr>
          <w:p>
            <w:pPr>
              <w:jc w:val="right"/>
              <w:ind w:right="520"/>
              <w:spacing w:after="0"/>
              <w:rPr>
                <w:sz w:val="20"/>
                <w:szCs w:val="20"/>
                <w:color w:val="auto"/>
              </w:rPr>
            </w:pPr>
            <w:r>
              <w:rPr>
                <w:rFonts w:ascii="Arial" w:cs="Arial" w:eastAsia="Arial" w:hAnsi="Arial"/>
                <w:sz w:val="16"/>
                <w:szCs w:val="16"/>
                <w:b w:val="1"/>
                <w:bCs w:val="1"/>
                <w:color w:val="auto"/>
              </w:rPr>
              <w:t>For the nine months ended</w:t>
            </w:r>
          </w:p>
        </w:tc>
      </w:tr>
      <w:tr>
        <w:trPr>
          <w:trHeight w:val="203"/>
        </w:trPr>
        <w:tc>
          <w:tcPr>
            <w:tcW w:w="5520" w:type="dxa"/>
            <w:vAlign w:val="bottom"/>
          </w:tcPr>
          <w:p>
            <w:pPr>
              <w:spacing w:after="0"/>
              <w:rPr>
                <w:sz w:val="17"/>
                <w:szCs w:val="17"/>
                <w:color w:val="auto"/>
              </w:rPr>
            </w:pPr>
          </w:p>
        </w:tc>
        <w:tc>
          <w:tcPr>
            <w:tcW w:w="150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September 30,</w:t>
            </w:r>
          </w:p>
        </w:tc>
        <w:tc>
          <w:tcPr>
            <w:tcW w:w="144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w w:val="98"/>
              </w:rPr>
              <w:t>September 30,</w:t>
            </w:r>
          </w:p>
        </w:tc>
        <w:tc>
          <w:tcPr>
            <w:tcW w:w="144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w w:val="98"/>
              </w:rPr>
              <w:t>September 30,</w:t>
            </w:r>
          </w:p>
        </w:tc>
        <w:tc>
          <w:tcPr>
            <w:tcW w:w="13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55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99"/>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156,729</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208,162</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481,487</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586,499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1500" w:type="dxa"/>
            <w:vAlign w:val="bottom"/>
            <w:gridSpan w:val="2"/>
          </w:tcPr>
          <w:p>
            <w:pPr>
              <w:jc w:val="right"/>
              <w:ind w:right="99"/>
              <w:spacing w:after="0"/>
              <w:rPr>
                <w:sz w:val="20"/>
                <w:szCs w:val="20"/>
                <w:color w:val="auto"/>
              </w:rPr>
            </w:pPr>
            <w:r>
              <w:rPr>
                <w:rFonts w:ascii="Arial" w:cs="Arial" w:eastAsia="Arial" w:hAnsi="Arial"/>
                <w:sz w:val="16"/>
                <w:szCs w:val="16"/>
                <w:color w:val="auto"/>
              </w:rPr>
              <w:t>(5,159)</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(3,158)</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(18,074)</w:t>
            </w:r>
          </w:p>
        </w:tc>
        <w:tc>
          <w:tcPr>
            <w:tcW w:w="1340" w:type="dxa"/>
            <w:vAlign w:val="bottom"/>
            <w:gridSpan w:val="3"/>
          </w:tcPr>
          <w:p>
            <w:pPr>
              <w:jc w:val="right"/>
              <w:ind w:right="60"/>
              <w:spacing w:after="0"/>
              <w:rPr>
                <w:sz w:val="20"/>
                <w:szCs w:val="20"/>
                <w:color w:val="auto"/>
              </w:rPr>
            </w:pPr>
            <w:r>
              <w:rPr>
                <w:rFonts w:ascii="Arial" w:cs="Arial" w:eastAsia="Arial" w:hAnsi="Arial"/>
                <w:sz w:val="16"/>
                <w:szCs w:val="16"/>
                <w:color w:val="auto"/>
              </w:rPr>
              <w:t>(12,751)</w:t>
            </w:r>
          </w:p>
        </w:tc>
      </w:tr>
      <w:tr>
        <w:trPr>
          <w:trHeight w:val="202"/>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Vessel operating and supervision costs</w:t>
            </w:r>
          </w:p>
        </w:tc>
        <w:tc>
          <w:tcPr>
            <w:tcW w:w="15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(39,161)</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(41,929)</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(106,818)</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(121,870)</w:t>
            </w: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Depreciation</w:t>
            </w:r>
          </w:p>
        </w:tc>
        <w:tc>
          <w:tcPr>
            <w:tcW w:w="1500" w:type="dxa"/>
            <w:vAlign w:val="bottom"/>
            <w:gridSpan w:val="2"/>
          </w:tcPr>
          <w:p>
            <w:pPr>
              <w:jc w:val="right"/>
              <w:ind w:right="99"/>
              <w:spacing w:after="0"/>
              <w:rPr>
                <w:sz w:val="20"/>
                <w:szCs w:val="20"/>
                <w:color w:val="auto"/>
              </w:rPr>
            </w:pPr>
            <w:r>
              <w:rPr>
                <w:rFonts w:ascii="Arial" w:cs="Arial" w:eastAsia="Arial" w:hAnsi="Arial"/>
                <w:sz w:val="16"/>
                <w:szCs w:val="16"/>
                <w:color w:val="auto"/>
              </w:rPr>
              <w:t>(45,106)</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(51,384)</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(130,250)</w:t>
            </w:r>
          </w:p>
        </w:tc>
        <w:tc>
          <w:tcPr>
            <w:tcW w:w="1340" w:type="dxa"/>
            <w:vAlign w:val="bottom"/>
            <w:gridSpan w:val="3"/>
          </w:tcPr>
          <w:p>
            <w:pPr>
              <w:jc w:val="right"/>
              <w:ind w:right="60"/>
              <w:spacing w:after="0"/>
              <w:rPr>
                <w:sz w:val="20"/>
                <w:szCs w:val="20"/>
                <w:color w:val="auto"/>
              </w:rPr>
            </w:pPr>
            <w:r>
              <w:rPr>
                <w:rFonts w:ascii="Arial" w:cs="Arial" w:eastAsia="Arial" w:hAnsi="Arial"/>
                <w:sz w:val="16"/>
                <w:szCs w:val="16"/>
                <w:color w:val="auto"/>
              </w:rPr>
              <w:t>(147,567)</w:t>
            </w:r>
          </w:p>
        </w:tc>
      </w:tr>
      <w:tr>
        <w:trPr>
          <w:trHeight w:val="203"/>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15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(14,677)</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(7,043)</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(35,452)</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(32,283)</w:t>
            </w: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Loss on disposal of non-current assets</w:t>
            </w:r>
          </w:p>
        </w:tc>
        <w:tc>
          <w:tcPr>
            <w:tcW w:w="15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(572)</w:t>
            </w:r>
          </w:p>
        </w:tc>
        <w:tc>
          <w:tcPr>
            <w:tcW w:w="13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Impairment loss on vessels</w:t>
            </w:r>
          </w:p>
        </w:tc>
        <w:tc>
          <w:tcPr>
            <w:tcW w:w="15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(16,853)</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(22,454)</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(16,853)</w:t>
            </w:r>
          </w:p>
        </w:tc>
      </w:tr>
      <w:tr>
        <w:trPr>
          <w:trHeight w:val="196"/>
        </w:trPr>
        <w:tc>
          <w:tcPr>
            <w:tcW w:w="55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52,626</w:t>
            </w:r>
          </w:p>
        </w:tc>
        <w:tc>
          <w:tcPr>
            <w:tcW w:w="24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87,795</w:t>
            </w:r>
          </w:p>
        </w:tc>
        <w:tc>
          <w:tcPr>
            <w:tcW w:w="22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167,867</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255,175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196"/>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Financial costs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(41,103)</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(38,193)</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(126,101)</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(128,797)</w:t>
            </w:r>
          </w:p>
        </w:tc>
        <w:tc>
          <w:tcPr>
            <w:tcW w:w="100" w:type="dxa"/>
            <w:vAlign w:val="bottom"/>
            <w:gridSpan w:val="2"/>
            <w:shd w:val="clear" w:color="auto" w:fill="CCEE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Financial income</w:t>
            </w:r>
          </w:p>
        </w:tc>
        <w:tc>
          <w:tcPr>
            <w:tcW w:w="1500" w:type="dxa"/>
            <w:vAlign w:val="bottom"/>
            <w:gridSpan w:val="2"/>
          </w:tcPr>
          <w:p>
            <w:pPr>
              <w:jc w:val="right"/>
              <w:ind w:right="159"/>
              <w:spacing w:after="0"/>
              <w:rPr>
                <w:sz w:val="20"/>
                <w:szCs w:val="20"/>
                <w:color w:val="auto"/>
              </w:rPr>
            </w:pPr>
            <w:r>
              <w:rPr>
                <w:rFonts w:ascii="Arial" w:cs="Arial" w:eastAsia="Arial" w:hAnsi="Arial"/>
                <w:sz w:val="16"/>
                <w:szCs w:val="16"/>
                <w:color w:val="auto"/>
              </w:rPr>
              <w:t>40</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30</w:t>
            </w:r>
          </w:p>
        </w:tc>
        <w:tc>
          <w:tcPr>
            <w:tcW w:w="1220" w:type="dxa"/>
            <w:vAlign w:val="bottom"/>
          </w:tcPr>
          <w:p>
            <w:pPr>
              <w:jc w:val="right"/>
              <w:spacing w:after="0"/>
              <w:rPr>
                <w:sz w:val="20"/>
                <w:szCs w:val="20"/>
                <w:color w:val="auto"/>
              </w:rPr>
            </w:pPr>
            <w:r>
              <w:rPr>
                <w:rFonts w:ascii="Arial" w:cs="Arial" w:eastAsia="Arial" w:hAnsi="Arial"/>
                <w:sz w:val="16"/>
                <w:szCs w:val="16"/>
                <w:color w:val="auto"/>
              </w:rPr>
              <w:t>685</w:t>
            </w:r>
          </w:p>
        </w:tc>
        <w:tc>
          <w:tcPr>
            <w:tcW w:w="220" w:type="dxa"/>
            <w:vAlign w:val="bottom"/>
          </w:tcPr>
          <w:p>
            <w:pPr>
              <w:spacing w:after="0"/>
              <w:rPr>
                <w:sz w:val="17"/>
                <w:szCs w:val="17"/>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6"/>
                <w:szCs w:val="16"/>
                <w:color w:val="auto"/>
              </w:rPr>
              <w:t>116</w:t>
            </w:r>
          </w:p>
        </w:tc>
      </w:tr>
      <w:tr>
        <w:trPr>
          <w:trHeight w:val="203"/>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(Loss)/gain on derivatives</w:t>
            </w:r>
          </w:p>
        </w:tc>
        <w:tc>
          <w:tcPr>
            <w:tcW w:w="15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(2,095)</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(1,737)</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(86,686)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12,236</w:t>
            </w:r>
          </w:p>
        </w:tc>
        <w:tc>
          <w:tcPr>
            <w:tcW w:w="80" w:type="dxa"/>
            <w:vAlign w:val="bottom"/>
            <w:shd w:val="clear" w:color="auto" w:fill="CCEEFF"/>
          </w:tcPr>
          <w:p>
            <w:pPr>
              <w:spacing w:after="0"/>
              <w:rPr>
                <w:sz w:val="17"/>
                <w:szCs w:val="17"/>
                <w:color w:val="auto"/>
              </w:rPr>
            </w:pPr>
          </w:p>
        </w:tc>
      </w:tr>
      <w:tr>
        <w:trPr>
          <w:trHeight w:val="213"/>
        </w:trPr>
        <w:tc>
          <w:tcPr>
            <w:tcW w:w="5520" w:type="dxa"/>
            <w:vAlign w:val="bottom"/>
          </w:tcPr>
          <w:p>
            <w:pPr>
              <w:spacing w:after="0"/>
              <w:rPr>
                <w:sz w:val="20"/>
                <w:szCs w:val="20"/>
                <w:color w:val="auto"/>
              </w:rPr>
            </w:pPr>
            <w:r>
              <w:rPr>
                <w:rFonts w:ascii="Arial" w:cs="Arial" w:eastAsia="Arial" w:hAnsi="Arial"/>
                <w:sz w:val="16"/>
                <w:szCs w:val="16"/>
                <w:color w:val="auto"/>
              </w:rPr>
              <w:t>Share of profit of associates</w:t>
            </w:r>
          </w:p>
        </w:tc>
        <w:tc>
          <w:tcPr>
            <w:tcW w:w="1500" w:type="dxa"/>
            <w:vAlign w:val="bottom"/>
            <w:gridSpan w:val="2"/>
          </w:tcPr>
          <w:p>
            <w:pPr>
              <w:jc w:val="right"/>
              <w:ind w:right="159"/>
              <w:spacing w:after="0"/>
              <w:rPr>
                <w:sz w:val="20"/>
                <w:szCs w:val="20"/>
                <w:color w:val="auto"/>
              </w:rPr>
            </w:pPr>
            <w:r>
              <w:rPr>
                <w:rFonts w:ascii="Arial" w:cs="Arial" w:eastAsia="Arial" w:hAnsi="Arial"/>
                <w:sz w:val="16"/>
                <w:szCs w:val="16"/>
                <w:color w:val="auto"/>
              </w:rPr>
              <w:t>648</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647</w:t>
            </w:r>
          </w:p>
        </w:tc>
        <w:tc>
          <w:tcPr>
            <w:tcW w:w="1220" w:type="dxa"/>
            <w:vAlign w:val="bottom"/>
          </w:tcPr>
          <w:p>
            <w:pPr>
              <w:jc w:val="right"/>
              <w:spacing w:after="0"/>
              <w:rPr>
                <w:sz w:val="20"/>
                <w:szCs w:val="20"/>
                <w:color w:val="auto"/>
              </w:rPr>
            </w:pPr>
            <w:r>
              <w:rPr>
                <w:rFonts w:ascii="Arial" w:cs="Arial" w:eastAsia="Arial" w:hAnsi="Arial"/>
                <w:sz w:val="16"/>
                <w:szCs w:val="16"/>
                <w:color w:val="auto"/>
              </w:rPr>
              <w:t>1,576</w:t>
            </w:r>
          </w:p>
        </w:tc>
        <w:tc>
          <w:tcPr>
            <w:tcW w:w="2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1,767</w:t>
            </w:r>
          </w:p>
        </w:tc>
        <w:tc>
          <w:tcPr>
            <w:tcW w:w="80" w:type="dxa"/>
            <w:vAlign w:val="bottom"/>
          </w:tcPr>
          <w:p>
            <w:pPr>
              <w:spacing w:after="0"/>
              <w:rPr>
                <w:sz w:val="18"/>
                <w:szCs w:val="18"/>
                <w:color w:val="auto"/>
              </w:rPr>
            </w:pPr>
          </w:p>
        </w:tc>
      </w:tr>
      <w:tr>
        <w:trPr>
          <w:trHeight w:val="199"/>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other expenses, net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(42,510</w:t>
            </w:r>
          </w:p>
        </w:tc>
        <w:tc>
          <w:tcPr>
            <w:tcW w:w="240" w:type="dxa"/>
            <w:vAlign w:val="bottom"/>
            <w:tcBorders>
              <w:top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(39,253</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(210,526</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(114,678</w:t>
            </w:r>
          </w:p>
        </w:tc>
        <w:tc>
          <w:tcPr>
            <w:tcW w:w="10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8"/>
                <w:szCs w:val="8"/>
                <w:b w:val="1"/>
                <w:bCs w:val="1"/>
                <w:color w:val="auto"/>
                <w:w w:val="73"/>
              </w:rPr>
              <w:t>)</w:t>
            </w:r>
          </w:p>
        </w:tc>
      </w:tr>
      <w:tr>
        <w:trPr>
          <w:trHeight w:val="247"/>
        </w:trPr>
        <w:tc>
          <w:tcPr>
            <w:tcW w:w="55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Profit/(loss) for the period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10,116</w:t>
            </w:r>
          </w:p>
        </w:tc>
        <w:tc>
          <w:tcPr>
            <w:tcW w:w="24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48,542</w:t>
            </w:r>
          </w:p>
        </w:tc>
        <w:tc>
          <w:tcPr>
            <w:tcW w:w="2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(42,659</w:t>
            </w:r>
          </w:p>
        </w:tc>
        <w:tc>
          <w:tcPr>
            <w:tcW w:w="22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140,497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86"/>
        </w:trPr>
        <w:tc>
          <w:tcPr>
            <w:tcW w:w="55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Attributable to:</w:t>
            </w:r>
          </w:p>
        </w:tc>
        <w:tc>
          <w:tcPr>
            <w:tcW w:w="1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Owners of the Group</w:t>
            </w:r>
          </w:p>
        </w:tc>
        <w:tc>
          <w:tcPr>
            <w:tcW w:w="1500" w:type="dxa"/>
            <w:vAlign w:val="bottom"/>
            <w:gridSpan w:val="2"/>
          </w:tcPr>
          <w:p>
            <w:pPr>
              <w:jc w:val="right"/>
              <w:ind w:right="99"/>
              <w:spacing w:after="0"/>
              <w:rPr>
                <w:sz w:val="20"/>
                <w:szCs w:val="20"/>
                <w:color w:val="auto"/>
              </w:rPr>
            </w:pPr>
            <w:r>
              <w:rPr>
                <w:rFonts w:ascii="Arial" w:cs="Arial" w:eastAsia="Arial" w:hAnsi="Arial"/>
                <w:sz w:val="16"/>
                <w:szCs w:val="16"/>
                <w:color w:val="auto"/>
              </w:rPr>
              <w:t>(354)</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28,031</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(73,181)</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81,181</w:t>
            </w:r>
          </w:p>
        </w:tc>
        <w:tc>
          <w:tcPr>
            <w:tcW w:w="80" w:type="dxa"/>
            <w:vAlign w:val="bottom"/>
          </w:tcPr>
          <w:p>
            <w:pPr>
              <w:spacing w:after="0"/>
              <w:rPr>
                <w:sz w:val="17"/>
                <w:szCs w:val="17"/>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15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10,470</w:t>
            </w:r>
          </w:p>
        </w:tc>
        <w:tc>
          <w:tcPr>
            <w:tcW w:w="14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20,511</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30,522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59,316</w:t>
            </w:r>
          </w:p>
        </w:tc>
        <w:tc>
          <w:tcPr>
            <w:tcW w:w="80" w:type="dxa"/>
            <w:vAlign w:val="bottom"/>
            <w:shd w:val="clear" w:color="auto" w:fill="CCEEFF"/>
          </w:tcPr>
          <w:p>
            <w:pPr>
              <w:spacing w:after="0"/>
              <w:rPr>
                <w:sz w:val="18"/>
                <w:szCs w:val="18"/>
                <w:color w:val="auto"/>
              </w:rPr>
            </w:pPr>
          </w:p>
        </w:tc>
      </w:tr>
      <w:tr>
        <w:trPr>
          <w:trHeight w:val="207"/>
        </w:trPr>
        <w:tc>
          <w:tcPr>
            <w:tcW w:w="552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10,116</w:t>
            </w:r>
          </w:p>
        </w:tc>
        <w:tc>
          <w:tcPr>
            <w:tcW w:w="24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48,542</w:t>
            </w:r>
          </w:p>
        </w:tc>
        <w:tc>
          <w:tcPr>
            <w:tcW w:w="22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(42,659</w:t>
            </w:r>
          </w:p>
        </w:tc>
        <w:tc>
          <w:tcPr>
            <w:tcW w:w="220" w:type="dxa"/>
            <w:vAlign w:val="bottom"/>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140,497</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8"/>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9"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nine months ended September 30, 2020 and 2021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40" w:type="dxa"/>
            <w:vAlign w:val="bottom"/>
          </w:tcPr>
          <w:p>
            <w:pPr>
              <w:spacing w:after="0"/>
              <w:rPr>
                <w:sz w:val="17"/>
                <w:szCs w:val="17"/>
                <w:color w:val="auto"/>
              </w:rPr>
            </w:pPr>
          </w:p>
        </w:tc>
        <w:tc>
          <w:tcPr>
            <w:tcW w:w="2800" w:type="dxa"/>
            <w:vAlign w:val="bottom"/>
            <w:gridSpan w:val="4"/>
          </w:tcPr>
          <w:p>
            <w:pPr>
              <w:jc w:val="right"/>
              <w:ind w:right="480"/>
              <w:spacing w:after="0"/>
              <w:rPr>
                <w:sz w:val="20"/>
                <w:szCs w:val="20"/>
                <w:color w:val="auto"/>
              </w:rPr>
            </w:pPr>
            <w:r>
              <w:rPr>
                <w:rFonts w:ascii="Arial" w:cs="Arial" w:eastAsia="Arial" w:hAnsi="Arial"/>
                <w:sz w:val="16"/>
                <w:szCs w:val="16"/>
                <w:b w:val="1"/>
                <w:bCs w:val="1"/>
                <w:color w:val="auto"/>
              </w:rPr>
              <w:t>For the nine months ended</w:t>
            </w:r>
          </w:p>
        </w:tc>
      </w:tr>
      <w:tr>
        <w:trPr>
          <w:trHeight w:val="203"/>
        </w:trPr>
        <w:tc>
          <w:tcPr>
            <w:tcW w:w="8440" w:type="dxa"/>
            <w:vAlign w:val="bottom"/>
          </w:tcPr>
          <w:p>
            <w:pPr>
              <w:spacing w:after="0"/>
              <w:rPr>
                <w:sz w:val="17"/>
                <w:szCs w:val="17"/>
                <w:color w:val="auto"/>
              </w:rPr>
            </w:pPr>
          </w:p>
        </w:tc>
        <w:tc>
          <w:tcPr>
            <w:tcW w:w="146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w w:val="89"/>
              </w:rPr>
              <w:t>September 30,</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844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r>
      <w:tr>
        <w:trPr>
          <w:trHeight w:val="239"/>
        </w:trPr>
        <w:tc>
          <w:tcPr>
            <w:tcW w:w="84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line="240" w:lineRule="exact"/>
              <w:rPr>
                <w:sz w:val="20"/>
                <w:szCs w:val="20"/>
                <w:color w:val="auto"/>
              </w:rPr>
            </w:pPr>
            <w:r>
              <w:rPr>
                <w:rFonts w:ascii="Arial" w:cs="Arial" w:eastAsia="Arial" w:hAnsi="Arial"/>
                <w:sz w:val="16"/>
                <w:szCs w:val="16"/>
                <w:i w:val="1"/>
                <w:iCs w:val="1"/>
                <w:color w:val="auto"/>
                <w:w w:val="86"/>
              </w:rPr>
              <w:t>(restated)</w:t>
            </w:r>
            <w:r>
              <w:rPr>
                <w:rFonts w:ascii="Arial" w:cs="Arial" w:eastAsia="Arial" w:hAnsi="Arial"/>
                <w:sz w:val="26"/>
                <w:szCs w:val="26"/>
                <w:i w:val="1"/>
                <w:iCs w:val="1"/>
                <w:color w:val="auto"/>
                <w:w w:val="86"/>
                <w:vertAlign w:val="superscript"/>
              </w:rPr>
              <w:t>(1)</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196"/>
        </w:trPr>
        <w:tc>
          <w:tcPr>
            <w:tcW w:w="8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(Loss)/profit for the period</w:t>
            </w:r>
          </w:p>
        </w:tc>
        <w:tc>
          <w:tcPr>
            <w:tcW w:w="1460" w:type="dxa"/>
            <w:vAlign w:val="bottom"/>
            <w:gridSpan w:val="2"/>
          </w:tcPr>
          <w:p>
            <w:pPr>
              <w:jc w:val="right"/>
              <w:ind w:right="79"/>
              <w:spacing w:after="0"/>
              <w:rPr>
                <w:sz w:val="20"/>
                <w:szCs w:val="20"/>
                <w:color w:val="auto"/>
              </w:rPr>
            </w:pPr>
            <w:r>
              <w:rPr>
                <w:rFonts w:ascii="Arial" w:cs="Arial" w:eastAsia="Arial" w:hAnsi="Arial"/>
                <w:sz w:val="16"/>
                <w:szCs w:val="16"/>
                <w:color w:val="auto"/>
              </w:rPr>
              <w:t>(42,659)</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140,497</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Adjustments for:</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Depreciation</w:t>
            </w:r>
          </w:p>
        </w:tc>
        <w:tc>
          <w:tcPr>
            <w:tcW w:w="1240" w:type="dxa"/>
            <w:vAlign w:val="bottom"/>
          </w:tcPr>
          <w:p>
            <w:pPr>
              <w:jc w:val="right"/>
              <w:spacing w:after="0"/>
              <w:rPr>
                <w:sz w:val="20"/>
                <w:szCs w:val="20"/>
                <w:color w:val="auto"/>
              </w:rPr>
            </w:pPr>
            <w:r>
              <w:rPr>
                <w:rFonts w:ascii="Arial" w:cs="Arial" w:eastAsia="Arial" w:hAnsi="Arial"/>
                <w:sz w:val="16"/>
                <w:szCs w:val="16"/>
                <w:color w:val="auto"/>
              </w:rPr>
              <w:t>130,250</w:t>
            </w: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147,567</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Impairment loss on vessels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22,454</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16,853</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Loss on disposal of non-current assets</w:t>
            </w:r>
          </w:p>
        </w:tc>
        <w:tc>
          <w:tcPr>
            <w:tcW w:w="1240" w:type="dxa"/>
            <w:vAlign w:val="bottom"/>
          </w:tcPr>
          <w:p>
            <w:pPr>
              <w:jc w:val="right"/>
              <w:spacing w:after="0"/>
              <w:rPr>
                <w:sz w:val="20"/>
                <w:szCs w:val="20"/>
                <w:color w:val="auto"/>
              </w:rPr>
            </w:pPr>
            <w:r>
              <w:rPr>
                <w:rFonts w:ascii="Arial" w:cs="Arial" w:eastAsia="Arial" w:hAnsi="Arial"/>
                <w:sz w:val="16"/>
                <w:szCs w:val="16"/>
                <w:color w:val="auto"/>
              </w:rPr>
              <w:t>572</w:t>
            </w: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Share of profit of associates</w:t>
            </w:r>
          </w:p>
        </w:tc>
        <w:tc>
          <w:tcPr>
            <w:tcW w:w="14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(1,576)</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(1,767)</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Financial income</w:t>
            </w:r>
          </w:p>
        </w:tc>
        <w:tc>
          <w:tcPr>
            <w:tcW w:w="1460" w:type="dxa"/>
            <w:vAlign w:val="bottom"/>
            <w:gridSpan w:val="2"/>
          </w:tcPr>
          <w:p>
            <w:pPr>
              <w:jc w:val="right"/>
              <w:ind w:right="79"/>
              <w:spacing w:after="0"/>
              <w:rPr>
                <w:sz w:val="20"/>
                <w:szCs w:val="20"/>
                <w:color w:val="auto"/>
              </w:rPr>
            </w:pPr>
            <w:r>
              <w:rPr>
                <w:rFonts w:ascii="Arial" w:cs="Arial" w:eastAsia="Arial" w:hAnsi="Arial"/>
                <w:sz w:val="16"/>
                <w:szCs w:val="16"/>
                <w:color w:val="auto"/>
              </w:rPr>
              <w:t>(685)</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(116)</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Financial costs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126,101</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128,797</w:t>
            </w:r>
          </w:p>
        </w:tc>
      </w:tr>
      <w:tr>
        <w:trPr>
          <w:trHeight w:val="193"/>
        </w:trPr>
        <w:tc>
          <w:tcPr>
            <w:tcW w:w="8440" w:type="dxa"/>
            <w:vAlign w:val="bottom"/>
          </w:tcPr>
          <w:p>
            <w:pPr>
              <w:spacing w:after="0"/>
              <w:rPr>
                <w:sz w:val="20"/>
                <w:szCs w:val="20"/>
                <w:color w:val="auto"/>
              </w:rPr>
            </w:pPr>
            <w:r>
              <w:rPr>
                <w:rFonts w:ascii="Arial" w:cs="Arial" w:eastAsia="Arial" w:hAnsi="Arial"/>
                <w:sz w:val="16"/>
                <w:szCs w:val="16"/>
                <w:color w:val="auto"/>
              </w:rPr>
              <w:t>Loss/(gain) on derivatives (excluding realized loss on forward foreign exchange</w:t>
            </w: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8440" w:type="dxa"/>
            <w:vAlign w:val="bottom"/>
          </w:tcPr>
          <w:p>
            <w:pPr>
              <w:ind w:left="180"/>
              <w:spacing w:after="0"/>
              <w:rPr>
                <w:sz w:val="20"/>
                <w:szCs w:val="20"/>
                <w:color w:val="auto"/>
              </w:rPr>
            </w:pPr>
            <w:r>
              <w:rPr>
                <w:rFonts w:ascii="Arial" w:cs="Arial" w:eastAsia="Arial" w:hAnsi="Arial"/>
                <w:sz w:val="16"/>
                <w:szCs w:val="16"/>
                <w:color w:val="auto"/>
              </w:rPr>
              <w:t>contracts held for trading)</w:t>
            </w:r>
          </w:p>
        </w:tc>
        <w:tc>
          <w:tcPr>
            <w:tcW w:w="1240" w:type="dxa"/>
            <w:vAlign w:val="bottom"/>
          </w:tcPr>
          <w:p>
            <w:pPr>
              <w:jc w:val="right"/>
              <w:spacing w:after="0"/>
              <w:rPr>
                <w:sz w:val="20"/>
                <w:szCs w:val="20"/>
                <w:color w:val="auto"/>
              </w:rPr>
            </w:pPr>
            <w:r>
              <w:rPr>
                <w:rFonts w:ascii="Arial" w:cs="Arial" w:eastAsia="Arial" w:hAnsi="Arial"/>
                <w:sz w:val="16"/>
                <w:szCs w:val="16"/>
                <w:color w:val="auto"/>
              </w:rPr>
              <w:t>86,570</w:t>
            </w:r>
          </w:p>
        </w:tc>
        <w:tc>
          <w:tcPr>
            <w:tcW w:w="2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(12,417)</w:t>
            </w:r>
          </w:p>
        </w:tc>
      </w:tr>
      <w:tr>
        <w:trPr>
          <w:trHeight w:val="219"/>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4,983</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3,337</w:t>
            </w:r>
          </w:p>
        </w:tc>
      </w:tr>
      <w:tr>
        <w:trPr>
          <w:trHeight w:val="196"/>
        </w:trPr>
        <w:tc>
          <w:tcPr>
            <w:tcW w:w="844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326,010</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422,751</w:t>
            </w:r>
          </w:p>
        </w:tc>
        <w:tc>
          <w:tcPr>
            <w:tcW w:w="100" w:type="dxa"/>
            <w:vAlign w:val="bottom"/>
            <w:tcBorders>
              <w:bottom w:val="single" w:sz="8" w:color="CCEEFF"/>
            </w:tcBorders>
          </w:tcPr>
          <w:p>
            <w:pPr>
              <w:spacing w:after="0"/>
              <w:rPr>
                <w:sz w:val="17"/>
                <w:szCs w:val="17"/>
                <w:color w:val="auto"/>
              </w:rPr>
            </w:pPr>
          </w:p>
        </w:tc>
      </w:tr>
      <w:tr>
        <w:trPr>
          <w:trHeight w:val="196"/>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Movements in working capital</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6,173</w:t>
            </w:r>
          </w:p>
        </w:tc>
        <w:tc>
          <w:tcPr>
            <w:tcW w:w="2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100" w:type="dxa"/>
            <w:vAlign w:val="bottom"/>
            <w:shd w:val="clear" w:color="auto" w:fill="CCEEFF"/>
          </w:tcPr>
          <w:p>
            <w:pPr>
              <w:spacing w:after="0"/>
              <w:rPr>
                <w:sz w:val="17"/>
                <w:szCs w:val="17"/>
                <w:color w:val="auto"/>
              </w:rPr>
            </w:pPr>
          </w:p>
        </w:tc>
      </w:tr>
      <w:tr>
        <w:trPr>
          <w:trHeight w:val="196"/>
        </w:trPr>
        <w:tc>
          <w:tcPr>
            <w:tcW w:w="84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332,183</w:t>
            </w:r>
          </w:p>
        </w:tc>
        <w:tc>
          <w:tcPr>
            <w:tcW w:w="2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424,101</w:t>
            </w:r>
          </w:p>
        </w:tc>
        <w:tc>
          <w:tcPr>
            <w:tcW w:w="100" w:type="dxa"/>
            <w:vAlign w:val="bottom"/>
            <w:tcBorders>
              <w:bottom w:val="single" w:sz="8" w:color="CCEEFF"/>
            </w:tcBorders>
          </w:tcPr>
          <w:p>
            <w:pPr>
              <w:spacing w:after="0"/>
              <w:rPr>
                <w:sz w:val="17"/>
                <w:szCs w:val="17"/>
                <w:color w:val="auto"/>
              </w:rPr>
            </w:pPr>
          </w:p>
        </w:tc>
      </w:tr>
      <w:tr>
        <w:trPr>
          <w:trHeight w:val="196"/>
        </w:trPr>
        <w:tc>
          <w:tcPr>
            <w:tcW w:w="8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Payments for tangible fixed assets and vessels under construction</w:t>
            </w:r>
          </w:p>
        </w:tc>
        <w:tc>
          <w:tcPr>
            <w:tcW w:w="1460" w:type="dxa"/>
            <w:vAlign w:val="bottom"/>
            <w:gridSpan w:val="2"/>
          </w:tcPr>
          <w:p>
            <w:pPr>
              <w:jc w:val="right"/>
              <w:ind w:right="79"/>
              <w:spacing w:after="0"/>
              <w:rPr>
                <w:sz w:val="20"/>
                <w:szCs w:val="20"/>
                <w:color w:val="auto"/>
              </w:rPr>
            </w:pPr>
            <w:r>
              <w:rPr>
                <w:rFonts w:ascii="Arial" w:cs="Arial" w:eastAsia="Arial" w:hAnsi="Arial"/>
                <w:sz w:val="16"/>
                <w:szCs w:val="16"/>
                <w:color w:val="auto"/>
              </w:rPr>
              <w:t>(540,337)</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(492,287)</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Proceeds from disposal of tangible fixed assets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2,322</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Payments for right-of-use assets</w:t>
            </w:r>
          </w:p>
        </w:tc>
        <w:tc>
          <w:tcPr>
            <w:tcW w:w="1460" w:type="dxa"/>
            <w:vAlign w:val="bottom"/>
            <w:gridSpan w:val="2"/>
          </w:tcPr>
          <w:p>
            <w:pPr>
              <w:jc w:val="right"/>
              <w:ind w:right="79"/>
              <w:spacing w:after="0"/>
              <w:rPr>
                <w:sz w:val="20"/>
                <w:szCs w:val="20"/>
                <w:color w:val="auto"/>
              </w:rPr>
            </w:pPr>
            <w:r>
              <w:rPr>
                <w:rFonts w:ascii="Arial" w:cs="Arial" w:eastAsia="Arial" w:hAnsi="Arial"/>
                <w:sz w:val="16"/>
                <w:szCs w:val="16"/>
                <w:color w:val="auto"/>
              </w:rPr>
              <w:t>(5,815)</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Dividends received from associate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1,250</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Purchase of short-term investments</w:t>
            </w:r>
          </w:p>
        </w:tc>
        <w:tc>
          <w:tcPr>
            <w:tcW w:w="14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(2,500)</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Maturity of short-term investments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2,500</w:t>
            </w:r>
          </w:p>
        </w:tc>
      </w:tr>
      <w:tr>
        <w:trPr>
          <w:trHeight w:val="213"/>
        </w:trPr>
        <w:tc>
          <w:tcPr>
            <w:tcW w:w="8440" w:type="dxa"/>
            <w:vAlign w:val="bottom"/>
          </w:tcPr>
          <w:p>
            <w:pPr>
              <w:spacing w:after="0"/>
              <w:rPr>
                <w:sz w:val="20"/>
                <w:szCs w:val="20"/>
                <w:color w:val="auto"/>
              </w:rPr>
            </w:pPr>
            <w:r>
              <w:rPr>
                <w:rFonts w:ascii="Arial" w:cs="Arial" w:eastAsia="Arial" w:hAnsi="Arial"/>
                <w:sz w:val="16"/>
                <w:szCs w:val="16"/>
                <w:color w:val="auto"/>
              </w:rPr>
              <w:t>Financial income received</w:t>
            </w:r>
          </w:p>
        </w:tc>
        <w:tc>
          <w:tcPr>
            <w:tcW w:w="1240" w:type="dxa"/>
            <w:vAlign w:val="bottom"/>
          </w:tcPr>
          <w:p>
            <w:pPr>
              <w:jc w:val="right"/>
              <w:spacing w:after="0"/>
              <w:rPr>
                <w:sz w:val="20"/>
                <w:szCs w:val="20"/>
                <w:color w:val="auto"/>
              </w:rPr>
            </w:pPr>
            <w:r>
              <w:rPr>
                <w:rFonts w:ascii="Arial" w:cs="Arial" w:eastAsia="Arial" w:hAnsi="Arial"/>
                <w:sz w:val="16"/>
                <w:szCs w:val="16"/>
                <w:color w:val="auto"/>
              </w:rPr>
              <w:t>803</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116</w:t>
            </w:r>
          </w:p>
        </w:tc>
      </w:tr>
      <w:tr>
        <w:trPr>
          <w:trHeight w:val="199"/>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(537,202</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(490,921</w:t>
            </w:r>
          </w:p>
        </w:tc>
        <w:tc>
          <w:tcPr>
            <w:tcW w:w="10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b w:val="1"/>
                <w:bCs w:val="1"/>
                <w:color w:val="auto"/>
                <w:w w:val="73"/>
              </w:rPr>
              <w:t>)</w:t>
            </w:r>
          </w:p>
        </w:tc>
      </w:tr>
      <w:tr>
        <w:trPr>
          <w:trHeight w:val="193"/>
        </w:trPr>
        <w:tc>
          <w:tcPr>
            <w:tcW w:w="844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Proceeds from loans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1,678,938</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471,867</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Loan and bond repayments</w:t>
            </w:r>
          </w:p>
        </w:tc>
        <w:tc>
          <w:tcPr>
            <w:tcW w:w="1460" w:type="dxa"/>
            <w:vAlign w:val="bottom"/>
            <w:gridSpan w:val="2"/>
          </w:tcPr>
          <w:p>
            <w:pPr>
              <w:jc w:val="right"/>
              <w:ind w:right="79"/>
              <w:spacing w:after="0"/>
              <w:rPr>
                <w:sz w:val="20"/>
                <w:szCs w:val="20"/>
                <w:color w:val="auto"/>
              </w:rPr>
            </w:pPr>
            <w:r>
              <w:rPr>
                <w:rFonts w:ascii="Arial" w:cs="Arial" w:eastAsia="Arial" w:hAnsi="Arial"/>
                <w:sz w:val="16"/>
                <w:szCs w:val="16"/>
                <w:color w:val="auto"/>
              </w:rPr>
              <w:t>(1,318,416)</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(340,592)</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Payment for bond repurchase at a premium</w:t>
            </w:r>
          </w:p>
        </w:tc>
        <w:tc>
          <w:tcPr>
            <w:tcW w:w="14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(1,937)</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Payment for interest rate swaps termination</w:t>
            </w:r>
          </w:p>
        </w:tc>
        <w:tc>
          <w:tcPr>
            <w:tcW w:w="1460" w:type="dxa"/>
            <w:vAlign w:val="bottom"/>
            <w:gridSpan w:val="2"/>
          </w:tcPr>
          <w:p>
            <w:pPr>
              <w:jc w:val="right"/>
              <w:ind w:right="79"/>
              <w:spacing w:after="0"/>
              <w:rPr>
                <w:sz w:val="20"/>
                <w:szCs w:val="20"/>
                <w:color w:val="auto"/>
              </w:rPr>
            </w:pPr>
            <w:r>
              <w:rPr>
                <w:rFonts w:ascii="Arial" w:cs="Arial" w:eastAsia="Arial" w:hAnsi="Arial"/>
                <w:sz w:val="16"/>
                <w:szCs w:val="16"/>
                <w:color w:val="auto"/>
              </w:rPr>
              <w:t>(26,867)</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Proceeds from entering into interest rate swaps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31,622</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Interest paid</w:t>
            </w:r>
          </w:p>
        </w:tc>
        <w:tc>
          <w:tcPr>
            <w:tcW w:w="1460" w:type="dxa"/>
            <w:vAlign w:val="bottom"/>
            <w:gridSpan w:val="2"/>
          </w:tcPr>
          <w:p>
            <w:pPr>
              <w:jc w:val="right"/>
              <w:ind w:right="79"/>
              <w:spacing w:after="0"/>
              <w:rPr>
                <w:sz w:val="20"/>
                <w:szCs w:val="20"/>
                <w:color w:val="auto"/>
              </w:rPr>
            </w:pPr>
            <w:r>
              <w:rPr>
                <w:rFonts w:ascii="Arial" w:cs="Arial" w:eastAsia="Arial" w:hAnsi="Arial"/>
                <w:sz w:val="16"/>
                <w:szCs w:val="16"/>
                <w:color w:val="auto"/>
              </w:rPr>
              <w:t>(139,753)</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(133,850)</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Loan/bond modification costs related to the Transaction</w:t>
            </w:r>
          </w:p>
        </w:tc>
        <w:tc>
          <w:tcPr>
            <w:tcW w:w="14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(15,718)</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Payment of cash collaterals for swaps</w:t>
            </w:r>
          </w:p>
        </w:tc>
        <w:tc>
          <w:tcPr>
            <w:tcW w:w="1460" w:type="dxa"/>
            <w:vAlign w:val="bottom"/>
            <w:gridSpan w:val="2"/>
          </w:tcPr>
          <w:p>
            <w:pPr>
              <w:jc w:val="right"/>
              <w:ind w:right="79"/>
              <w:spacing w:after="0"/>
              <w:rPr>
                <w:sz w:val="20"/>
                <w:szCs w:val="20"/>
                <w:color w:val="auto"/>
              </w:rPr>
            </w:pPr>
            <w:r>
              <w:rPr>
                <w:rFonts w:ascii="Arial" w:cs="Arial" w:eastAsia="Arial" w:hAnsi="Arial"/>
                <w:sz w:val="16"/>
                <w:szCs w:val="16"/>
                <w:color w:val="auto"/>
              </w:rPr>
              <w:t>(96,415)</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(7,100)</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Release of cash collaterals for swaps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70,310</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25,427</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Payment of loan and bond issuance costs</w:t>
            </w:r>
          </w:p>
        </w:tc>
        <w:tc>
          <w:tcPr>
            <w:tcW w:w="1460" w:type="dxa"/>
            <w:vAlign w:val="bottom"/>
            <w:gridSpan w:val="2"/>
          </w:tcPr>
          <w:p>
            <w:pPr>
              <w:jc w:val="right"/>
              <w:ind w:right="79"/>
              <w:spacing w:after="0"/>
              <w:rPr>
                <w:sz w:val="20"/>
                <w:szCs w:val="20"/>
                <w:color w:val="auto"/>
              </w:rPr>
            </w:pPr>
            <w:r>
              <w:rPr>
                <w:rFonts w:ascii="Arial" w:cs="Arial" w:eastAsia="Arial" w:hAnsi="Arial"/>
                <w:sz w:val="16"/>
                <w:szCs w:val="16"/>
                <w:color w:val="auto"/>
              </w:rPr>
              <w:t>(25,657)</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(10,274)</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Loan issuance costs received</w:t>
            </w:r>
          </w:p>
        </w:tc>
        <w:tc>
          <w:tcPr>
            <w:tcW w:w="14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379</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Payment of equity raising costs</w:t>
            </w:r>
          </w:p>
        </w:tc>
        <w:tc>
          <w:tcPr>
            <w:tcW w:w="1460" w:type="dxa"/>
            <w:vAlign w:val="bottom"/>
            <w:gridSpan w:val="2"/>
          </w:tcPr>
          <w:p>
            <w:pPr>
              <w:jc w:val="right"/>
              <w:ind w:right="79"/>
              <w:spacing w:after="0"/>
              <w:rPr>
                <w:sz w:val="20"/>
                <w:szCs w:val="20"/>
                <w:color w:val="auto"/>
              </w:rPr>
            </w:pPr>
            <w:r>
              <w:rPr>
                <w:rFonts w:ascii="Arial" w:cs="Arial" w:eastAsia="Arial" w:hAnsi="Arial"/>
                <w:sz w:val="16"/>
                <w:szCs w:val="16"/>
                <w:color w:val="auto"/>
              </w:rPr>
              <w:t>(816)</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(334)</w:t>
            </w:r>
          </w:p>
        </w:tc>
      </w:tr>
      <w:tr>
        <w:trPr>
          <w:trHeight w:val="19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Proceeds from GasLog Partners’ common unit offerings (net of underwriting discounts</w:t>
            </w: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8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and commissions)</w:t>
            </w:r>
          </w:p>
        </w:tc>
        <w:tc>
          <w:tcPr>
            <w:tcW w:w="14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10,000</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Proceeds from private placement</w:t>
            </w:r>
          </w:p>
        </w:tc>
        <w:tc>
          <w:tcPr>
            <w:tcW w:w="1240" w:type="dxa"/>
            <w:vAlign w:val="bottom"/>
          </w:tcPr>
          <w:p>
            <w:pPr>
              <w:jc w:val="right"/>
              <w:spacing w:after="0"/>
              <w:rPr>
                <w:sz w:val="20"/>
                <w:szCs w:val="20"/>
                <w:color w:val="auto"/>
              </w:rPr>
            </w:pPr>
            <w:r>
              <w:rPr>
                <w:rFonts w:ascii="Arial" w:cs="Arial" w:eastAsia="Arial" w:hAnsi="Arial"/>
                <w:sz w:val="16"/>
                <w:szCs w:val="16"/>
                <w:color w:val="auto"/>
              </w:rPr>
              <w:t>36,000</w:t>
            </w: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Dividends paid</w:t>
            </w:r>
          </w:p>
        </w:tc>
        <w:tc>
          <w:tcPr>
            <w:tcW w:w="14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(74,857)</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(54,974)</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Payment for cross currency swaps’ (“CCS”) termination/modification</w:t>
            </w:r>
          </w:p>
        </w:tc>
        <w:tc>
          <w:tcPr>
            <w:tcW w:w="1460" w:type="dxa"/>
            <w:vAlign w:val="bottom"/>
            <w:gridSpan w:val="2"/>
          </w:tcPr>
          <w:p>
            <w:pPr>
              <w:jc w:val="right"/>
              <w:ind w:right="79"/>
              <w:spacing w:after="0"/>
              <w:rPr>
                <w:sz w:val="20"/>
                <w:szCs w:val="20"/>
                <w:color w:val="auto"/>
              </w:rPr>
            </w:pPr>
            <w:r>
              <w:rPr>
                <w:rFonts w:ascii="Arial" w:cs="Arial" w:eastAsia="Arial" w:hAnsi="Arial"/>
                <w:sz w:val="16"/>
                <w:szCs w:val="16"/>
                <w:color w:val="auto"/>
              </w:rPr>
              <w:t>(4,051)</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Purchase of treasury shares or GasLog Partners’ common and preference units</w:t>
            </w:r>
          </w:p>
        </w:tc>
        <w:tc>
          <w:tcPr>
            <w:tcW w:w="14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(2,996)</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(12,361)</w:t>
            </w:r>
          </w:p>
        </w:tc>
      </w:tr>
      <w:tr>
        <w:trPr>
          <w:trHeight w:val="213"/>
        </w:trPr>
        <w:tc>
          <w:tcPr>
            <w:tcW w:w="8440" w:type="dxa"/>
            <w:vAlign w:val="bottom"/>
          </w:tcPr>
          <w:p>
            <w:pPr>
              <w:spacing w:after="0"/>
              <w:rPr>
                <w:sz w:val="20"/>
                <w:szCs w:val="20"/>
                <w:color w:val="auto"/>
              </w:rPr>
            </w:pPr>
            <w:r>
              <w:rPr>
                <w:rFonts w:ascii="Arial" w:cs="Arial" w:eastAsia="Arial" w:hAnsi="Arial"/>
                <w:sz w:val="16"/>
                <w:szCs w:val="16"/>
                <w:color w:val="auto"/>
              </w:rPr>
              <w:t>Payments for lease liabilities</w:t>
            </w:r>
          </w:p>
        </w:tc>
        <w:tc>
          <w:tcPr>
            <w:tcW w:w="1460" w:type="dxa"/>
            <w:vAlign w:val="bottom"/>
            <w:gridSpan w:val="2"/>
          </w:tcPr>
          <w:p>
            <w:pPr>
              <w:jc w:val="right"/>
              <w:ind w:right="79"/>
              <w:spacing w:after="0"/>
              <w:rPr>
                <w:sz w:val="20"/>
                <w:szCs w:val="20"/>
                <w:color w:val="auto"/>
              </w:rPr>
            </w:pPr>
            <w:r>
              <w:rPr>
                <w:rFonts w:ascii="Arial" w:cs="Arial" w:eastAsia="Arial" w:hAnsi="Arial"/>
                <w:sz w:val="16"/>
                <w:szCs w:val="16"/>
                <w:color w:val="auto"/>
              </w:rPr>
              <w:t>(8,225)</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(8,293)</w:t>
            </w:r>
          </w:p>
        </w:tc>
      </w:tr>
      <w:tr>
        <w:trPr>
          <w:trHeight w:val="199"/>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cash provided by/(used in) financing activities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116,880</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(75,823</w:t>
            </w:r>
          </w:p>
        </w:tc>
        <w:tc>
          <w:tcPr>
            <w:tcW w:w="10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b w:val="1"/>
                <w:bCs w:val="1"/>
                <w:color w:val="auto"/>
                <w:w w:val="73"/>
              </w:rPr>
              <w:t>)</w:t>
            </w:r>
          </w:p>
        </w:tc>
      </w:tr>
      <w:tr>
        <w:trPr>
          <w:trHeight w:val="196"/>
        </w:trPr>
        <w:tc>
          <w:tcPr>
            <w:tcW w:w="8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Effects of exchange rate changes on cash and cash equivalents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(2,138</w:t>
            </w:r>
          </w:p>
        </w:tc>
        <w:tc>
          <w:tcPr>
            <w:tcW w:w="22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Borders>
              <w:bottom w:val="single" w:sz="8" w:color="CCEEFF"/>
            </w:tcBorders>
          </w:tcPr>
          <w:p>
            <w:pPr>
              <w:jc w:val="right"/>
              <w:ind w:right="20"/>
              <w:spacing w:after="0"/>
              <w:rPr>
                <w:sz w:val="20"/>
                <w:szCs w:val="20"/>
                <w:color w:val="auto"/>
              </w:rPr>
            </w:pPr>
            <w:r>
              <w:rPr>
                <w:rFonts w:ascii="Arial" w:cs="Arial" w:eastAsia="Arial" w:hAnsi="Arial"/>
                <w:sz w:val="8"/>
                <w:szCs w:val="8"/>
                <w:color w:val="auto"/>
                <w:w w:val="73"/>
              </w:rPr>
              <w:t>)</w:t>
            </w:r>
          </w:p>
        </w:tc>
      </w:tr>
      <w:tr>
        <w:trPr>
          <w:trHeight w:val="196"/>
        </w:trPr>
        <w:tc>
          <w:tcPr>
            <w:tcW w:w="8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Decrease in cash and cash equivalents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(90,277</w:t>
            </w: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(142,980</w:t>
            </w:r>
          </w:p>
        </w:tc>
        <w:tc>
          <w:tcPr>
            <w:tcW w:w="100" w:type="dxa"/>
            <w:vAlign w:val="bottom"/>
            <w:shd w:val="clear" w:color="auto" w:fill="CCEEFF"/>
          </w:tcPr>
          <w:p>
            <w:pPr>
              <w:jc w:val="right"/>
              <w:ind w:right="20"/>
              <w:spacing w:after="0"/>
              <w:rPr>
                <w:sz w:val="20"/>
                <w:szCs w:val="20"/>
                <w:color w:val="auto"/>
              </w:rPr>
            </w:pPr>
            <w:r>
              <w:rPr>
                <w:rFonts w:ascii="Arial" w:cs="Arial" w:eastAsia="Arial" w:hAnsi="Arial"/>
                <w:sz w:val="8"/>
                <w:szCs w:val="8"/>
                <w:b w:val="1"/>
                <w:bCs w:val="1"/>
                <w:color w:val="auto"/>
                <w:w w:val="73"/>
              </w:rPr>
              <w:t>)</w:t>
            </w:r>
          </w:p>
        </w:tc>
      </w:tr>
      <w:tr>
        <w:trPr>
          <w:trHeight w:val="196"/>
        </w:trPr>
        <w:tc>
          <w:tcPr>
            <w:tcW w:w="8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beginning of the period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263,747</w:t>
            </w:r>
          </w:p>
        </w:tc>
        <w:tc>
          <w:tcPr>
            <w:tcW w:w="2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367,269</w:t>
            </w:r>
          </w:p>
        </w:tc>
        <w:tc>
          <w:tcPr>
            <w:tcW w:w="100" w:type="dxa"/>
            <w:vAlign w:val="bottom"/>
            <w:tcBorders>
              <w:bottom w:val="single" w:sz="8" w:color="CCEEFF"/>
            </w:tcBorders>
          </w:tcPr>
          <w:p>
            <w:pPr>
              <w:spacing w:after="0"/>
              <w:rPr>
                <w:sz w:val="17"/>
                <w:szCs w:val="17"/>
                <w:color w:val="auto"/>
              </w:rPr>
            </w:pPr>
          </w:p>
        </w:tc>
      </w:tr>
      <w:tr>
        <w:trPr>
          <w:trHeight w:val="210"/>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173,470</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224,289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left="660" w:right="520" w:hanging="328"/>
        <w:spacing w:after="0" w:line="253" w:lineRule="auto"/>
        <w:tabs>
          <w:tab w:leader="none" w:pos="660" w:val="left"/>
        </w:tabs>
        <w:numPr>
          <w:ilvl w:val="0"/>
          <w:numId w:val="3"/>
        </w:numPr>
        <w:rPr>
          <w:rFonts w:ascii="Arial" w:cs="Arial" w:eastAsia="Arial" w:hAnsi="Arial"/>
          <w:sz w:val="12"/>
          <w:szCs w:val="12"/>
          <w:color w:val="auto"/>
        </w:rPr>
      </w:pPr>
      <w:r>
        <w:rPr>
          <w:rFonts w:ascii="Arial" w:cs="Arial" w:eastAsia="Arial" w:hAnsi="Arial"/>
          <w:sz w:val="14"/>
          <w:szCs w:val="14"/>
          <w:color w:val="auto"/>
        </w:rPr>
        <w:t>Restated so as to reflect a change in accounting policy introduced on January 1, 2021, with respect to the reclassification of interest paid and movements of cash collaterals for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EXHIBIT II</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EBITDA, Adjusted EBITDA and Adjusted Profit</w:t>
      </w:r>
    </w:p>
    <w:p>
      <w:pPr>
        <w:spacing w:after="0" w:line="225" w:lineRule="exact"/>
        <w:rPr>
          <w:sz w:val="20"/>
          <w:szCs w:val="20"/>
          <w:color w:val="auto"/>
        </w:rPr>
      </w:pPr>
    </w:p>
    <w:p>
      <w:pPr>
        <w:ind w:right="20"/>
        <w:spacing w:after="0" w:line="305" w:lineRule="auto"/>
        <w:rPr>
          <w:sz w:val="20"/>
          <w:szCs w:val="20"/>
          <w:color w:val="auto"/>
        </w:rPr>
      </w:pPr>
      <w:r>
        <w:rPr>
          <w:rFonts w:ascii="Arial" w:cs="Arial" w:eastAsia="Arial" w:hAnsi="Arial"/>
          <w:sz w:val="14"/>
          <w:szCs w:val="14"/>
          <w:color w:val="auto"/>
        </w:rPr>
        <w:t>EBITDA is defined as earnings before depreciation, amortization, financial income and costs, gain/loss on derivatives and taxes. Adjusted EBITDA is defined as EBITDA before foreign exchange gains/losses, impairment loss on vessels, gain/loss on disposal of non-current assets, restructuring costs and Transaction Costs. Adjusted Profit represents earnings before write-off and accelerated amortization of unamortized loan fees/bond fees and premium, foreign exchange gains/losses, unrealized foreign exchange losses on cash and bond, impairment loss on vessels, swap optimization costs (with respect to cash collateral amendments), gain/loss on disposal of non-current assets, restructuring costs, Transaction Costs and non-cash gain/loss on derivatives that includes (if any) (a) unrealized gain/loss on derivative financial instruments held for trading, (b) recycled loss of cash flow hedges reclassified to profit or loss and (c) ineffective portion of cash flow hedges. EBITDA, Adjusted EBITDA and Adjusted Profit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and Adjusted Profit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shares. This is achieved by excluding the potentially disparate effects between periods of, in the case of EBITDA and Adjusted EBITDA, financial costs, gain/loss on derivatives, taxes, depreciation and amortization; in the case of Adjusted EBITDA, foreign exchange gains/losses, impairment loss on vessels, gain/loss on disposal of non-current assets, restructuring costs and Transaction Costs; and in the case of Adjusted Profit, write-off and accelerated amortization of unamortized loan/bond fees and premium, foreign exchange gains/losses, unrealized foreign exchange losses on cash and bond, impairment loss on vessels, swap optimization costs (with respect to cash collateral amendments), gain/loss on disposal of non-current assets, restructuring costs, Transaction Costs and non-cash gain/loss on derivatives, which items are affected by various and possibly changing financing methods, financial market conditions, capital structure and historical cost basis, and which items may significantly affect results of operations between periods. In the current period, Transaction Costs are excluded from Adjusted EBITDA and Adjusted Profit because they are charges and items not considered to be reflective of the ongoing operations of the company, that we believe reduce the comparability of our operating and business performance across periods.</w:t>
      </w:r>
    </w:p>
    <w:p>
      <w:pPr>
        <w:spacing w:after="0" w:line="367" w:lineRule="exact"/>
        <w:rPr>
          <w:sz w:val="20"/>
          <w:szCs w:val="20"/>
          <w:color w:val="auto"/>
        </w:rPr>
      </w:pPr>
    </w:p>
    <w:p>
      <w:pPr>
        <w:ind w:right="40"/>
        <w:spacing w:after="0" w:line="313" w:lineRule="auto"/>
        <w:rPr>
          <w:sz w:val="20"/>
          <w:szCs w:val="20"/>
          <w:color w:val="auto"/>
        </w:rPr>
      </w:pPr>
      <w:r>
        <w:rPr>
          <w:rFonts w:ascii="Arial" w:cs="Arial" w:eastAsia="Arial" w:hAnsi="Arial"/>
          <w:sz w:val="14"/>
          <w:szCs w:val="14"/>
          <w:color w:val="auto"/>
        </w:rPr>
        <w:t>EBITDA, Adjusted EBITDA and Adjusted Profit have limitations as analytical tools and should not be considered as alternatives to, or as substitutes for, or superior to, profit, profit from operations, earnings per share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and Adjusted Profit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50"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In evaluating Adjusted EBITDA and Adjusted Profit, you should be aware that in the future we may incur expenses that are the same as, or similar to, some of the adjustments in this presentation. Our presentation of Adjusted EBITDA and Adjusted Profit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Profit/(loss) to EBITDA and Adjusted EBITDA:</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2940" w:type="dxa"/>
            <w:vAlign w:val="bottom"/>
            <w:gridSpan w:val="4"/>
          </w:tcPr>
          <w:p>
            <w:pPr>
              <w:jc w:val="right"/>
              <w:ind w:right="620"/>
              <w:spacing w:after="0"/>
              <w:rPr>
                <w:sz w:val="20"/>
                <w:szCs w:val="20"/>
                <w:color w:val="auto"/>
              </w:rPr>
            </w:pPr>
            <w:r>
              <w:rPr>
                <w:rFonts w:ascii="Arial" w:cs="Arial" w:eastAsia="Arial" w:hAnsi="Arial"/>
                <w:sz w:val="16"/>
                <w:szCs w:val="16"/>
                <w:b w:val="1"/>
                <w:bCs w:val="1"/>
                <w:color w:val="auto"/>
              </w:rPr>
              <w:t>For the three months ended</w:t>
            </w:r>
          </w:p>
        </w:tc>
        <w:tc>
          <w:tcPr>
            <w:tcW w:w="2780" w:type="dxa"/>
            <w:vAlign w:val="bottom"/>
            <w:gridSpan w:val="5"/>
          </w:tcPr>
          <w:p>
            <w:pPr>
              <w:jc w:val="right"/>
              <w:ind w:right="520"/>
              <w:spacing w:after="0"/>
              <w:rPr>
                <w:sz w:val="20"/>
                <w:szCs w:val="20"/>
                <w:color w:val="auto"/>
              </w:rPr>
            </w:pPr>
            <w:r>
              <w:rPr>
                <w:rFonts w:ascii="Arial" w:cs="Arial" w:eastAsia="Arial" w:hAnsi="Arial"/>
                <w:sz w:val="16"/>
                <w:szCs w:val="16"/>
                <w:b w:val="1"/>
                <w:bCs w:val="1"/>
                <w:color w:val="auto"/>
              </w:rPr>
              <w:t>For the nine months ended</w:t>
            </w:r>
          </w:p>
        </w:tc>
      </w:tr>
      <w:tr>
        <w:trPr>
          <w:trHeight w:val="203"/>
        </w:trPr>
        <w:tc>
          <w:tcPr>
            <w:tcW w:w="5520" w:type="dxa"/>
            <w:vAlign w:val="bottom"/>
          </w:tcPr>
          <w:p>
            <w:pPr>
              <w:spacing w:after="0"/>
              <w:rPr>
                <w:sz w:val="17"/>
                <w:szCs w:val="17"/>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September 30,</w:t>
            </w:r>
          </w:p>
        </w:tc>
        <w:tc>
          <w:tcPr>
            <w:tcW w:w="14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8"/>
              </w:rPr>
              <w:t>September 30,</w:t>
            </w:r>
          </w:p>
        </w:tc>
        <w:tc>
          <w:tcPr>
            <w:tcW w:w="14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8"/>
              </w:rPr>
              <w:t>September 30,</w:t>
            </w:r>
          </w:p>
        </w:tc>
        <w:tc>
          <w:tcPr>
            <w:tcW w:w="13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55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99"/>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Profit/(loss) for the period</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10,116</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48,542</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(42,659)</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140,497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Depreciation</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45,106</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51,384</w:t>
            </w:r>
          </w:p>
        </w:tc>
        <w:tc>
          <w:tcPr>
            <w:tcW w:w="1220" w:type="dxa"/>
            <w:vAlign w:val="bottom"/>
          </w:tcPr>
          <w:p>
            <w:pPr>
              <w:jc w:val="right"/>
              <w:spacing w:after="0"/>
              <w:rPr>
                <w:sz w:val="20"/>
                <w:szCs w:val="20"/>
                <w:color w:val="auto"/>
              </w:rPr>
            </w:pPr>
            <w:r>
              <w:rPr>
                <w:rFonts w:ascii="Arial" w:cs="Arial" w:eastAsia="Arial" w:hAnsi="Arial"/>
                <w:sz w:val="16"/>
                <w:szCs w:val="16"/>
                <w:color w:val="auto"/>
              </w:rPr>
              <w:t>130,250</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147,567</w:t>
            </w:r>
          </w:p>
        </w:tc>
        <w:tc>
          <w:tcPr>
            <w:tcW w:w="80" w:type="dxa"/>
            <w:vAlign w:val="bottom"/>
          </w:tcPr>
          <w:p>
            <w:pPr>
              <w:spacing w:after="0"/>
              <w:rPr>
                <w:sz w:val="17"/>
                <w:szCs w:val="17"/>
                <w:color w:val="auto"/>
              </w:rPr>
            </w:pPr>
          </w:p>
        </w:tc>
      </w:tr>
      <w:tr>
        <w:trPr>
          <w:trHeight w:val="203"/>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Financial costs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41,103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38,193</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126,101</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128,797</w:t>
            </w:r>
          </w:p>
        </w:tc>
        <w:tc>
          <w:tcPr>
            <w:tcW w:w="80" w:type="dxa"/>
            <w:vAlign w:val="bottom"/>
            <w:shd w:val="clear" w:color="auto" w:fill="CCEE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Financial income</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(40)</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(30)</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(685)</w:t>
            </w:r>
          </w:p>
        </w:tc>
        <w:tc>
          <w:tcPr>
            <w:tcW w:w="1340" w:type="dxa"/>
            <w:vAlign w:val="bottom"/>
            <w:gridSpan w:val="3"/>
          </w:tcPr>
          <w:p>
            <w:pPr>
              <w:jc w:val="right"/>
              <w:ind w:right="60"/>
              <w:spacing w:after="0"/>
              <w:rPr>
                <w:sz w:val="20"/>
                <w:szCs w:val="20"/>
                <w:color w:val="auto"/>
              </w:rPr>
            </w:pPr>
            <w:r>
              <w:rPr>
                <w:rFonts w:ascii="Arial" w:cs="Arial" w:eastAsia="Arial" w:hAnsi="Arial"/>
                <w:sz w:val="16"/>
                <w:szCs w:val="16"/>
                <w:color w:val="auto"/>
              </w:rPr>
              <w:t>(116)</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Loss/(gain) on derivatives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2,095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1,737</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86,686</w:t>
            </w:r>
          </w:p>
        </w:tc>
        <w:tc>
          <w:tcPr>
            <w:tcW w:w="2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(12,236)</w:t>
            </w:r>
          </w:p>
        </w:tc>
      </w:tr>
      <w:tr>
        <w:trPr>
          <w:trHeight w:val="196"/>
        </w:trPr>
        <w:tc>
          <w:tcPr>
            <w:tcW w:w="55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EBITDA</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98,380</w:t>
            </w:r>
          </w:p>
        </w:tc>
        <w:tc>
          <w:tcPr>
            <w:tcW w:w="24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139,826</w:t>
            </w:r>
          </w:p>
        </w:tc>
        <w:tc>
          <w:tcPr>
            <w:tcW w:w="22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299,693</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404,509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196"/>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Foreign exchange losses/(gains), net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00" w:type="dxa"/>
            <w:vAlign w:val="bottom"/>
            <w:gridSpan w:val="2"/>
            <w:shd w:val="clear" w:color="auto" w:fill="CCEE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Restructuring costs</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3,147</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660</w:t>
            </w:r>
          </w:p>
        </w:tc>
        <w:tc>
          <w:tcPr>
            <w:tcW w:w="1220" w:type="dxa"/>
            <w:vAlign w:val="bottom"/>
          </w:tcPr>
          <w:p>
            <w:pPr>
              <w:jc w:val="right"/>
              <w:spacing w:after="0"/>
              <w:rPr>
                <w:sz w:val="20"/>
                <w:szCs w:val="20"/>
                <w:color w:val="auto"/>
              </w:rPr>
            </w:pPr>
            <w:r>
              <w:rPr>
                <w:rFonts w:ascii="Arial" w:cs="Arial" w:eastAsia="Arial" w:hAnsi="Arial"/>
                <w:sz w:val="16"/>
                <w:szCs w:val="16"/>
                <w:color w:val="auto"/>
              </w:rPr>
              <w:t>5,107</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804</w:t>
            </w:r>
          </w:p>
        </w:tc>
        <w:tc>
          <w:tcPr>
            <w:tcW w:w="80" w:type="dxa"/>
            <w:vAlign w:val="bottom"/>
          </w:tcPr>
          <w:p>
            <w:pPr>
              <w:spacing w:after="0"/>
              <w:rPr>
                <w:sz w:val="17"/>
                <w:szCs w:val="17"/>
                <w:color w:val="auto"/>
              </w:rPr>
            </w:pPr>
          </w:p>
        </w:tc>
      </w:tr>
      <w:tr>
        <w:trPr>
          <w:trHeight w:val="202"/>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Transaction Costs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9,666</w:t>
            </w:r>
          </w:p>
        </w:tc>
        <w:tc>
          <w:tcPr>
            <w:tcW w:w="80" w:type="dxa"/>
            <w:vAlign w:val="bottom"/>
            <w:shd w:val="clear" w:color="auto" w:fill="CCEE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Loss on disposal of non-current assets</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572</w:t>
            </w:r>
          </w:p>
        </w:tc>
        <w:tc>
          <w:tcPr>
            <w:tcW w:w="220" w:type="dxa"/>
            <w:vAlign w:val="bottom"/>
          </w:tcPr>
          <w:p>
            <w:pPr>
              <w:spacing w:after="0"/>
              <w:rPr>
                <w:sz w:val="17"/>
                <w:szCs w:val="17"/>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Impairment loss on vessels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16,853</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16,853</w:t>
            </w:r>
          </w:p>
        </w:tc>
        <w:tc>
          <w:tcPr>
            <w:tcW w:w="80" w:type="dxa"/>
            <w:vAlign w:val="bottom"/>
            <w:shd w:val="clear" w:color="auto" w:fill="CCEEFF"/>
          </w:tcPr>
          <w:p>
            <w:pPr>
              <w:spacing w:after="0"/>
              <w:rPr>
                <w:sz w:val="18"/>
                <w:szCs w:val="18"/>
                <w:color w:val="auto"/>
              </w:rPr>
            </w:pPr>
          </w:p>
        </w:tc>
      </w:tr>
      <w:tr>
        <w:trPr>
          <w:trHeight w:val="207"/>
        </w:trPr>
        <w:tc>
          <w:tcPr>
            <w:tcW w:w="552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102,111</w:t>
            </w:r>
          </w:p>
        </w:tc>
        <w:tc>
          <w:tcPr>
            <w:tcW w:w="24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157,722</w:t>
            </w:r>
          </w:p>
        </w:tc>
        <w:tc>
          <w:tcPr>
            <w:tcW w:w="22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328,180</w:t>
            </w:r>
          </w:p>
        </w:tc>
        <w:tc>
          <w:tcPr>
            <w:tcW w:w="2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431,118</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8"/>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9"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Reconciliation of Profit/(loss) to Adjusted Profit: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2940" w:type="dxa"/>
            <w:vAlign w:val="bottom"/>
            <w:gridSpan w:val="4"/>
          </w:tcPr>
          <w:p>
            <w:pPr>
              <w:jc w:val="right"/>
              <w:ind w:right="620"/>
              <w:spacing w:after="0"/>
              <w:rPr>
                <w:sz w:val="20"/>
                <w:szCs w:val="20"/>
                <w:color w:val="auto"/>
              </w:rPr>
            </w:pPr>
            <w:r>
              <w:rPr>
                <w:rFonts w:ascii="Arial" w:cs="Arial" w:eastAsia="Arial" w:hAnsi="Arial"/>
                <w:sz w:val="16"/>
                <w:szCs w:val="16"/>
                <w:b w:val="1"/>
                <w:bCs w:val="1"/>
                <w:color w:val="auto"/>
              </w:rPr>
              <w:t>For the three months ended</w:t>
            </w:r>
          </w:p>
        </w:tc>
        <w:tc>
          <w:tcPr>
            <w:tcW w:w="2780" w:type="dxa"/>
            <w:vAlign w:val="bottom"/>
            <w:gridSpan w:val="4"/>
          </w:tcPr>
          <w:p>
            <w:pPr>
              <w:jc w:val="right"/>
              <w:ind w:right="520"/>
              <w:spacing w:after="0"/>
              <w:rPr>
                <w:sz w:val="20"/>
                <w:szCs w:val="20"/>
                <w:color w:val="auto"/>
              </w:rPr>
            </w:pPr>
            <w:r>
              <w:rPr>
                <w:rFonts w:ascii="Arial" w:cs="Arial" w:eastAsia="Arial" w:hAnsi="Arial"/>
                <w:sz w:val="16"/>
                <w:szCs w:val="16"/>
                <w:b w:val="1"/>
                <w:bCs w:val="1"/>
                <w:color w:val="auto"/>
              </w:rPr>
              <w:t>For the nine months ended</w:t>
            </w:r>
          </w:p>
        </w:tc>
      </w:tr>
      <w:tr>
        <w:trPr>
          <w:trHeight w:val="203"/>
        </w:trPr>
        <w:tc>
          <w:tcPr>
            <w:tcW w:w="5520" w:type="dxa"/>
            <w:vAlign w:val="bottom"/>
          </w:tcPr>
          <w:p>
            <w:pPr>
              <w:spacing w:after="0"/>
              <w:rPr>
                <w:sz w:val="17"/>
                <w:szCs w:val="17"/>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September 30,</w:t>
            </w:r>
          </w:p>
        </w:tc>
        <w:tc>
          <w:tcPr>
            <w:tcW w:w="14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8"/>
              </w:rPr>
              <w:t>September 30,</w:t>
            </w:r>
          </w:p>
        </w:tc>
        <w:tc>
          <w:tcPr>
            <w:tcW w:w="14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8"/>
              </w:rPr>
              <w:t>September 30,</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55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r>
      <w:tr>
        <w:trPr>
          <w:trHeight w:val="199"/>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Profit/(loss) for the period</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10,116</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48,542</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(42,659)</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140,497</w:t>
            </w:r>
          </w:p>
        </w:tc>
        <w:tc>
          <w:tcPr>
            <w:tcW w:w="100" w:type="dxa"/>
            <w:vAlign w:val="bottom"/>
            <w:shd w:val="clear" w:color="auto" w:fill="CCEE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Non-cash (gain)/loss on derivatives</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(5,616)</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(7,448)</w:t>
            </w:r>
          </w:p>
        </w:tc>
        <w:tc>
          <w:tcPr>
            <w:tcW w:w="1220" w:type="dxa"/>
            <w:vAlign w:val="bottom"/>
          </w:tcPr>
          <w:p>
            <w:pPr>
              <w:jc w:val="right"/>
              <w:spacing w:after="0"/>
              <w:rPr>
                <w:sz w:val="20"/>
                <w:szCs w:val="20"/>
                <w:color w:val="auto"/>
              </w:rPr>
            </w:pPr>
            <w:r>
              <w:rPr>
                <w:rFonts w:ascii="Arial" w:cs="Arial" w:eastAsia="Arial" w:hAnsi="Arial"/>
                <w:sz w:val="16"/>
                <w:szCs w:val="16"/>
                <w:color w:val="auto"/>
              </w:rPr>
              <w:t>74,638</w:t>
            </w: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(39,019)</w:t>
            </w:r>
          </w:p>
        </w:tc>
      </w:tr>
      <w:tr>
        <w:trPr>
          <w:trHeight w:val="203"/>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Write-off of unamortized loan/bond fees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4,774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841</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5,090</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4,369</w:t>
            </w: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Foreign exchange losses/(gains), net</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584</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(325)</w:t>
            </w:r>
          </w:p>
        </w:tc>
        <w:tc>
          <w:tcPr>
            <w:tcW w:w="1220" w:type="dxa"/>
            <w:vAlign w:val="bottom"/>
          </w:tcPr>
          <w:p>
            <w:pPr>
              <w:jc w:val="right"/>
              <w:spacing w:after="0"/>
              <w:rPr>
                <w:sz w:val="20"/>
                <w:szCs w:val="20"/>
                <w:color w:val="auto"/>
              </w:rPr>
            </w:pPr>
            <w:r>
              <w:rPr>
                <w:rFonts w:ascii="Arial" w:cs="Arial" w:eastAsia="Arial" w:hAnsi="Arial"/>
                <w:sz w:val="16"/>
                <w:szCs w:val="16"/>
                <w:color w:val="auto"/>
              </w:rPr>
              <w:t>354</w:t>
            </w: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(714)</w:t>
            </w:r>
          </w:p>
        </w:tc>
      </w:tr>
      <w:tr>
        <w:trPr>
          <w:trHeight w:val="203"/>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Restructuring costs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3,147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660</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5,107</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804</w:t>
            </w: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Transaction Costs</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775</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25,385</w:t>
            </w:r>
          </w:p>
        </w:tc>
      </w:tr>
      <w:tr>
        <w:trPr>
          <w:trHeight w:val="193"/>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Unrealized foreign exchange losses/(gains), net on cash</w:t>
            </w:r>
          </w:p>
        </w:tc>
        <w:tc>
          <w:tcPr>
            <w:tcW w:w="1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5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and bonds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285</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(4,036)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337</w:t>
            </w:r>
          </w:p>
        </w:tc>
      </w:tr>
      <w:tr>
        <w:trPr>
          <w:trHeight w:val="193"/>
        </w:trPr>
        <w:tc>
          <w:tcPr>
            <w:tcW w:w="5520" w:type="dxa"/>
            <w:vAlign w:val="bottom"/>
          </w:tcPr>
          <w:p>
            <w:pPr>
              <w:spacing w:after="0"/>
              <w:rPr>
                <w:sz w:val="20"/>
                <w:szCs w:val="20"/>
                <w:color w:val="auto"/>
              </w:rPr>
            </w:pPr>
            <w:r>
              <w:rPr>
                <w:rFonts w:ascii="Arial" w:cs="Arial" w:eastAsia="Arial" w:hAnsi="Arial"/>
                <w:sz w:val="16"/>
                <w:szCs w:val="16"/>
                <w:color w:val="auto"/>
              </w:rPr>
              <w:t>Swap optimization costs (with respect to cash collateral</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5520" w:type="dxa"/>
            <w:vAlign w:val="bottom"/>
          </w:tcPr>
          <w:p>
            <w:pPr>
              <w:ind w:left="160"/>
              <w:spacing w:after="0"/>
              <w:rPr>
                <w:sz w:val="20"/>
                <w:szCs w:val="20"/>
                <w:color w:val="auto"/>
              </w:rPr>
            </w:pPr>
            <w:r>
              <w:rPr>
                <w:rFonts w:ascii="Arial" w:cs="Arial" w:eastAsia="Arial" w:hAnsi="Arial"/>
                <w:sz w:val="16"/>
                <w:szCs w:val="16"/>
                <w:color w:val="auto"/>
              </w:rPr>
              <w:t>amendments)</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3,319</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6"/>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Loss on disposal of non-current assets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13"/>
        </w:trPr>
        <w:tc>
          <w:tcPr>
            <w:tcW w:w="5520" w:type="dxa"/>
            <w:vAlign w:val="bottom"/>
          </w:tcPr>
          <w:p>
            <w:pPr>
              <w:spacing w:after="0"/>
              <w:rPr>
                <w:sz w:val="20"/>
                <w:szCs w:val="20"/>
                <w:color w:val="auto"/>
              </w:rPr>
            </w:pPr>
            <w:r>
              <w:rPr>
                <w:rFonts w:ascii="Arial" w:cs="Arial" w:eastAsia="Arial" w:hAnsi="Arial"/>
                <w:sz w:val="16"/>
                <w:szCs w:val="16"/>
                <w:color w:val="auto"/>
              </w:rPr>
              <w:t>Impairment loss on vessels</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16,853</w:t>
            </w:r>
          </w:p>
        </w:tc>
        <w:tc>
          <w:tcPr>
            <w:tcW w:w="1220" w:type="dxa"/>
            <w:vAlign w:val="bottom"/>
          </w:tcPr>
          <w:p>
            <w:pPr>
              <w:jc w:val="right"/>
              <w:spacing w:after="0"/>
              <w:rPr>
                <w:sz w:val="20"/>
                <w:szCs w:val="20"/>
                <w:color w:val="auto"/>
              </w:rPr>
            </w:pPr>
            <w:r>
              <w:rPr>
                <w:rFonts w:ascii="Arial" w:cs="Arial" w:eastAsia="Arial" w:hAnsi="Arial"/>
                <w:sz w:val="16"/>
                <w:szCs w:val="16"/>
                <w:color w:val="auto"/>
              </w:rPr>
              <w:t>22,454</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16,853</w:t>
            </w:r>
          </w:p>
        </w:tc>
      </w:tr>
      <w:tr>
        <w:trPr>
          <w:trHeight w:val="210"/>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Adjusted Profit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13,019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60,183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64,839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148,512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8"/>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2021-11-16T05:50:31Z</dcterms:created>
  <dcterms:modified xsi:type="dcterms:W3CDTF">2021-11-16T05:50:31Z</dcterms:modified>
</cp:coreProperties>
</file>