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February 2021</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1320" w:type="dxa"/>
            <w:vAlign w:val="bottom"/>
          </w:tcPr>
          <w:p>
            <w:pPr>
              <w:spacing w:after="0"/>
              <w:rPr>
                <w:sz w:val="24"/>
                <w:szCs w:val="24"/>
                <w:color w:val="auto"/>
              </w:rPr>
            </w:pPr>
          </w:p>
        </w:tc>
      </w:tr>
      <w:tr>
        <w:trPr>
          <w:trHeight w:val="41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1320" w:type="dxa"/>
            <w:vAlign w:val="bottom"/>
          </w:tcPr>
          <w:p>
            <w:pPr>
              <w:spacing w:after="0"/>
              <w:rPr>
                <w:sz w:val="24"/>
                <w:szCs w:val="24"/>
                <w:color w:val="auto"/>
              </w:rPr>
            </w:pPr>
          </w:p>
        </w:tc>
      </w:tr>
      <w:tr>
        <w:trPr>
          <w:trHeight w:val="23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320" w:type="dxa"/>
            <w:vAlign w:val="bottom"/>
          </w:tcPr>
          <w:p>
            <w:pPr>
              <w:spacing w:after="0"/>
              <w:rPr>
                <w:sz w:val="20"/>
                <w:szCs w:val="20"/>
                <w:color w:val="auto"/>
              </w:rPr>
            </w:pPr>
          </w:p>
        </w:tc>
      </w:tr>
      <w:tr>
        <w:trPr>
          <w:trHeight w:val="414"/>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320" w:type="dxa"/>
            <w:vAlign w:val="bottom"/>
          </w:tcPr>
          <w:p>
            <w:pPr>
              <w:spacing w:after="0"/>
              <w:rPr>
                <w:sz w:val="24"/>
                <w:szCs w:val="24"/>
                <w:color w:val="auto"/>
              </w:rPr>
            </w:pPr>
          </w:p>
        </w:tc>
      </w:tr>
      <w:tr>
        <w:trPr>
          <w:trHeight w:val="216"/>
        </w:trPr>
        <w:tc>
          <w:tcPr>
            <w:tcW w:w="9920" w:type="dxa"/>
            <w:vAlign w:val="bottom"/>
          </w:tcPr>
          <w:p>
            <w:pPr>
              <w:jc w:val="center"/>
              <w:ind w:left="1256"/>
              <w:spacing w:after="0"/>
              <w:rPr>
                <w:sz w:val="20"/>
                <w:szCs w:val="20"/>
                <w:color w:val="auto"/>
              </w:rPr>
            </w:pPr>
            <w:r>
              <w:rPr>
                <w:rFonts w:ascii="Times New Roman" w:cs="Times New Roman" w:eastAsia="Times New Roman" w:hAnsi="Times New Roman"/>
                <w:sz w:val="18"/>
                <w:szCs w:val="18"/>
                <w:color w:val="auto"/>
              </w:rPr>
              <w:t>69 Akti Miaouli 18537</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36"/>
              <w:spacing w:after="0"/>
              <w:rPr>
                <w:sz w:val="20"/>
                <w:szCs w:val="20"/>
                <w:color w:val="auto"/>
              </w:rPr>
            </w:pPr>
            <w:r>
              <w:rPr>
                <w:rFonts w:ascii="Times New Roman" w:cs="Times New Roman" w:eastAsia="Times New Roman" w:hAnsi="Times New Roman"/>
                <w:sz w:val="18"/>
                <w:szCs w:val="18"/>
                <w:color w:val="auto"/>
                <w:w w:val="99"/>
              </w:rPr>
              <w:t>Piraeus, Greece</w:t>
            </w:r>
          </w:p>
        </w:tc>
        <w:tc>
          <w:tcPr>
            <w:tcW w:w="1320" w:type="dxa"/>
            <w:vAlign w:val="bottom"/>
          </w:tcPr>
          <w:p>
            <w:pPr>
              <w:spacing w:after="0"/>
              <w:rPr>
                <w:sz w:val="18"/>
                <w:szCs w:val="18"/>
                <w:color w:val="auto"/>
              </w:rPr>
            </w:pPr>
          </w:p>
        </w:tc>
      </w:tr>
      <w:tr>
        <w:trPr>
          <w:trHeight w:val="234"/>
        </w:trPr>
        <w:tc>
          <w:tcPr>
            <w:tcW w:w="9920" w:type="dxa"/>
            <w:vAlign w:val="bottom"/>
          </w:tcPr>
          <w:p>
            <w:pPr>
              <w:jc w:val="center"/>
              <w:ind w:left="1256"/>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3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4"/>
                <w:szCs w:val="24"/>
                <w:color w:val="auto"/>
              </w:rPr>
            </w:pPr>
          </w:p>
        </w:tc>
      </w:tr>
      <w:tr>
        <w:trPr>
          <w:trHeight w:val="452"/>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ind w:firstLine="35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February 22, 2021 relating to its results for the three-month period and the year ended December 31, 2020 is attached hereto as Exhibit 99.1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Press Release dated February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GASLOG LTD.,</w:t>
      </w:r>
    </w:p>
    <w:p>
      <w:pPr>
        <w:spacing w:after="0" w:line="252" w:lineRule="exact"/>
        <w:rPr>
          <w:sz w:val="20"/>
          <w:szCs w:val="20"/>
          <w:color w:val="auto"/>
        </w:rPr>
      </w:pPr>
    </w:p>
    <w:p>
      <w:pPr>
        <w:ind w:left="562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Wogan</w:t>
      </w:r>
    </w:p>
    <w:p>
      <w:pPr>
        <w:spacing w:after="0" w:line="23" w:lineRule="exact"/>
        <w:rPr>
          <w:sz w:val="20"/>
          <w:szCs w:val="20"/>
          <w:color w:val="auto"/>
        </w:rPr>
      </w:pPr>
    </w:p>
    <w:p>
      <w:pPr>
        <w:ind w:left="594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Reports Financial Results for the Three-Month Period and the Year Ended December 31, 2020</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Piraeus, Greece, February 22, 2021, GasLog Ltd. and its subsidiaries (“GasLog”, “Group” or “Company”) (NYSE: GLOG)</w:t>
      </w:r>
      <w:r>
        <w:rPr>
          <w:rFonts w:ascii="Times New Roman" w:cs="Times New Roman" w:eastAsia="Times New Roman" w:hAnsi="Times New Roman"/>
          <w:sz w:val="18"/>
          <w:szCs w:val="18"/>
          <w:color w:val="auto"/>
        </w:rPr>
        <w:t>, an international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operator and manager of liquefied natural gas (“LNG”) carriers, today reported its financial results for the three-month period and the year ended December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29" w:lineRule="exact"/>
        <w:rPr>
          <w:sz w:val="20"/>
          <w:szCs w:val="20"/>
          <w:color w:val="auto"/>
        </w:rPr>
      </w:pPr>
    </w:p>
    <w:p>
      <w:pPr>
        <w:ind w:left="340" w:right="48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Announces agreement for the acquisition of approximately 45% of GasLog Ltd.’s outstanding common shares by BlackRock’s Global Energy &amp; Power Infrastructure Team.</w:t>
      </w:r>
    </w:p>
    <w:p>
      <w:pPr>
        <w:ind w:left="340" w:right="80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on November 16, 2020, a 174,000 cubic meter (“cbm”) LNG carrier with dual fuel medium speed propulsion (“X-DF”) and commencement of its seven-year time charter agreement with a wholly-owned subsidiary of Cheniere Energy, Inc. (“Cheniere”).</w:t>
      </w:r>
    </w:p>
    <w:p>
      <w:pPr>
        <w:spacing w:after="0" w:line="1" w:lineRule="exact"/>
        <w:rPr>
          <w:rFonts w:ascii="Times New Roman" w:cs="Times New Roman" w:eastAsia="Times New Roman" w:hAnsi="Times New Roman"/>
          <w:sz w:val="18"/>
          <w:szCs w:val="18"/>
          <w:color w:val="auto"/>
        </w:rPr>
      </w:pPr>
    </w:p>
    <w:p>
      <w:pPr>
        <w:ind w:left="340" w:right="56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 year-end, delivery of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on January 4, 2021, a 174,000 cbm LNG carrier with X-DF propulsion and commencement of its seven-year time charter agreement with Cheniere.</w:t>
      </w:r>
    </w:p>
    <w:p>
      <w:pPr>
        <w:ind w:left="340" w:right="78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Completed the sale-and-leaseback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with CMB Financial Leasing Co. Ltd. (“CMBFL”), releasing $26.4 million of incremental liquidity to GasLog.</w:t>
      </w:r>
    </w:p>
    <w:p>
      <w:pPr>
        <w:ind w:left="340" w:right="18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 year-end, completed the sale-and-leaseback of the </w:t>
      </w:r>
      <w:r>
        <w:rPr>
          <w:rFonts w:ascii="Times New Roman" w:cs="Times New Roman" w:eastAsia="Times New Roman" w:hAnsi="Times New Roman"/>
          <w:sz w:val="18"/>
          <w:szCs w:val="18"/>
          <w:i w:val="1"/>
          <w:iCs w:val="1"/>
          <w:color w:val="auto"/>
        </w:rPr>
        <w:t>GasLog Houston</w:t>
      </w:r>
      <w:r>
        <w:rPr>
          <w:rFonts w:ascii="Times New Roman" w:cs="Times New Roman" w:eastAsia="Times New Roman" w:hAnsi="Times New Roman"/>
          <w:sz w:val="18"/>
          <w:szCs w:val="18"/>
          <w:color w:val="auto"/>
        </w:rPr>
        <w:t xml:space="preserve"> with ICBC Financial Leasing Co. Ltd. (“ICBC”), releasing $34.8 million of incremental liquidity to GasLog.</w:t>
      </w:r>
    </w:p>
    <w:p>
      <w:pPr>
        <w:ind w:left="340" w:right="76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$26.5 million of debt in the fourth quarter of 2020, bringing total debt repayment (excluding prepayments for refinanced facilities) to $219.3 million during 2020.</w:t>
      </w:r>
    </w:p>
    <w:p>
      <w:pPr>
        <w:ind w:left="340" w:hanging="332"/>
        <w:spacing w:after="0" w:line="183" w:lineRule="auto"/>
        <w:tabs>
          <w:tab w:leader="none" w:pos="34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Quarterly Revenues of $192.6 million, Profit of $45.9 million and Earnings per share</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$0.27 for the three-month period ended December 31, 2020.</w:t>
      </w:r>
    </w:p>
    <w:p>
      <w:pPr>
        <w:ind w:left="340" w:right="400" w:hanging="332"/>
        <w:spacing w:after="0" w:line="187" w:lineRule="auto"/>
        <w:tabs>
          <w:tab w:leader="none" w:pos="3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Quarterly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$137.4 million,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$46.3 million and Adjusted Earnings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$0.24 for the three-month period ended December 31, 2020.</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Revenues and Adjusted EBITDA of $674.1 million and $465.6 million for the twelve-month period ended December 31, 2020.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dividend of $0.05 per common share payable on March 11, 2021.</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Agreement for the acquisition of approximately 45% of GasLog Ltd.’s outstanding common shares by BlackRock’s Global Energy &amp; Power Infrastructure Team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separately announced today, GasLog has entered into an agreement and plan of merger (the “Merger Agreement”) with BlackRock’s Global Energy</w:t>
      </w:r>
    </w:p>
    <w:p>
      <w:pPr>
        <w:spacing w:after="0" w:line="27" w:lineRule="exact"/>
        <w:rPr>
          <w:sz w:val="20"/>
          <w:szCs w:val="20"/>
          <w:color w:val="auto"/>
        </w:rPr>
      </w:pPr>
    </w:p>
    <w:p>
      <w:pPr>
        <w:ind w:firstLine="8"/>
        <w:spacing w:after="0" w:line="252"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Infrastructure Team (collectively, “GEPIF”), which is focused on essential, long-term infrastructure investments in the energy and power sector, pursuant to which GEPIF will acquire all of the outstanding common shares of GasLog Ltd. that are not held by certain existing shareholders for a purchase price of $5.80 in cash per share (the “Transaction”). Following the consummation of the Transaction, certain existing shareholders, including Blenheim Holdings Ltd., which is wholly owned by the Livanos family, and a wholly owned affiliate of the Onassis Foundation, will continue to hold approximately 55% of the outstanding common shares of GasLog Ltd. and GEPIF will hold approximately 45%. Please refer to the separate press release on the Transaction dated February 22, 2021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Declarations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December 9, 2020, the board of directors declared a dividend on the Series A Preference Shares of $0.546875 per share, or $2.5 million in the aggregate, payable on January 4, 2021 to holders of record as of December 31, 2020.</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21, 2021, the board of directors declared a quarterly cash dividend of $0.05 per common share, or $4.8 million in the aggregate, payable on March 11, 2021 to shareholders of record as of March 4,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GasLog Partners Strategic Review Update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10, 2020, GasLog Partners LP (“GasLog Partners” or the “Partnership”) announced its intention to engage with an independent advisor to assess its strategic alternatives. After a comprehensive analysis of the Partnership’s corporate structure, assets, financial position, competitive environment and current and expected commercial market, the following conclusions have been reached:</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will maintain its current corporate structure with GasLog as its general partner;</w:t>
      </w:r>
    </w:p>
    <w:p>
      <w:pPr>
        <w:spacing w:after="0" w:line="27"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Partners will continue to pursue an independent commercial and operational strategy of owning, operating, and acquiring LNG carriers; and</w:t>
      </w:r>
    </w:p>
    <w:p>
      <w:pPr>
        <w:ind w:left="660" w:right="10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remains an ongoing focus of the GasLog Partners’ board and GasLog Partners is open to entertaining all value-enhancing options for the business as it continues to reduce debt and enhance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54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4"/>
                <w:szCs w:val="24"/>
                <w:color w:val="auto"/>
              </w:rPr>
            </w:pPr>
          </w:p>
        </w:tc>
        <w:tc>
          <w:tcPr>
            <w:tcW w:w="27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1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674,089</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(Loss)/profit for the period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45,948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3,289</w:t>
            </w:r>
          </w:p>
        </w:tc>
      </w:tr>
      <w:tr>
        <w:trPr>
          <w:trHeight w:val="257"/>
        </w:trPr>
        <w:tc>
          <w:tcPr>
            <w:tcW w:w="45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129,209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461,226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465,577</w:t>
            </w:r>
          </w:p>
        </w:tc>
      </w:tr>
      <w:tr>
        <w:trPr>
          <w:trHeight w:val="257"/>
        </w:trPr>
        <w:tc>
          <w:tcPr>
            <w:tcW w:w="45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Profit</w:t>
            </w:r>
            <w:r>
              <w:rPr>
                <w:rFonts w:ascii="Times New Roman" w:cs="Times New Roman" w:eastAsia="Times New Roman" w:hAnsi="Times New Roman"/>
                <w:sz w:val="29"/>
                <w:szCs w:val="29"/>
                <w:color w:val="auto"/>
                <w:vertAlign w:val="superscript"/>
              </w:rPr>
              <w:t>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111,138</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attributable to the owners of GasLog</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(100,661)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(44,948)</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EPS, basic</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r>
      <w:tr>
        <w:trPr>
          <w:trHeight w:val="257"/>
        </w:trPr>
        <w:tc>
          <w:tcPr>
            <w:tcW w:w="45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9"/>
                <w:szCs w:val="29"/>
                <w:color w:val="auto"/>
                <w:vertAlign w:val="superscript"/>
              </w:rPr>
              <w:t>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There were 2,796 revenue operating days for the quarter ended December 31, 2020, as compared to 2,465 revenue operating days for the quarter ended December 31, 2019. The increase in revenue operating days was mainly driven by the increased operating days from the deliveries of our wholly-owned vessels the </w:t>
      </w:r>
      <w:r>
        <w:rPr>
          <w:rFonts w:ascii="Times New Roman" w:cs="Times New Roman" w:eastAsia="Times New Roman" w:hAnsi="Times New Roman"/>
          <w:sz w:val="18"/>
          <w:szCs w:val="18"/>
          <w:i w:val="1"/>
          <w:iCs w:val="1"/>
          <w:color w:val="auto"/>
        </w:rPr>
        <w:t>GasLog Windsor</w:t>
      </w:r>
      <w:r>
        <w:rPr>
          <w:rFonts w:ascii="Times New Roman" w:cs="Times New Roman" w:eastAsia="Times New Roman" w:hAnsi="Times New Roman"/>
          <w:sz w:val="18"/>
          <w:szCs w:val="18"/>
          <w:color w:val="auto"/>
        </w:rPr>
        <w:t xml:space="preserve"> on April 1, 2020, the </w:t>
      </w:r>
      <w:r>
        <w:rPr>
          <w:rFonts w:ascii="Times New Roman" w:cs="Times New Roman" w:eastAsia="Times New Roman" w:hAnsi="Times New Roman"/>
          <w:sz w:val="18"/>
          <w:szCs w:val="18"/>
          <w:i w:val="1"/>
          <w:iCs w:val="1"/>
          <w:color w:val="auto"/>
        </w:rPr>
        <w:t>GasLog Wales</w:t>
      </w:r>
      <w:r>
        <w:rPr>
          <w:rFonts w:ascii="Times New Roman" w:cs="Times New Roman" w:eastAsia="Times New Roman" w:hAnsi="Times New Roman"/>
          <w:sz w:val="18"/>
          <w:szCs w:val="18"/>
          <w:color w:val="auto"/>
        </w:rPr>
        <w:t xml:space="preserve"> on May 11, 2020,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xml:space="preserve"> on July 15, 2020 and the </w:t>
      </w:r>
      <w:r>
        <w:rPr>
          <w:rFonts w:ascii="Times New Roman" w:cs="Times New Roman" w:eastAsia="Times New Roman" w:hAnsi="Times New Roman"/>
          <w:sz w:val="18"/>
          <w:szCs w:val="18"/>
          <w:i w:val="1"/>
          <w:iCs w:val="1"/>
          <w:color w:val="auto"/>
        </w:rPr>
        <w:t>GasLog Georgetown</w:t>
      </w:r>
      <w:r>
        <w:rPr>
          <w:rFonts w:ascii="Times New Roman" w:cs="Times New Roman" w:eastAsia="Times New Roman" w:hAnsi="Times New Roman"/>
          <w:sz w:val="18"/>
          <w:szCs w:val="18"/>
          <w:color w:val="auto"/>
        </w:rPr>
        <w:t xml:space="preserve"> on November 16, 2020, all under long-term contracts with high-quality charterers.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quarter we amended the definition of the spot fleet and amended the revenue breakdown accordingly, to reflect our commercial strategy. Specifically, vessel revenues are now allocated to two categories: (a) spot fleet and (b) long-term fleet.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quarter and year ended December 31, 2020, an analysis of revenue operating days, revenues and voyage expenses and commissions per category of charter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0"/>
        </w:trPr>
        <w:tc>
          <w:tcPr>
            <w:tcW w:w="5520" w:type="dxa"/>
            <w:vAlign w:val="bottom"/>
          </w:tcPr>
          <w:p>
            <w:pPr>
              <w:spacing w:after="0"/>
              <w:rPr>
                <w:sz w:val="19"/>
                <w:szCs w:val="19"/>
                <w:color w:val="auto"/>
              </w:rPr>
            </w:pPr>
          </w:p>
        </w:tc>
        <w:tc>
          <w:tcPr>
            <w:tcW w:w="29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38"/>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Spot fleet</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Long-term fleet</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Spot fleet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Long-term fleet</w:t>
            </w:r>
          </w:p>
        </w:tc>
        <w:tc>
          <w:tcPr>
            <w:tcW w:w="100" w:type="dxa"/>
            <w:vAlign w:val="bottom"/>
            <w:tcBorders>
              <w:bottom w:val="single" w:sz="8" w:color="CCEEFF"/>
            </w:tcBorders>
          </w:tcPr>
          <w:p>
            <w:pPr>
              <w:spacing w:after="0"/>
              <w:rPr>
                <w:sz w:val="20"/>
                <w:szCs w:val="20"/>
                <w:color w:val="auto"/>
              </w:rPr>
            </w:pPr>
          </w:p>
        </w:tc>
      </w:tr>
      <w:tr>
        <w:trPr>
          <w:trHeight w:val="236"/>
        </w:trPr>
        <w:tc>
          <w:tcPr>
            <w:tcW w:w="55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Available days </w:t>
            </w:r>
            <w:r>
              <w:rPr>
                <w:rFonts w:ascii="Times New Roman" w:cs="Times New Roman" w:eastAsia="Times New Roman" w:hAnsi="Times New Roman"/>
                <w:sz w:val="27"/>
                <w:szCs w:val="27"/>
                <w:color w:val="auto"/>
                <w:vertAlign w:val="superscript"/>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57"/>
        </w:trPr>
        <w:tc>
          <w:tcPr>
            <w:tcW w:w="5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Revenue operating days</w:t>
            </w:r>
            <w:r>
              <w:rPr>
                <w:rFonts w:ascii="Times New Roman" w:cs="Times New Roman" w:eastAsia="Times New Roman" w:hAnsi="Times New Roman"/>
                <w:sz w:val="29"/>
                <w:szCs w:val="29"/>
                <w:color w:val="auto"/>
                <w:vertAlign w:val="superscript"/>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5,922</w:t>
            </w:r>
          </w:p>
        </w:tc>
      </w:tr>
      <w:tr>
        <w:trPr>
          <w:trHeight w:val="256"/>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9"/>
                <w:szCs w:val="29"/>
                <w:color w:val="auto"/>
                <w:vertAlign w:val="superscript"/>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210,390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462,887</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(6,893)</w:t>
            </w:r>
          </w:p>
        </w:tc>
      </w:tr>
    </w:tbl>
    <w:p>
      <w:pPr>
        <w:spacing w:after="0" w:line="220" w:lineRule="exact"/>
        <w:rPr>
          <w:sz w:val="20"/>
          <w:szCs w:val="20"/>
          <w:color w:val="auto"/>
        </w:rPr>
      </w:pPr>
    </w:p>
    <w:p>
      <w:pPr>
        <w:ind w:right="100" w:firstLine="8"/>
        <w:spacing w:after="0" w:line="218" w:lineRule="auto"/>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ind w:left="300" w:hanging="292"/>
        <w:spacing w:after="0" w:line="206" w:lineRule="auto"/>
        <w:tabs>
          <w:tab w:leader="none" w:pos="30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Revenue operating days represent total available days after deducting off-charter days and unscheduled off-hire days.</w:t>
      </w:r>
    </w:p>
    <w:p>
      <w:pPr>
        <w:spacing w:after="0" w:line="23" w:lineRule="exact"/>
        <w:rPr>
          <w:sz w:val="20"/>
          <w:szCs w:val="20"/>
          <w:color w:val="auto"/>
        </w:rPr>
      </w:pPr>
    </w:p>
    <w:p>
      <w:pPr>
        <w:ind w:right="860" w:firstLine="8"/>
        <w:spacing w:after="0"/>
        <w:tabs>
          <w:tab w:leader="none" w:pos="36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Revenues exclude the revenues from vessel management services of $218 and $812 for the quarter and the year ended December 31, 2020, respectively.</w:t>
      </w:r>
    </w:p>
    <w:p>
      <w:pPr>
        <w:spacing w:after="0" w:line="3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Revenues were $192.6 million for the quarter ended December 31, 2020 ($182.3 million for the quarter ended December 31, 2019). Revenues from the GasLog 100% owned fleet increased by $22.7 million due to the four vessel deliveries in 2020. This increase was partially offset by a decrease of $11.5 million from the vessels owned by GasLog’s subsidiary, GasLog Partners, mainly attributable to the expiration of the initial multi-year time charters of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Rita Andrea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Shirley Elisabeth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Vessel operating and supervision costs were $41.4 million for the quarter ended December 31, 2020 ($39.5 million for the quarter ended December 31, 2019). The increase was solely attributable to the increase of our fleet following the delivery of the four vessels in 2020, partially offset by the decrease in daily operating costs from $15,917 per ownership day (after excluding calendar days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the operating costs of which are covered by the charterers) for the three months ended December 31, 2019 to $14,760 per ownership day (after excluding calendar days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the operating costs of which are covered by the charterers) for the three months ended December 31, 2020. Daily operating costs decreased mainly due to the decreased technical maintenance expenses as a result of management’s operating cost initiatives during 2020 and decreased insurance costs, partially offset by the unfavorable movement of the Euro (“EUR”)/U.S. dollar (“USD”) exchange rate in the fourth quarter of 2020 as compared to the fourth quarter of 2019.</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were $11.8 million for the quarter ended December 31, 2020 ($14.5 million for the quarter ended December 31, 2019), before adjusting for restructuring costs. General and administrative expenses include the effect of the restructuring costs of $0.2 million and $4.7 million for the quarters ending December 31, 2020 and 2019, respectively. Daily general and administrative expenses, decreased to $4,000 per vessel ownership day for the three months ended December 31, 2020 from $5,634 per vessel ownership day for the three months ended December 31, 2019, which includes restructuring costs of $71 and $1,825 per vessel ownership day for the three months ended December 31, 2020 and 2019, respectively. The decrease in absolute terms was due to the aforementioned $4.5 million decrease in restructuring costs and a $1.9 million decrease in employee costs in relation to the cost saving initiatives previously announced, partially offset by the unfavorable movement of the EUR/USD exchange rate in the fourth quarter of 2020 as compared to the fourth quarter of 2019, increased costs of directors and officers insurance and increased legal and professional costs of $1.0 million associated with the Transaction incurred in the fourth quarter of 2020, as well as $0.5 million legal costs and professional expenses associated with the Strategic Review at GasLog Partners level.</w:t>
      </w:r>
    </w:p>
    <w:p>
      <w:pPr>
        <w:spacing w:after="0" w:line="19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$137.4 million for the quarter ended December 31, 2020 ($129.2 million for the quarter ended December 31, 2019). The increase in Adjusted EBITDA was mainly attributable to the increase in revenues of $10.3 million and the decrease in voyage expenses of $0.5 million partially offset by the increase in vessel operating and supervision costs of $1.9 million and the increase in general and administrative expenses of $0.9 million, after adjusting for restructuring costs and foreign exchange losses.</w:t>
      </w:r>
    </w:p>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Impairment loss on vessels was $6.2 million for the quarter ended December 31, 2020 ($162.1 million for the quarter ended December 31, 2019). As of December 31, 2020, the Group recognized a non-cash impairment loss of $6.2 million in aggregate on certain of its Steam vessels. The non-cash</w:t>
      </w:r>
    </w:p>
    <w:p>
      <w:pPr>
        <w:sectPr>
          <w:pgSz w:w="11900" w:h="16927" w:orient="portrait"/>
          <w:cols w:equalWidth="0" w:num="1">
            <w:col w:w="11240"/>
          </w:cols>
          <w:pgMar w:left="320" w:top="891" w:right="339" w:bottom="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impairment loss of $6.2 million was recognized with respect to two Steam vessels owned by the Partnership,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Heather Sally </w:t>
      </w:r>
      <w:r>
        <w:rPr>
          <w:rFonts w:ascii="Times New Roman" w:cs="Times New Roman" w:eastAsia="Times New Roman" w:hAnsi="Times New Roman"/>
          <w:sz w:val="18"/>
          <w:szCs w:val="18"/>
          <w:color w:val="auto"/>
        </w:rPr>
        <w:t>($5.1 million), and one Steam vessel owned by GasLog, the</w:t>
      </w:r>
      <w:r>
        <w:rPr>
          <w:rFonts w:ascii="Times New Roman" w:cs="Times New Roman" w:eastAsia="Times New Roman" w:hAnsi="Times New Roman"/>
          <w:sz w:val="18"/>
          <w:szCs w:val="18"/>
          <w:i w:val="1"/>
          <w:iCs w:val="1"/>
          <w:color w:val="auto"/>
        </w:rPr>
        <w:t xml:space="preserve"> Methane Lydon Volney </w:t>
      </w:r>
      <w:r>
        <w:rPr>
          <w:rFonts w:ascii="Times New Roman" w:cs="Times New Roman" w:eastAsia="Times New Roman" w:hAnsi="Times New Roman"/>
          <w:sz w:val="18"/>
          <w:szCs w:val="18"/>
          <w:color w:val="auto"/>
        </w:rPr>
        <w:t>($1.1 million) in addition to the $22.5 million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 w:name="page7"/>
    <w:bookmarkEnd w:id="6"/>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COVID-19 pandemic placed downward pressure on economic activity and energy demand, as well as significant uncertainty regarding future near-term LNG demand and, therefore, LNG shipping requirements. This has reduced our expectations for the estimated rates at which employment for our vessels could be secured over the near-term in the spot market.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Financial costs were $39.2 million for the quarter ended December 31, 2020 ($51.6 million for the quarter ended December 31, 2019). The decrease was mainly attributable to the decrease of $9.2 million in interest expense on loans, bonds and cash flow hedges due to lower London Interbank Offered Rate (“LIBOR”) rates prevailing in the fourth quarter of 2020 compared to the same period in 2019. Specifically, during the three-month period ended December 31, 2020, we had an average of $3,629.3 million of outstanding indebtedness, with a weighted average interest rate of 3.2%, while during the three-month period ended December 31, 2019, we had an average of $3,171.7 million of outstanding indebtedness having an aggregate weighted average interest rate of 4.8%. In addition, there was a $4.2 million decrease in unrealized foreign exchange losses on cash and bonds included in other financial costs and a decrease of $2.1 million in loss arising from the bond repurchases at premium to par incurred in the fourth quarter of 2019, partially offset by the increase of $3.5 million in amortization and write-off of deferred loan/bond issuance costs/premium relating to the write-offs of unamortized loan fees due to the repayment of the loan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xml:space="preserve"> following the completion of its sale-and-leaseback transaction.</w:t>
      </w:r>
    </w:p>
    <w:p>
      <w:pPr>
        <w:spacing w:after="0" w:line="18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Gain on derivatives was $2.0 million for the quarter ended December 31, 2020 ($12.4 million for the quarter ended December 31, 2019). The decrease in gain was mainly attributable to a net increase of $7.9 million in realized loss on derivatives held for trading and a $3.3 million decrease in unrealized gain from the mark-to-market valuation of derivatives held for trading which were carried at fair value through profit or loss.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Profit for the period was $45.9 million for the quarter ended December 31, 2020 (loss of $119.9 million for the quarter ended December 31, 2019). The increase in profit for the period was mainly attributable to the increase in profit from operations (largely due to the decrease in impairment loss on vessels and the increase in revenues) and the decrease in financial costs, partially offset by the decrease in gain on derivatives.</w:t>
      </w:r>
    </w:p>
    <w:p>
      <w:pPr>
        <w:spacing w:after="0" w:line="179" w:lineRule="exact"/>
        <w:rPr>
          <w:sz w:val="20"/>
          <w:szCs w:val="20"/>
          <w:color w:val="auto"/>
        </w:rPr>
      </w:pPr>
    </w:p>
    <w:p>
      <w:pPr>
        <w:ind w:right="240"/>
        <w:spacing w:after="0" w:line="225" w:lineRule="auto"/>
        <w:rPr>
          <w:sz w:val="20"/>
          <w:szCs w:val="20"/>
          <w:color w:val="auto"/>
        </w:rPr>
      </w:pPr>
      <w:r>
        <w:rPr>
          <w:rFonts w:ascii="Times New Roman" w:cs="Times New Roman" w:eastAsia="Times New Roman" w:hAnsi="Times New Roman"/>
          <w:sz w:val="18"/>
          <w:szCs w:val="18"/>
          <w:color w:val="auto"/>
        </w:rPr>
        <w:t>Adjusted Profit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$46.3 million for the quarter ended December 31, 2020 ($38.5 million for the quarter ended December 31, 2019), adjusted for the effects of the non-cash gain on derivatives, the impairment loss on vessels, the write-off of unamortized loan and bond fees due to the sale and leaseback transaction of the </w:t>
      </w:r>
      <w:r>
        <w:rPr>
          <w:rFonts w:ascii="Times New Roman" w:cs="Times New Roman" w:eastAsia="Times New Roman" w:hAnsi="Times New Roman"/>
          <w:sz w:val="18"/>
          <w:szCs w:val="18"/>
          <w:i w:val="1"/>
          <w:iCs w:val="1"/>
          <w:color w:val="auto"/>
        </w:rPr>
        <w:t>GasLog Hong Kong</w:t>
      </w:r>
      <w:r>
        <w:rPr>
          <w:rFonts w:ascii="Times New Roman" w:cs="Times New Roman" w:eastAsia="Times New Roman" w:hAnsi="Times New Roman"/>
          <w:sz w:val="18"/>
          <w:szCs w:val="18"/>
          <w:color w:val="auto"/>
        </w:rPr>
        <w:t>, the restructuring costs and the net foreign exchange losses.</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Profit attributable to the owners of GasLog was $28.2 million for the quarter ended December 31, 2020 ($50.2 million loss for the quarter ended December 31, 2019). The increase in profit attributable to the owners of GasLog resulted from the respective movements in profit mentioned above.</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2020, GasLog had $367.3 million of cash and cash equivalents, of which $147.8 million was restricted cash, in relation to the amount drawn for the delivery of the </w:t>
      </w:r>
      <w:r>
        <w:rPr>
          <w:rFonts w:ascii="Times New Roman" w:cs="Times New Roman" w:eastAsia="Times New Roman" w:hAnsi="Times New Roman"/>
          <w:sz w:val="18"/>
          <w:szCs w:val="18"/>
          <w:i w:val="1"/>
          <w:iCs w:val="1"/>
          <w:color w:val="auto"/>
        </w:rPr>
        <w:t>GasLog Galveston</w:t>
      </w:r>
      <w:r>
        <w:rPr>
          <w:rFonts w:ascii="Times New Roman" w:cs="Times New Roman" w:eastAsia="Times New Roman" w:hAnsi="Times New Roman"/>
          <w:sz w:val="18"/>
          <w:szCs w:val="18"/>
          <w:color w:val="auto"/>
        </w:rPr>
        <w:t xml:space="preserve"> until its delivery from the shipyard on January 4, 2021. In addition, a total amount of $23.5 million was held as cash collateral with respect to our derivative instruments and is included in Other non-current assets and Prepayments and other current assets, which has been reduced to approximately $13.0 million as of February 22, 2021. As of December 31, 2020, GasLog had an aggregate of $3.8 billion of indebtedness outstanding under its credit facilities and bond agreements, of which $245.6 million was repayable within one year, and $196.2 million of lease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which $9.6 million was payable within one year.</w:t>
      </w:r>
    </w:p>
    <w:p>
      <w:pPr>
        <w:spacing w:after="0" w:line="185"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color w:val="auto"/>
        </w:rPr>
        <w:t xml:space="preserve">As of December 31, 2020, the total remaining balance of the contract prices of the two LNG carriers on order was $321.1 million (excluding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Galveston </w:t>
      </w:r>
      <w:r>
        <w:rPr>
          <w:rFonts w:ascii="Times New Roman" w:cs="Times New Roman" w:eastAsia="Times New Roman" w:hAnsi="Times New Roman"/>
          <w:sz w:val="18"/>
          <w:szCs w:val="18"/>
          <w:color w:val="auto"/>
        </w:rPr>
        <w:t>which was delivered on January 4, 2021), which GasLog expects to fund under the facility signed on December 12, 2019 with 13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banks to provide debt funding for its current newbuilding program (the “Newbuilding Facility”), cash balances and cash from operations.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2020, GasLog’s current assets totaled $437.5 million, while current liabilities totaled $459.4 million, resulting in a negative working capital position of $21.9 million. Current liabilities include $59.6 million of unearned revenue in relation to hires received in advance of December 31, 2020 (which represents a non-cash liability that will be recognized as revenue in January as the services are rendered). Taking into account the volatile commercial and financial market conditions experienced throughout 2020, we anticipate that our primary sources of funds over the next twelve months will be available cash, cash from operations and existing borrowings, including the credit agreements entered into on July 16, 2020 and July 30, 2020, which refinanced in full the debt maturities due in 2021, as well as the sale-and-leaseback transactions we concluded in October 2020 and January 2021 that released incremental liquidity of $61.2 million. We believe that these anticipated sources of funds will be sufficient to meet our liquidity needs and to comply with our banking covenants for at least twelve months from the date of this report.</w:t>
      </w:r>
    </w:p>
    <w:p>
      <w:pPr>
        <w:spacing w:after="0" w:line="232" w:lineRule="exact"/>
        <w:rPr>
          <w:sz w:val="20"/>
          <w:szCs w:val="20"/>
          <w:color w:val="auto"/>
        </w:rPr>
      </w:pPr>
    </w:p>
    <w:p>
      <w:pPr>
        <w:ind w:left="140" w:right="100" w:hanging="132"/>
        <w:spacing w:after="0" w:line="216" w:lineRule="auto"/>
        <w:tabs>
          <w:tab w:leader="none" w:pos="91"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Earnings/(loss) per share (“EPS”) and Adjusted EPS are net of the profit/(loss) attributable to non-controlling interests of $17.7 million and the dividend on preferred stock of $2.5 million for the quarter ended December 31, 2020 (($69.7) million and $2.5 million, respectively, for the quarter ended December 31, 2019) and net of the profit/(loss) attributable to the non-controlling interests of $48.2 million and the dividend on preferred stock of $10.1 million for the year ended December 31, 2020 (($15.0) million and $10.1 million, respectively, for the year ended December 31, 2019).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Contracted Charter Revenues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GasLog’s (including the vessels contributed or sold to GasLog Partners) contracted charter revenues and contract cover after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2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Contracted Charter Revenues and Days from Time Charters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For the Year Ending December 31,</w:t>
            </w: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2025 – 2032</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0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millions of U.S. dollars, except days and percentages)</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Contracted time charter revenues</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606.3</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568.7</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521.6</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445.7</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1,347.4</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3,489.7</w:t>
            </w:r>
          </w:p>
        </w:tc>
      </w:tr>
      <w:tr>
        <w:trPr>
          <w:trHeight w:val="256"/>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contracted days</w:t>
            </w:r>
            <w:r>
              <w:rPr>
                <w:rFonts w:ascii="Times New Roman" w:cs="Times New Roman" w:eastAsia="Times New Roman" w:hAnsi="Times New Roman"/>
                <w:sz w:val="29"/>
                <w:szCs w:val="29"/>
                <w:color w:val="auto"/>
                <w:vertAlign w:val="superscript"/>
              </w:rPr>
              <w:t>(1)</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9,244</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8,232</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7,036</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5,887</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18,151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48,550</w:t>
            </w:r>
          </w:p>
        </w:tc>
      </w:tr>
      <w:tr>
        <w:trPr>
          <w:trHeight w:val="256"/>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available days</w:t>
            </w:r>
            <w:r>
              <w:rPr>
                <w:rFonts w:ascii="Times New Roman" w:cs="Times New Roman" w:eastAsia="Times New Roman" w:hAnsi="Times New Roman"/>
                <w:sz w:val="29"/>
                <w:szCs w:val="29"/>
                <w:color w:val="auto"/>
                <w:vertAlign w:val="superscript"/>
              </w:rPr>
              <w:t>(2)</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12,176</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12,775</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12,535</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12,660</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100,590</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150,736</w:t>
            </w:r>
          </w:p>
        </w:tc>
      </w:tr>
      <w:tr>
        <w:trPr>
          <w:trHeight w:val="257"/>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unfixed days</w:t>
            </w:r>
            <w:r>
              <w:rPr>
                <w:rFonts w:ascii="Times New Roman" w:cs="Times New Roman" w:eastAsia="Times New Roman" w:hAnsi="Times New Roman"/>
                <w:sz w:val="29"/>
                <w:szCs w:val="29"/>
                <w:color w:val="auto"/>
                <w:vertAlign w:val="superscript"/>
              </w:rPr>
              <w:t>(3)</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2,932</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4,543</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5,499</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6,773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82,439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102,186</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contracted days/total available days</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64.4</w:t>
            </w: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56.1</w:t>
            </w: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46.5</w:t>
            </w: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18.0</w:t>
            </w: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366" w:gutter="0" w:footer="0" w:header="0"/>
        </w:sectPr>
      </w:pPr>
    </w:p>
    <w:bookmarkStart w:id="7" w:name="page8"/>
    <w:bookmarkEnd w:id="7"/>
    <w:p>
      <w:pPr>
        <w:ind w:left="660" w:right="160" w:hanging="652"/>
        <w:spacing w:after="0" w:line="229" w:lineRule="auto"/>
        <w:tabs>
          <w:tab w:leader="none" w:pos="6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Reflects time charter revenues and contracted days for 15 of our wholly owned vessels, the 15 vessels owned by the Partnership, the three bareboat vessels and the two newbuildings on order for which we have secured time charters. Does not include charter revenues for the </w:t>
      </w:r>
      <w:r>
        <w:rPr>
          <w:rFonts w:ascii="Times New Roman" w:cs="Times New Roman" w:eastAsia="Times New Roman" w:hAnsi="Times New Roman"/>
          <w:sz w:val="14"/>
          <w:szCs w:val="14"/>
          <w:i w:val="1"/>
          <w:iCs w:val="1"/>
          <w:color w:val="auto"/>
        </w:rPr>
        <w:t>Methane Nile Eagle</w:t>
      </w:r>
      <w:r>
        <w:rPr>
          <w:rFonts w:ascii="Times New Roman" w:cs="Times New Roman" w:eastAsia="Times New Roman" w:hAnsi="Times New Roman"/>
          <w:sz w:val="14"/>
          <w:szCs w:val="14"/>
          <w:color w:val="auto"/>
        </w:rPr>
        <w:t>, in which we hold a 25.0% minority interest. Contracted revenue calculations assume: (a) 365 revenue days per annum, with 30 off-hire days when the vessel undergoes scheduled dry-docking (every five years); (b) all LNG carriers on order are delivered on schedule; and (c) no exercise of any option to extend the terms of charters.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12" w:lineRule="exact"/>
        <w:rPr>
          <w:rFonts w:ascii="Times New Roman" w:cs="Times New Roman" w:eastAsia="Times New Roman" w:hAnsi="Times New Roman"/>
          <w:sz w:val="12"/>
          <w:szCs w:val="12"/>
          <w:color w:val="auto"/>
        </w:rPr>
      </w:pPr>
    </w:p>
    <w:p>
      <w:pPr>
        <w:ind w:left="660" w:right="340" w:hanging="652"/>
        <w:spacing w:after="0" w:line="261" w:lineRule="auto"/>
        <w:tabs>
          <w:tab w:leader="none" w:pos="6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vessel undergoes scheduled dry-docking. The available days for the vessels operating in the spot/short-term market are included.</w:t>
      </w:r>
    </w:p>
    <w:p>
      <w:pPr>
        <w:spacing w:after="0" w:line="95" w:lineRule="exact"/>
        <w:rPr>
          <w:rFonts w:ascii="Times New Roman" w:cs="Times New Roman" w:eastAsia="Times New Roman" w:hAnsi="Times New Roman"/>
          <w:sz w:val="12"/>
          <w:szCs w:val="12"/>
          <w:color w:val="auto"/>
        </w:rPr>
      </w:pPr>
    </w:p>
    <w:p>
      <w:pPr>
        <w:ind w:left="660" w:right="160" w:hanging="652"/>
        <w:spacing w:after="0" w:line="261" w:lineRule="auto"/>
        <w:tabs>
          <w:tab w:leader="none" w:pos="66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1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Other than the assumptions reflected in the footnotes to the table, including our assumption that our newbuildings are delivered on schedule, the table does not reflect events occurring after December 31, 2020.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6, 2020 and the Quarterly Reports on Form 6-K filed with the SEC on May 7, 2020, August 5, 2020 and November 10, 2020.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February 22, 2021, our wholly-owned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Charterer (for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contracts of more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Optional</w:t>
            </w:r>
          </w:p>
        </w:tc>
        <w:tc>
          <w:tcPr>
            <w:tcW w:w="0" w:type="dxa"/>
            <w:vAlign w:val="bottom"/>
          </w:tcPr>
          <w:p>
            <w:pPr>
              <w:spacing w:after="0"/>
              <w:rPr>
                <w:sz w:val="1"/>
                <w:szCs w:val="1"/>
                <w:color w:val="auto"/>
              </w:rPr>
            </w:pPr>
          </w:p>
        </w:tc>
      </w:tr>
      <w:tr>
        <w:trPr>
          <w:trHeight w:val="275"/>
        </w:trPr>
        <w:tc>
          <w:tcPr>
            <w:tcW w:w="2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4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(cbm)</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0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Expiration</w:t>
            </w:r>
            <w:r>
              <w:rPr>
                <w:rFonts w:ascii="Times New Roman" w:cs="Times New Roman" w:eastAsia="Times New Roman" w:hAnsi="Times New Roman"/>
                <w:sz w:val="29"/>
                <w:szCs w:val="29"/>
                <w:b w:val="1"/>
                <w:bCs w:val="1"/>
                <w:color w:val="auto"/>
                <w:w w:val="96"/>
                <w:vertAlign w:val="superscript"/>
              </w:rPr>
              <w:t>(1)</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ind w:left="260"/>
              <w:spacing w:after="0" w:line="276"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7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Methane Lydon Volney</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Steam turbine</w:t>
            </w:r>
          </w:p>
        </w:tc>
        <w:tc>
          <w:tcPr>
            <w:tcW w:w="1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vMerge w:val="continue"/>
            <w:shd w:val="clear" w:color="auto" w:fill="CCEEFF"/>
          </w:tcPr>
          <w:p>
            <w:pPr>
              <w:spacing w:after="0"/>
              <w:rPr>
                <w:sz w:val="20"/>
                <w:szCs w:val="20"/>
                <w:color w:val="auto"/>
              </w:rPr>
            </w:pPr>
          </w:p>
        </w:tc>
        <w:tc>
          <w:tcPr>
            <w:tcW w:w="2700" w:type="dxa"/>
            <w:vAlign w:val="bottom"/>
            <w:gridSpan w:val="2"/>
            <w:vMerge w:val="continue"/>
            <w:shd w:val="clear" w:color="auto" w:fill="CCEEFF"/>
          </w:tcPr>
          <w:p>
            <w:pPr>
              <w:spacing w:after="0"/>
              <w:rPr>
                <w:sz w:val="20"/>
                <w:szCs w:val="20"/>
                <w:color w:val="auto"/>
              </w:rPr>
            </w:pP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Spot Market</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(“Steam”)</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Savannah</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Tri-fuel diesel electric</w:t>
            </w:r>
          </w:p>
        </w:tc>
        <w:tc>
          <w:tcPr>
            <w:tcW w:w="2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60" w:type="dxa"/>
            <w:vAlign w:val="bottom"/>
            <w:vMerge w:val="continue"/>
          </w:tcPr>
          <w:p>
            <w:pPr>
              <w:spacing w:after="0"/>
              <w:rPr>
                <w:sz w:val="20"/>
                <w:szCs w:val="20"/>
                <w:color w:val="auto"/>
              </w:rPr>
            </w:pPr>
          </w:p>
        </w:tc>
        <w:tc>
          <w:tcPr>
            <w:tcW w:w="2700" w:type="dxa"/>
            <w:vAlign w:val="bottom"/>
            <w:gridSpan w:val="2"/>
            <w:vMerge w:val="continue"/>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Spot Market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(“TFDE”)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Skagen</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Spot Market</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Saratoga</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Spot Market</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Chelsea</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153,600</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Glencore</w:t>
            </w:r>
            <w:r>
              <w:rPr>
                <w:rFonts w:ascii="Times New Roman" w:cs="Times New Roman" w:eastAsia="Times New Roman" w:hAnsi="Times New Roman"/>
                <w:sz w:val="29"/>
                <w:szCs w:val="29"/>
                <w:color w:val="auto"/>
                <w:w w:val="94"/>
                <w:vertAlign w:val="superscript"/>
              </w:rPr>
              <w:t>(3)</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2022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Salem</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tcPr>
          <w:p>
            <w:pPr>
              <w:spacing w:after="0"/>
              <w:rPr>
                <w:sz w:val="22"/>
                <w:szCs w:val="22"/>
                <w:color w:val="auto"/>
              </w:rPr>
            </w:pPr>
          </w:p>
        </w:tc>
        <w:tc>
          <w:tcPr>
            <w:tcW w:w="15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2"/>
              </w:rPr>
              <w:t>Gunvor</w:t>
            </w:r>
            <w:r>
              <w:rPr>
                <w:rFonts w:ascii="Times New Roman" w:cs="Times New Roman" w:eastAsia="Times New Roman" w:hAnsi="Times New Roman"/>
                <w:sz w:val="29"/>
                <w:szCs w:val="29"/>
                <w:color w:val="auto"/>
                <w:w w:val="92"/>
                <w:vertAlign w:val="superscript"/>
              </w:rPr>
              <w:t>(4)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Genoa</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3"/>
              </w:rPr>
              <w:t>Shell</w:t>
            </w:r>
            <w:r>
              <w:rPr>
                <w:rFonts w:ascii="Times New Roman" w:cs="Times New Roman" w:eastAsia="Times New Roman" w:hAnsi="Times New Roman"/>
                <w:sz w:val="29"/>
                <w:szCs w:val="29"/>
                <w:color w:val="auto"/>
                <w:w w:val="93"/>
                <w:vertAlign w:val="superscript"/>
              </w:rPr>
              <w:t>(5)</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2027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2030-2033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Windsor</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Centrica</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2027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2029-2033</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Westminster</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Centrica</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2027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2029-2033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Cheniere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2027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2030-2034</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Galveston</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Cheniere</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2028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2031-2035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GasLog Gladstone</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Shell</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January 2029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2032-2035</w:t>
            </w:r>
          </w:p>
        </w:tc>
        <w:tc>
          <w:tcPr>
            <w:tcW w:w="0" w:type="dxa"/>
            <w:vAlign w:val="bottom"/>
          </w:tcPr>
          <w:p>
            <w:pPr>
              <w:spacing w:after="0"/>
              <w:rPr>
                <w:sz w:val="1"/>
                <w:szCs w:val="1"/>
                <w:color w:val="auto"/>
              </w:rPr>
            </w:pPr>
          </w:p>
        </w:tc>
      </w:tr>
      <w:tr>
        <w:trPr>
          <w:trHeight w:val="203"/>
        </w:trPr>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27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Warsaw</w:t>
            </w:r>
          </w:p>
        </w:tc>
        <w:tc>
          <w:tcPr>
            <w:tcW w:w="5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Cheniere</w:t>
            </w:r>
          </w:p>
        </w:tc>
        <w:tc>
          <w:tcPr>
            <w:tcW w:w="17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May 2021</w:t>
            </w:r>
          </w:p>
        </w:tc>
        <w:tc>
          <w:tcPr>
            <w:tcW w:w="12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5"/>
        </w:trPr>
        <w:tc>
          <w:tcPr>
            <w:tcW w:w="260" w:type="dxa"/>
            <w:vAlign w:val="bottom"/>
            <w:vMerge w:val="continue"/>
            <w:shd w:val="clear" w:color="auto" w:fill="CCEEFF"/>
          </w:tcPr>
          <w:p>
            <w:pPr>
              <w:spacing w:after="0"/>
              <w:rPr>
                <w:sz w:val="11"/>
                <w:szCs w:val="11"/>
                <w:color w:val="auto"/>
              </w:rPr>
            </w:pPr>
          </w:p>
        </w:tc>
        <w:tc>
          <w:tcPr>
            <w:tcW w:w="2700" w:type="dxa"/>
            <w:vAlign w:val="bottom"/>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1"/>
              </w:rPr>
              <w:t>Endesa</w:t>
            </w:r>
            <w:r>
              <w:rPr>
                <w:rFonts w:ascii="Times New Roman" w:cs="Times New Roman" w:eastAsia="Times New Roman" w:hAnsi="Times New Roman"/>
                <w:sz w:val="29"/>
                <w:szCs w:val="29"/>
                <w:color w:val="auto"/>
                <w:w w:val="91"/>
                <w:vertAlign w:val="superscript"/>
              </w:rPr>
              <w:t>(6)</w:t>
            </w:r>
          </w:p>
        </w:tc>
        <w:tc>
          <w:tcPr>
            <w:tcW w:w="1780" w:type="dxa"/>
            <w:vAlign w:val="bottom"/>
            <w:gridSpan w:val="2"/>
            <w:vMerge w:val="continue"/>
            <w:shd w:val="clear" w:color="auto" w:fill="CCEEFF"/>
          </w:tcPr>
          <w:p>
            <w:pPr>
              <w:spacing w:after="0"/>
              <w:rPr>
                <w:sz w:val="11"/>
                <w:szCs w:val="11"/>
                <w:color w:val="auto"/>
              </w:rPr>
            </w:pPr>
          </w:p>
        </w:tc>
        <w:tc>
          <w:tcPr>
            <w:tcW w:w="20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2029</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2035-2041</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20" w:type="dxa"/>
            <w:vAlign w:val="bottom"/>
            <w:gridSpan w:val="2"/>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2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GasLog Singapore</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20" w:type="dxa"/>
            <w:vAlign w:val="bottom"/>
          </w:tcPr>
          <w:p>
            <w:pPr>
              <w:spacing w:after="0"/>
              <w:rPr>
                <w:sz w:val="17"/>
                <w:szCs w:val="17"/>
                <w:color w:val="auto"/>
              </w:rPr>
            </w:pPr>
          </w:p>
        </w:tc>
        <w:tc>
          <w:tcPr>
            <w:tcW w:w="15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Spot Market</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TFDE</w:t>
            </w:r>
          </w:p>
        </w:tc>
        <w:tc>
          <w:tcPr>
            <w:tcW w:w="2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0"/>
        </w:trPr>
        <w:tc>
          <w:tcPr>
            <w:tcW w:w="260" w:type="dxa"/>
            <w:vAlign w:val="bottom"/>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line="274" w:lineRule="exact"/>
              <w:rPr>
                <w:sz w:val="20"/>
                <w:szCs w:val="20"/>
                <w:color w:val="auto"/>
              </w:rPr>
            </w:pPr>
            <w:r>
              <w:rPr>
                <w:rFonts w:ascii="Times New Roman" w:cs="Times New Roman" w:eastAsia="Times New Roman" w:hAnsi="Times New Roman"/>
                <w:sz w:val="18"/>
                <w:szCs w:val="18"/>
                <w:color w:val="auto"/>
                <w:w w:val="96"/>
              </w:rPr>
              <w:t xml:space="preserve">Sinolam LNG </w:t>
            </w:r>
            <w:r>
              <w:rPr>
                <w:rFonts w:ascii="Times New Roman" w:cs="Times New Roman" w:eastAsia="Times New Roman" w:hAnsi="Times New Roman"/>
                <w:sz w:val="29"/>
                <w:szCs w:val="29"/>
                <w:color w:val="auto"/>
                <w:w w:val="96"/>
                <w:vertAlign w:val="superscript"/>
              </w:rPr>
              <w:t>(7)</w:t>
            </w:r>
          </w:p>
        </w:tc>
        <w:tc>
          <w:tcPr>
            <w:tcW w:w="1780" w:type="dxa"/>
            <w:vAlign w:val="bottom"/>
            <w:gridSpan w:val="2"/>
            <w:vMerge w:val="continue"/>
          </w:tcPr>
          <w:p>
            <w:pPr>
              <w:spacing w:after="0"/>
              <w:rPr>
                <w:sz w:val="12"/>
                <w:szCs w:val="12"/>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September 2031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GasLog Wales</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1"/>
              </w:rPr>
              <w:t>JERA</w:t>
            </w:r>
            <w:r>
              <w:rPr>
                <w:rFonts w:ascii="Times New Roman" w:cs="Times New Roman" w:eastAsia="Times New Roman" w:hAnsi="Times New Roman"/>
                <w:sz w:val="29"/>
                <w:szCs w:val="29"/>
                <w:color w:val="auto"/>
                <w:w w:val="91"/>
                <w:vertAlign w:val="superscript"/>
              </w:rPr>
              <w:t>(8)</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X-DF</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March 2032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2035-2038</w:t>
            </w:r>
          </w:p>
        </w:tc>
        <w:tc>
          <w:tcPr>
            <w:tcW w:w="0" w:type="dxa"/>
            <w:vAlign w:val="bottom"/>
          </w:tcPr>
          <w:p>
            <w:pPr>
              <w:spacing w:after="0"/>
              <w:rPr>
                <w:sz w:val="1"/>
                <w:szCs w:val="1"/>
                <w:color w:val="auto"/>
              </w:rPr>
            </w:pPr>
          </w:p>
        </w:tc>
      </w:tr>
      <w:tr>
        <w:trPr>
          <w:trHeight w:val="675"/>
        </w:trPr>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2" w:right="339" w:bottom="1440" w:gutter="0" w:footer="0" w:header="0"/>
        </w:sectPr>
      </w:pPr>
    </w:p>
    <w:bookmarkStart w:id="8" w:name="page9"/>
    <w:bookmarkEnd w:id="8"/>
    <w:p>
      <w:pPr>
        <w:ind w:left="360"/>
        <w:spacing w:after="0"/>
        <w:rPr>
          <w:sz w:val="20"/>
          <w:szCs w:val="20"/>
          <w:color w:val="auto"/>
        </w:rPr>
      </w:pPr>
      <w:r>
        <w:rPr>
          <w:rFonts w:ascii="Times New Roman" w:cs="Times New Roman" w:eastAsia="Times New Roman" w:hAnsi="Times New Roman"/>
          <w:sz w:val="18"/>
          <w:szCs w:val="18"/>
          <w:color w:val="auto"/>
        </w:rPr>
        <w:t>As of February 22, 2021, the Partnership’s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Charterer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86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Capacity   contracts of more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Optional</w:t>
            </w:r>
          </w:p>
        </w:tc>
      </w:tr>
      <w:tr>
        <w:trPr>
          <w:trHeight w:val="275"/>
        </w:trPr>
        <w:tc>
          <w:tcPr>
            <w:tcW w:w="260" w:type="dxa"/>
            <w:vAlign w:val="bottom"/>
          </w:tcPr>
          <w:p>
            <w:pPr>
              <w:spacing w:after="0"/>
              <w:rPr>
                <w:sz w:val="23"/>
                <w:szCs w:val="23"/>
                <w:color w:val="auto"/>
              </w:rPr>
            </w:pPr>
          </w:p>
        </w:tc>
        <w:tc>
          <w:tcPr>
            <w:tcW w:w="2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7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(cbm)</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4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2000" w:type="dxa"/>
            <w:vAlign w:val="bottom"/>
            <w:gridSpan w:val="2"/>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Expiration</w:t>
            </w:r>
            <w:r>
              <w:rPr>
                <w:rFonts w:ascii="Times New Roman" w:cs="Times New Roman" w:eastAsia="Times New Roman" w:hAnsi="Times New Roman"/>
                <w:sz w:val="29"/>
                <w:szCs w:val="29"/>
                <w:b w:val="1"/>
                <w:bCs w:val="1"/>
                <w:color w:val="auto"/>
                <w:w w:val="94"/>
                <w:vertAlign w:val="superscript"/>
              </w:rPr>
              <w:t>(1)</w:t>
            </w:r>
          </w:p>
        </w:tc>
        <w:tc>
          <w:tcPr>
            <w:tcW w:w="1220" w:type="dxa"/>
            <w:vAlign w:val="bottom"/>
          </w:tcPr>
          <w:p>
            <w:pPr>
              <w:ind w:left="260"/>
              <w:spacing w:after="0" w:line="276"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9"/>
                <w:szCs w:val="29"/>
                <w:b w:val="1"/>
                <w:bCs w:val="1"/>
                <w:color w:val="auto"/>
                <w:vertAlign w:val="superscript"/>
              </w:rPr>
              <w:t>(2)</w:t>
            </w:r>
          </w:p>
        </w:tc>
      </w:tr>
      <w:tr>
        <w:trPr>
          <w:trHeight w:val="209"/>
        </w:trPr>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Spot Market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7"/>
              </w:rPr>
              <w:t>Steam</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Spot Market</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Steam</w:t>
            </w: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Spot Market</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2021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color w:val="auto"/>
                <w:w w:val="99"/>
              </w:rPr>
              <w:t>Trafigura</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2022-2028</w:t>
            </w:r>
          </w:p>
        </w:tc>
      </w:tr>
      <w:tr>
        <w:trPr>
          <w:trHeight w:val="257"/>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Shirley Elisabeth</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20" w:type="dxa"/>
            <w:vAlign w:val="bottom"/>
            <w:gridSpan w:val="5"/>
            <w:shd w:val="clear" w:color="auto" w:fill="CCEEFF"/>
          </w:tcPr>
          <w:p>
            <w:pPr>
              <w:jc w:val="center"/>
              <w:ind w:right="760"/>
              <w:spacing w:after="0" w:line="256" w:lineRule="exact"/>
              <w:rPr>
                <w:sz w:val="20"/>
                <w:szCs w:val="20"/>
                <w:color w:val="auto"/>
              </w:rPr>
            </w:pPr>
            <w:r>
              <w:rPr>
                <w:rFonts w:ascii="Times New Roman" w:cs="Times New Roman" w:eastAsia="Times New Roman" w:hAnsi="Times New Roman"/>
                <w:sz w:val="18"/>
                <w:szCs w:val="18"/>
                <w:color w:val="auto"/>
                <w:w w:val="93"/>
              </w:rPr>
              <w:t>JOVO</w:t>
            </w:r>
            <w:r>
              <w:rPr>
                <w:rFonts w:ascii="Times New Roman" w:cs="Times New Roman" w:eastAsia="Times New Roman" w:hAnsi="Times New Roman"/>
                <w:sz w:val="29"/>
                <w:szCs w:val="29"/>
                <w:color w:val="auto"/>
                <w:w w:val="93"/>
                <w:vertAlign w:val="superscript"/>
              </w:rPr>
              <w:t>(9)</w:t>
            </w:r>
          </w:p>
        </w:tc>
        <w:tc>
          <w:tcPr>
            <w:tcW w:w="220" w:type="dxa"/>
            <w:vAlign w:val="bottom"/>
            <w:shd w:val="clear" w:color="auto" w:fill="CCEEFF"/>
          </w:tcPr>
          <w:p>
            <w:pPr>
              <w:spacing w:after="0"/>
              <w:rPr>
                <w:sz w:val="22"/>
                <w:szCs w:val="22"/>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Steam</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gridSpan w:val="5"/>
          </w:tcPr>
          <w:p>
            <w:pPr>
              <w:jc w:val="center"/>
              <w:ind w:right="760"/>
              <w:spacing w:after="0" w:line="256" w:lineRule="exact"/>
              <w:rPr>
                <w:sz w:val="20"/>
                <w:szCs w:val="20"/>
                <w:color w:val="auto"/>
              </w:rPr>
            </w:pPr>
            <w:r>
              <w:rPr>
                <w:rFonts w:ascii="Times New Roman" w:cs="Times New Roman" w:eastAsia="Times New Roman" w:hAnsi="Times New Roman"/>
                <w:sz w:val="18"/>
                <w:szCs w:val="18"/>
                <w:color w:val="auto"/>
                <w:w w:val="92"/>
              </w:rPr>
              <w:t>Gunvor</w:t>
            </w:r>
            <w:r>
              <w:rPr>
                <w:rFonts w:ascii="Times New Roman" w:cs="Times New Roman" w:eastAsia="Times New Roman" w:hAnsi="Times New Roman"/>
                <w:sz w:val="29"/>
                <w:szCs w:val="29"/>
                <w:color w:val="auto"/>
                <w:w w:val="92"/>
                <w:vertAlign w:val="superscript"/>
              </w:rPr>
              <w:t>(3)</w:t>
            </w:r>
          </w:p>
        </w:tc>
        <w:tc>
          <w:tcPr>
            <w:tcW w:w="220" w:type="dxa"/>
            <w:vAlign w:val="bottom"/>
          </w:tcPr>
          <w:p>
            <w:pPr>
              <w:spacing w:after="0"/>
              <w:rPr>
                <w:sz w:val="22"/>
                <w:szCs w:val="22"/>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center"/>
              <w:ind w:right="760"/>
              <w:spacing w:after="0"/>
              <w:rPr>
                <w:sz w:val="20"/>
                <w:szCs w:val="20"/>
                <w:color w:val="auto"/>
              </w:rPr>
            </w:pPr>
            <w:r>
              <w:rPr>
                <w:rFonts w:ascii="Times New Roman" w:cs="Times New Roman" w:eastAsia="Times New Roman" w:hAnsi="Times New Roman"/>
                <w:sz w:val="18"/>
                <w:szCs w:val="18"/>
                <w:color w:val="auto"/>
                <w:w w:val="98"/>
              </w:rPr>
              <w:t>Cheniere</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Steam</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2023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2028-2031</w:t>
            </w:r>
          </w:p>
        </w:tc>
      </w:tr>
      <w:tr>
        <w:trPr>
          <w:trHeight w:val="257"/>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60" w:type="dxa"/>
            <w:vAlign w:val="bottom"/>
            <w:gridSpan w:val="6"/>
            <w:shd w:val="clear" w:color="auto" w:fill="CCEEFF"/>
          </w:tcPr>
          <w:p>
            <w:pPr>
              <w:jc w:val="center"/>
              <w:ind w:right="440"/>
              <w:spacing w:after="0" w:line="256" w:lineRule="exact"/>
              <w:rPr>
                <w:sz w:val="20"/>
                <w:szCs w:val="20"/>
                <w:color w:val="auto"/>
              </w:rPr>
            </w:pPr>
            <w:r>
              <w:rPr>
                <w:rFonts w:ascii="Times New Roman" w:cs="Times New Roman" w:eastAsia="Times New Roman" w:hAnsi="Times New Roman"/>
                <w:sz w:val="18"/>
                <w:szCs w:val="18"/>
                <w:color w:val="auto"/>
                <w:w w:val="94"/>
              </w:rPr>
              <w:t>CNTIC VPower</w:t>
            </w:r>
            <w:r>
              <w:rPr>
                <w:rFonts w:ascii="Times New Roman" w:cs="Times New Roman" w:eastAsia="Times New Roman" w:hAnsi="Times New Roman"/>
                <w:sz w:val="29"/>
                <w:szCs w:val="29"/>
                <w:color w:val="auto"/>
                <w:w w:val="94"/>
                <w:vertAlign w:val="superscript"/>
              </w:rPr>
              <w:t>(10)</w:t>
            </w:r>
          </w:p>
        </w:tc>
        <w:tc>
          <w:tcPr>
            <w:tcW w:w="220" w:type="dxa"/>
            <w:vAlign w:val="bottom"/>
            <w:shd w:val="clear" w:color="auto" w:fill="CCEEFF"/>
          </w:tcPr>
          <w:p>
            <w:pPr>
              <w:spacing w:after="0"/>
              <w:rPr>
                <w:sz w:val="22"/>
                <w:szCs w:val="22"/>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Steam</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2023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2024–2025</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2028-2031</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2010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2024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2027-2029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27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tcPr>
          <w:p>
            <w:pPr>
              <w:spacing w:after="0"/>
              <w:rPr>
                <w:sz w:val="18"/>
                <w:szCs w:val="18"/>
                <w:color w:val="auto"/>
              </w:rPr>
            </w:pPr>
          </w:p>
        </w:tc>
        <w:tc>
          <w:tcPr>
            <w:tcW w:w="12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rPr>
              <w:t>Shell</w:t>
            </w:r>
          </w:p>
        </w:tc>
        <w:tc>
          <w:tcPr>
            <w:tcW w:w="22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7"/>
              </w:rPr>
              <w:t>TFDE</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2026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432"/>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60" w:type="dxa"/>
            <w:vAlign w:val="bottom"/>
            <w:gridSpan w:val="9"/>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Charter</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Optional</w:t>
            </w:r>
          </w:p>
        </w:tc>
      </w:tr>
      <w:tr>
        <w:trPr>
          <w:trHeight w:val="275"/>
        </w:trPr>
        <w:tc>
          <w:tcPr>
            <w:tcW w:w="2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Built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(cbm)</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gridSpan w:val="3"/>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Charterer</w:t>
            </w: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0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Expiration</w:t>
            </w:r>
            <w:r>
              <w:rPr>
                <w:rFonts w:ascii="Times New Roman" w:cs="Times New Roman" w:eastAsia="Times New Roman" w:hAnsi="Times New Roman"/>
                <w:sz w:val="29"/>
                <w:szCs w:val="29"/>
                <w:b w:val="1"/>
                <w:bCs w:val="1"/>
                <w:color w:val="auto"/>
                <w:w w:val="96"/>
                <w:vertAlign w:val="superscript"/>
              </w:rPr>
              <w:t>(1)</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ind w:left="260"/>
              <w:spacing w:after="0" w:line="276"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9"/>
                <w:szCs w:val="29"/>
                <w:b w:val="1"/>
                <w:bCs w:val="1"/>
                <w:color w:val="auto"/>
                <w:vertAlign w:val="superscript"/>
              </w:rPr>
              <w:t>(2)</w:t>
            </w:r>
          </w:p>
        </w:tc>
      </w:tr>
      <w:tr>
        <w:trPr>
          <w:trHeight w:val="250"/>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78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17"/>
                <w:szCs w:val="17"/>
                <w:i w:val="1"/>
                <w:iCs w:val="1"/>
                <w:color w:val="auto"/>
              </w:rPr>
              <w:t xml:space="preserve">GasLog Hong Kong </w:t>
            </w:r>
            <w:r>
              <w:rPr>
                <w:rFonts w:ascii="Times New Roman" w:cs="Times New Roman" w:eastAsia="Times New Roman" w:hAnsi="Times New Roman"/>
                <w:sz w:val="28"/>
                <w:szCs w:val="28"/>
                <w:color w:val="auto"/>
                <w:vertAlign w:val="superscript"/>
              </w:rPr>
              <w:t>(11)</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center"/>
              <w:ind w:left="131"/>
              <w:spacing w:after="0" w:line="250" w:lineRule="exact"/>
              <w:rPr>
                <w:sz w:val="20"/>
                <w:szCs w:val="20"/>
                <w:color w:val="auto"/>
              </w:rPr>
            </w:pPr>
            <w:r>
              <w:rPr>
                <w:rFonts w:ascii="Times New Roman" w:cs="Times New Roman" w:eastAsia="Times New Roman" w:hAnsi="Times New Roman"/>
                <w:sz w:val="17"/>
                <w:szCs w:val="17"/>
                <w:color w:val="auto"/>
                <w:w w:val="92"/>
              </w:rPr>
              <w:t xml:space="preserve">Total </w:t>
            </w:r>
            <w:r>
              <w:rPr>
                <w:rFonts w:ascii="Times New Roman" w:cs="Times New Roman" w:eastAsia="Times New Roman" w:hAnsi="Times New Roman"/>
                <w:sz w:val="28"/>
                <w:szCs w:val="28"/>
                <w:color w:val="auto"/>
                <w:w w:val="92"/>
                <w:vertAlign w:val="superscript"/>
              </w:rPr>
              <w:t>(11)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X-DF</w:t>
            </w:r>
          </w:p>
        </w:tc>
        <w:tc>
          <w:tcPr>
            <w:tcW w:w="2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December 2025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56"/>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78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Methane Julia Louise </w:t>
            </w:r>
            <w:r>
              <w:rPr>
                <w:rFonts w:ascii="Times New Roman" w:cs="Times New Roman" w:eastAsia="Times New Roman" w:hAnsi="Times New Roman"/>
                <w:sz w:val="29"/>
                <w:szCs w:val="29"/>
                <w:color w:val="auto"/>
                <w:vertAlign w:val="superscript"/>
              </w:rPr>
              <w:t>(12)</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7"/>
              </w:rPr>
              <w:t>Shell</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March 2026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2029-2031</w:t>
            </w:r>
          </w:p>
        </w:tc>
      </w:tr>
      <w:tr>
        <w:trPr>
          <w:trHeight w:val="257"/>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780" w:type="dxa"/>
            <w:vAlign w:val="bottom"/>
            <w:gridSpan w:val="2"/>
            <w:shd w:val="clear" w:color="auto" w:fill="CCEEFF"/>
          </w:tcPr>
          <w:p>
            <w:pPr>
              <w:ind w:left="80"/>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GasLog Houston </w:t>
            </w:r>
            <w:r>
              <w:rPr>
                <w:rFonts w:ascii="Times New Roman" w:cs="Times New Roman" w:eastAsia="Times New Roman" w:hAnsi="Times New Roman"/>
                <w:sz w:val="29"/>
                <w:szCs w:val="29"/>
                <w:color w:val="auto"/>
                <w:vertAlign w:val="superscript"/>
              </w:rPr>
              <w:t>(13)</w:t>
            </w: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7"/>
              </w:rPr>
              <w:t>Shell</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X-DF</w:t>
            </w:r>
          </w:p>
        </w:tc>
        <w:tc>
          <w:tcPr>
            <w:tcW w:w="2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May 2028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2031-2034</w:t>
            </w:r>
          </w:p>
        </w:tc>
      </w:tr>
    </w:tbl>
    <w:p>
      <w:pPr>
        <w:spacing w:after="0" w:line="13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17" w:lineRule="exact"/>
        <w:rPr>
          <w:rFonts w:ascii="Times New Roman" w:cs="Times New Roman" w:eastAsia="Times New Roman" w:hAnsi="Times New Roman"/>
          <w:sz w:val="12"/>
          <w:szCs w:val="12"/>
          <w:color w:val="auto"/>
        </w:rPr>
      </w:pPr>
    </w:p>
    <w:p>
      <w:pPr>
        <w:ind w:left="340" w:right="4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period shown reflects the expiration of the minimum optional period and the maximum optional period. The charterer of the </w:t>
      </w:r>
      <w:r>
        <w:rPr>
          <w:rFonts w:ascii="Times New Roman" w:cs="Times New Roman" w:eastAsia="Times New Roman" w:hAnsi="Times New Roman"/>
          <w:sz w:val="14"/>
          <w:szCs w:val="14"/>
          <w:i w:val="1"/>
          <w:iCs w:val="1"/>
          <w:color w:val="auto"/>
        </w:rPr>
        <w:t>GasLog Santiago</w:t>
      </w:r>
      <w:r>
        <w:rPr>
          <w:rFonts w:ascii="Times New Roman" w:cs="Times New Roman" w:eastAsia="Times New Roman" w:hAnsi="Times New Roman"/>
          <w:sz w:val="14"/>
          <w:szCs w:val="14"/>
          <w:color w:val="auto"/>
        </w:rPr>
        <w:t xml:space="preserve"> may extend the term of this time charter for a period ranging from one to seven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Methane Becki Anne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Methane Julia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Louise </w:t>
      </w:r>
      <w:r>
        <w:rPr>
          <w:rFonts w:ascii="Times New Roman" w:cs="Times New Roman" w:eastAsia="Times New Roman" w:hAnsi="Times New Roman"/>
          <w:sz w:val="14"/>
          <w:szCs w:val="14"/>
          <w:color w:val="auto"/>
        </w:rPr>
        <w:t>has unilateral options to extend the term of the related time charters for a period of either three or five years at their election, provided that the charterer provides us with advance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notice of declaration of any option in accordance with the terms of the applicable charter. The charterer of the </w:t>
      </w:r>
      <w:r>
        <w:rPr>
          <w:rFonts w:ascii="Times New Roman" w:cs="Times New Roman" w:eastAsia="Times New Roman" w:hAnsi="Times New Roman"/>
          <w:sz w:val="14"/>
          <w:szCs w:val="14"/>
          <w:i w:val="1"/>
          <w:iCs w:val="1"/>
          <w:color w:val="auto"/>
        </w:rPr>
        <w:t>GasLog Greece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Glasgow</w:t>
      </w:r>
      <w:r>
        <w:rPr>
          <w:rFonts w:ascii="Times New Roman" w:cs="Times New Roman" w:eastAsia="Times New Roman" w:hAnsi="Times New Roman"/>
          <w:sz w:val="14"/>
          <w:szCs w:val="14"/>
          <w:color w:val="auto"/>
        </w:rPr>
        <w:t xml:space="preserve"> has the right to extend the charters for a period of five years at the charterer’s option. The charterer of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Gibraltar</w:t>
      </w:r>
      <w:r>
        <w:rPr>
          <w:rFonts w:ascii="Times New Roman" w:cs="Times New Roman" w:eastAsia="Times New Roman" w:hAnsi="Times New Roman"/>
          <w:sz w:val="14"/>
          <w:szCs w:val="14"/>
          <w:color w:val="auto"/>
        </w:rPr>
        <w:t xml:space="preserve"> has the right to extend the charter by two additional periods of five and three years, respectively,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has the right to extend the charters by two additional periods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has the right to extend the charter for a period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has the right to extend the charter by two additional periods of six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Windsor</w:t>
      </w:r>
      <w:r>
        <w:rPr>
          <w:rFonts w:ascii="Times New Roman" w:cs="Times New Roman" w:eastAsia="Times New Roman" w:hAnsi="Times New Roman"/>
          <w:sz w:val="14"/>
          <w:szCs w:val="14"/>
          <w:color w:val="auto"/>
        </w:rPr>
        <w:t xml:space="preserve"> has the right to extend the charter by three additional periods of two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Wales</w:t>
      </w:r>
      <w:r>
        <w:rPr>
          <w:rFonts w:ascii="Times New Roman" w:cs="Times New Roman" w:eastAsia="Times New Roman" w:hAnsi="Times New Roman"/>
          <w:sz w:val="14"/>
          <w:szCs w:val="14"/>
          <w:color w:val="auto"/>
        </w:rPr>
        <w:t xml:space="preserve"> has the right to extend the charter by two additional periods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Westminster</w:t>
      </w:r>
      <w:r>
        <w:rPr>
          <w:rFonts w:ascii="Times New Roman" w:cs="Times New Roman" w:eastAsia="Times New Roman" w:hAnsi="Times New Roman"/>
          <w:sz w:val="14"/>
          <w:szCs w:val="14"/>
          <w:color w:val="auto"/>
        </w:rPr>
        <w:t xml:space="preserve"> has the right to extend the charter by three additional periods of two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Methane Alison Victoria</w:t>
      </w:r>
      <w:r>
        <w:rPr>
          <w:rFonts w:ascii="Times New Roman" w:cs="Times New Roman" w:eastAsia="Times New Roman" w:hAnsi="Times New Roman"/>
          <w:sz w:val="14"/>
          <w:szCs w:val="14"/>
          <w:color w:val="auto"/>
        </w:rPr>
        <w:t xml:space="preserve"> may extend the term of the related charter by two additional periods of one year, provided that the charterer gives us advance notice of its exercise of any extension option. The charterer of the </w:t>
      </w:r>
      <w:r>
        <w:rPr>
          <w:rFonts w:ascii="Times New Roman" w:cs="Times New Roman" w:eastAsia="Times New Roman" w:hAnsi="Times New Roman"/>
          <w:sz w:val="14"/>
          <w:szCs w:val="14"/>
          <w:i w:val="1"/>
          <w:iCs w:val="1"/>
          <w:color w:val="auto"/>
        </w:rPr>
        <w:t xml:space="preserve">Methane Jane Elizabeth </w:t>
      </w:r>
      <w:r>
        <w:rPr>
          <w:rFonts w:ascii="Times New Roman" w:cs="Times New Roman" w:eastAsia="Times New Roman" w:hAnsi="Times New Roman"/>
          <w:sz w:val="14"/>
          <w:szCs w:val="14"/>
          <w:color w:val="auto"/>
        </w:rPr>
        <w:t>has the right to extend the term of related charter by two additional periods of one year, respectively, provided that the charterer gives us advance notice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exercise of any extension option. The charterer of the </w:t>
      </w:r>
      <w:r>
        <w:rPr>
          <w:rFonts w:ascii="Times New Roman" w:cs="Times New Roman" w:eastAsia="Times New Roman" w:hAnsi="Times New Roman"/>
          <w:sz w:val="14"/>
          <w:szCs w:val="14"/>
          <w:i w:val="1"/>
          <w:iCs w:val="1"/>
          <w:color w:val="auto"/>
        </w:rPr>
        <w:t>GasLog Georgetown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Galveston</w:t>
      </w:r>
      <w:r>
        <w:rPr>
          <w:rFonts w:ascii="Times New Roman" w:cs="Times New Roman" w:eastAsia="Times New Roman" w:hAnsi="Times New Roman"/>
          <w:sz w:val="14"/>
          <w:szCs w:val="14"/>
          <w:color w:val="auto"/>
        </w:rPr>
        <w:t xml:space="preserve"> has the right to extend the term of the related charters by three additional periods of three, two and two years, respectively provided that the charterer provides us with advance notice of declaration.</w:t>
      </w:r>
    </w:p>
    <w:p>
      <w:pPr>
        <w:spacing w:after="0" w:line="4"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“Glencore” refers to ST Shipping &amp; Transport Pte. Ltd., a wholly-owned subsidiary of Glencore PLC.</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Clearlake Shipping Pte. Ltd., a subsidiary of Gunvor Group Ltd. (“Gunvor”).</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“Shell” refers to a subsidiary of Royal Dutch Shell plc (“Shell”).</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“Endesa” refers to Endesa S.A.</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currently trading in the spot market and has been chartered to Sinolam LNG for the provision of an FSU after the vessel’s dry-docking and conversion to an FSU.</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“JERA” refers to the principal LNG shipping entity of Japan’s JERA Co., Inc. (“JERA”).</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Carbon Hydrogen Energy Pte. Ltd., a wholly-owned subsidiary of JOVO Group (“JOVO”). The charter commenced on July 12, 2020.</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 commenced on October 10, 2020.</w:t>
      </w:r>
    </w:p>
    <w:p>
      <w:pPr>
        <w:spacing w:after="0" w:line="1" w:lineRule="exact"/>
        <w:rPr>
          <w:rFonts w:ascii="Times New Roman" w:cs="Times New Roman" w:eastAsia="Times New Roman" w:hAnsi="Times New Roman"/>
          <w:sz w:val="12"/>
          <w:szCs w:val="12"/>
          <w:color w:val="auto"/>
        </w:rPr>
      </w:pPr>
    </w:p>
    <w:p>
      <w:pPr>
        <w:ind w:left="340" w:right="20" w:hanging="332"/>
        <w:spacing w:after="0" w:line="221"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On October 22, 2020, GasLog’s subsidiary, GAS-twenty five Ltd., completed the sale and leaseback of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with Sea 190 Leasing. The vessel was sold to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 Gas &amp; Power Chartering Limited, a wholly-owned subsidiary of Total S.A., (“Total”).</w:t>
      </w:r>
    </w:p>
    <w:p>
      <w:pPr>
        <w:spacing w:after="0" w:line="1" w:lineRule="exact"/>
        <w:rPr>
          <w:rFonts w:ascii="Times New Roman" w:cs="Times New Roman" w:eastAsia="Times New Roman" w:hAnsi="Times New Roman"/>
          <w:sz w:val="12"/>
          <w:szCs w:val="12"/>
          <w:color w:val="auto"/>
        </w:rPr>
      </w:pPr>
    </w:p>
    <w:p>
      <w:pPr>
        <w:ind w:left="340" w:hanging="332"/>
        <w:spacing w:after="0" w:line="230"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On February 24, 2016, GasLog’s subsidiary, GAS-twenty six Ltd., completed the sale and leaseback of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32"/>
        <w:spacing w:after="0"/>
        <w:rPr>
          <w:sz w:val="20"/>
          <w:szCs w:val="20"/>
          <w:color w:val="auto"/>
        </w:rPr>
      </w:pPr>
      <w:r>
        <w:rPr>
          <w:rFonts w:ascii="Times New Roman" w:cs="Times New Roman" w:eastAsia="Times New Roman" w:hAnsi="Times New Roman"/>
          <w:sz w:val="14"/>
          <w:szCs w:val="14"/>
          <w:color w:val="auto"/>
        </w:rPr>
        <w:t>The vessel remains on its eleven-year-charter with Methane Services Limited, a subsidiary of Shell.</w:t>
      </w:r>
    </w:p>
    <w:p>
      <w:pPr>
        <w:spacing w:after="0" w:line="4" w:lineRule="exact"/>
        <w:rPr>
          <w:sz w:val="20"/>
          <w:szCs w:val="20"/>
          <w:color w:val="auto"/>
        </w:rPr>
      </w:pPr>
    </w:p>
    <w:p>
      <w:pPr>
        <w:ind w:left="332" w:hanging="332"/>
        <w:spacing w:after="0" w:line="230" w:lineRule="auto"/>
        <w:tabs>
          <w:tab w:leader="none" w:pos="33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On January 22, 2021, GasLog’s subsidiary, GAS-twenty four Ltd., completed the sale and leaseback of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with Hai Kuo Shipping 2051G Limited (“Hai Kuo Shipping”). The vessel was sold to Hai Kuo Shipping. GasLog has leased back the vessel under a bareboat charter from Hai Kuo Shipping for a period of up to eight years. GasLog has the obligation to re-purchase the vessel at end of the charter period. GasLog has also the option to re-purchase the vessel on pre-agreed terms no earlier than the end of the first interest period and no later than the end of year eight of the bareboat charter. The vessel remains on its charter with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927"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Future Deliveries</w:t>
            </w:r>
          </w:p>
        </w:tc>
        <w:tc>
          <w:tcPr>
            <w:tcW w:w="8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of February 22, 2021, GasLog has two newbuildings on order at Samsung which are on schedule and within budget:</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Estimated Charter</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Capacity</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LNG Carrier</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Expected Delivery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Shipyard</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(cbm)</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Charterer</w:t>
            </w:r>
          </w:p>
        </w:tc>
        <w:tc>
          <w:tcPr>
            <w:tcW w:w="20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2540" w:type="dxa"/>
            <w:vAlign w:val="bottom"/>
            <w:gridSpan w:val="2"/>
          </w:tcPr>
          <w:p>
            <w:pPr>
              <w:jc w:val="center"/>
              <w:ind w:right="8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Expiration</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Hull No. 2311</w:t>
            </w:r>
          </w:p>
        </w:tc>
        <w:tc>
          <w:tcPr>
            <w:tcW w:w="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Q2 2021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Samsung</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Cheniere</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X-DF</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ind w:right="690"/>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Hull No. 2312</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Q3 2021</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Samsung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c>
          <w:tcPr>
            <w:tcW w:w="60" w:type="dxa"/>
            <w:vAlign w:val="bottom"/>
          </w:tcPr>
          <w:p>
            <w:pPr>
              <w:spacing w:after="0"/>
              <w:rPr>
                <w:sz w:val="20"/>
                <w:szCs w:val="20"/>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Cheniere</w:t>
            </w:r>
          </w:p>
        </w:tc>
        <w:tc>
          <w:tcPr>
            <w:tcW w:w="20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X-DF</w:t>
            </w:r>
          </w:p>
        </w:tc>
        <w:tc>
          <w:tcPr>
            <w:tcW w:w="24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0"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GasLog and GasLog Partners will host a joint conference call to discuss their results for the fourth quarter of 2020 at 8.30 a.m. EST (3.30 p.m. EET) on Monday, February 22, 2021. Senior management of GasLog and GasLog Partners will review the operational and financial performance of the companies. The presentation of each company’s fourth quarter results will be followed by separate Q&amp;A sessions for each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dial-in numbers for the conference call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+1 855 253 8928 (USA)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5819 4851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2396 4173 (Oslo)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5262308</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live webcast of the conference call will be available on the Investor Relations page of the GasLog website (http://www.gaslogltd.com/investors) and GasLog Partners website (http://www.gaslogmlp.com/investors).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those unable to participate in the conference call, a replay of the webcast will be available on the Investor Relations page of the company websites as referenced above.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00" w:right="60" w:hanging="168"/>
        <w:spacing w:after="0" w:line="261" w:lineRule="auto"/>
        <w:tabs>
          <w:tab w:leader="none" w:pos="5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ability of GasLog and GEPIF to consummate the Transaction is difficult to predict, involve uncertainties that may materially affect actual results and that may be beyond the control of GasLog and GEPIF , including, but not limited to, the satisfaction of the conditions to the closing of the Transaction or the occurrence of any event, change or other circumstance that could give rise to the termination of the Merger Agreement or cause delays in the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left="500" w:hanging="168"/>
        <w:spacing w:after="0" w:line="276" w:lineRule="auto"/>
        <w:tabs>
          <w:tab w:leader="none" w:pos="500" w:val="left"/>
        </w:tabs>
        <w:numPr>
          <w:ilvl w:val="1"/>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fluctuations in charter hire rates, vessel utilization and vessel values;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exposure to the spot market and fluctuations in spot charter rates;</w:t>
      </w:r>
    </w:p>
    <w:p>
      <w:pPr>
        <w:spacing w:after="0" w:line="9" w:lineRule="exact"/>
        <w:rPr>
          <w:rFonts w:ascii="Times New Roman" w:cs="Times New Roman" w:eastAsia="Times New Roman" w:hAnsi="Times New Roman"/>
          <w:sz w:val="18"/>
          <w:szCs w:val="18"/>
          <w:i w:val="1"/>
          <w:iCs w:val="1"/>
          <w:color w:val="auto"/>
        </w:rPr>
      </w:pPr>
    </w:p>
    <w:p>
      <w:pPr>
        <w:ind w:left="500" w:right="560" w:hanging="182"/>
        <w:spacing w:after="0" w:line="25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our operating expenses, including crew wages, maintenance, dry-docking and insurance costs and bunker prices;</w:t>
      </w:r>
    </w:p>
    <w:p>
      <w:pPr>
        <w:spacing w:after="0" w:line="9" w:lineRule="exact"/>
        <w:rPr>
          <w:rFonts w:ascii="Times New Roman" w:cs="Times New Roman" w:eastAsia="Times New Roman" w:hAnsi="Times New Roman"/>
          <w:sz w:val="18"/>
          <w:szCs w:val="18"/>
          <w:i w:val="1"/>
          <w:iCs w:val="1"/>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off-hire days and dry-docking requirements, including our ability to complete scheduled dry-dockings on time and within budget;</w:t>
      </w:r>
    </w:p>
    <w:p>
      <w:pPr>
        <w:spacing w:after="0" w:line="9"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9"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long-term relationships and enter into time charters with new and existing customers;</w:t>
      </w:r>
    </w:p>
    <w:p>
      <w:pPr>
        <w:spacing w:after="0" w:line="9"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LNG, LNG shipping and financial markets caused by global shutdown as a result of the COVID-19 pandemic;</w:t>
      </w:r>
    </w:p>
    <w:p>
      <w:pPr>
        <w:spacing w:after="0" w:line="9" w:lineRule="exact"/>
        <w:rPr>
          <w:rFonts w:ascii="Times New Roman" w:cs="Times New Roman" w:eastAsia="Times New Roman" w:hAnsi="Times New Roman"/>
          <w:sz w:val="18"/>
          <w:szCs w:val="18"/>
          <w:color w:val="auto"/>
        </w:rPr>
      </w:pPr>
    </w:p>
    <w:p>
      <w:pPr>
        <w:ind w:left="500" w:right="240" w:hanging="182"/>
        <w:spacing w:after="0" w:line="25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resulting from measures taken to reduce the spread of COVID-19, including possible delays due to the quarantine of vessels and crew, as well as government-imposed shutdowns;</w:t>
      </w: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fluctuations in prices for crude oil, petroleum products and natural gas;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the ownership of our charterers;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customers’ performance of their obligations under our time charters and other contracts;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future operating performance and expenses, financial condition, liquidity and cash available for dividends and distributions;</w:t>
      </w:r>
    </w:p>
    <w:p>
      <w:pPr>
        <w:spacing w:after="0" w:line="9" w:lineRule="exact"/>
        <w:rPr>
          <w:rFonts w:ascii="Times New Roman" w:cs="Times New Roman" w:eastAsia="Times New Roman" w:hAnsi="Times New Roman"/>
          <w:sz w:val="18"/>
          <w:szCs w:val="18"/>
          <w:i w:val="1"/>
          <w:iCs w:val="1"/>
          <w:color w:val="auto"/>
        </w:rPr>
      </w:pPr>
    </w:p>
    <w:p>
      <w:pPr>
        <w:ind w:left="500" w:right="100" w:hanging="168"/>
        <w:spacing w:after="0" w:line="250" w:lineRule="auto"/>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500" w:right="480" w:hanging="168"/>
        <w:spacing w:after="0" w:line="250" w:lineRule="auto"/>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future, pending or recent acquisitions of or orders for ships or other assets, business strategy, areas of possible expansion and expected capital spending;</w:t>
      </w: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time that it may take to construct and deliver newbuildings and the useful lives of our ships;</w:t>
      </w:r>
    </w:p>
    <w:p>
      <w:pPr>
        <w:spacing w:after="0" w:line="9" w:lineRule="exact"/>
        <w:rPr>
          <w:rFonts w:ascii="Times New Roman" w:cs="Times New Roman" w:eastAsia="Times New Roman" w:hAnsi="Times New Roman"/>
          <w:sz w:val="18"/>
          <w:szCs w:val="18"/>
          <w:i w:val="1"/>
          <w:iCs w:val="1"/>
          <w:color w:val="auto"/>
        </w:rPr>
      </w:pPr>
    </w:p>
    <w:p>
      <w:pPr>
        <w:ind w:left="500" w:hanging="182"/>
        <w:spacing w:after="0"/>
        <w:tabs>
          <w:tab w:leader="none" w:pos="5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fluctuations in currencies and interest rates;</w:t>
      </w:r>
    </w:p>
    <w:p>
      <w:pPr>
        <w:spacing w:after="0" w:line="9" w:lineRule="exact"/>
        <w:rPr>
          <w:rFonts w:ascii="Times New Roman" w:cs="Times New Roman" w:eastAsia="Times New Roman" w:hAnsi="Times New Roman"/>
          <w:sz w:val="18"/>
          <w:szCs w:val="18"/>
          <w:i w:val="1"/>
          <w:iCs w:val="1"/>
          <w:color w:val="auto"/>
        </w:rPr>
      </w:pPr>
    </w:p>
    <w:p>
      <w:pPr>
        <w:ind w:left="500" w:right="140" w:hanging="168"/>
        <w:spacing w:after="0" w:line="250" w:lineRule="auto"/>
        <w:tabs>
          <w:tab w:leader="none" w:pos="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risks inherent in ship operation, including the discharge of pollutants;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impact of environmental liabilities on us and the shipping industry, including climate change;</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retain key employees and the availability of skilled labour, ship crews and management;</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potential disruption of shipping routes due to accidents, diseases, pandemics, political events, piracy or acts by terrorists;</w:t>
      </w:r>
    </w:p>
    <w:p>
      <w:pPr>
        <w:spacing w:after="0" w:line="9" w:lineRule="exact"/>
        <w:rPr>
          <w:rFonts w:ascii="Times New Roman" w:cs="Times New Roman" w:eastAsia="Times New Roman" w:hAnsi="Times New Roman"/>
          <w:sz w:val="18"/>
          <w:szCs w:val="18"/>
          <w:i w:val="1"/>
          <w:iCs w:val="1"/>
          <w:color w:val="auto"/>
        </w:rPr>
      </w:pPr>
    </w:p>
    <w:p>
      <w:pPr>
        <w:ind w:left="500" w:hanging="168"/>
        <w:spacing w:after="0"/>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potential liability from future litigation;</w:t>
      </w:r>
    </w:p>
    <w:p>
      <w:pPr>
        <w:spacing w:after="0" w:line="9" w:lineRule="exact"/>
        <w:rPr>
          <w:rFonts w:ascii="Times New Roman" w:cs="Times New Roman" w:eastAsia="Times New Roman" w:hAnsi="Times New Roman"/>
          <w:sz w:val="18"/>
          <w:szCs w:val="18"/>
          <w:i w:val="1"/>
          <w:iCs w:val="1"/>
          <w:color w:val="auto"/>
        </w:rPr>
      </w:pPr>
    </w:p>
    <w:p>
      <w:pPr>
        <w:ind w:left="500" w:right="20" w:hanging="168"/>
        <w:spacing w:after="0" w:line="250" w:lineRule="auto"/>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malfunction or disruption of information technology systems and networks that our operations rely on or any impact of a possible cybersecurity event; and</w:t>
      </w:r>
    </w:p>
    <w:p>
      <w:pPr>
        <w:ind w:left="500" w:right="100" w:hanging="168"/>
        <w:spacing w:after="0" w:line="260" w:lineRule="auto"/>
        <w:tabs>
          <w:tab w:leader="none" w:pos="500" w:val="left"/>
        </w:tabs>
        <w:numPr>
          <w:ilvl w:val="1"/>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other risks and uncertainties described in the Company’s Annual Report on Form 20-F filed with the SEC on March 6, 2020 and Quarterly Reports on Form 6-K filed with the SEC on May 7, 2020, August 5, 2020 and November 10, 2020, and available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declaration and payment of dividends are at all times subject to the discretion of our board of directors and will depend on, amongst other things, risks and uncertainties described above, restrictions in our credit and sale-and-leaseback facilities, the provisions of Bermuda law and such other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 - Unaudited Interim Financial Information</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2019 and 2020</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4"/>
                <w:szCs w:val="24"/>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9,511</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associates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21,620</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21,759</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24,221</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12,463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Tangible fixed assets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4,427,065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5,028,509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under construction</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203,323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206,495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4,907,399</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5,419,229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24,900</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36,223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receivable and other amounts due from related parties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8,172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13,475</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24,685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263,747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315,796</w:t>
            </w:r>
          </w:p>
        </w:tc>
        <w:tc>
          <w:tcPr>
            <w:tcW w:w="2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437,534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5,223,195</w:t>
            </w:r>
          </w:p>
        </w:tc>
        <w:tc>
          <w:tcPr>
            <w:tcW w:w="2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5,856,763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760,671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16,799</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(87,832)</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(132,780)</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Group</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688,335</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645,369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961,518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951,768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1,649,853</w:t>
            </w:r>
          </w:p>
        </w:tc>
        <w:tc>
          <w:tcPr>
            <w:tcW w:w="2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1,597,137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27,615</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25,046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Ship management creditors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8,095</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136,242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current portion</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255,422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437,538</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459,349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41,837</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78,440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Borrowings, non-current portion</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2,891,973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3,527,595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 portion</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195,567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3,135,804</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3,800,277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5,223,195</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5,856,763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years ended December 31,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668,637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pool allocation</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(4,332)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(23,772)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and supervision costs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(39,538)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(139,662)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(148,235)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(43,855)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(46,963)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(168,041)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(14,512)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(11,797)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(47,385)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(47,249)</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(162,149)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(162,149)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(82,133</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123,364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5,318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derivatives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12,360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(55,441)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(84,658)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539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(37,756</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(36,495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(238,977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(247,021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for the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45,948</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(115,613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(50,171)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28,233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(100,661)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(69,718)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(14,952)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48,237</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per share – basic and diluted</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(0.65)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0.27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0" w:type="dxa"/>
            <w:vAlign w:val="bottom"/>
          </w:tcPr>
          <w:p>
            <w:pPr>
              <w:spacing w:after="0"/>
              <w:rPr>
                <w:sz w:val="1"/>
                <w:szCs w:val="1"/>
                <w:color w:val="auto"/>
              </w:rPr>
            </w:pPr>
          </w:p>
        </w:tc>
      </w:tr>
      <w:tr>
        <w:trPr>
          <w:trHeight w:val="67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2019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2740" w:type="dxa"/>
            <w:vAlign w:val="bottom"/>
            <w:gridSpan w:val="4"/>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6"/>
        </w:trPr>
        <w:tc>
          <w:tcPr>
            <w:tcW w:w="85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5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(Loss)/profit for the year</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(115,613)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3,289</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168,041</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177,213</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162,149</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28,627</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190,481</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165,281</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Realized foreign exchange losses</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 held for trading including ineffective portion of cash flow hedges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54,201</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64,367</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Recycled loss of cash flow hedges reclassified to profit or loss</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697</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defined benefit obligations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5,447</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5,849</w:t>
            </w:r>
          </w:p>
        </w:tc>
      </w:tr>
      <w:tr>
        <w:trPr>
          <w:trHeight w:val="210"/>
        </w:trPr>
        <w:tc>
          <w:tcPr>
            <w:tcW w:w="8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459,231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bottom w:val="single" w:sz="8" w:color="CCEEFF"/>
            </w:tcBorders>
          </w:tcPr>
          <w:p>
            <w:pPr>
              <w:spacing w:after="0"/>
              <w:rPr>
                <w:sz w:val="18"/>
                <w:szCs w:val="18"/>
                <w:color w:val="auto"/>
              </w:rPr>
            </w:pP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operations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489,248</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444,484</w:t>
            </w:r>
          </w:p>
        </w:tc>
        <w:tc>
          <w:tcPr>
            <w:tcW w:w="100" w:type="dxa"/>
            <w:vAlign w:val="bottom"/>
            <w:shd w:val="clear" w:color="auto" w:fill="CCEEFF"/>
          </w:tcPr>
          <w:p>
            <w:pPr>
              <w:spacing w:after="0"/>
              <w:rPr>
                <w:sz w:val="18"/>
                <w:szCs w:val="18"/>
                <w:color w:val="auto"/>
              </w:rPr>
            </w:pPr>
          </w:p>
        </w:tc>
      </w:tr>
      <w:tr>
        <w:trPr>
          <w:trHeight w:val="209"/>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(171,825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(155,533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317,423</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288,951</w:t>
            </w:r>
          </w:p>
        </w:tc>
        <w:tc>
          <w:tcPr>
            <w:tcW w:w="100" w:type="dxa"/>
            <w:vAlign w:val="bottom"/>
            <w:shd w:val="clear" w:color="auto" w:fill="CCEEFF"/>
          </w:tcPr>
          <w:p>
            <w:pPr>
              <w:spacing w:after="0"/>
              <w:rPr>
                <w:sz w:val="18"/>
                <w:szCs w:val="18"/>
                <w:color w:val="auto"/>
              </w:rPr>
            </w:pPr>
          </w:p>
        </w:tc>
      </w:tr>
      <w:tr>
        <w:trPr>
          <w:trHeight w:val="209"/>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tangible fixed assets and vessels under construction</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(479,618)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(732,385)</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tangible fixed assets</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2,322</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expenditures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10,451</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right-of-use assets</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associate</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1,313</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(82,500)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103,000</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received</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5,469</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844</w:t>
            </w:r>
          </w:p>
        </w:tc>
      </w:tr>
      <w:tr>
        <w:trPr>
          <w:trHeight w:val="210"/>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(442,978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(729,569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 and bonds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905,730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2,138,035</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Loan and bond repayments</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(547,751)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(1,481,709)</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bond repurchase at a premium</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interest rate swaps termination</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(31,662)</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entering into interest rate swaps</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31,622</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issuance costs</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(25,912)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(35,795)</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issuance costs received</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Payment of equity raising costs</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36,000</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(193,436)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(90,041)</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cross currency swaps’ termination</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 or GasLog Partners’ common units</w:t>
            </w:r>
          </w:p>
        </w:tc>
        <w:tc>
          <w:tcPr>
            <w:tcW w:w="14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lease liability</w:t>
            </w: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(11,150)</w:t>
            </w:r>
          </w:p>
        </w:tc>
      </w:tr>
      <w:tr>
        <w:trPr>
          <w:trHeight w:val="209"/>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50,066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(Decrease)/increase in cash and cash equivalents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(78,847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00" w:type="dxa"/>
            <w:vAlign w:val="bottom"/>
            <w:shd w:val="clear" w:color="auto" w:fill="CCEEFF"/>
          </w:tcPr>
          <w:p>
            <w:pPr>
              <w:spacing w:after="0"/>
              <w:rPr>
                <w:sz w:val="18"/>
                <w:szCs w:val="18"/>
                <w:color w:val="auto"/>
              </w:rPr>
            </w:pPr>
          </w:p>
        </w:tc>
      </w:tr>
      <w:tr>
        <w:trPr>
          <w:trHeight w:val="210"/>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year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342,594</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263,747</w:t>
            </w:r>
          </w:p>
        </w:tc>
        <w:tc>
          <w:tcPr>
            <w:tcW w:w="100" w:type="dxa"/>
            <w:vAlign w:val="bottom"/>
            <w:tcBorders>
              <w:bottom w:val="single" w:sz="8" w:color="CCEEFF"/>
            </w:tcBorders>
          </w:tcPr>
          <w:p>
            <w:pPr>
              <w:spacing w:after="0"/>
              <w:rPr>
                <w:sz w:val="18"/>
                <w:szCs w:val="18"/>
                <w:color w:val="auto"/>
              </w:rPr>
            </w:pPr>
          </w:p>
        </w:tc>
      </w:tr>
      <w:tr>
        <w:trPr>
          <w:trHeight w:val="223"/>
        </w:trPr>
        <w:tc>
          <w:tcPr>
            <w:tcW w:w="8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263,747</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Adjusted EBITDA, Adjusted Profit and Adjusted EPS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EBITDA is defined as earnings before depreciation, amortization, financial income and costs, gain/loss on derivatives and taxes. Adjusted EBITDA is defined as EBITDA before foreign exchange gains/losses, impairment loss on vessels, gain/loss on disposal of non-current assets and restructuring costs. Adjusted Profit represents earnings before write-off and accelerated amortization of unamortized loan fees/bond fees and premium, foreign exchange gains/losses, unrealized foreign exchange losses on cash and bond, impairment loss on vessels, gain/loss on disposal of non-current assets, restructuring costs and non-cash gain/loss on derivatives that includes (if any) (a) unrealized gain/loss on derivative financial instruments held for trading, (b) recycled loss of cash flow hedges reclassified to profit or loss and (c) ineffective portion of cash flow hedges. Adjusted EPS represents earnings attributable to owners of the Group before write-off and accelerated amortization of unamortized loan/bond fees and premium, foreign exchange gains/losses, unrealized foreign exchange losses on cash and bond, impairment loss on vessels attributable to the owners of the Group, the swap optimization costs (with respect to cash collateral amendments), gain/loss on disposal of non-current assets, restructuring costs and non-cash gain/loss on derivatives as defined above,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on vessels, gain/loss on disposal of non-current assets and restructuring costs; and in the case of Adjusted Profit and Adjusted EPS, write-off and accelerated amortization of unamortized loan/bond fees and premium, foreign exchange gains/losses, unrealized foreign exchange losses on cash and bond, impairment loss on vessels, swap optimization costs (with respect to cash collateral amendments), gain/loss on disposal of non-current assets,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and prior year periods, impairment loss on vessels, gain/loss on disposal of non-current assets, swap optimization costs (with respect to cash collateral amendments) and restructuring costs in particular are excluded from Adjusted EBITDA, Adjusted Profit and Adjusted EPS because impairment of long-lived assets and gain/loss on disposal of non-current assets, which represent the excess of their carrying amount over the amount that is expected to be recovered from them in the future, and swap optimization costs (with respect to cash collateral amendments) and restructuring costs, which reflect specific actions taken by management to improve the Group’s future liquidity and profitability, are charges and items not considered to be reflective of the ongoing operations of the company, respectively, that we believe reduce the comparability of our operating and business performance across periods.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(Loss)/profit to EBITDA and 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43,855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177,213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51,616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165,281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(961)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derivatives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(12,360)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84,658</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(37,739</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130,022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293,032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429,715</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162,149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28,627</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461,226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5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Reconciliation of (Loss)/profit to Adjusted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4"/>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Non-cash (gain)/loss on derivatives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(12,745)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54,898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64,367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and accelerated amortization of unamortized loan/bond fees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5,312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losses/(gains), net on cash and bonds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optimization costs (with respect to cash collateral amendments)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162,149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162,149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28,627</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38,474</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46,299</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113,000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111,138</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(Loss)/Earnings Per Share to Adjusted Earnings Per Share: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 except shares and per share data)</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5520" w:type="dxa"/>
            <w:vAlign w:val="bottom"/>
          </w:tcPr>
          <w:p>
            <w:pPr>
              <w:spacing w:after="0"/>
              <w:rPr>
                <w:sz w:val="24"/>
                <w:szCs w:val="24"/>
                <w:color w:val="auto"/>
              </w:rPr>
            </w:pPr>
          </w:p>
        </w:tc>
        <w:tc>
          <w:tcPr>
            <w:tcW w:w="29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4"/>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for the period attributable to owners of the Group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on preference shares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(2,516)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178"/>
        </w:trPr>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(Loss)/profit for the period attributable to owners of the Group used in</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EPS calculation</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(52,687)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(110,724)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(55,011)</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80,864,603</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95,175,917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80,849,818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88,011,160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(Loss)/earnings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51"/>
        </w:trPr>
        <w:tc>
          <w:tcPr>
            <w:tcW w:w="55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(Loss)/profit for the period attributable to owners of the Group used in</w:t>
            </w:r>
          </w:p>
        </w:tc>
        <w:tc>
          <w:tcPr>
            <w:tcW w:w="1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EPS calculation</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(52,687)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25,717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(110,724)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(gain)/loss on derivatives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(12,745)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(10,271)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54,898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64,367</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Write-off and accelerated amortization of unamortized loan /bond fees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the owners of the Group</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 attributable to the owners of the Group</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67,952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67,952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12,434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 optimization costs (with respect to cash collateral amendments)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losses/(gains), net on cash and bonds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3,872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4,245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4,702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5,312</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profit attributable to owners of the Group</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80,864,603</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95,175,917</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80,849,818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88,011,160</w:t>
            </w:r>
          </w:p>
        </w:tc>
        <w:tc>
          <w:tcPr>
            <w:tcW w:w="100" w:type="dxa"/>
            <w:vAlign w:val="bottom"/>
            <w:tcBorders>
              <w:bottom w:val="single" w:sz="8" w:color="CCEEFF"/>
            </w:tcBorders>
          </w:tcPr>
          <w:p>
            <w:pPr>
              <w:spacing w:after="0"/>
              <w:rPr>
                <w:sz w:val="18"/>
                <w:szCs w:val="18"/>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amp;"/>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3"/>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2021-02-22T05:52:11Z</dcterms:created>
  <dcterms:modified xsi:type="dcterms:W3CDTF">2021-02-22T05:52:11Z</dcterms:modified>
</cp:coreProperties>
</file>