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Issuer Free Writing Prospectus</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333-230205</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Dated May 14, 2019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Relating to Preliminary Prospectus</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Dated May 13, 2019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860" w:type="dxa"/>
            <w:vAlign w:val="bottom"/>
          </w:tcPr>
          <w:p>
            <w:pPr>
              <w:jc w:val="center"/>
              <w:ind w:right="1550"/>
              <w:spacing w:after="0"/>
              <w:rPr>
                <w:sz w:val="20"/>
                <w:szCs w:val="20"/>
                <w:color w:val="auto"/>
              </w:rPr>
            </w:pPr>
            <w:r>
              <w:rPr>
                <w:rFonts w:ascii="Arial" w:cs="Arial" w:eastAsia="Arial" w:hAnsi="Arial"/>
                <w:sz w:val="18"/>
                <w:szCs w:val="18"/>
                <w:b w:val="1"/>
                <w:bCs w:val="1"/>
                <w:color w:val="auto"/>
              </w:rPr>
              <w:t>PRICING TERM SHEET</w:t>
            </w:r>
          </w:p>
        </w:tc>
      </w:tr>
      <w:tr>
        <w:trPr>
          <w:trHeight w:val="432"/>
        </w:trPr>
        <w:tc>
          <w:tcPr>
            <w:tcW w:w="1600" w:type="dxa"/>
            <w:vAlign w:val="bottom"/>
          </w:tcPr>
          <w:p>
            <w:pPr>
              <w:spacing w:after="0"/>
              <w:rPr>
                <w:sz w:val="24"/>
                <w:szCs w:val="24"/>
                <w:color w:val="auto"/>
              </w:rPr>
            </w:pPr>
          </w:p>
        </w:tc>
        <w:tc>
          <w:tcPr>
            <w:tcW w:w="98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3"/>
              </w:rPr>
              <w:t>GasLog Ltd.</w:t>
            </w:r>
          </w:p>
        </w:tc>
      </w:tr>
      <w:tr>
        <w:trPr>
          <w:trHeight w:val="432"/>
        </w:trPr>
        <w:tc>
          <w:tcPr>
            <w:tcW w:w="1600" w:type="dxa"/>
            <w:vAlign w:val="bottom"/>
          </w:tcPr>
          <w:p>
            <w:pPr>
              <w:spacing w:after="0"/>
              <w:rPr>
                <w:sz w:val="24"/>
                <w:szCs w:val="24"/>
                <w:color w:val="auto"/>
              </w:rPr>
            </w:pPr>
          </w:p>
        </w:tc>
        <w:tc>
          <w:tcPr>
            <w:tcW w:w="986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$75,000,000</w:t>
            </w:r>
          </w:p>
        </w:tc>
      </w:tr>
      <w:tr>
        <w:trPr>
          <w:trHeight w:val="432"/>
        </w:trPr>
        <w:tc>
          <w:tcPr>
            <w:tcW w:w="1600" w:type="dxa"/>
            <w:vAlign w:val="bottom"/>
          </w:tcPr>
          <w:p>
            <w:pPr>
              <w:spacing w:after="0"/>
              <w:rPr>
                <w:sz w:val="24"/>
                <w:szCs w:val="24"/>
                <w:color w:val="auto"/>
              </w:rPr>
            </w:pPr>
          </w:p>
        </w:tc>
        <w:tc>
          <w:tcPr>
            <w:tcW w:w="98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2"/>
              </w:rPr>
              <w:t>8.875</w:t>
            </w:r>
            <w:r>
              <w:rPr>
                <w:rFonts w:ascii="Arial" w:cs="Arial" w:eastAsia="Arial" w:hAnsi="Arial"/>
                <w:sz w:val="17"/>
                <w:szCs w:val="17"/>
                <w:b w:val="1"/>
                <w:bCs w:val="1"/>
                <w:color w:val="auto"/>
                <w:w w:val="92"/>
              </w:rPr>
              <w:t>% Senior Notes due 2022</w:t>
            </w:r>
          </w:p>
        </w:tc>
      </w:tr>
      <w:tr>
        <w:trPr>
          <w:trHeight w:val="432"/>
        </w:trPr>
        <w:tc>
          <w:tcPr>
            <w:tcW w:w="1600" w:type="dxa"/>
            <w:vAlign w:val="bottom"/>
          </w:tcPr>
          <w:p>
            <w:pPr>
              <w:spacing w:after="0"/>
              <w:rPr>
                <w:sz w:val="24"/>
                <w:szCs w:val="24"/>
                <w:color w:val="auto"/>
              </w:rPr>
            </w:pPr>
          </w:p>
        </w:tc>
        <w:tc>
          <w:tcPr>
            <w:tcW w:w="98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2"/>
              </w:rPr>
              <w:t>May 14, 2019</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9860" w:type="dxa"/>
            <w:vAlign w:val="bottom"/>
          </w:tcPr>
          <w:p>
            <w:pPr>
              <w:ind w:left="140"/>
              <w:spacing w:after="0"/>
              <w:rPr>
                <w:sz w:val="20"/>
                <w:szCs w:val="20"/>
                <w:color w:val="auto"/>
              </w:rPr>
            </w:pPr>
            <w:r>
              <w:rPr>
                <w:rFonts w:ascii="Arial" w:cs="Arial" w:eastAsia="Arial" w:hAnsi="Arial"/>
                <w:sz w:val="18"/>
                <w:szCs w:val="18"/>
                <w:color w:val="auto"/>
              </w:rPr>
              <w:t>GasLog Ltd.</w:t>
            </w:r>
          </w:p>
        </w:tc>
      </w:tr>
      <w:tr>
        <w:trPr>
          <w:trHeight w:val="418"/>
        </w:trPr>
        <w:tc>
          <w:tcPr>
            <w:tcW w:w="1600" w:type="dxa"/>
            <w:vAlign w:val="bottom"/>
          </w:tcPr>
          <w:p>
            <w:pPr>
              <w:spacing w:after="0"/>
              <w:rPr>
                <w:sz w:val="20"/>
                <w:szCs w:val="20"/>
                <w:color w:val="auto"/>
              </w:rPr>
            </w:pPr>
            <w:r>
              <w:rPr>
                <w:rFonts w:ascii="Arial" w:cs="Arial" w:eastAsia="Arial" w:hAnsi="Arial"/>
                <w:sz w:val="18"/>
                <w:szCs w:val="18"/>
                <w:b w:val="1"/>
                <w:bCs w:val="1"/>
                <w:color w:val="auto"/>
                <w:w w:val="98"/>
              </w:rPr>
              <w:t>Securities Offered:</w:t>
            </w: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8.875% Senior Notes due 2022 (the “Notes”), which will be part of the same series of debt securities issued March 22, 2017 by the</w:t>
            </w:r>
          </w:p>
        </w:tc>
      </w:tr>
      <w:tr>
        <w:trPr>
          <w:trHeight w:val="230"/>
        </w:trPr>
        <w:tc>
          <w:tcPr>
            <w:tcW w:w="16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Issuer in the amount of $250,000,000 (the “Existing Notes”)</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9860" w:type="dxa"/>
            <w:vAlign w:val="bottom"/>
          </w:tcPr>
          <w:p>
            <w:pPr>
              <w:ind w:left="140"/>
              <w:spacing w:after="0"/>
              <w:rPr>
                <w:sz w:val="20"/>
                <w:szCs w:val="20"/>
                <w:color w:val="auto"/>
              </w:rPr>
            </w:pPr>
            <w:r>
              <w:rPr>
                <w:rFonts w:ascii="Arial" w:cs="Arial" w:eastAsia="Arial" w:hAnsi="Arial"/>
                <w:sz w:val="18"/>
                <w:szCs w:val="18"/>
                <w:color w:val="auto"/>
              </w:rPr>
              <w:t>SEC Registered</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9860" w:type="dxa"/>
            <w:vAlign w:val="bottom"/>
          </w:tcPr>
          <w:p>
            <w:pPr>
              <w:ind w:left="140"/>
              <w:spacing w:after="0"/>
              <w:rPr>
                <w:sz w:val="20"/>
                <w:szCs w:val="20"/>
                <w:color w:val="auto"/>
              </w:rPr>
            </w:pPr>
            <w:r>
              <w:rPr>
                <w:rFonts w:ascii="Arial" w:cs="Arial" w:eastAsia="Arial" w:hAnsi="Arial"/>
                <w:sz w:val="18"/>
                <w:szCs w:val="18"/>
                <w:color w:val="auto"/>
              </w:rPr>
              <w:t>$75,000,000 (for an aggregate principal amount outstanding of $325,000,000, together with the Existing Notes)</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Gross Proceeds:</w:t>
            </w:r>
          </w:p>
        </w:tc>
        <w:tc>
          <w:tcPr>
            <w:tcW w:w="9860" w:type="dxa"/>
            <w:vAlign w:val="bottom"/>
          </w:tcPr>
          <w:p>
            <w:pPr>
              <w:ind w:left="140"/>
              <w:spacing w:after="0"/>
              <w:rPr>
                <w:sz w:val="20"/>
                <w:szCs w:val="20"/>
                <w:color w:val="auto"/>
              </w:rPr>
            </w:pPr>
            <w:r>
              <w:rPr>
                <w:rFonts w:ascii="Arial" w:cs="Arial" w:eastAsia="Arial" w:hAnsi="Arial"/>
                <w:sz w:val="18"/>
                <w:szCs w:val="18"/>
                <w:color w:val="auto"/>
              </w:rPr>
              <w:t>$76,875,000</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9860" w:type="dxa"/>
            <w:vAlign w:val="bottom"/>
          </w:tcPr>
          <w:p>
            <w:pPr>
              <w:ind w:left="140"/>
              <w:spacing w:after="0"/>
              <w:rPr>
                <w:sz w:val="20"/>
                <w:szCs w:val="20"/>
                <w:color w:val="auto"/>
              </w:rPr>
            </w:pPr>
            <w:r>
              <w:rPr>
                <w:rFonts w:ascii="Arial" w:cs="Arial" w:eastAsia="Arial" w:hAnsi="Arial"/>
                <w:sz w:val="18"/>
                <w:szCs w:val="18"/>
                <w:color w:val="auto"/>
              </w:rPr>
              <w:t>8.875%</w:t>
            </w:r>
          </w:p>
        </w:tc>
      </w:tr>
      <w:tr>
        <w:trPr>
          <w:trHeight w:val="414"/>
        </w:trPr>
        <w:tc>
          <w:tcPr>
            <w:tcW w:w="1600" w:type="dxa"/>
            <w:vAlign w:val="bottom"/>
          </w:tcPr>
          <w:p>
            <w:pPr>
              <w:spacing w:after="0"/>
              <w:rPr>
                <w:sz w:val="20"/>
                <w:szCs w:val="20"/>
                <w:color w:val="auto"/>
              </w:rPr>
            </w:pPr>
            <w:r>
              <w:rPr>
                <w:rFonts w:ascii="Arial" w:cs="Arial" w:eastAsia="Arial" w:hAnsi="Arial"/>
                <w:sz w:val="18"/>
                <w:szCs w:val="18"/>
                <w:b w:val="1"/>
                <w:bCs w:val="1"/>
                <w:color w:val="auto"/>
              </w:rPr>
              <w:t>Final Maturity</w:t>
            </w:r>
          </w:p>
        </w:tc>
        <w:tc>
          <w:tcPr>
            <w:tcW w:w="9860" w:type="dxa"/>
            <w:vAlign w:val="bottom"/>
          </w:tcPr>
          <w:p>
            <w:pPr>
              <w:spacing w:after="0"/>
              <w:rPr>
                <w:sz w:val="24"/>
                <w:szCs w:val="24"/>
                <w:color w:val="auto"/>
              </w:rPr>
            </w:pPr>
          </w:p>
        </w:tc>
      </w:tr>
      <w:tr>
        <w:trPr>
          <w:trHeight w:val="234"/>
        </w:trPr>
        <w:tc>
          <w:tcPr>
            <w:tcW w:w="1600" w:type="dxa"/>
            <w:vAlign w:val="bottom"/>
          </w:tcPr>
          <w:p>
            <w:pPr>
              <w:ind w:left="260"/>
              <w:spacing w:after="0"/>
              <w:rPr>
                <w:sz w:val="20"/>
                <w:szCs w:val="20"/>
                <w:color w:val="auto"/>
              </w:rPr>
            </w:pPr>
            <w:r>
              <w:rPr>
                <w:rFonts w:ascii="Arial" w:cs="Arial" w:eastAsia="Arial" w:hAnsi="Arial"/>
                <w:sz w:val="18"/>
                <w:szCs w:val="18"/>
                <w:b w:val="1"/>
                <w:bCs w:val="1"/>
                <w:color w:val="auto"/>
              </w:rPr>
              <w:t>Date:</w:t>
            </w:r>
          </w:p>
        </w:tc>
        <w:tc>
          <w:tcPr>
            <w:tcW w:w="9860" w:type="dxa"/>
            <w:vAlign w:val="bottom"/>
          </w:tcPr>
          <w:p>
            <w:pPr>
              <w:ind w:left="140"/>
              <w:spacing w:after="0"/>
              <w:rPr>
                <w:sz w:val="20"/>
                <w:szCs w:val="20"/>
                <w:color w:val="auto"/>
              </w:rPr>
            </w:pPr>
            <w:r>
              <w:rPr>
                <w:rFonts w:ascii="Arial" w:cs="Arial" w:eastAsia="Arial" w:hAnsi="Arial"/>
                <w:sz w:val="18"/>
                <w:szCs w:val="18"/>
                <w:color w:val="auto"/>
              </w:rPr>
              <w:t>March 22, 2022</w:t>
            </w:r>
          </w:p>
        </w:tc>
      </w:tr>
      <w:tr>
        <w:trPr>
          <w:trHeight w:val="414"/>
        </w:trPr>
        <w:tc>
          <w:tcPr>
            <w:tcW w:w="1600" w:type="dxa"/>
            <w:vAlign w:val="bottom"/>
          </w:tcPr>
          <w:p>
            <w:pPr>
              <w:spacing w:after="0"/>
              <w:rPr>
                <w:sz w:val="20"/>
                <w:szCs w:val="20"/>
                <w:color w:val="auto"/>
              </w:rPr>
            </w:pPr>
            <w:r>
              <w:rPr>
                <w:rFonts w:ascii="Arial" w:cs="Arial" w:eastAsia="Arial" w:hAnsi="Arial"/>
                <w:sz w:val="18"/>
                <w:szCs w:val="18"/>
                <w:b w:val="1"/>
                <w:bCs w:val="1"/>
                <w:color w:val="auto"/>
              </w:rPr>
              <w:t>Public Offering</w:t>
            </w:r>
          </w:p>
        </w:tc>
        <w:tc>
          <w:tcPr>
            <w:tcW w:w="9860" w:type="dxa"/>
            <w:vAlign w:val="bottom"/>
          </w:tcPr>
          <w:p>
            <w:pPr>
              <w:spacing w:after="0"/>
              <w:rPr>
                <w:sz w:val="24"/>
                <w:szCs w:val="24"/>
                <w:color w:val="auto"/>
              </w:rPr>
            </w:pPr>
          </w:p>
        </w:tc>
      </w:tr>
      <w:tr>
        <w:trPr>
          <w:trHeight w:val="234"/>
        </w:trPr>
        <w:tc>
          <w:tcPr>
            <w:tcW w:w="1600" w:type="dxa"/>
            <w:vAlign w:val="bottom"/>
          </w:tcPr>
          <w:p>
            <w:pPr>
              <w:ind w:left="260"/>
              <w:spacing w:after="0"/>
              <w:rPr>
                <w:sz w:val="20"/>
                <w:szCs w:val="20"/>
                <w:color w:val="auto"/>
              </w:rPr>
            </w:pPr>
            <w:r>
              <w:rPr>
                <w:rFonts w:ascii="Arial" w:cs="Arial" w:eastAsia="Arial" w:hAnsi="Arial"/>
                <w:sz w:val="18"/>
                <w:szCs w:val="18"/>
                <w:b w:val="1"/>
                <w:bCs w:val="1"/>
                <w:color w:val="auto"/>
              </w:rPr>
              <w:t>Price:</w:t>
            </w:r>
          </w:p>
        </w:tc>
        <w:tc>
          <w:tcPr>
            <w:tcW w:w="9860" w:type="dxa"/>
            <w:vAlign w:val="bottom"/>
          </w:tcPr>
          <w:p>
            <w:pPr>
              <w:ind w:left="140"/>
              <w:spacing w:after="0"/>
              <w:rPr>
                <w:sz w:val="20"/>
                <w:szCs w:val="20"/>
                <w:color w:val="auto"/>
              </w:rPr>
            </w:pPr>
            <w:r>
              <w:rPr>
                <w:rFonts w:ascii="Arial" w:cs="Arial" w:eastAsia="Arial" w:hAnsi="Arial"/>
                <w:sz w:val="18"/>
                <w:szCs w:val="18"/>
                <w:color w:val="auto"/>
              </w:rPr>
              <w:t>102.5%, plus accrued interest from March 30, 2019</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9860" w:type="dxa"/>
            <w:vAlign w:val="bottom"/>
          </w:tcPr>
          <w:p>
            <w:pPr>
              <w:ind w:left="140"/>
              <w:spacing w:after="0"/>
              <w:rPr>
                <w:sz w:val="20"/>
                <w:szCs w:val="20"/>
                <w:color w:val="auto"/>
              </w:rPr>
            </w:pPr>
            <w:r>
              <w:rPr>
                <w:rFonts w:ascii="Arial" w:cs="Arial" w:eastAsia="Arial" w:hAnsi="Arial"/>
                <w:sz w:val="18"/>
                <w:szCs w:val="18"/>
                <w:color w:val="auto"/>
              </w:rPr>
              <w:t>7.885%</w:t>
            </w:r>
          </w:p>
        </w:tc>
      </w:tr>
      <w:tr>
        <w:trPr>
          <w:trHeight w:val="414"/>
        </w:trPr>
        <w:tc>
          <w:tcPr>
            <w:tcW w:w="1600" w:type="dxa"/>
            <w:vAlign w:val="bottom"/>
          </w:tcPr>
          <w:p>
            <w:pPr>
              <w:spacing w:after="0"/>
              <w:rPr>
                <w:sz w:val="20"/>
                <w:szCs w:val="20"/>
                <w:color w:val="auto"/>
              </w:rPr>
            </w:pPr>
            <w:r>
              <w:rPr>
                <w:rFonts w:ascii="Arial" w:cs="Arial" w:eastAsia="Arial" w:hAnsi="Arial"/>
                <w:sz w:val="18"/>
                <w:szCs w:val="18"/>
                <w:b w:val="1"/>
                <w:bCs w:val="1"/>
                <w:color w:val="auto"/>
              </w:rPr>
              <w:t>Spread to</w:t>
            </w:r>
          </w:p>
        </w:tc>
        <w:tc>
          <w:tcPr>
            <w:tcW w:w="9860" w:type="dxa"/>
            <w:vAlign w:val="bottom"/>
          </w:tcPr>
          <w:p>
            <w:pPr>
              <w:spacing w:after="0"/>
              <w:rPr>
                <w:sz w:val="24"/>
                <w:szCs w:val="24"/>
                <w:color w:val="auto"/>
              </w:rPr>
            </w:pPr>
          </w:p>
        </w:tc>
      </w:tr>
      <w:tr>
        <w:trPr>
          <w:trHeight w:val="234"/>
        </w:trPr>
        <w:tc>
          <w:tcPr>
            <w:tcW w:w="1600" w:type="dxa"/>
            <w:vAlign w:val="bottom"/>
          </w:tcPr>
          <w:p>
            <w:pPr>
              <w:ind w:left="260"/>
              <w:spacing w:after="0"/>
              <w:rPr>
                <w:sz w:val="20"/>
                <w:szCs w:val="20"/>
                <w:color w:val="auto"/>
              </w:rPr>
            </w:pPr>
            <w:r>
              <w:rPr>
                <w:rFonts w:ascii="Arial" w:cs="Arial" w:eastAsia="Arial" w:hAnsi="Arial"/>
                <w:sz w:val="18"/>
                <w:szCs w:val="18"/>
                <w:b w:val="1"/>
                <w:bCs w:val="1"/>
                <w:color w:val="auto"/>
              </w:rPr>
              <w:t>Treasury:</w:t>
            </w:r>
          </w:p>
        </w:tc>
        <w:tc>
          <w:tcPr>
            <w:tcW w:w="9860" w:type="dxa"/>
            <w:vAlign w:val="bottom"/>
          </w:tcPr>
          <w:p>
            <w:pPr>
              <w:ind w:left="140"/>
              <w:spacing w:after="0"/>
              <w:rPr>
                <w:sz w:val="20"/>
                <w:szCs w:val="20"/>
                <w:color w:val="auto"/>
              </w:rPr>
            </w:pPr>
            <w:r>
              <w:rPr>
                <w:rFonts w:ascii="Arial" w:cs="Arial" w:eastAsia="Arial" w:hAnsi="Arial"/>
                <w:sz w:val="18"/>
                <w:szCs w:val="18"/>
                <w:color w:val="auto"/>
              </w:rPr>
              <w:t>+574 basis points</w:t>
            </w:r>
          </w:p>
        </w:tc>
      </w:tr>
      <w:tr>
        <w:trPr>
          <w:trHeight w:val="414"/>
        </w:trPr>
        <w:tc>
          <w:tcPr>
            <w:tcW w:w="1600" w:type="dxa"/>
            <w:vAlign w:val="bottom"/>
          </w:tcPr>
          <w:p>
            <w:pPr>
              <w:spacing w:after="0"/>
              <w:rPr>
                <w:sz w:val="20"/>
                <w:szCs w:val="20"/>
                <w:color w:val="auto"/>
              </w:rPr>
            </w:pPr>
            <w:r>
              <w:rPr>
                <w:rFonts w:ascii="Arial" w:cs="Arial" w:eastAsia="Arial" w:hAnsi="Arial"/>
                <w:sz w:val="18"/>
                <w:szCs w:val="18"/>
                <w:b w:val="1"/>
                <w:bCs w:val="1"/>
                <w:color w:val="auto"/>
              </w:rPr>
              <w:t>Treasury</w:t>
            </w:r>
          </w:p>
        </w:tc>
        <w:tc>
          <w:tcPr>
            <w:tcW w:w="9860" w:type="dxa"/>
            <w:vAlign w:val="bottom"/>
          </w:tcPr>
          <w:p>
            <w:pPr>
              <w:spacing w:after="0"/>
              <w:rPr>
                <w:sz w:val="24"/>
                <w:szCs w:val="24"/>
                <w:color w:val="auto"/>
              </w:rPr>
            </w:pPr>
          </w:p>
        </w:tc>
      </w:tr>
      <w:tr>
        <w:trPr>
          <w:trHeight w:val="234"/>
        </w:trPr>
        <w:tc>
          <w:tcPr>
            <w:tcW w:w="1600" w:type="dxa"/>
            <w:vAlign w:val="bottom"/>
          </w:tcPr>
          <w:p>
            <w:pPr>
              <w:ind w:left="260"/>
              <w:spacing w:after="0"/>
              <w:rPr>
                <w:sz w:val="20"/>
                <w:szCs w:val="20"/>
                <w:color w:val="auto"/>
              </w:rPr>
            </w:pPr>
            <w:r>
              <w:rPr>
                <w:rFonts w:ascii="Arial" w:cs="Arial" w:eastAsia="Arial" w:hAnsi="Arial"/>
                <w:sz w:val="18"/>
                <w:szCs w:val="18"/>
                <w:b w:val="1"/>
                <w:bCs w:val="1"/>
                <w:color w:val="auto"/>
              </w:rPr>
              <w:t>Benchmark:</w:t>
            </w:r>
          </w:p>
        </w:tc>
        <w:tc>
          <w:tcPr>
            <w:tcW w:w="9860" w:type="dxa"/>
            <w:vAlign w:val="bottom"/>
          </w:tcPr>
          <w:p>
            <w:pPr>
              <w:ind w:left="140"/>
              <w:spacing w:after="0"/>
              <w:rPr>
                <w:sz w:val="20"/>
                <w:szCs w:val="20"/>
                <w:color w:val="auto"/>
              </w:rPr>
            </w:pPr>
            <w:r>
              <w:rPr>
                <w:rFonts w:ascii="Arial" w:cs="Arial" w:eastAsia="Arial" w:hAnsi="Arial"/>
                <w:sz w:val="18"/>
                <w:szCs w:val="18"/>
                <w:color w:val="auto"/>
              </w:rPr>
              <w:t>2.375% due March 15, 2022</w:t>
            </w:r>
          </w:p>
        </w:tc>
      </w:tr>
      <w:tr>
        <w:trPr>
          <w:trHeight w:val="414"/>
        </w:trPr>
        <w:tc>
          <w:tcPr>
            <w:tcW w:w="1600" w:type="dxa"/>
            <w:vAlign w:val="bottom"/>
          </w:tcPr>
          <w:p>
            <w:pPr>
              <w:spacing w:after="0"/>
              <w:rPr>
                <w:sz w:val="20"/>
                <w:szCs w:val="20"/>
                <w:color w:val="auto"/>
              </w:rPr>
            </w:pPr>
            <w:r>
              <w:rPr>
                <w:rFonts w:ascii="Arial" w:cs="Arial" w:eastAsia="Arial" w:hAnsi="Arial"/>
                <w:sz w:val="18"/>
                <w:szCs w:val="18"/>
                <w:b w:val="1"/>
                <w:bCs w:val="1"/>
                <w:color w:val="auto"/>
              </w:rPr>
              <w:t>Interest Payment</w:t>
            </w:r>
          </w:p>
        </w:tc>
        <w:tc>
          <w:tcPr>
            <w:tcW w:w="9860" w:type="dxa"/>
            <w:vAlign w:val="bottom"/>
          </w:tcPr>
          <w:p>
            <w:pPr>
              <w:spacing w:after="0"/>
              <w:rPr>
                <w:sz w:val="24"/>
                <w:szCs w:val="24"/>
                <w:color w:val="auto"/>
              </w:rPr>
            </w:pPr>
          </w:p>
        </w:tc>
      </w:tr>
      <w:tr>
        <w:trPr>
          <w:trHeight w:val="234"/>
        </w:trPr>
        <w:tc>
          <w:tcPr>
            <w:tcW w:w="1600" w:type="dxa"/>
            <w:vAlign w:val="bottom"/>
          </w:tcPr>
          <w:p>
            <w:pPr>
              <w:ind w:left="260"/>
              <w:spacing w:after="0"/>
              <w:rPr>
                <w:sz w:val="20"/>
                <w:szCs w:val="20"/>
                <w:color w:val="auto"/>
              </w:rPr>
            </w:pPr>
            <w:r>
              <w:rPr>
                <w:rFonts w:ascii="Arial" w:cs="Arial" w:eastAsia="Arial" w:hAnsi="Arial"/>
                <w:sz w:val="18"/>
                <w:szCs w:val="18"/>
                <w:b w:val="1"/>
                <w:bCs w:val="1"/>
                <w:color w:val="auto"/>
              </w:rPr>
              <w:t>Dates:</w:t>
            </w:r>
          </w:p>
        </w:tc>
        <w:tc>
          <w:tcPr>
            <w:tcW w:w="9860" w:type="dxa"/>
            <w:vAlign w:val="bottom"/>
          </w:tcPr>
          <w:p>
            <w:pPr>
              <w:ind w:left="140"/>
              <w:spacing w:after="0"/>
              <w:rPr>
                <w:sz w:val="20"/>
                <w:szCs w:val="20"/>
                <w:color w:val="auto"/>
              </w:rPr>
            </w:pPr>
            <w:r>
              <w:rPr>
                <w:rFonts w:ascii="Arial" w:cs="Arial" w:eastAsia="Arial" w:hAnsi="Arial"/>
                <w:sz w:val="18"/>
                <w:szCs w:val="18"/>
                <w:color w:val="auto"/>
              </w:rPr>
              <w:t>March 30, June 30, September 30 and December 30, commencing on June 30, 2019</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9860" w:type="dxa"/>
            <w:vAlign w:val="bottom"/>
          </w:tcPr>
          <w:p>
            <w:pPr>
              <w:ind w:left="140"/>
              <w:spacing w:after="0"/>
              <w:rPr>
                <w:sz w:val="20"/>
                <w:szCs w:val="20"/>
                <w:color w:val="auto"/>
              </w:rPr>
            </w:pPr>
            <w:r>
              <w:rPr>
                <w:rFonts w:ascii="Arial" w:cs="Arial" w:eastAsia="Arial" w:hAnsi="Arial"/>
                <w:sz w:val="18"/>
                <w:szCs w:val="18"/>
                <w:color w:val="auto"/>
              </w:rPr>
              <w:t>March 15, June 15, September 15 and December 15</w:t>
            </w:r>
          </w:p>
        </w:tc>
      </w:tr>
      <w:tr>
        <w:trPr>
          <w:trHeight w:val="414"/>
        </w:trPr>
        <w:tc>
          <w:tcPr>
            <w:tcW w:w="1600" w:type="dxa"/>
            <w:vAlign w:val="bottom"/>
          </w:tcPr>
          <w:p>
            <w:pPr>
              <w:spacing w:after="0"/>
              <w:rPr>
                <w:sz w:val="20"/>
                <w:szCs w:val="20"/>
                <w:color w:val="auto"/>
              </w:rPr>
            </w:pPr>
            <w:r>
              <w:rPr>
                <w:rFonts w:ascii="Arial" w:cs="Arial" w:eastAsia="Arial" w:hAnsi="Arial"/>
                <w:sz w:val="18"/>
                <w:szCs w:val="18"/>
                <w:b w:val="1"/>
                <w:bCs w:val="1"/>
                <w:color w:val="auto"/>
              </w:rPr>
              <w:t>Optional</w:t>
            </w:r>
          </w:p>
        </w:tc>
        <w:tc>
          <w:tcPr>
            <w:tcW w:w="9860" w:type="dxa"/>
            <w:vAlign w:val="bottom"/>
          </w:tcPr>
          <w:p>
            <w:pPr>
              <w:ind w:left="140"/>
              <w:spacing w:after="0"/>
              <w:rPr>
                <w:sz w:val="20"/>
                <w:szCs w:val="20"/>
                <w:color w:val="auto"/>
              </w:rPr>
            </w:pPr>
            <w:r>
              <w:rPr>
                <w:rFonts w:ascii="Arial" w:cs="Arial" w:eastAsia="Arial" w:hAnsi="Arial"/>
                <w:sz w:val="18"/>
                <w:szCs w:val="18"/>
                <w:color w:val="auto"/>
                <w:w w:val="90"/>
              </w:rPr>
              <w:t>We have the right to redeem the Notes, in whole or in part, at any time and from time to time at a redemption price equal to the greater</w:t>
            </w:r>
          </w:p>
        </w:tc>
      </w:tr>
      <w:tr>
        <w:trPr>
          <w:trHeight w:val="220"/>
        </w:trPr>
        <w:tc>
          <w:tcPr>
            <w:tcW w:w="1600" w:type="dxa"/>
            <w:vAlign w:val="bottom"/>
          </w:tcPr>
          <w:p>
            <w:pPr>
              <w:ind w:left="260"/>
              <w:spacing w:after="0"/>
              <w:rPr>
                <w:sz w:val="20"/>
                <w:szCs w:val="20"/>
                <w:color w:val="auto"/>
              </w:rPr>
            </w:pPr>
            <w:r>
              <w:rPr>
                <w:rFonts w:ascii="Arial" w:cs="Arial" w:eastAsia="Arial" w:hAnsi="Arial"/>
                <w:sz w:val="18"/>
                <w:szCs w:val="18"/>
                <w:b w:val="1"/>
                <w:bCs w:val="1"/>
                <w:color w:val="auto"/>
              </w:rPr>
              <w:t>Redemption:</w:t>
            </w:r>
          </w:p>
        </w:tc>
        <w:tc>
          <w:tcPr>
            <w:tcW w:w="9860" w:type="dxa"/>
            <w:vAlign w:val="bottom"/>
          </w:tcPr>
          <w:p>
            <w:pPr>
              <w:ind w:left="140"/>
              <w:spacing w:after="0"/>
              <w:rPr>
                <w:sz w:val="20"/>
                <w:szCs w:val="20"/>
                <w:color w:val="auto"/>
              </w:rPr>
            </w:pPr>
            <w:r>
              <w:rPr>
                <w:rFonts w:ascii="Arial" w:cs="Arial" w:eastAsia="Arial" w:hAnsi="Arial"/>
                <w:sz w:val="18"/>
                <w:szCs w:val="18"/>
                <w:color w:val="auto"/>
                <w:w w:val="96"/>
              </w:rPr>
              <w:t>of (1) 100% of the principal amount of such Notes plus accrued interest to the date of redemption and (2) as determined by the</w:t>
            </w:r>
          </w:p>
        </w:tc>
      </w:tr>
      <w:tr>
        <w:trPr>
          <w:trHeight w:val="216"/>
        </w:trPr>
        <w:tc>
          <w:tcPr>
            <w:tcW w:w="160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2"/>
              </w:rPr>
              <w:t>quotation agent, the sum of the present values of the remaining scheduled payments of principal and interest thereon (not including</w:t>
            </w:r>
          </w:p>
        </w:tc>
      </w:tr>
      <w:tr>
        <w:trPr>
          <w:trHeight w:val="216"/>
        </w:trPr>
        <w:tc>
          <w:tcPr>
            <w:tcW w:w="160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w w:val="93"/>
              </w:rPr>
              <w:t>any portion of such payments of interest accrued and unpaid as of the date of redemption) discounted to the redemption date on a</w:t>
            </w:r>
          </w:p>
        </w:tc>
      </w:tr>
      <w:tr>
        <w:trPr>
          <w:trHeight w:val="230"/>
        </w:trPr>
        <w:tc>
          <w:tcPr>
            <w:tcW w:w="1600" w:type="dxa"/>
            <w:vAlign w:val="bottom"/>
          </w:tcPr>
          <w:p>
            <w:pPr>
              <w:spacing w:after="0"/>
              <w:rPr>
                <w:sz w:val="20"/>
                <w:szCs w:val="20"/>
                <w:color w:val="auto"/>
              </w:rPr>
            </w:pPr>
          </w:p>
        </w:tc>
        <w:tc>
          <w:tcPr>
            <w:tcW w:w="9860" w:type="dxa"/>
            <w:vAlign w:val="bottom"/>
          </w:tcPr>
          <w:p>
            <w:pPr>
              <w:ind w:left="140"/>
              <w:spacing w:after="0"/>
              <w:rPr>
                <w:sz w:val="20"/>
                <w:szCs w:val="20"/>
                <w:color w:val="auto"/>
              </w:rPr>
            </w:pPr>
            <w:r>
              <w:rPr>
                <w:rFonts w:ascii="Arial" w:cs="Arial" w:eastAsia="Arial" w:hAnsi="Arial"/>
                <w:sz w:val="18"/>
                <w:szCs w:val="18"/>
                <w:color w:val="auto"/>
              </w:rPr>
              <w:t>quarterly basis (assuming a 360-day year consisting of twelve 30-day months) at the adjusted treasury rate, plus 50 basis</w:t>
            </w:r>
          </w:p>
        </w:tc>
      </w:tr>
      <w:tr>
        <w:trPr>
          <w:trHeight w:val="348"/>
        </w:trPr>
        <w:tc>
          <w:tcPr>
            <w:tcW w:w="160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left="1740"/>
        <w:spacing w:after="0"/>
        <w:rPr>
          <w:sz w:val="20"/>
          <w:szCs w:val="20"/>
          <w:color w:val="auto"/>
        </w:rPr>
      </w:pPr>
      <w:r>
        <w:rPr>
          <w:rFonts w:ascii="Arial" w:cs="Arial" w:eastAsia="Arial" w:hAnsi="Arial"/>
          <w:sz w:val="16"/>
          <w:szCs w:val="16"/>
          <w:color w:val="auto"/>
        </w:rPr>
        <w:t>points, plus accrued and unpaid interest thereon to the date of redemption</w:t>
      </w:r>
    </w:p>
    <w:p>
      <w:pPr>
        <w:sectPr>
          <w:pgSz w:w="11900" w:h="16838" w:orient="portrait"/>
          <w:cols w:equalWidth="0" w:num="1">
            <w:col w:w="11340"/>
          </w:cols>
          <w:pgMar w:left="240" w:top="341" w:right="31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May 14, 2019</w:t>
      </w:r>
    </w:p>
    <w:p>
      <w:pPr>
        <w:spacing w:after="0" w:line="200" w:lineRule="exact"/>
        <w:rPr>
          <w:sz w:val="20"/>
          <w:szCs w:val="20"/>
          <w:color w:val="auto"/>
        </w:rPr>
      </w:pPr>
    </w:p>
    <w:p>
      <w:pPr>
        <w:sectPr>
          <w:pgSz w:w="11900" w:h="16838" w:orient="portrait"/>
          <w:cols w:equalWidth="0" w:num="2">
            <w:col w:w="1060" w:space="720"/>
            <w:col w:w="9560"/>
          </w:cols>
          <w:pgMar w:left="240" w:top="341" w:right="3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(T+2):</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May 16, 2019 (DTC)</w:t>
      </w:r>
    </w:p>
    <w:p>
      <w:pPr>
        <w:spacing w:after="0" w:line="237" w:lineRule="exact"/>
        <w:rPr>
          <w:sz w:val="20"/>
          <w:szCs w:val="20"/>
          <w:color w:val="auto"/>
        </w:rPr>
      </w:pPr>
    </w:p>
    <w:p>
      <w:pPr>
        <w:sectPr>
          <w:pgSz w:w="11900" w:h="16838" w:orient="portrait"/>
          <w:cols w:equalWidth="0" w:num="2">
            <w:col w:w="1240" w:space="500"/>
            <w:col w:w="9600"/>
          </w:cols>
          <w:pgMar w:left="240" w:top="341" w:right="3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not be rated by any nationally recognized statistical rating organization</w:t>
      </w:r>
    </w:p>
    <w:p>
      <w:pPr>
        <w:spacing w:after="0" w:line="200" w:lineRule="exact"/>
        <w:rPr>
          <w:sz w:val="20"/>
          <w:szCs w:val="20"/>
          <w:color w:val="auto"/>
        </w:rPr>
      </w:pPr>
    </w:p>
    <w:p>
      <w:pPr>
        <w:sectPr>
          <w:pgSz w:w="11900" w:h="16838" w:orient="portrait"/>
          <w:cols w:equalWidth="0" w:num="2">
            <w:col w:w="1020" w:space="720"/>
            <w:col w:w="9600"/>
          </w:cols>
          <w:pgMar w:left="240" w:top="341" w:right="3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not be listed on any securities exchange</w:t>
      </w:r>
    </w:p>
    <w:p>
      <w:pPr>
        <w:spacing w:after="0" w:line="200" w:lineRule="exact"/>
        <w:rPr>
          <w:sz w:val="20"/>
          <w:szCs w:val="20"/>
          <w:color w:val="auto"/>
        </w:rPr>
      </w:pPr>
    </w:p>
    <w:p>
      <w:pPr>
        <w:sectPr>
          <w:pgSz w:w="11900" w:h="16838" w:orient="portrait"/>
          <w:cols w:equalWidth="0" w:num="2">
            <w:col w:w="1020" w:space="720"/>
            <w:col w:w="9600"/>
          </w:cols>
          <w:pgMar w:left="240" w:top="341" w:right="3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Reopening: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U.S. federal income tax purposes, we intend to treat the issuance of the Notes as a “qualified reopening” of our Existing Notes. See “Material Tax Considerations” in the Preliminary Prospectus dated May 13, 2019</w:t>
      </w:r>
    </w:p>
    <w:p>
      <w:pPr>
        <w:spacing w:after="0" w:line="166" w:lineRule="exact"/>
        <w:rPr>
          <w:sz w:val="20"/>
          <w:szCs w:val="20"/>
          <w:color w:val="auto"/>
        </w:rPr>
      </w:pPr>
    </w:p>
    <w:p>
      <w:pPr>
        <w:sectPr>
          <w:pgSz w:w="11900" w:h="16838" w:orient="portrait"/>
          <w:cols w:equalWidth="0" w:num="2">
            <w:col w:w="1140" w:space="600"/>
            <w:col w:w="9600"/>
          </w:cols>
          <w:pgMar w:left="240" w:top="341" w:right="3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G37585 AC3 / USG 37585AC37</w:t>
      </w:r>
    </w:p>
    <w:p>
      <w:pPr>
        <w:spacing w:after="0" w:line="218" w:lineRule="exact"/>
        <w:rPr>
          <w:sz w:val="20"/>
          <w:szCs w:val="20"/>
          <w:color w:val="auto"/>
        </w:rPr>
      </w:pPr>
    </w:p>
    <w:p>
      <w:pPr>
        <w:sectPr>
          <w:pgSz w:w="11900" w:h="16838" w:orient="portrait"/>
          <w:cols w:equalWidth="0" w:num="2">
            <w:col w:w="1020" w:space="720"/>
            <w:col w:w="9600"/>
          </w:cols>
          <w:pgMar w:left="240" w:top="341"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PRIIPs KID: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PRIIPs key information document (KID) has been prepared as not available to retail investors in the European Economic Area</w:t>
      </w:r>
    </w:p>
    <w:p>
      <w:pPr>
        <w:spacing w:after="0" w:line="207" w:lineRule="exact"/>
        <w:rPr>
          <w:sz w:val="20"/>
          <w:szCs w:val="20"/>
          <w:color w:val="auto"/>
        </w:rPr>
      </w:pPr>
    </w:p>
    <w:p>
      <w:pPr>
        <w:sectPr>
          <w:pgSz w:w="11900" w:h="16838" w:orient="portrait"/>
          <w:cols w:equalWidth="0" w:num="2">
            <w:col w:w="1280" w:space="460"/>
            <w:col w:w="9600"/>
          </w:cols>
          <w:pgMar w:left="240" w:top="341" w:right="3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and integral multiples of $1,000 in excess thereof</w:t>
      </w:r>
    </w:p>
    <w:p>
      <w:pPr>
        <w:spacing w:after="0" w:line="200" w:lineRule="exact"/>
        <w:rPr>
          <w:sz w:val="20"/>
          <w:szCs w:val="20"/>
          <w:color w:val="auto"/>
        </w:rPr>
      </w:pPr>
    </w:p>
    <w:p>
      <w:pPr>
        <w:sectPr>
          <w:pgSz w:w="11900" w:h="16838" w:orient="portrait"/>
          <w:cols w:equalWidth="0" w:num="2">
            <w:col w:w="1220" w:space="520"/>
            <w:col w:w="9600"/>
          </w:cols>
          <w:pgMar w:left="240" w:top="341" w:right="319" w:bottom="1440" w:gutter="0" w:footer="0" w:header="0"/>
          <w:type w:val="continuous"/>
        </w:sectPr>
      </w:pPr>
    </w:p>
    <w:p>
      <w:pPr>
        <w:spacing w:after="0" w:line="44"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229" w:lineRule="exact"/>
        <w:rPr>
          <w:sz w:val="20"/>
          <w:szCs w:val="20"/>
          <w:color w:val="auto"/>
        </w:rPr>
      </w:pPr>
    </w:p>
    <w:p>
      <w:pPr>
        <w:sectPr>
          <w:pgSz w:w="11900" w:h="16838" w:orient="portrait"/>
          <w:cols w:equalWidth="0" w:num="2">
            <w:col w:w="1020" w:space="720"/>
            <w:col w:w="9600"/>
          </w:cols>
          <w:pgMar w:left="240" w:top="341" w:right="31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All information (including financial information) presented in the Preliminary Prospectus is deemed to have changed to the extent affected by the changes described herein.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Notes and is not soliciting an offer to buy the Notes in any jurisdiction where the offer or sale is not permitted.</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website at www.sec.gov. Alternatively, the Issuer, any underwriter or any dealer participating in the offering will arrange to send you the prospectus if you request it by contacting: Credit Suisse Securities at 1-800-221-1037; DNB Markets, Inc. at 1-212-551-9814; or Stifel, Nicolaus &amp; Company, Incorporated at 1-855-300-7136.</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34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2019-12-02T19:36:34Z</dcterms:created>
  <dcterms:modified xsi:type="dcterms:W3CDTF">2019-12-02T19:36:34Z</dcterms:modified>
</cp:coreProperties>
</file>