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Form 6-K</w:t>
      </w:r>
    </w:p>
    <w:p>
      <w:pPr>
        <w:spacing w:after="0" w:line="185"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For the month of August 2021</w:t>
            </w:r>
          </w:p>
        </w:tc>
        <w:tc>
          <w:tcPr>
            <w:tcW w:w="580" w:type="dxa"/>
            <w:vAlign w:val="bottom"/>
          </w:tcPr>
          <w:p>
            <w:pPr>
              <w:spacing w:after="0"/>
              <w:rPr>
                <w:sz w:val="20"/>
                <w:szCs w:val="20"/>
                <w:color w:val="auto"/>
              </w:rPr>
            </w:pPr>
          </w:p>
        </w:tc>
      </w:tr>
      <w:tr>
        <w:trPr>
          <w:trHeight w:val="392"/>
        </w:trPr>
        <w:tc>
          <w:tcPr>
            <w:tcW w:w="93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580" w:type="dxa"/>
            <w:vAlign w:val="bottom"/>
          </w:tcPr>
          <w:p>
            <w:pPr>
              <w:spacing w:after="0"/>
              <w:rPr>
                <w:sz w:val="24"/>
                <w:szCs w:val="24"/>
                <w:color w:val="auto"/>
              </w:rPr>
            </w:pPr>
          </w:p>
        </w:tc>
      </w:tr>
      <w:tr>
        <w:trPr>
          <w:trHeight w:val="377"/>
        </w:trPr>
        <w:tc>
          <w:tcPr>
            <w:tcW w:w="934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GasLog Ltd.</w:t>
            </w:r>
          </w:p>
        </w:tc>
        <w:tc>
          <w:tcPr>
            <w:tcW w:w="580" w:type="dxa"/>
            <w:vAlign w:val="bottom"/>
          </w:tcPr>
          <w:p>
            <w:pPr>
              <w:spacing w:after="0"/>
              <w:rPr>
                <w:sz w:val="24"/>
                <w:szCs w:val="24"/>
                <w:color w:val="auto"/>
              </w:rPr>
            </w:pPr>
          </w:p>
        </w:tc>
      </w:tr>
      <w:tr>
        <w:trPr>
          <w:trHeight w:val="230"/>
        </w:trPr>
        <w:tc>
          <w:tcPr>
            <w:tcW w:w="9340" w:type="dxa"/>
            <w:vAlign w:val="bottom"/>
          </w:tcPr>
          <w:p>
            <w:pPr>
              <w:jc w:val="center"/>
              <w:ind w:left="490"/>
              <w:spacing w:after="0"/>
              <w:rPr>
                <w:sz w:val="20"/>
                <w:szCs w:val="20"/>
                <w:color w:val="auto"/>
              </w:rPr>
            </w:pPr>
            <w:r>
              <w:rPr>
                <w:rFonts w:ascii="Arial" w:cs="Arial" w:eastAsia="Arial" w:hAnsi="Arial"/>
                <w:sz w:val="18"/>
                <w:szCs w:val="18"/>
                <w:color w:val="auto"/>
                <w:w w:val="91"/>
              </w:rPr>
              <w:t>(Translation of registrant’s name into English)</w:t>
            </w:r>
          </w:p>
        </w:tc>
        <w:tc>
          <w:tcPr>
            <w:tcW w:w="580" w:type="dxa"/>
            <w:vAlign w:val="bottom"/>
          </w:tcPr>
          <w:p>
            <w:pPr>
              <w:spacing w:after="0"/>
              <w:rPr>
                <w:sz w:val="20"/>
                <w:szCs w:val="20"/>
                <w:color w:val="auto"/>
              </w:rPr>
            </w:pPr>
          </w:p>
        </w:tc>
      </w:tr>
      <w:tr>
        <w:trPr>
          <w:trHeight w:val="391"/>
        </w:trPr>
        <w:tc>
          <w:tcPr>
            <w:tcW w:w="9340" w:type="dxa"/>
            <w:vAlign w:val="bottom"/>
          </w:tcPr>
          <w:p>
            <w:pPr>
              <w:jc w:val="center"/>
              <w:ind w:left="490"/>
              <w:spacing w:after="0"/>
              <w:rPr>
                <w:sz w:val="20"/>
                <w:szCs w:val="20"/>
                <w:color w:val="auto"/>
              </w:rPr>
            </w:pPr>
            <w:r>
              <w:rPr>
                <w:rFonts w:ascii="Arial" w:cs="Arial" w:eastAsia="Arial" w:hAnsi="Arial"/>
                <w:sz w:val="18"/>
                <w:szCs w:val="18"/>
                <w:color w:val="auto"/>
                <w:w w:val="92"/>
              </w:rPr>
              <w:t>c/o GasLog LNG Services Ltd.</w:t>
            </w:r>
          </w:p>
        </w:tc>
        <w:tc>
          <w:tcPr>
            <w:tcW w:w="580" w:type="dxa"/>
            <w:vAlign w:val="bottom"/>
          </w:tcPr>
          <w:p>
            <w:pPr>
              <w:spacing w:after="0"/>
              <w:rPr>
                <w:sz w:val="24"/>
                <w:szCs w:val="24"/>
                <w:color w:val="auto"/>
              </w:rPr>
            </w:pPr>
          </w:p>
        </w:tc>
      </w:tr>
      <w:tr>
        <w:trPr>
          <w:trHeight w:val="216"/>
        </w:trPr>
        <w:tc>
          <w:tcPr>
            <w:tcW w:w="9340" w:type="dxa"/>
            <w:vAlign w:val="bottom"/>
          </w:tcPr>
          <w:p>
            <w:pPr>
              <w:jc w:val="center"/>
              <w:ind w:left="510"/>
              <w:spacing w:after="0"/>
              <w:rPr>
                <w:sz w:val="20"/>
                <w:szCs w:val="20"/>
                <w:color w:val="auto"/>
              </w:rPr>
            </w:pPr>
            <w:r>
              <w:rPr>
                <w:rFonts w:ascii="Arial" w:cs="Arial" w:eastAsia="Arial" w:hAnsi="Arial"/>
                <w:sz w:val="18"/>
                <w:szCs w:val="18"/>
                <w:color w:val="auto"/>
                <w:w w:val="95"/>
              </w:rPr>
              <w:t>69 Akti Miaouli, 18537</w:t>
            </w:r>
          </w:p>
        </w:tc>
        <w:tc>
          <w:tcPr>
            <w:tcW w:w="580" w:type="dxa"/>
            <w:vAlign w:val="bottom"/>
          </w:tcPr>
          <w:p>
            <w:pPr>
              <w:spacing w:after="0"/>
              <w:rPr>
                <w:sz w:val="18"/>
                <w:szCs w:val="18"/>
                <w:color w:val="auto"/>
              </w:rPr>
            </w:pPr>
          </w:p>
        </w:tc>
      </w:tr>
      <w:tr>
        <w:trPr>
          <w:trHeight w:val="216"/>
        </w:trPr>
        <w:tc>
          <w:tcPr>
            <w:tcW w:w="9340" w:type="dxa"/>
            <w:vAlign w:val="bottom"/>
          </w:tcPr>
          <w:p>
            <w:pPr>
              <w:jc w:val="center"/>
              <w:ind w:left="490"/>
              <w:spacing w:after="0"/>
              <w:rPr>
                <w:sz w:val="20"/>
                <w:szCs w:val="20"/>
                <w:color w:val="auto"/>
              </w:rPr>
            </w:pPr>
            <w:r>
              <w:rPr>
                <w:rFonts w:ascii="Arial" w:cs="Arial" w:eastAsia="Arial" w:hAnsi="Arial"/>
                <w:sz w:val="18"/>
                <w:szCs w:val="18"/>
                <w:color w:val="auto"/>
                <w:w w:val="86"/>
              </w:rPr>
              <w:t>Piraeus, Greece</w:t>
            </w:r>
          </w:p>
        </w:tc>
        <w:tc>
          <w:tcPr>
            <w:tcW w:w="580" w:type="dxa"/>
            <w:vAlign w:val="bottom"/>
          </w:tcPr>
          <w:p>
            <w:pPr>
              <w:spacing w:after="0"/>
              <w:rPr>
                <w:sz w:val="18"/>
                <w:szCs w:val="18"/>
                <w:color w:val="auto"/>
              </w:rPr>
            </w:pPr>
          </w:p>
        </w:tc>
      </w:tr>
      <w:tr>
        <w:trPr>
          <w:trHeight w:val="230"/>
        </w:trPr>
        <w:tc>
          <w:tcPr>
            <w:tcW w:w="9340" w:type="dxa"/>
            <w:vAlign w:val="bottom"/>
          </w:tcPr>
          <w:p>
            <w:pPr>
              <w:jc w:val="center"/>
              <w:ind w:left="510"/>
              <w:spacing w:after="0"/>
              <w:rPr>
                <w:sz w:val="20"/>
                <w:szCs w:val="20"/>
                <w:color w:val="auto"/>
              </w:rPr>
            </w:pPr>
            <w:r>
              <w:rPr>
                <w:rFonts w:ascii="Arial" w:cs="Arial" w:eastAsia="Arial" w:hAnsi="Arial"/>
                <w:sz w:val="18"/>
                <w:szCs w:val="18"/>
                <w:color w:val="auto"/>
                <w:w w:val="92"/>
              </w:rPr>
              <w:t>(Address of principal executive office)</w:t>
            </w:r>
          </w:p>
        </w:tc>
        <w:tc>
          <w:tcPr>
            <w:tcW w:w="580" w:type="dxa"/>
            <w:vAlign w:val="bottom"/>
          </w:tcPr>
          <w:p>
            <w:pPr>
              <w:spacing w:after="0"/>
              <w:rPr>
                <w:sz w:val="20"/>
                <w:szCs w:val="20"/>
                <w:color w:val="auto"/>
              </w:rPr>
            </w:pPr>
          </w:p>
        </w:tc>
      </w:tr>
      <w:tr>
        <w:trPr>
          <w:trHeight w:val="391"/>
        </w:trPr>
        <w:tc>
          <w:tcPr>
            <w:tcW w:w="93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580" w:type="dxa"/>
            <w:vAlign w:val="bottom"/>
          </w:tcPr>
          <w:p>
            <w:pPr>
              <w:spacing w:after="0"/>
              <w:rPr>
                <w:sz w:val="24"/>
                <w:szCs w:val="24"/>
                <w:color w:val="auto"/>
              </w:rPr>
            </w:pPr>
          </w:p>
        </w:tc>
      </w:tr>
      <w:tr>
        <w:trPr>
          <w:trHeight w:val="412"/>
        </w:trPr>
        <w:tc>
          <w:tcPr>
            <w:tcW w:w="93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r>
      <w:tr>
        <w:trPr>
          <w:trHeight w:val="418"/>
        </w:trPr>
        <w:tc>
          <w:tcPr>
            <w:tcW w:w="934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101(b)(1):</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934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101(b)(7):</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6"/>
        </w:trPr>
        <w:tc>
          <w:tcPr>
            <w:tcW w:w="9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68"/>
        </w:trPr>
        <w:tc>
          <w:tcPr>
            <w:tcW w:w="93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777"/>
        </w:trPr>
        <w:tc>
          <w:tcPr>
            <w:tcW w:w="9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99" w:right="999" w:bottom="1440" w:gutter="0" w:footer="0" w:header="0"/>
        </w:sectPr>
      </w:pPr>
    </w:p>
    <w:bookmarkStart w:id="1" w:name="page2"/>
    <w:bookmarkEnd w:id="1"/>
    <w:p>
      <w:pPr>
        <w:ind w:right="420" w:firstLine="324"/>
        <w:spacing w:after="0" w:line="277" w:lineRule="auto"/>
        <w:rPr>
          <w:sz w:val="20"/>
          <w:szCs w:val="20"/>
          <w:color w:val="auto"/>
        </w:rPr>
      </w:pPr>
      <w:r>
        <w:rPr>
          <w:rFonts w:ascii="Arial" w:cs="Arial" w:eastAsia="Arial" w:hAnsi="Arial"/>
          <w:sz w:val="18"/>
          <w:szCs w:val="18"/>
          <w:color w:val="auto"/>
        </w:rPr>
        <w:t>The financial report issued by GasLog Ltd. on August 5, 2021, relating to its results for the three and six-month periods ended June 30, 2021, is attached hereto as Exhibits 99.1 – 99.2.</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324"/>
        <w:spacing w:after="0" w:line="273" w:lineRule="auto"/>
        <w:rPr>
          <w:rFonts w:ascii="Arial" w:cs="Arial" w:eastAsia="Arial" w:hAnsi="Arial"/>
          <w:sz w:val="17"/>
          <w:szCs w:val="17"/>
          <w:color w:val="000000"/>
        </w:rPr>
      </w:pPr>
      <w:r>
        <w:rPr>
          <w:rFonts w:ascii="Arial" w:cs="Arial" w:eastAsia="Arial" w:hAnsi="Arial"/>
          <w:sz w:val="17"/>
          <w:szCs w:val="17"/>
          <w:color w:val="auto"/>
        </w:rPr>
        <w:t xml:space="preserve">Exhibits 99.1 and 99.2 to this Report on Form 6-K shall be incorporated by reference into our registration statements on Form F-3 (File Nos. 333-194894, 333-230205 and 333-239797), initially filed with the Securities and Exchange Commission (the “SEC”) on </w:t>
      </w:r>
      <w:hyperlink r:id="rId10">
        <w:r>
          <w:rPr>
            <w:rFonts w:ascii="Arial" w:cs="Arial" w:eastAsia="Arial" w:hAnsi="Arial"/>
            <w:sz w:val="17"/>
            <w:szCs w:val="17"/>
            <w:u w:val="single" w:color="auto"/>
            <w:color w:val="0000EE"/>
          </w:rPr>
          <w:t>March 28, 2014</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1">
        <w:r>
          <w:rPr>
            <w:rFonts w:ascii="Arial" w:cs="Arial" w:eastAsia="Arial" w:hAnsi="Arial"/>
            <w:sz w:val="17"/>
            <w:szCs w:val="17"/>
            <w:u w:val="single" w:color="auto"/>
            <w:color w:val="0000EE"/>
          </w:rPr>
          <w:t xml:space="preserve">March 12, 2019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12">
        <w:r>
          <w:rPr>
            <w:rFonts w:ascii="Arial" w:cs="Arial" w:eastAsia="Arial" w:hAnsi="Arial"/>
            <w:sz w:val="17"/>
            <w:szCs w:val="17"/>
            <w:u w:val="single" w:color="auto"/>
            <w:color w:val="0000EE"/>
          </w:rPr>
          <w:t>July 10, 2020</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 xml:space="preserve">respectively, as amended, and the registration statement on Form S-8 (File No. 333-187020), filed with the SEC on </w:t>
      </w:r>
      <w:hyperlink r:id="rId13">
        <w:r>
          <w:rPr>
            <w:rFonts w:ascii="Arial" w:cs="Arial" w:eastAsia="Arial" w:hAnsi="Arial"/>
            <w:sz w:val="17"/>
            <w:szCs w:val="17"/>
            <w:u w:val="single" w:color="auto"/>
            <w:color w:val="0000EE"/>
          </w:rPr>
          <w:t>March 4, 2013</w:t>
        </w:r>
      </w:hyperlink>
      <w:r>
        <w:rPr>
          <w:rFonts w:ascii="Arial" w:cs="Arial" w:eastAsia="Arial" w:hAnsi="Arial"/>
          <w:sz w:val="17"/>
          <w:szCs w:val="17"/>
          <w:color w:val="000000"/>
        </w:rPr>
        <w:t>,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8" w:lineRule="exact"/>
        <w:rPr>
          <w:rFonts w:ascii="Arial" w:cs="Arial" w:eastAsia="Arial" w:hAnsi="Arial"/>
          <w:sz w:val="17"/>
          <w:szCs w:val="17"/>
          <w:color w:val="0000EE"/>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5760" w:type="dxa"/>
            <w:vAlign w:val="bottom"/>
            <w:gridSpan w:val="3"/>
          </w:tcPr>
          <w:p>
            <w:pPr>
              <w:ind w:left="3300"/>
              <w:spacing w:after="0"/>
              <w:rPr>
                <w:sz w:val="20"/>
                <w:szCs w:val="20"/>
                <w:color w:val="auto"/>
              </w:rPr>
            </w:pPr>
            <w:r>
              <w:rPr>
                <w:rFonts w:ascii="Arial" w:cs="Arial" w:eastAsia="Arial" w:hAnsi="Arial"/>
                <w:sz w:val="18"/>
                <w:szCs w:val="18"/>
                <w:color w:val="auto"/>
              </w:rPr>
              <w:t>EXHIBIT LIST</w:t>
            </w:r>
          </w:p>
        </w:tc>
      </w:tr>
      <w:tr>
        <w:trPr>
          <w:trHeight w:val="426"/>
        </w:trPr>
        <w:tc>
          <w:tcPr>
            <w:tcW w:w="1100" w:type="dxa"/>
            <w:vAlign w:val="bottom"/>
          </w:tcPr>
          <w:p>
            <w:pPr>
              <w:spacing w:after="0"/>
              <w:rPr>
                <w:sz w:val="20"/>
                <w:szCs w:val="20"/>
                <w:color w:val="auto"/>
              </w:rPr>
            </w:pPr>
            <w:r>
              <w:rPr>
                <w:rFonts w:ascii="Arial" w:cs="Arial" w:eastAsia="Arial" w:hAnsi="Arial"/>
                <w:sz w:val="16"/>
                <w:szCs w:val="16"/>
                <w:color w:val="auto"/>
              </w:rPr>
              <w:t>Exhibit</w:t>
            </w:r>
          </w:p>
        </w:tc>
        <w:tc>
          <w:tcPr>
            <w:tcW w:w="576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424"/>
        </w:trPr>
        <w:tc>
          <w:tcPr>
            <w:tcW w:w="1100" w:type="dxa"/>
            <w:vAlign w:val="bottom"/>
          </w:tcPr>
          <w:p>
            <w:pPr>
              <w:spacing w:after="0"/>
              <w:rPr>
                <w:sz w:val="20"/>
                <w:szCs w:val="20"/>
                <w:color w:val="auto"/>
              </w:rPr>
            </w:pPr>
            <w:r>
              <w:rPr>
                <w:rFonts w:ascii="Arial" w:cs="Arial" w:eastAsia="Arial" w:hAnsi="Arial"/>
                <w:sz w:val="16"/>
                <w:szCs w:val="16"/>
                <w:color w:val="auto"/>
              </w:rPr>
              <w:t>99.1</w:t>
            </w:r>
          </w:p>
        </w:tc>
        <w:tc>
          <w:tcPr>
            <w:tcW w:w="4440" w:type="dxa"/>
            <w:vAlign w:val="bottom"/>
            <w:tcBorders>
              <w:bottom w:val="single" w:sz="8" w:color="0000EE"/>
            </w:tcBorders>
            <w:gridSpan w:val="2"/>
          </w:tcPr>
          <w:p>
            <w:pPr>
              <w:spacing w:after="0"/>
              <w:rPr>
                <w:rFonts w:ascii="Arial" w:cs="Arial" w:eastAsia="Arial" w:hAnsi="Arial"/>
                <w:sz w:val="16"/>
                <w:szCs w:val="16"/>
                <w:color w:val="0000EE"/>
                <w:w w:val="91"/>
              </w:rPr>
            </w:pPr>
            <w:hyperlink w:anchor="page4">
              <w:r>
                <w:rPr>
                  <w:rFonts w:ascii="Arial" w:cs="Arial" w:eastAsia="Arial" w:hAnsi="Arial"/>
                  <w:sz w:val="16"/>
                  <w:szCs w:val="16"/>
                  <w:color w:val="0000EE"/>
                  <w:w w:val="91"/>
                </w:rPr>
                <w:t>Financial Report for the Three and Six Months Ended June 30, 2021</w:t>
              </w:r>
            </w:hyperlink>
          </w:p>
        </w:tc>
        <w:tc>
          <w:tcPr>
            <w:tcW w:w="1320" w:type="dxa"/>
            <w:vAlign w:val="bottom"/>
          </w:tcPr>
          <w:p>
            <w:pPr>
              <w:spacing w:after="0"/>
              <w:rPr>
                <w:sz w:val="24"/>
                <w:szCs w:val="24"/>
                <w:color w:val="auto"/>
              </w:rPr>
            </w:pPr>
          </w:p>
        </w:tc>
      </w:tr>
      <w:tr>
        <w:trPr>
          <w:trHeight w:val="474"/>
        </w:trPr>
        <w:tc>
          <w:tcPr>
            <w:tcW w:w="110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r>
        <w:trPr>
          <w:trHeight w:val="424"/>
        </w:trPr>
        <w:tc>
          <w:tcPr>
            <w:tcW w:w="1100" w:type="dxa"/>
            <w:vAlign w:val="bottom"/>
          </w:tcPr>
          <w:p>
            <w:pPr>
              <w:spacing w:after="0"/>
              <w:rPr>
                <w:sz w:val="20"/>
                <w:szCs w:val="20"/>
                <w:color w:val="auto"/>
              </w:rPr>
            </w:pPr>
            <w:r>
              <w:rPr>
                <w:rFonts w:ascii="Arial" w:cs="Arial" w:eastAsia="Arial" w:hAnsi="Arial"/>
                <w:sz w:val="16"/>
                <w:szCs w:val="16"/>
                <w:color w:val="auto"/>
              </w:rPr>
              <w:t>99.2</w:t>
            </w:r>
          </w:p>
        </w:tc>
        <w:tc>
          <w:tcPr>
            <w:tcW w:w="5760" w:type="dxa"/>
            <w:vAlign w:val="bottom"/>
            <w:gridSpan w:val="3"/>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Unaudited Condensed Consolidated Financial Statements</w:t>
              </w:r>
            </w:hyperlink>
          </w:p>
        </w:tc>
      </w:tr>
      <w:tr>
        <w:trPr>
          <w:trHeight w:val="474"/>
        </w:trPr>
        <w:tc>
          <w:tcPr>
            <w:tcW w:w="1100" w:type="dxa"/>
            <w:vAlign w:val="bottom"/>
          </w:tcPr>
          <w:p>
            <w:pPr>
              <w:spacing w:after="0"/>
              <w:rPr>
                <w:sz w:val="20"/>
                <w:szCs w:val="20"/>
                <w:color w:val="auto"/>
              </w:rPr>
            </w:pPr>
            <w:r>
              <w:rPr>
                <w:rFonts w:ascii="Arial" w:cs="Arial" w:eastAsia="Arial" w:hAnsi="Arial"/>
                <w:sz w:val="16"/>
                <w:szCs w:val="16"/>
                <w:color w:val="auto"/>
              </w:rPr>
              <w:t>101.INS</w:t>
            </w:r>
          </w:p>
        </w:tc>
        <w:tc>
          <w:tcPr>
            <w:tcW w:w="3720" w:type="dxa"/>
            <w:vAlign w:val="bottom"/>
            <w:tcBorders>
              <w:top w:val="single" w:sz="8" w:color="0000EE"/>
            </w:tcBorders>
          </w:tcPr>
          <w:p>
            <w:pPr>
              <w:spacing w:after="0"/>
              <w:rPr>
                <w:sz w:val="20"/>
                <w:szCs w:val="20"/>
                <w:color w:val="auto"/>
              </w:rPr>
            </w:pPr>
            <w:r>
              <w:rPr>
                <w:rFonts w:ascii="Arial" w:cs="Arial" w:eastAsia="Arial" w:hAnsi="Arial"/>
                <w:sz w:val="16"/>
                <w:szCs w:val="16"/>
                <w:color w:val="auto"/>
              </w:rPr>
              <w:t>XBRL Instance Document</w:t>
            </w:r>
          </w:p>
        </w:tc>
        <w:tc>
          <w:tcPr>
            <w:tcW w:w="2040" w:type="dxa"/>
            <w:vAlign w:val="bottom"/>
            <w:gridSpan w:val="2"/>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6"/>
                <w:szCs w:val="16"/>
                <w:color w:val="auto"/>
              </w:rPr>
              <w:t>101.SCH</w:t>
            </w:r>
          </w:p>
        </w:tc>
        <w:tc>
          <w:tcPr>
            <w:tcW w:w="5760" w:type="dxa"/>
            <w:vAlign w:val="bottom"/>
            <w:gridSpan w:val="3"/>
          </w:tcPr>
          <w:p>
            <w:pPr>
              <w:spacing w:after="0"/>
              <w:rPr>
                <w:sz w:val="20"/>
                <w:szCs w:val="20"/>
                <w:color w:val="auto"/>
              </w:rPr>
            </w:pPr>
            <w:r>
              <w:rPr>
                <w:rFonts w:ascii="Arial" w:cs="Arial" w:eastAsia="Arial" w:hAnsi="Arial"/>
                <w:sz w:val="16"/>
                <w:szCs w:val="16"/>
                <w:color w:val="auto"/>
              </w:rPr>
              <w:t>XBRL Taxonomy Extension Schema</w:t>
            </w:r>
          </w:p>
        </w:tc>
      </w:tr>
      <w:tr>
        <w:trPr>
          <w:trHeight w:val="459"/>
        </w:trPr>
        <w:tc>
          <w:tcPr>
            <w:tcW w:w="1100" w:type="dxa"/>
            <w:vAlign w:val="bottom"/>
          </w:tcPr>
          <w:p>
            <w:pPr>
              <w:spacing w:after="0"/>
              <w:rPr>
                <w:sz w:val="20"/>
                <w:szCs w:val="20"/>
                <w:color w:val="auto"/>
              </w:rPr>
            </w:pPr>
            <w:r>
              <w:rPr>
                <w:rFonts w:ascii="Arial" w:cs="Arial" w:eastAsia="Arial" w:hAnsi="Arial"/>
                <w:sz w:val="16"/>
                <w:szCs w:val="16"/>
                <w:color w:val="auto"/>
              </w:rPr>
              <w:t>101.CAL</w:t>
            </w:r>
          </w:p>
        </w:tc>
        <w:tc>
          <w:tcPr>
            <w:tcW w:w="5760" w:type="dxa"/>
            <w:vAlign w:val="bottom"/>
            <w:gridSpan w:val="3"/>
          </w:tcPr>
          <w:p>
            <w:pPr>
              <w:spacing w:after="0"/>
              <w:rPr>
                <w:sz w:val="20"/>
                <w:szCs w:val="20"/>
                <w:color w:val="auto"/>
              </w:rPr>
            </w:pPr>
            <w:r>
              <w:rPr>
                <w:rFonts w:ascii="Arial" w:cs="Arial" w:eastAsia="Arial" w:hAnsi="Arial"/>
                <w:sz w:val="16"/>
                <w:szCs w:val="16"/>
                <w:color w:val="auto"/>
              </w:rPr>
              <w:t>XBRL Taxonomy Extension Scheme Calculation Linkbase</w:t>
            </w:r>
          </w:p>
        </w:tc>
      </w:tr>
      <w:tr>
        <w:trPr>
          <w:trHeight w:val="459"/>
        </w:trPr>
        <w:tc>
          <w:tcPr>
            <w:tcW w:w="1100" w:type="dxa"/>
            <w:vAlign w:val="bottom"/>
          </w:tcPr>
          <w:p>
            <w:pPr>
              <w:spacing w:after="0"/>
              <w:rPr>
                <w:sz w:val="20"/>
                <w:szCs w:val="20"/>
                <w:color w:val="auto"/>
              </w:rPr>
            </w:pPr>
            <w:r>
              <w:rPr>
                <w:rFonts w:ascii="Arial" w:cs="Arial" w:eastAsia="Arial" w:hAnsi="Arial"/>
                <w:sz w:val="16"/>
                <w:szCs w:val="16"/>
                <w:color w:val="auto"/>
              </w:rPr>
              <w:t>101.DEF</w:t>
            </w:r>
          </w:p>
        </w:tc>
        <w:tc>
          <w:tcPr>
            <w:tcW w:w="5760" w:type="dxa"/>
            <w:vAlign w:val="bottom"/>
            <w:gridSpan w:val="3"/>
          </w:tcPr>
          <w:p>
            <w:pPr>
              <w:spacing w:after="0"/>
              <w:rPr>
                <w:sz w:val="20"/>
                <w:szCs w:val="20"/>
                <w:color w:val="auto"/>
              </w:rPr>
            </w:pPr>
            <w:r>
              <w:rPr>
                <w:rFonts w:ascii="Arial" w:cs="Arial" w:eastAsia="Arial" w:hAnsi="Arial"/>
                <w:sz w:val="16"/>
                <w:szCs w:val="16"/>
                <w:color w:val="auto"/>
              </w:rPr>
              <w:t>XBRL Taxonomy Extension Scheme Definition Linkbase</w:t>
            </w:r>
          </w:p>
        </w:tc>
      </w:tr>
      <w:tr>
        <w:trPr>
          <w:trHeight w:val="459"/>
        </w:trPr>
        <w:tc>
          <w:tcPr>
            <w:tcW w:w="1100" w:type="dxa"/>
            <w:vAlign w:val="bottom"/>
          </w:tcPr>
          <w:p>
            <w:pPr>
              <w:spacing w:after="0"/>
              <w:rPr>
                <w:sz w:val="20"/>
                <w:szCs w:val="20"/>
                <w:color w:val="auto"/>
              </w:rPr>
            </w:pPr>
            <w:r>
              <w:rPr>
                <w:rFonts w:ascii="Arial" w:cs="Arial" w:eastAsia="Arial" w:hAnsi="Arial"/>
                <w:sz w:val="16"/>
                <w:szCs w:val="16"/>
                <w:color w:val="auto"/>
              </w:rPr>
              <w:t>101.LAB</w:t>
            </w:r>
          </w:p>
        </w:tc>
        <w:tc>
          <w:tcPr>
            <w:tcW w:w="5760" w:type="dxa"/>
            <w:vAlign w:val="bottom"/>
            <w:gridSpan w:val="3"/>
          </w:tcPr>
          <w:p>
            <w:pPr>
              <w:spacing w:after="0"/>
              <w:rPr>
                <w:sz w:val="20"/>
                <w:szCs w:val="20"/>
                <w:color w:val="auto"/>
              </w:rPr>
            </w:pPr>
            <w:r>
              <w:rPr>
                <w:rFonts w:ascii="Arial" w:cs="Arial" w:eastAsia="Arial" w:hAnsi="Arial"/>
                <w:sz w:val="16"/>
                <w:szCs w:val="16"/>
                <w:color w:val="auto"/>
              </w:rPr>
              <w:t>XBRL Taxonomy Extension Scheme Label Linkbase</w:t>
            </w:r>
          </w:p>
        </w:tc>
      </w:tr>
      <w:tr>
        <w:trPr>
          <w:trHeight w:val="459"/>
        </w:trPr>
        <w:tc>
          <w:tcPr>
            <w:tcW w:w="1100" w:type="dxa"/>
            <w:vAlign w:val="bottom"/>
          </w:tcPr>
          <w:p>
            <w:pPr>
              <w:spacing w:after="0"/>
              <w:rPr>
                <w:sz w:val="20"/>
                <w:szCs w:val="20"/>
                <w:color w:val="auto"/>
              </w:rPr>
            </w:pPr>
            <w:r>
              <w:rPr>
                <w:rFonts w:ascii="Arial" w:cs="Arial" w:eastAsia="Arial" w:hAnsi="Arial"/>
                <w:sz w:val="16"/>
                <w:szCs w:val="16"/>
                <w:color w:val="auto"/>
              </w:rPr>
              <w:t>101.PRE</w:t>
            </w:r>
          </w:p>
        </w:tc>
        <w:tc>
          <w:tcPr>
            <w:tcW w:w="5760" w:type="dxa"/>
            <w:vAlign w:val="bottom"/>
            <w:gridSpan w:val="3"/>
          </w:tcPr>
          <w:p>
            <w:pPr>
              <w:spacing w:after="0"/>
              <w:rPr>
                <w:sz w:val="20"/>
                <w:szCs w:val="20"/>
                <w:color w:val="auto"/>
              </w:rPr>
            </w:pPr>
            <w:r>
              <w:rPr>
                <w:rFonts w:ascii="Arial" w:cs="Arial" w:eastAsia="Arial" w:hAnsi="Arial"/>
                <w:sz w:val="16"/>
                <w:szCs w:val="16"/>
                <w:color w:val="auto"/>
              </w:rPr>
              <w:t>XBRL Taxonomy Extension Scheme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341" w:right="10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2021</w:t>
      </w:r>
    </w:p>
    <w:p>
      <w:pPr>
        <w:spacing w:after="0" w:line="248"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GASLOG LTD.,</w:t>
      </w:r>
    </w:p>
    <w:p>
      <w:pPr>
        <w:spacing w:after="0" w:line="248" w:lineRule="exact"/>
        <w:rPr>
          <w:sz w:val="20"/>
          <w:szCs w:val="20"/>
          <w:color w:val="auto"/>
        </w:rPr>
      </w:pPr>
    </w:p>
    <w:p>
      <w:pPr>
        <w:ind w:left="5380"/>
        <w:spacing w:after="0"/>
        <w:tabs>
          <w:tab w:leader="none" w:pos="5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26670</wp:posOffset>
            </wp:positionV>
            <wp:extent cx="2682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Name:  Paul Wogan</w:t>
      </w:r>
    </w:p>
    <w:p>
      <w:pPr>
        <w:spacing w:after="0" w:line="22"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6"/>
          <w:szCs w:val="16"/>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20"/>
          </w:cols>
          <w:pgMar w:left="980" w:top="125"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Six Months Ended June 30, 2021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six-month periods ended June 30, 2020 and June 30, 2021.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U.S. Securities and Exchange Commission (the “SEC”) on March 5, 2021.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jc w:val="both"/>
        <w:ind w:left="480" w:right="560" w:hanging="166"/>
        <w:spacing w:after="0" w:line="265" w:lineRule="auto"/>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480" w:right="620" w:hanging="179"/>
        <w:spacing w:after="0" w:line="264" w:lineRule="auto"/>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ind w:left="480" w:hanging="179"/>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79"/>
        <w:spacing w:after="0"/>
        <w:tabs>
          <w:tab w:leader="none" w:pos="480" w:val="left"/>
        </w:tabs>
        <w:numPr>
          <w:ilvl w:val="0"/>
          <w:numId w:val="1"/>
        </w:numPr>
        <w:rPr>
          <w:rFonts w:ascii="Arial" w:cs="Arial" w:eastAsia="Arial" w:hAnsi="Arial"/>
          <w:sz w:val="15"/>
          <w:szCs w:val="15"/>
          <w:color w:val="auto"/>
        </w:rPr>
      </w:pPr>
      <w:r>
        <w:rPr>
          <w:rFonts w:ascii="Arial" w:cs="Arial" w:eastAsia="Arial" w:hAnsi="Arial"/>
          <w:sz w:val="15"/>
          <w:szCs w:val="15"/>
          <w:color w:val="auto"/>
        </w:rPr>
        <w:t>number of off-hire days and dry-docking requirements, including our ability to complete scheduled dry-dockings on time and within budget;</w:t>
      </w:r>
    </w:p>
    <w:p>
      <w:pPr>
        <w:spacing w:after="0" w:line="30" w:lineRule="exact"/>
        <w:rPr>
          <w:rFonts w:ascii="Arial" w:cs="Arial" w:eastAsia="Arial" w:hAnsi="Arial"/>
          <w:sz w:val="15"/>
          <w:szCs w:val="15"/>
          <w:color w:val="auto"/>
        </w:rPr>
      </w:pPr>
    </w:p>
    <w:p>
      <w:pPr>
        <w:ind w:left="480" w:hanging="179"/>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79"/>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80" w:hanging="179"/>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global shutdown as a result of the COVID-19 pandemic;</w:t>
      </w:r>
    </w:p>
    <w:p>
      <w:pPr>
        <w:spacing w:after="0" w:line="18" w:lineRule="exact"/>
        <w:rPr>
          <w:rFonts w:ascii="Arial" w:cs="Arial" w:eastAsia="Arial" w:hAnsi="Arial"/>
          <w:sz w:val="16"/>
          <w:szCs w:val="16"/>
          <w:color w:val="auto"/>
        </w:rPr>
      </w:pPr>
    </w:p>
    <w:p>
      <w:pPr>
        <w:ind w:left="480" w:right="60" w:hanging="179"/>
        <w:spacing w:after="0" w:line="264" w:lineRule="auto"/>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480" w:right="20" w:hanging="166"/>
        <w:spacing w:after="0" w:line="281" w:lineRule="auto"/>
        <w:tabs>
          <w:tab w:leader="none" w:pos="480" w:val="left"/>
        </w:tabs>
        <w:numPr>
          <w:ilvl w:val="1"/>
          <w:numId w:val="1"/>
        </w:numPr>
        <w:rPr>
          <w:rFonts w:ascii="Arial" w:cs="Arial" w:eastAsia="Arial" w:hAnsi="Arial"/>
          <w:sz w:val="15"/>
          <w:szCs w:val="15"/>
          <w:color w:val="auto"/>
        </w:rPr>
      </w:pPr>
      <w:r>
        <w:rPr>
          <w:rFonts w:ascii="Arial" w:cs="Arial" w:eastAsia="Arial" w:hAnsi="Arial"/>
          <w:sz w:val="15"/>
          <w:szCs w:val="15"/>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5"/>
          <w:szCs w:val="15"/>
          <w:color w:val="auto"/>
        </w:rPr>
      </w:pPr>
    </w:p>
    <w:p>
      <w:pPr>
        <w:ind w:left="480" w:right="560" w:hanging="166"/>
        <w:spacing w:after="0" w:line="264" w:lineRule="auto"/>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80" w:hanging="179"/>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480" w:right="160" w:hanging="166"/>
        <w:spacing w:after="0" w:line="264" w:lineRule="auto"/>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impact of environmental liabilities on us and the shipping industry, including climate change;</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480" w:hanging="166"/>
        <w:spacing w:after="0"/>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80" w:right="140" w:hanging="166"/>
        <w:spacing w:after="0" w:line="288" w:lineRule="auto"/>
        <w:tabs>
          <w:tab w:leader="none" w:pos="480" w:val="left"/>
        </w:tabs>
        <w:numPr>
          <w:ilvl w:val="1"/>
          <w:numId w:val="1"/>
        </w:numPr>
        <w:rPr>
          <w:rFonts w:ascii="Arial" w:cs="Arial" w:eastAsia="Arial" w:hAnsi="Arial"/>
          <w:sz w:val="16"/>
          <w:szCs w:val="16"/>
          <w:color w:val="auto"/>
        </w:rPr>
      </w:pPr>
      <w:r>
        <w:rPr>
          <w:rFonts w:ascii="Arial" w:cs="Arial" w:eastAsia="Arial" w:hAnsi="Arial"/>
          <w:sz w:val="16"/>
          <w:szCs w:val="16"/>
          <w:color w:val="auto"/>
        </w:rPr>
        <w:t>any malfunction or disruption of information technology systems and networks that our operations rely on or any impact of a possible cybersecurity event; and</w:t>
      </w:r>
    </w:p>
    <w:p>
      <w:pPr>
        <w:sectPr>
          <w:pgSz w:w="11900" w:h="16838" w:orient="portrait"/>
          <w:cols w:equalWidth="0" w:num="1">
            <w:col w:w="10220"/>
          </w:cols>
          <w:pgMar w:left="840" w:top="126" w:right="8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375285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26" w:right="839" w:bottom="1440" w:gutter="0" w:footer="0" w:header="0"/>
          <w:type w:val="continuous"/>
        </w:sectPr>
      </w:pPr>
    </w:p>
    <w:bookmarkStart w:id="4" w:name="page5"/>
    <w:bookmarkEnd w:id="4"/>
    <w:p>
      <w:pPr>
        <w:ind w:left="480" w:right="640" w:hanging="166"/>
        <w:spacing w:after="0" w:line="293" w:lineRule="auto"/>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and uncertainties described in the Company’s Annual Report on Form 20-F filed with the SEC on March 5, 2021 and available at http://www.sec.gov.</w:t>
      </w:r>
    </w:p>
    <w:p>
      <w:pPr>
        <w:spacing w:after="0" w:line="158" w:lineRule="exact"/>
        <w:rPr>
          <w:sz w:val="20"/>
          <w:szCs w:val="20"/>
          <w:color w:val="auto"/>
        </w:rPr>
      </w:pPr>
    </w:p>
    <w:p>
      <w:pPr>
        <w:jc w:val="both"/>
        <w:ind w:right="200" w:firstLine="324"/>
        <w:spacing w:after="0" w:line="278" w:lineRule="auto"/>
        <w:rPr>
          <w:sz w:val="20"/>
          <w:szCs w:val="20"/>
          <w:color w:val="auto"/>
        </w:rPr>
      </w:pPr>
      <w:r>
        <w:rPr>
          <w:rFonts w:ascii="Arial" w:cs="Arial" w:eastAsia="Arial" w:hAnsi="Arial"/>
          <w:sz w:val="16"/>
          <w:szCs w:val="16"/>
          <w:color w:val="auto"/>
        </w:rPr>
        <w:t>The declaration and payment of dividends are at all times subject to the discretion of our board of directors and will depend on, amongst other things, risks and uncertainties described above, restrictions in our credit and sale-and-leaseback facilities, the provisions of Bermuda law and such other factors as our board of directors may deem relevant.</w:t>
      </w:r>
    </w:p>
    <w:p>
      <w:pPr>
        <w:spacing w:after="0" w:line="171" w:lineRule="exact"/>
        <w:rPr>
          <w:sz w:val="20"/>
          <w:szCs w:val="20"/>
          <w:color w:val="auto"/>
        </w:rPr>
      </w:pPr>
    </w:p>
    <w:p>
      <w:pPr>
        <w:ind w:right="40" w:firstLine="324"/>
        <w:spacing w:after="0" w:line="297" w:lineRule="auto"/>
        <w:rPr>
          <w:sz w:val="20"/>
          <w:szCs w:val="20"/>
          <w:color w:val="auto"/>
        </w:rPr>
      </w:pPr>
      <w:r>
        <w:rPr>
          <w:rFonts w:ascii="Arial" w:cs="Arial" w:eastAsia="Arial" w:hAnsi="Arial"/>
          <w:sz w:val="15"/>
          <w:szCs w:val="15"/>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Wellington</w:t>
      </w:r>
    </w:p>
    <w:p>
      <w:pPr>
        <w:spacing w:after="0" w:line="225" w:lineRule="exact"/>
        <w:rPr>
          <w:sz w:val="20"/>
          <w:szCs w:val="20"/>
          <w:color w:val="auto"/>
        </w:rPr>
      </w:pPr>
    </w:p>
    <w:p>
      <w:pPr>
        <w:ind w:right="280" w:firstLine="324"/>
        <w:spacing w:after="0" w:line="305" w:lineRule="auto"/>
        <w:rPr>
          <w:sz w:val="20"/>
          <w:szCs w:val="20"/>
          <w:color w:val="auto"/>
        </w:rPr>
      </w:pPr>
      <w:r>
        <w:rPr>
          <w:rFonts w:ascii="Arial" w:cs="Arial" w:eastAsia="Arial" w:hAnsi="Arial"/>
          <w:sz w:val="15"/>
          <w:szCs w:val="15"/>
          <w:color w:val="auto"/>
        </w:rPr>
        <w:t xml:space="preserve">On June 15, 2021, GasLog took delivery of the </w:t>
      </w:r>
      <w:r>
        <w:rPr>
          <w:rFonts w:ascii="Arial" w:cs="Arial" w:eastAsia="Arial" w:hAnsi="Arial"/>
          <w:sz w:val="15"/>
          <w:szCs w:val="15"/>
          <w:i w:val="1"/>
          <w:iCs w:val="1"/>
          <w:color w:val="auto"/>
        </w:rPr>
        <w:t>GasLog Wellington</w:t>
      </w:r>
      <w:r>
        <w:rPr>
          <w:rFonts w:ascii="Arial" w:cs="Arial" w:eastAsia="Arial" w:hAnsi="Arial"/>
          <w:sz w:val="15"/>
          <w:szCs w:val="15"/>
          <w:color w:val="auto"/>
        </w:rPr>
        <w:t>, a 180,000 cubic meters (“cbm”) LNG carrier with dual fuel medium speed propulsion (“X-DF”) constructed by Samsung Heavy Industries Co., Ltd. (“Samsung”). Upon delivery, the vessel immediately commenced its seven-year charter with Cheniere Marketing International LLP, a wholly owned subsidiary of Cheniere Energy Inc. (“Cheniere”).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225" w:lineRule="exact"/>
        <w:rPr>
          <w:sz w:val="20"/>
          <w:szCs w:val="20"/>
          <w:color w:val="auto"/>
        </w:rPr>
      </w:pPr>
    </w:p>
    <w:p>
      <w:pPr>
        <w:ind w:right="40" w:firstLine="324"/>
        <w:spacing w:after="0" w:line="328" w:lineRule="auto"/>
        <w:rPr>
          <w:sz w:val="20"/>
          <w:szCs w:val="20"/>
          <w:color w:val="auto"/>
        </w:rPr>
      </w:pPr>
      <w:r>
        <w:rPr>
          <w:rFonts w:ascii="Arial" w:cs="Arial" w:eastAsia="Arial" w:hAnsi="Arial"/>
          <w:sz w:val="15"/>
          <w:szCs w:val="15"/>
          <w:color w:val="auto"/>
        </w:rPr>
        <w:t>On May 13, 2021, the board of directors declared a dividend on the Series A Preference Shares of $0.546875 per share, or $2.5 million in the aggregate, payable on July 1, 2021, to holders of record as of June 30, 2021. GasLog paid the declared dividend to the transfer agent on June 30, 2021.</w:t>
      </w:r>
    </w:p>
    <w:p>
      <w:pPr>
        <w:spacing w:after="0" w:line="13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On August 4, 2021, the board of directors declared a quarterly cash dividend of $0.15 per common share, or $14.3 million in the aggregate, payable on August 11, 2021, to shareholders of record as of August 9,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Completion of the transaction with BlackRock’s Global Energy &amp; Power Infrastructure team (collectively, “GEPIF”)</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5"/>
          <w:szCs w:val="15"/>
          <w:color w:val="auto"/>
        </w:rPr>
        <w:t>GasLog announced on June 9, 2021, the completion of the transaction with GEPIF (the “Transaction”) following the special general meeting of GasLog’s shareholders held virtually on June 4, 2021, where the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w:t>
      </w:r>
    </w:p>
    <w:p>
      <w:pPr>
        <w:spacing w:after="0" w:line="159" w:lineRule="exact"/>
        <w:rPr>
          <w:sz w:val="20"/>
          <w:szCs w:val="20"/>
          <w:color w:val="auto"/>
        </w:rPr>
      </w:pPr>
    </w:p>
    <w:p>
      <w:pPr>
        <w:ind w:right="140" w:firstLine="324"/>
        <w:spacing w:after="0" w:line="278" w:lineRule="auto"/>
        <w:rPr>
          <w:sz w:val="20"/>
          <w:szCs w:val="20"/>
          <w:color w:val="auto"/>
        </w:rPr>
      </w:pPr>
      <w:r>
        <w:rPr>
          <w:rFonts w:ascii="Arial" w:cs="Arial" w:eastAsia="Arial" w:hAnsi="Arial"/>
          <w:sz w:val="16"/>
          <w:szCs w:val="16"/>
          <w:color w:val="auto"/>
        </w:rPr>
        <w:t>Trading in GasLog’s common shares on the New York Stock Exchange (“NYSE”), was suspended with immediate effect and the delisting of the common shares from the NYSE became effective on June 21, 2021. GasLog’s 8.75% Series A Cumulative Redeemable Perpetual Preference Shares remain outstanding and continue to trade in the NYSE.</w:t>
      </w:r>
    </w:p>
    <w:p>
      <w:pPr>
        <w:spacing w:after="0" w:line="171"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Following the consummation of the Transaction on June 9, 2021, certain existing shareholders, including Blenheim Holdings, which is wholly owned by the Livanos family, and a wholly owned affiliate of the Onassis Foundation, hold approximately 55.2% of the outstanding common shares of GasLog Ltd. and GEPIF holds approximately 44.8%.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 xml:space="preserve">During the second quarter of 2021, GasLog entered into a one-year time charter agreement with Naturgy Aprovisionamientos SA. (“Naturgy”) for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a 145,000 cbm steam turbine propulsion (“Steam”) LNG carrier built in 2006, which was operating in the spot market.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which was operating in the spot market, was rechartered to RWE Supply &amp; Trading GmbH (“RWE”) for approximately one year. The charterer has the option to extend the term of the time charter by either six or twelve months.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is a 155,000 cbm tri-fuel diesel electric (“TFDE”) LNG carrier built in 2010.</w:t>
      </w:r>
    </w:p>
    <w:p>
      <w:pPr>
        <w:spacing w:after="0" w:line="176"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 xml:space="preserve">During the second quarter of 2021, GasLog Partners LP (“GasLog Partners” or the “Partnership”) entered into a one-year time charter agreement with TotalEnergies Gas &amp; Power Limited, a wholly owned subsidiary of TotalEnergies SE (“TotalEnergies”)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 155,000 cbm TFDE LNG carrier, built in 2013. In addition, following the conclusion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initial multi-year time charter with a subsidiary of Royal Dutch Shell plc (“Shell”) in late July 2021, its contract was extended for approximately eight months, through the end of the first quarter of 2022.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a 155,000 cbm TFDE LNG carrier built in 2014. Furthermore, a new time charter agreement was signed with Cheniere for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a 145,000 cbm steam LNG carrier built in 2007. The charter has a minimum duration of one year, with Cheniere having the option, until late August, to extend the charter for an additional one or two years at varying rates.</w:t>
      </w:r>
    </w:p>
    <w:p>
      <w:pPr>
        <w:spacing w:after="0" w:line="176"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 xml:space="preserve">Post quarter-end, in July 2021, GasLog Partners rechartered an additional vessel with TotalEnergies, the 155,000 cbm TFDE vessel </w:t>
      </w:r>
      <w:r>
        <w:rPr>
          <w:rFonts w:ascii="Arial" w:cs="Arial" w:eastAsia="Arial" w:hAnsi="Arial"/>
          <w:sz w:val="16"/>
          <w:szCs w:val="16"/>
          <w:i w:val="1"/>
          <w:iCs w:val="1"/>
          <w:color w:val="auto"/>
        </w:rPr>
        <w:t>GasLog Seattle</w:t>
      </w:r>
      <w:r>
        <w:rPr>
          <w:rFonts w:ascii="Arial" w:cs="Arial" w:eastAsia="Arial" w:hAnsi="Arial"/>
          <w:sz w:val="16"/>
          <w:szCs w:val="16"/>
          <w:color w:val="auto"/>
        </w:rPr>
        <w:t>, built in 2013, again for a period of approximately twelve months.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30" w:right="839" w:bottom="1440" w:gutter="0" w:footer="0" w:header="0"/>
        </w:sectPr>
      </w:pPr>
    </w:p>
    <w:bookmarkStart w:id="5" w:name="page6"/>
    <w:bookmarkEnd w:id="5"/>
    <w:p>
      <w:pPr>
        <w:ind w:left="20"/>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ind w:left="20" w:firstLine="324"/>
        <w:spacing w:after="0" w:line="307" w:lineRule="auto"/>
        <w:rPr>
          <w:sz w:val="20"/>
          <w:szCs w:val="20"/>
          <w:color w:val="auto"/>
        </w:rPr>
      </w:pPr>
      <w:r>
        <w:rPr>
          <w:rFonts w:ascii="Arial" w:cs="Arial" w:eastAsia="Arial" w:hAnsi="Arial"/>
          <w:sz w:val="14"/>
          <w:szCs w:val="14"/>
          <w:color w:val="auto"/>
        </w:rPr>
        <w:t xml:space="preserve">We are an international owner, operator and manager of LNG carriers. Our wholly owned fleet as of August 5, 2021, consists of 17 LNG carriers, including 16 ships in operation and one LNG carrier on order at Samsung. GasLog is also the general and controlling partner in GasLog Partners, a publicly traded master limited partnership, which owns 15 LNG carriers. In addition, GasLog has leased back under a bareboat charter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which was sold to Lepta Shipping Co., Ltd. (“Lepta Shipping”), a subsidiary of Mitsui &amp; Co., Ltd. (“Mitsui”) in February 2016, for a period of up to 20 years. GasLog has the option to repurchase the vessel on pre-agreed terms no earlier than the end of year ten and no later than the end of year 17 of the bareboat charter. In addition, on October 21, 2020, GasLog leased back under a bareboat charter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which was sold to Sea 190 Leasing Co. Limited. (“Sea 190 Leasing”), an indirectly owned subsidiary of CMB Financial Leasing Co. Ltd. (“CMBFL”), for a period of up to twelve years. GasLog has the option to repurchase the vessel on pre-agreed terms no earlier than the end of year one, and no later than the end of year 12, of the bareboat charter. Finally, on January 22, 2021, GasLog leased back under a bareboat charter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which was sold to Hai Kuo Shipping 2051G Limited (“Hai Kuo Shipping”), a wholly owned subsidiary of ICBC Financial Leasing Co., Ltd. (“ICBC”), for a period of up to eight years. GasLog has the obligation to re-purchase the vessel at end of the charter period. GasLog has also the option to repurchase the vessel on pre-agreed terms no earlier than the end of the first interest period, and no later than the end of year eight, of the bareboat charter. We currently manage and operate 34 LNG carriers including 16 of our wholly owned ships in operation, 14 of the 15 ships contributed or sold to the Partnership (the other one is managed by Shell), the three bareboat vessels and one additional LNG carrier owned by an entity in which we have a 25% interest. We are also supervising the construction of our newbuilding.</w:t>
      </w:r>
    </w:p>
    <w:p>
      <w:pPr>
        <w:spacing w:after="0" w:line="154" w:lineRule="exact"/>
        <w:rPr>
          <w:sz w:val="20"/>
          <w:szCs w:val="20"/>
          <w:color w:val="auto"/>
        </w:rPr>
      </w:pPr>
    </w:p>
    <w:p>
      <w:pPr>
        <w:ind w:left="20" w:right="420" w:firstLine="324"/>
        <w:spacing w:after="0" w:line="293" w:lineRule="auto"/>
        <w:rPr>
          <w:sz w:val="20"/>
          <w:szCs w:val="20"/>
          <w:color w:val="auto"/>
        </w:rPr>
      </w:pPr>
      <w:r>
        <w:rPr>
          <w:rFonts w:ascii="Arial" w:cs="Arial" w:eastAsia="Arial" w:hAnsi="Arial"/>
          <w:sz w:val="16"/>
          <w:szCs w:val="16"/>
          <w:color w:val="auto"/>
        </w:rPr>
        <w:t xml:space="preserve">We have a 25% interest in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2007-built LNG carrier owned by Egypt LNG Shipping Ltd. (“Egypt LNG”) and technically managed by us. It is currently operating under a 20-year time charter to a subsidiary of Shell.</w:t>
      </w:r>
    </w:p>
    <w:p>
      <w:pPr>
        <w:spacing w:after="0" w:line="158" w:lineRule="exact"/>
        <w:rPr>
          <w:sz w:val="20"/>
          <w:szCs w:val="20"/>
          <w:color w:val="auto"/>
        </w:rPr>
      </w:pPr>
    </w:p>
    <w:p>
      <w:pPr>
        <w:ind w:left="20" w:right="360" w:firstLine="324"/>
        <w:spacing w:after="0" w:line="278" w:lineRule="auto"/>
        <w:rPr>
          <w:sz w:val="20"/>
          <w:szCs w:val="20"/>
          <w:color w:val="auto"/>
        </w:rPr>
      </w:pPr>
      <w:r>
        <w:rPr>
          <w:rFonts w:ascii="Arial" w:cs="Arial" w:eastAsia="Arial" w:hAnsi="Arial"/>
          <w:sz w:val="16"/>
          <w:szCs w:val="16"/>
          <w:color w:val="auto"/>
        </w:rPr>
        <w:t>We generate revenues by chartering our ships to customers on multi-year time charters and 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Owned Fleet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5, 2021, our wholly owned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Charterer (for</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220"/>
              <w:spacing w:after="0"/>
              <w:rPr>
                <w:sz w:val="20"/>
                <w:szCs w:val="20"/>
                <w:color w:val="auto"/>
              </w:rPr>
            </w:pPr>
            <w:r>
              <w:rPr>
                <w:rFonts w:ascii="Arial" w:cs="Arial" w:eastAsia="Arial" w:hAnsi="Arial"/>
                <w:sz w:val="16"/>
                <w:szCs w:val="16"/>
                <w:b w:val="1"/>
                <w:bCs w:val="1"/>
                <w:color w:val="auto"/>
              </w:rPr>
              <w:t>Year</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contracts of more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Optional</w:t>
            </w:r>
          </w:p>
        </w:tc>
      </w:tr>
      <w:tr>
        <w:trPr>
          <w:trHeight w:val="217"/>
        </w:trPr>
        <w:tc>
          <w:tcPr>
            <w:tcW w:w="200" w:type="dxa"/>
            <w:vAlign w:val="bottom"/>
          </w:tcPr>
          <w:p>
            <w:pPr>
              <w:spacing w:after="0"/>
              <w:rPr>
                <w:sz w:val="18"/>
                <w:szCs w:val="18"/>
                <w:color w:val="auto"/>
              </w:rPr>
            </w:pPr>
          </w:p>
        </w:tc>
        <w:tc>
          <w:tcPr>
            <w:tcW w:w="3240" w:type="dxa"/>
            <w:vAlign w:val="bottom"/>
            <w:gridSpan w:val="2"/>
          </w:tcPr>
          <w:p>
            <w:pPr>
              <w:ind w:left="1020"/>
              <w:spacing w:after="0"/>
              <w:rPr>
                <w:sz w:val="20"/>
                <w:szCs w:val="20"/>
                <w:color w:val="auto"/>
              </w:rPr>
            </w:pPr>
            <w:r>
              <w:rPr>
                <w:rFonts w:ascii="Arial" w:cs="Arial" w:eastAsia="Arial" w:hAnsi="Arial"/>
                <w:sz w:val="16"/>
                <w:szCs w:val="16"/>
                <w:b w:val="1"/>
                <w:bCs w:val="1"/>
                <w:color w:val="auto"/>
              </w:rPr>
              <w:t>Vessel Name</w:t>
            </w: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Built</w:t>
            </w:r>
          </w:p>
        </w:tc>
        <w:tc>
          <w:tcPr>
            <w:tcW w:w="9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Cbm</w:t>
            </w: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than six months)</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Propulsion</w:t>
            </w:r>
          </w:p>
        </w:tc>
        <w:tc>
          <w:tcPr>
            <w:tcW w:w="1660" w:type="dxa"/>
            <w:vAlign w:val="bottom"/>
            <w:gridSpan w:val="2"/>
          </w:tcPr>
          <w:p>
            <w:pPr>
              <w:jc w:val="center"/>
              <w:ind w:right="180"/>
              <w:spacing w:after="0" w:line="217" w:lineRule="exact"/>
              <w:rPr>
                <w:sz w:val="20"/>
                <w:szCs w:val="20"/>
                <w:color w:val="auto"/>
              </w:rPr>
            </w:pPr>
            <w:r>
              <w:rPr>
                <w:rFonts w:ascii="Arial" w:cs="Arial" w:eastAsia="Arial" w:hAnsi="Arial"/>
                <w:sz w:val="16"/>
                <w:szCs w:val="16"/>
                <w:b w:val="1"/>
                <w:bCs w:val="1"/>
                <w:color w:val="auto"/>
                <w:w w:val="92"/>
              </w:rPr>
              <w:t>Charter Expiration</w:t>
            </w:r>
            <w:r>
              <w:rPr>
                <w:rFonts w:ascii="Arial" w:cs="Arial" w:eastAsia="Arial" w:hAnsi="Arial"/>
                <w:sz w:val="24"/>
                <w:szCs w:val="24"/>
                <w:b w:val="1"/>
                <w:bCs w:val="1"/>
                <w:color w:val="auto"/>
                <w:w w:val="92"/>
                <w:vertAlign w:val="superscript"/>
              </w:rPr>
              <w:t>(1)</w:t>
            </w:r>
          </w:p>
        </w:tc>
        <w:tc>
          <w:tcPr>
            <w:tcW w:w="96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86"/>
              </w:rPr>
              <w:t>Period</w:t>
            </w:r>
            <w:r>
              <w:rPr>
                <w:rFonts w:ascii="Arial" w:cs="Arial" w:eastAsia="Arial" w:hAnsi="Arial"/>
                <w:sz w:val="24"/>
                <w:szCs w:val="24"/>
                <w:b w:val="1"/>
                <w:bCs w:val="1"/>
                <w:color w:val="auto"/>
                <w:w w:val="86"/>
                <w:vertAlign w:val="superscript"/>
              </w:rPr>
              <w:t>(2)</w:t>
            </w:r>
          </w:p>
        </w:tc>
      </w:tr>
      <w:tr>
        <w:trPr>
          <w:trHeight w:val="196"/>
        </w:trPr>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w:t>
            </w:r>
          </w:p>
        </w:tc>
        <w:tc>
          <w:tcPr>
            <w:tcW w:w="3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GasLog Skagen</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2013</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Spot Market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TFDE</w:t>
            </w: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2</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Saratoga</w:t>
            </w:r>
          </w:p>
        </w:tc>
        <w:tc>
          <w:tcPr>
            <w:tcW w:w="760" w:type="dxa"/>
            <w:vAlign w:val="bottom"/>
          </w:tcPr>
          <w:p>
            <w:pPr>
              <w:ind w:left="220"/>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Spot Market</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w:t>
            </w:r>
          </w:p>
        </w:tc>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Chelsea</w:t>
            </w:r>
          </w:p>
        </w:tc>
        <w:tc>
          <w:tcPr>
            <w:tcW w:w="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153,600</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6"/>
                <w:szCs w:val="16"/>
                <w:color w:val="auto"/>
                <w:w w:val="88"/>
              </w:rPr>
              <w:t xml:space="preserve">Glencore </w:t>
            </w:r>
            <w:r>
              <w:rPr>
                <w:rFonts w:ascii="Arial" w:cs="Arial" w:eastAsia="Arial" w:hAnsi="Arial"/>
                <w:sz w:val="23"/>
                <w:szCs w:val="23"/>
                <w:color w:val="auto"/>
                <w:w w:val="88"/>
                <w:vertAlign w:val="superscript"/>
              </w:rPr>
              <w:t>(3)</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TFDE</w:t>
            </w:r>
          </w:p>
        </w:tc>
        <w:tc>
          <w:tcPr>
            <w:tcW w:w="16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8"/>
              </w:rPr>
              <w:t>January 2022</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4</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Salem</w:t>
            </w:r>
          </w:p>
        </w:tc>
        <w:tc>
          <w:tcPr>
            <w:tcW w:w="760" w:type="dxa"/>
            <w:vAlign w:val="bottom"/>
          </w:tcPr>
          <w:p>
            <w:pPr>
              <w:ind w:left="220"/>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tcPr>
          <w:p>
            <w:pPr>
              <w:spacing w:after="0"/>
              <w:rPr>
                <w:sz w:val="17"/>
                <w:szCs w:val="17"/>
                <w:color w:val="auto"/>
              </w:rPr>
            </w:pPr>
          </w:p>
        </w:tc>
        <w:tc>
          <w:tcPr>
            <w:tcW w:w="1380" w:type="dxa"/>
            <w:vAlign w:val="bottom"/>
            <w:gridSpan w:val="2"/>
          </w:tcPr>
          <w:p>
            <w:pPr>
              <w:jc w:val="center"/>
              <w:ind w:right="160"/>
              <w:spacing w:after="0" w:line="202" w:lineRule="exact"/>
              <w:rPr>
                <w:sz w:val="20"/>
                <w:szCs w:val="20"/>
                <w:color w:val="auto"/>
              </w:rPr>
            </w:pPr>
            <w:r>
              <w:rPr>
                <w:rFonts w:ascii="Arial" w:cs="Arial" w:eastAsia="Arial" w:hAnsi="Arial"/>
                <w:sz w:val="16"/>
                <w:szCs w:val="16"/>
                <w:color w:val="auto"/>
                <w:w w:val="87"/>
              </w:rPr>
              <w:t xml:space="preserve">Gunvor </w:t>
            </w:r>
            <w:r>
              <w:rPr>
                <w:rFonts w:ascii="Arial" w:cs="Arial" w:eastAsia="Arial" w:hAnsi="Arial"/>
                <w:sz w:val="23"/>
                <w:szCs w:val="23"/>
                <w:color w:val="auto"/>
                <w:w w:val="87"/>
                <w:vertAlign w:val="superscript"/>
              </w:rPr>
              <w:t>(4)</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rPr>
              <w:t>TFDE</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March 2022</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5</w:t>
            </w:r>
          </w:p>
        </w:tc>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Savannah</w:t>
            </w:r>
          </w:p>
        </w:tc>
        <w:tc>
          <w:tcPr>
            <w:tcW w:w="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6"/>
                <w:szCs w:val="16"/>
                <w:color w:val="auto"/>
                <w:w w:val="90"/>
              </w:rPr>
              <w:t xml:space="preserve">Eni </w:t>
            </w:r>
            <w:r>
              <w:rPr>
                <w:rFonts w:ascii="Arial" w:cs="Arial" w:eastAsia="Arial" w:hAnsi="Arial"/>
                <w:sz w:val="23"/>
                <w:szCs w:val="23"/>
                <w:color w:val="auto"/>
                <w:w w:val="90"/>
                <w:vertAlign w:val="superscript"/>
              </w:rPr>
              <w:t>(5)</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TFDE</w:t>
            </w:r>
          </w:p>
        </w:tc>
        <w:tc>
          <w:tcPr>
            <w:tcW w:w="16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7"/>
              </w:rPr>
              <w:t>April 2022</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6</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Lydon Volney</w:t>
            </w:r>
          </w:p>
        </w:tc>
        <w:tc>
          <w:tcPr>
            <w:tcW w:w="760" w:type="dxa"/>
            <w:vAlign w:val="bottom"/>
          </w:tcPr>
          <w:p>
            <w:pPr>
              <w:ind w:left="220"/>
              <w:spacing w:after="0"/>
              <w:rPr>
                <w:sz w:val="20"/>
                <w:szCs w:val="20"/>
                <w:color w:val="auto"/>
              </w:rPr>
            </w:pPr>
            <w:r>
              <w:rPr>
                <w:rFonts w:ascii="Arial" w:cs="Arial" w:eastAsia="Arial" w:hAnsi="Arial"/>
                <w:sz w:val="16"/>
                <w:szCs w:val="16"/>
                <w:color w:val="auto"/>
              </w:rPr>
              <w:t>2006</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6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Naturgy</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Steam</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June 2022</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7</w:t>
            </w:r>
          </w:p>
        </w:tc>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Genoa</w:t>
            </w:r>
          </w:p>
        </w:tc>
        <w:tc>
          <w:tcPr>
            <w:tcW w:w="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5"/>
              </w:rPr>
              <w:t>Shell</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2"/>
              </w:rPr>
              <w:t>March 2027</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8"/>
              </w:rPr>
              <w:t xml:space="preserve">2030-2033 </w:t>
            </w:r>
            <w:r>
              <w:rPr>
                <w:rFonts w:ascii="Arial" w:cs="Arial" w:eastAsia="Arial" w:hAnsi="Arial"/>
                <w:sz w:val="23"/>
                <w:szCs w:val="23"/>
                <w:color w:val="auto"/>
                <w:w w:val="88"/>
                <w:vertAlign w:val="superscript"/>
              </w:rPr>
              <w:t>(6)</w:t>
            </w:r>
          </w:p>
        </w:tc>
      </w:tr>
      <w:tr>
        <w:trPr>
          <w:trHeight w:val="20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8</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Windsor</w:t>
            </w:r>
          </w:p>
        </w:tc>
        <w:tc>
          <w:tcPr>
            <w:tcW w:w="760" w:type="dxa"/>
            <w:vAlign w:val="bottom"/>
          </w:tcPr>
          <w:p>
            <w:pPr>
              <w:ind w:left="2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7"/>
                <w:szCs w:val="17"/>
                <w:color w:val="auto"/>
              </w:rPr>
            </w:pPr>
          </w:p>
        </w:tc>
        <w:tc>
          <w:tcPr>
            <w:tcW w:w="1380" w:type="dxa"/>
            <w:vAlign w:val="bottom"/>
            <w:gridSpan w:val="2"/>
          </w:tcPr>
          <w:p>
            <w:pPr>
              <w:jc w:val="center"/>
              <w:ind w:right="160"/>
              <w:spacing w:after="0" w:line="202" w:lineRule="exact"/>
              <w:rPr>
                <w:sz w:val="20"/>
                <w:szCs w:val="20"/>
                <w:color w:val="auto"/>
              </w:rPr>
            </w:pPr>
            <w:r>
              <w:rPr>
                <w:rFonts w:ascii="Arial" w:cs="Arial" w:eastAsia="Arial" w:hAnsi="Arial"/>
                <w:sz w:val="16"/>
                <w:szCs w:val="16"/>
                <w:color w:val="auto"/>
                <w:w w:val="89"/>
              </w:rPr>
              <w:t xml:space="preserve">Centrica </w:t>
            </w:r>
            <w:r>
              <w:rPr>
                <w:rFonts w:ascii="Arial" w:cs="Arial" w:eastAsia="Arial" w:hAnsi="Arial"/>
                <w:sz w:val="23"/>
                <w:szCs w:val="23"/>
                <w:color w:val="auto"/>
                <w:w w:val="89"/>
                <w:vertAlign w:val="superscript"/>
              </w:rPr>
              <w:t>(7)</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April 2027</w:t>
            </w:r>
          </w:p>
        </w:tc>
        <w:tc>
          <w:tcPr>
            <w:tcW w:w="960" w:type="dxa"/>
            <w:vAlign w:val="bottom"/>
          </w:tcPr>
          <w:p>
            <w:pPr>
              <w:jc w:val="center"/>
              <w:spacing w:after="0" w:line="202" w:lineRule="exact"/>
              <w:rPr>
                <w:sz w:val="20"/>
                <w:szCs w:val="20"/>
                <w:color w:val="auto"/>
              </w:rPr>
            </w:pPr>
            <w:r>
              <w:rPr>
                <w:rFonts w:ascii="Arial" w:cs="Arial" w:eastAsia="Arial" w:hAnsi="Arial"/>
                <w:sz w:val="16"/>
                <w:szCs w:val="16"/>
                <w:color w:val="auto"/>
                <w:w w:val="88"/>
              </w:rPr>
              <w:t xml:space="preserve">2029-2033 </w:t>
            </w:r>
            <w:r>
              <w:rPr>
                <w:rFonts w:ascii="Arial" w:cs="Arial" w:eastAsia="Arial" w:hAnsi="Arial"/>
                <w:sz w:val="23"/>
                <w:szCs w:val="23"/>
                <w:color w:val="auto"/>
                <w:w w:val="88"/>
                <w:vertAlign w:val="superscript"/>
              </w:rPr>
              <w:t>(7)</w:t>
            </w:r>
          </w:p>
        </w:tc>
      </w:tr>
      <w:tr>
        <w:trPr>
          <w:trHeight w:val="203"/>
        </w:trPr>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9</w:t>
            </w:r>
          </w:p>
        </w:tc>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Westminster</w:t>
            </w:r>
          </w:p>
        </w:tc>
        <w:tc>
          <w:tcPr>
            <w:tcW w:w="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6"/>
                <w:szCs w:val="16"/>
                <w:color w:val="auto"/>
                <w:w w:val="89"/>
              </w:rPr>
              <w:t xml:space="preserve">Centrica </w:t>
            </w:r>
            <w:r>
              <w:rPr>
                <w:rFonts w:ascii="Arial" w:cs="Arial" w:eastAsia="Arial" w:hAnsi="Arial"/>
                <w:sz w:val="23"/>
                <w:szCs w:val="23"/>
                <w:color w:val="auto"/>
                <w:w w:val="89"/>
                <w:vertAlign w:val="superscript"/>
              </w:rPr>
              <w:t>(7)</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July 2027</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8"/>
              </w:rPr>
              <w:t xml:space="preserve">2029-2033 </w:t>
            </w:r>
            <w:r>
              <w:rPr>
                <w:rFonts w:ascii="Arial" w:cs="Arial" w:eastAsia="Arial" w:hAnsi="Arial"/>
                <w:sz w:val="23"/>
                <w:szCs w:val="23"/>
                <w:color w:val="auto"/>
                <w:w w:val="88"/>
                <w:vertAlign w:val="superscript"/>
              </w:rPr>
              <w:t>(7)</w:t>
            </w:r>
          </w:p>
        </w:tc>
      </w:tr>
      <w:tr>
        <w:trPr>
          <w:trHeight w:val="20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w w:val="89"/>
              </w:rPr>
              <w:t>10</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Georgetown</w:t>
            </w:r>
          </w:p>
        </w:tc>
        <w:tc>
          <w:tcPr>
            <w:tcW w:w="760" w:type="dxa"/>
            <w:vAlign w:val="bottom"/>
          </w:tcPr>
          <w:p>
            <w:pPr>
              <w:ind w:left="2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Cheniere</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November 2027</w:t>
            </w:r>
          </w:p>
        </w:tc>
        <w:tc>
          <w:tcPr>
            <w:tcW w:w="960" w:type="dxa"/>
            <w:vAlign w:val="bottom"/>
          </w:tcPr>
          <w:p>
            <w:pPr>
              <w:jc w:val="center"/>
              <w:spacing w:after="0" w:line="202" w:lineRule="exact"/>
              <w:rPr>
                <w:sz w:val="20"/>
                <w:szCs w:val="20"/>
                <w:color w:val="auto"/>
              </w:rPr>
            </w:pPr>
            <w:r>
              <w:rPr>
                <w:rFonts w:ascii="Arial" w:cs="Arial" w:eastAsia="Arial" w:hAnsi="Arial"/>
                <w:sz w:val="16"/>
                <w:szCs w:val="16"/>
                <w:color w:val="auto"/>
                <w:w w:val="88"/>
              </w:rPr>
              <w:t xml:space="preserve">2030-2034 </w:t>
            </w:r>
            <w:r>
              <w:rPr>
                <w:rFonts w:ascii="Arial" w:cs="Arial" w:eastAsia="Arial" w:hAnsi="Arial"/>
                <w:sz w:val="23"/>
                <w:szCs w:val="23"/>
                <w:color w:val="auto"/>
                <w:w w:val="88"/>
                <w:vertAlign w:val="superscript"/>
              </w:rPr>
              <w:t>(8)</w:t>
            </w:r>
          </w:p>
        </w:tc>
      </w:tr>
      <w:tr>
        <w:trPr>
          <w:trHeight w:val="203"/>
        </w:trPr>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9"/>
              </w:rPr>
              <w:t>11</w:t>
            </w:r>
          </w:p>
        </w:tc>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Galveston</w:t>
            </w:r>
          </w:p>
        </w:tc>
        <w:tc>
          <w:tcPr>
            <w:tcW w:w="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Cheniere</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8"/>
              </w:rPr>
              <w:t>January 2028</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3"/>
                <w:szCs w:val="23"/>
                <w:color w:val="auto"/>
                <w:w w:val="88"/>
                <w:vertAlign w:val="superscript"/>
              </w:rPr>
              <w:t>(8)</w:t>
            </w:r>
          </w:p>
        </w:tc>
      </w:tr>
      <w:tr>
        <w:trPr>
          <w:trHeight w:val="20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w w:val="89"/>
              </w:rPr>
              <w:t>12</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Wellington</w:t>
            </w:r>
          </w:p>
        </w:tc>
        <w:tc>
          <w:tcPr>
            <w:tcW w:w="760" w:type="dxa"/>
            <w:vAlign w:val="bottom"/>
          </w:tcPr>
          <w:p>
            <w:pPr>
              <w:ind w:left="22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7"/>
                <w:szCs w:val="17"/>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Cheniere</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June 2028</w:t>
            </w:r>
          </w:p>
        </w:tc>
        <w:tc>
          <w:tcPr>
            <w:tcW w:w="960" w:type="dxa"/>
            <w:vAlign w:val="bottom"/>
          </w:tcPr>
          <w:p>
            <w:pPr>
              <w:jc w:val="center"/>
              <w:spacing w:after="0" w:line="202"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3"/>
                <w:szCs w:val="23"/>
                <w:color w:val="auto"/>
                <w:w w:val="88"/>
                <w:vertAlign w:val="superscript"/>
              </w:rPr>
              <w:t>(8)</w:t>
            </w:r>
          </w:p>
        </w:tc>
      </w:tr>
      <w:tr>
        <w:trPr>
          <w:trHeight w:val="203"/>
        </w:trPr>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9"/>
              </w:rPr>
              <w:t>13</w:t>
            </w:r>
          </w:p>
        </w:tc>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Gladstone</w:t>
            </w:r>
          </w:p>
        </w:tc>
        <w:tc>
          <w:tcPr>
            <w:tcW w:w="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5"/>
              </w:rPr>
              <w:t>Shell</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January 2029</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8"/>
              </w:rPr>
              <w:t xml:space="preserve">2032-2035 </w:t>
            </w:r>
            <w:r>
              <w:rPr>
                <w:rFonts w:ascii="Arial" w:cs="Arial" w:eastAsia="Arial" w:hAnsi="Arial"/>
                <w:sz w:val="23"/>
                <w:szCs w:val="23"/>
                <w:color w:val="auto"/>
                <w:w w:val="88"/>
                <w:vertAlign w:val="superscript"/>
              </w:rPr>
              <w:t>(6)</w:t>
            </w:r>
          </w:p>
        </w:tc>
      </w:tr>
      <w:tr>
        <w:trPr>
          <w:trHeight w:val="20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w w:val="89"/>
              </w:rPr>
              <w:t>14</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Warsaw</w:t>
            </w:r>
          </w:p>
        </w:tc>
        <w:tc>
          <w:tcPr>
            <w:tcW w:w="760" w:type="dxa"/>
            <w:vAlign w:val="bottom"/>
          </w:tcPr>
          <w:p>
            <w:pPr>
              <w:ind w:left="22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17"/>
                <w:szCs w:val="17"/>
                <w:color w:val="auto"/>
              </w:rPr>
            </w:pPr>
          </w:p>
        </w:tc>
        <w:tc>
          <w:tcPr>
            <w:tcW w:w="1380" w:type="dxa"/>
            <w:vAlign w:val="bottom"/>
            <w:gridSpan w:val="2"/>
          </w:tcPr>
          <w:p>
            <w:pPr>
              <w:jc w:val="center"/>
              <w:ind w:right="160"/>
              <w:spacing w:after="0" w:line="202" w:lineRule="exact"/>
              <w:rPr>
                <w:sz w:val="20"/>
                <w:szCs w:val="20"/>
                <w:color w:val="auto"/>
              </w:rPr>
            </w:pPr>
            <w:r>
              <w:rPr>
                <w:rFonts w:ascii="Arial" w:cs="Arial" w:eastAsia="Arial" w:hAnsi="Arial"/>
                <w:sz w:val="16"/>
                <w:szCs w:val="16"/>
                <w:color w:val="auto"/>
                <w:w w:val="85"/>
              </w:rPr>
              <w:t xml:space="preserve">Endesa </w:t>
            </w:r>
            <w:r>
              <w:rPr>
                <w:rFonts w:ascii="Arial" w:cs="Arial" w:eastAsia="Arial" w:hAnsi="Arial"/>
                <w:sz w:val="23"/>
                <w:szCs w:val="23"/>
                <w:color w:val="auto"/>
                <w:w w:val="85"/>
                <w:vertAlign w:val="superscript"/>
              </w:rPr>
              <w:t>(9)</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May 2029</w:t>
            </w:r>
          </w:p>
        </w:tc>
        <w:tc>
          <w:tcPr>
            <w:tcW w:w="960" w:type="dxa"/>
            <w:vAlign w:val="bottom"/>
          </w:tcPr>
          <w:p>
            <w:pPr>
              <w:jc w:val="center"/>
              <w:spacing w:after="0" w:line="202" w:lineRule="exact"/>
              <w:rPr>
                <w:sz w:val="20"/>
                <w:szCs w:val="20"/>
                <w:color w:val="auto"/>
              </w:rPr>
            </w:pPr>
            <w:r>
              <w:rPr>
                <w:rFonts w:ascii="Arial" w:cs="Arial" w:eastAsia="Arial" w:hAnsi="Arial"/>
                <w:sz w:val="16"/>
                <w:szCs w:val="16"/>
                <w:color w:val="auto"/>
                <w:w w:val="88"/>
              </w:rPr>
              <w:t xml:space="preserve">2035-2041 </w:t>
            </w:r>
            <w:r>
              <w:rPr>
                <w:rFonts w:ascii="Arial" w:cs="Arial" w:eastAsia="Arial" w:hAnsi="Arial"/>
                <w:sz w:val="23"/>
                <w:szCs w:val="23"/>
                <w:color w:val="auto"/>
                <w:w w:val="88"/>
                <w:vertAlign w:val="superscript"/>
              </w:rPr>
              <w:t>(9)</w:t>
            </w:r>
          </w:p>
        </w:tc>
      </w:tr>
      <w:tr>
        <w:trPr>
          <w:trHeight w:val="203"/>
        </w:trPr>
        <w:tc>
          <w:tcPr>
            <w:tcW w:w="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9"/>
              </w:rPr>
              <w:t>15</w:t>
            </w:r>
          </w:p>
        </w:tc>
        <w:tc>
          <w:tcPr>
            <w:tcW w:w="32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6"/>
                <w:szCs w:val="16"/>
                <w:i w:val="1"/>
                <w:iCs w:val="1"/>
                <w:color w:val="auto"/>
              </w:rPr>
              <w:t xml:space="preserve">GasLog Singapore </w:t>
            </w:r>
            <w:r>
              <w:rPr>
                <w:rFonts w:ascii="Arial" w:cs="Arial" w:eastAsia="Arial" w:hAnsi="Arial"/>
                <w:sz w:val="23"/>
                <w:szCs w:val="23"/>
                <w:i w:val="1"/>
                <w:iCs w:val="1"/>
                <w:color w:val="auto"/>
                <w:vertAlign w:val="superscript"/>
              </w:rPr>
              <w:t>(10)</w:t>
            </w:r>
          </w:p>
        </w:tc>
        <w:tc>
          <w:tcPr>
            <w:tcW w:w="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0"/>
              </w:rPr>
              <w:t>RWE</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TFDE</w:t>
            </w:r>
          </w:p>
        </w:tc>
        <w:tc>
          <w:tcPr>
            <w:tcW w:w="16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July 2022</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23"/>
                <w:szCs w:val="23"/>
                <w:color w:val="auto"/>
                <w:vertAlign w:val="subscript"/>
              </w:rPr>
              <w:t>2023</w:t>
            </w:r>
            <w:r>
              <w:rPr>
                <w:rFonts w:ascii="Arial" w:cs="Arial" w:eastAsia="Arial" w:hAnsi="Arial"/>
                <w:sz w:val="10"/>
                <w:szCs w:val="10"/>
                <w:color w:val="auto"/>
              </w:rPr>
              <w:t xml:space="preserve"> (10)</w:t>
            </w:r>
          </w:p>
        </w:tc>
      </w:tr>
      <w:tr>
        <w:trPr>
          <w:trHeight w:val="423"/>
        </w:trPr>
        <w:tc>
          <w:tcPr>
            <w:tcW w:w="200" w:type="dxa"/>
            <w:vAlign w:val="bottom"/>
          </w:tcPr>
          <w:p>
            <w:pPr>
              <w:ind w:left="20"/>
              <w:spacing w:after="0"/>
              <w:rPr>
                <w:sz w:val="20"/>
                <w:szCs w:val="20"/>
                <w:color w:val="auto"/>
              </w:rPr>
            </w:pPr>
            <w:r>
              <w:rPr>
                <w:rFonts w:ascii="Arial" w:cs="Arial" w:eastAsia="Arial" w:hAnsi="Arial"/>
                <w:sz w:val="16"/>
                <w:szCs w:val="16"/>
                <w:b w:val="1"/>
                <w:bCs w:val="1"/>
                <w:color w:val="auto"/>
                <w:w w:val="89"/>
              </w:rPr>
              <w:t>16</w:t>
            </w:r>
          </w:p>
        </w:tc>
        <w:tc>
          <w:tcPr>
            <w:tcW w:w="32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Wales</w:t>
            </w:r>
          </w:p>
        </w:tc>
        <w:tc>
          <w:tcPr>
            <w:tcW w:w="760" w:type="dxa"/>
            <w:vAlign w:val="bottom"/>
          </w:tcPr>
          <w:p>
            <w:pPr>
              <w:ind w:left="2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32"/>
                <w:szCs w:val="32"/>
                <w:color w:val="auto"/>
                <w:w w:val="75"/>
                <w:vertAlign w:val="subscript"/>
              </w:rPr>
              <w:t>Jera</w:t>
            </w:r>
            <w:r>
              <w:rPr>
                <w:rFonts w:ascii="Arial" w:cs="Arial" w:eastAsia="Arial" w:hAnsi="Arial"/>
                <w:sz w:val="12"/>
                <w:szCs w:val="12"/>
                <w:color w:val="auto"/>
                <w:w w:val="75"/>
              </w:rPr>
              <w:t xml:space="preserve"> (11)</w:t>
            </w:r>
          </w:p>
        </w:tc>
        <w:tc>
          <w:tcPr>
            <w:tcW w:w="940" w:type="dxa"/>
            <w:vAlign w:val="bottom"/>
            <w:gridSpan w:val="2"/>
          </w:tcPr>
          <w:p>
            <w:pPr>
              <w:jc w:val="center"/>
              <w:ind w:right="160"/>
              <w:spacing w:after="0"/>
              <w:rPr>
                <w:sz w:val="20"/>
                <w:szCs w:val="20"/>
                <w:color w:val="auto"/>
              </w:rPr>
            </w:pPr>
            <w:r>
              <w:rPr>
                <w:rFonts w:ascii="Arial" w:cs="Arial" w:eastAsia="Arial" w:hAnsi="Arial"/>
                <w:sz w:val="16"/>
                <w:szCs w:val="16"/>
                <w:color w:val="auto"/>
              </w:rPr>
              <w:t>X-DF</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March 2032</w:t>
            </w:r>
          </w:p>
        </w:tc>
        <w:tc>
          <w:tcPr>
            <w:tcW w:w="960" w:type="dxa"/>
            <w:vAlign w:val="bottom"/>
          </w:tcPr>
          <w:p>
            <w:pPr>
              <w:jc w:val="center"/>
              <w:spacing w:after="0"/>
              <w:rPr>
                <w:sz w:val="20"/>
                <w:szCs w:val="20"/>
                <w:color w:val="auto"/>
              </w:rPr>
            </w:pPr>
            <w:r>
              <w:rPr>
                <w:rFonts w:ascii="Arial" w:cs="Arial" w:eastAsia="Arial" w:hAnsi="Arial"/>
                <w:sz w:val="16"/>
                <w:szCs w:val="16"/>
                <w:color w:val="auto"/>
                <w:w w:val="85"/>
              </w:rPr>
              <w:t xml:space="preserve">2035-2038 </w:t>
            </w:r>
            <w:r>
              <w:rPr>
                <w:rFonts w:ascii="Arial" w:cs="Arial" w:eastAsia="Arial" w:hAnsi="Arial"/>
                <w:sz w:val="24"/>
                <w:szCs w:val="24"/>
                <w:color w:val="auto"/>
                <w:w w:val="85"/>
                <w:vertAlign w:val="superscript"/>
              </w:rPr>
              <w:t>(11)</w:t>
            </w:r>
          </w:p>
        </w:tc>
      </w:tr>
    </w:tbl>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126" w:right="859" w:bottom="1440" w:gutter="0" w:footer="0" w:header="0"/>
        </w:sectPr>
      </w:pPr>
    </w:p>
    <w:bookmarkStart w:id="6" w:name="page7"/>
    <w:bookmarkEnd w:id="6"/>
    <w:p>
      <w:pPr>
        <w:ind w:left="340"/>
        <w:spacing w:after="0"/>
        <w:rPr>
          <w:sz w:val="20"/>
          <w:szCs w:val="20"/>
          <w:color w:val="auto"/>
        </w:rPr>
      </w:pPr>
      <w:r>
        <w:rPr>
          <w:rFonts w:ascii="Arial" w:cs="Arial" w:eastAsia="Arial" w:hAnsi="Arial"/>
          <w:sz w:val="16"/>
          <w:szCs w:val="16"/>
          <w:color w:val="auto"/>
        </w:rPr>
        <w:t>As of August 5, 2021, the Partnership’s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96"/>
              </w:rPr>
              <w:t>Charterer (for</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0"/>
              </w:rPr>
              <w:t>contracts of more</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Optional</w:t>
            </w: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2"/>
          </w:tcPr>
          <w:p>
            <w:pPr>
              <w:ind w:left="1000"/>
              <w:spacing w:after="0"/>
              <w:rPr>
                <w:sz w:val="20"/>
                <w:szCs w:val="20"/>
                <w:color w:val="auto"/>
              </w:rPr>
            </w:pPr>
            <w:r>
              <w:rPr>
                <w:rFonts w:ascii="Arial" w:cs="Arial" w:eastAsia="Arial" w:hAnsi="Arial"/>
                <w:sz w:val="16"/>
                <w:szCs w:val="16"/>
                <w:b w:val="1"/>
                <w:bCs w:val="1"/>
                <w:color w:val="auto"/>
              </w:rPr>
              <w:t>Vessel Name</w:t>
            </w:r>
          </w:p>
        </w:tc>
        <w:tc>
          <w:tcPr>
            <w:tcW w:w="580" w:type="dxa"/>
            <w:vAlign w:val="bottom"/>
            <w:gridSpan w:val="3"/>
          </w:tcPr>
          <w:p>
            <w:pPr>
              <w:ind w:left="180"/>
              <w:spacing w:after="0"/>
              <w:rPr>
                <w:sz w:val="20"/>
                <w:szCs w:val="20"/>
                <w:color w:val="auto"/>
              </w:rPr>
            </w:pPr>
            <w:r>
              <w:rPr>
                <w:rFonts w:ascii="Arial" w:cs="Arial" w:eastAsia="Arial" w:hAnsi="Arial"/>
                <w:sz w:val="16"/>
                <w:szCs w:val="16"/>
                <w:b w:val="1"/>
                <w:bCs w:val="1"/>
                <w:color w:val="auto"/>
              </w:rPr>
              <w:t>Built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Cbm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gridSpan w:val="16"/>
          </w:tcPr>
          <w:p>
            <w:pPr>
              <w:ind w:left="80"/>
              <w:spacing w:after="0" w:line="217" w:lineRule="exact"/>
              <w:rPr>
                <w:sz w:val="20"/>
                <w:szCs w:val="20"/>
                <w:color w:val="auto"/>
              </w:rPr>
            </w:pPr>
            <w:r>
              <w:rPr>
                <w:rFonts w:ascii="Arial" w:cs="Arial" w:eastAsia="Arial" w:hAnsi="Arial"/>
                <w:sz w:val="16"/>
                <w:szCs w:val="16"/>
                <w:b w:val="1"/>
                <w:bCs w:val="1"/>
                <w:color w:val="auto"/>
              </w:rPr>
              <w:t>than six months)   Propulsion  Charter Expiration</w:t>
            </w:r>
            <w:r>
              <w:rPr>
                <w:rFonts w:ascii="Arial" w:cs="Arial" w:eastAsia="Arial" w:hAnsi="Arial"/>
                <w:sz w:val="24"/>
                <w:szCs w:val="24"/>
                <w:b w:val="1"/>
                <w:bCs w:val="1"/>
                <w:color w:val="auto"/>
                <w:vertAlign w:val="superscript"/>
              </w:rPr>
              <w:t>(1)</w:t>
            </w:r>
          </w:p>
        </w:tc>
        <w:tc>
          <w:tcPr>
            <w:tcW w:w="40" w:type="dxa"/>
            <w:vAlign w:val="bottom"/>
          </w:tcPr>
          <w:p>
            <w:pPr>
              <w:spacing w:after="0"/>
              <w:rPr>
                <w:sz w:val="18"/>
                <w:szCs w:val="18"/>
                <w:color w:val="auto"/>
              </w:rPr>
            </w:pPr>
          </w:p>
        </w:tc>
        <w:tc>
          <w:tcPr>
            <w:tcW w:w="940" w:type="dxa"/>
            <w:vAlign w:val="bottom"/>
            <w:gridSpan w:val="2"/>
          </w:tcPr>
          <w:p>
            <w:pPr>
              <w:ind w:left="1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4"/>
                <w:szCs w:val="24"/>
                <w:b w:val="1"/>
                <w:bCs w:val="1"/>
                <w:color w:val="auto"/>
                <w:vertAlign w:val="superscript"/>
              </w:rPr>
              <w:t>(2)</w:t>
            </w:r>
          </w:p>
        </w:tc>
      </w:tr>
      <w:tr>
        <w:trPr>
          <w:trHeight w:val="196"/>
        </w:trPr>
        <w:tc>
          <w:tcPr>
            <w:tcW w:w="20" w:type="dxa"/>
            <w:vAlign w:val="bottom"/>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1</w:t>
            </w:r>
          </w:p>
        </w:tc>
        <w:tc>
          <w:tcPr>
            <w:tcW w:w="3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GasLog Santiago</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ind w:left="200"/>
              <w:spacing w:after="0"/>
              <w:rPr>
                <w:sz w:val="20"/>
                <w:szCs w:val="20"/>
                <w:color w:val="auto"/>
              </w:rPr>
            </w:pPr>
            <w:r>
              <w:rPr>
                <w:rFonts w:ascii="Arial" w:cs="Arial" w:eastAsia="Arial" w:hAnsi="Arial"/>
                <w:sz w:val="16"/>
                <w:szCs w:val="16"/>
                <w:color w:val="auto"/>
              </w:rPr>
              <w:t>2013</w:t>
            </w: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w w:val="93"/>
              </w:rPr>
              <w:t>155,000</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4"/>
            <w:shd w:val="clear" w:color="auto" w:fill="CCEEFF"/>
          </w:tcPr>
          <w:p>
            <w:pPr>
              <w:jc w:val="center"/>
              <w:spacing w:after="0" w:line="195" w:lineRule="exact"/>
              <w:rPr>
                <w:sz w:val="20"/>
                <w:szCs w:val="20"/>
                <w:color w:val="auto"/>
              </w:rPr>
            </w:pPr>
            <w:r>
              <w:rPr>
                <w:rFonts w:ascii="Arial" w:cs="Arial" w:eastAsia="Arial" w:hAnsi="Arial"/>
                <w:sz w:val="15"/>
                <w:szCs w:val="15"/>
                <w:color w:val="auto"/>
                <w:w w:val="95"/>
              </w:rPr>
              <w:t xml:space="preserve">Trafigura </w:t>
            </w:r>
            <w:r>
              <w:rPr>
                <w:rFonts w:ascii="Arial" w:cs="Arial" w:eastAsia="Arial" w:hAnsi="Arial"/>
                <w:sz w:val="22"/>
                <w:szCs w:val="22"/>
                <w:color w:val="auto"/>
                <w:w w:val="95"/>
                <w:vertAlign w:val="superscript"/>
              </w:rPr>
              <w:t>(12)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TFDE</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gridSpan w:val="3"/>
            <w:shd w:val="clear" w:color="auto" w:fill="CCEEFF"/>
          </w:tcPr>
          <w:p>
            <w:pPr>
              <w:jc w:val="center"/>
              <w:ind w:right="139"/>
              <w:spacing w:after="0"/>
              <w:rPr>
                <w:sz w:val="20"/>
                <w:szCs w:val="20"/>
                <w:color w:val="auto"/>
              </w:rPr>
            </w:pPr>
            <w:r>
              <w:rPr>
                <w:rFonts w:ascii="Arial" w:cs="Arial" w:eastAsia="Arial" w:hAnsi="Arial"/>
                <w:sz w:val="16"/>
                <w:szCs w:val="16"/>
                <w:color w:val="auto"/>
                <w:w w:val="89"/>
              </w:rPr>
              <w:t>December 2021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center"/>
              <w:spacing w:after="0" w:line="195" w:lineRule="exact"/>
              <w:rPr>
                <w:sz w:val="20"/>
                <w:szCs w:val="20"/>
                <w:color w:val="auto"/>
              </w:rPr>
            </w:pPr>
            <w:r>
              <w:rPr>
                <w:rFonts w:ascii="Arial" w:cs="Arial" w:eastAsia="Arial" w:hAnsi="Arial"/>
                <w:sz w:val="15"/>
                <w:szCs w:val="15"/>
                <w:color w:val="auto"/>
                <w:w w:val="92"/>
              </w:rPr>
              <w:t xml:space="preserve">2022-2028 </w:t>
            </w:r>
            <w:r>
              <w:rPr>
                <w:rFonts w:ascii="Arial" w:cs="Arial" w:eastAsia="Arial" w:hAnsi="Arial"/>
                <w:sz w:val="22"/>
                <w:szCs w:val="22"/>
                <w:color w:val="auto"/>
                <w:w w:val="92"/>
                <w:vertAlign w:val="superscript"/>
              </w:rPr>
              <w:t>(12)</w:t>
            </w: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2</w:t>
            </w:r>
          </w:p>
        </w:tc>
        <w:tc>
          <w:tcPr>
            <w:tcW w:w="322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Rita Andrea</w:t>
            </w:r>
          </w:p>
        </w:tc>
        <w:tc>
          <w:tcPr>
            <w:tcW w:w="580" w:type="dxa"/>
            <w:vAlign w:val="bottom"/>
            <w:gridSpan w:val="3"/>
          </w:tcPr>
          <w:p>
            <w:pPr>
              <w:ind w:left="200"/>
              <w:spacing w:after="0"/>
              <w:rPr>
                <w:sz w:val="20"/>
                <w:szCs w:val="20"/>
                <w:color w:val="auto"/>
              </w:rPr>
            </w:pPr>
            <w:r>
              <w:rPr>
                <w:rFonts w:ascii="Arial" w:cs="Arial" w:eastAsia="Arial" w:hAnsi="Arial"/>
                <w:sz w:val="16"/>
                <w:szCs w:val="16"/>
                <w:color w:val="auto"/>
              </w:rPr>
              <w:t>2006</w:t>
            </w:r>
          </w:p>
        </w:tc>
        <w:tc>
          <w:tcPr>
            <w:tcW w:w="1000" w:type="dxa"/>
            <w:vAlign w:val="bottom"/>
            <w:gridSpan w:val="5"/>
          </w:tcPr>
          <w:p>
            <w:pPr>
              <w:jc w:val="center"/>
              <w:ind w:left="299"/>
              <w:spacing w:after="0"/>
              <w:rPr>
                <w:sz w:val="20"/>
                <w:szCs w:val="20"/>
                <w:color w:val="auto"/>
              </w:rPr>
            </w:pPr>
            <w:r>
              <w:rPr>
                <w:rFonts w:ascii="Arial" w:cs="Arial" w:eastAsia="Arial" w:hAnsi="Arial"/>
                <w:sz w:val="16"/>
                <w:szCs w:val="16"/>
                <w:color w:val="auto"/>
                <w:w w:val="93"/>
              </w:rPr>
              <w:t>145,000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center"/>
              <w:ind w:right="300"/>
              <w:spacing w:after="0" w:line="202" w:lineRule="exact"/>
              <w:rPr>
                <w:sz w:val="20"/>
                <w:szCs w:val="20"/>
                <w:color w:val="auto"/>
              </w:rPr>
            </w:pPr>
            <w:r>
              <w:rPr>
                <w:rFonts w:ascii="Arial" w:cs="Arial" w:eastAsia="Arial" w:hAnsi="Arial"/>
                <w:sz w:val="16"/>
                <w:szCs w:val="16"/>
                <w:color w:val="auto"/>
                <w:w w:val="89"/>
              </w:rPr>
              <w:t xml:space="preserve">Gunvor </w:t>
            </w:r>
            <w:r>
              <w:rPr>
                <w:rFonts w:ascii="Arial" w:cs="Arial" w:eastAsia="Arial" w:hAnsi="Arial"/>
                <w:sz w:val="23"/>
                <w:szCs w:val="23"/>
                <w:color w:val="auto"/>
                <w:w w:val="89"/>
                <w:vertAlign w:val="superscript"/>
              </w:rPr>
              <w:t>(4)</w:t>
            </w:r>
          </w:p>
        </w:tc>
        <w:tc>
          <w:tcPr>
            <w:tcW w:w="920" w:type="dxa"/>
            <w:vAlign w:val="bottom"/>
            <w:gridSpan w:val="4"/>
          </w:tcPr>
          <w:p>
            <w:pPr>
              <w:ind w:left="40"/>
              <w:spacing w:after="0"/>
              <w:rPr>
                <w:sz w:val="20"/>
                <w:szCs w:val="20"/>
                <w:color w:val="auto"/>
              </w:rPr>
            </w:pPr>
            <w:r>
              <w:rPr>
                <w:rFonts w:ascii="Arial" w:cs="Arial" w:eastAsia="Arial" w:hAnsi="Arial"/>
                <w:sz w:val="16"/>
                <w:szCs w:val="16"/>
                <w:color w:val="auto"/>
              </w:rPr>
              <w:t>Steam</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440"/>
              <w:spacing w:after="0"/>
              <w:rPr>
                <w:sz w:val="20"/>
                <w:szCs w:val="20"/>
                <w:color w:val="auto"/>
              </w:rPr>
            </w:pPr>
            <w:r>
              <w:rPr>
                <w:rFonts w:ascii="Arial" w:cs="Arial" w:eastAsia="Arial" w:hAnsi="Arial"/>
                <w:sz w:val="16"/>
                <w:szCs w:val="16"/>
                <w:color w:val="auto"/>
                <w:w w:val="92"/>
              </w:rPr>
              <w:t>March 2022</w:t>
            </w:r>
          </w:p>
        </w:tc>
        <w:tc>
          <w:tcPr>
            <w:tcW w:w="960" w:type="dxa"/>
            <w:vAlign w:val="bottom"/>
            <w:gridSpan w:val="2"/>
          </w:tcPr>
          <w:p>
            <w:pPr>
              <w:jc w:val="center"/>
              <w:spacing w:after="0" w:line="202"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3"/>
                <w:szCs w:val="23"/>
                <w:color w:val="auto"/>
                <w:w w:val="84"/>
                <w:vertAlign w:val="superscript"/>
              </w:rPr>
              <w:t>(4)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3</w:t>
            </w:r>
          </w:p>
        </w:tc>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Solaris</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2014</w:t>
            </w:r>
          </w:p>
        </w:tc>
        <w:tc>
          <w:tcPr>
            <w:tcW w:w="1000" w:type="dxa"/>
            <w:vAlign w:val="bottom"/>
            <w:gridSpan w:val="5"/>
            <w:shd w:val="clear" w:color="auto" w:fill="CCEEFF"/>
          </w:tcPr>
          <w:p>
            <w:pPr>
              <w:jc w:val="center"/>
              <w:ind w:left="299"/>
              <w:spacing w:after="0"/>
              <w:rPr>
                <w:sz w:val="20"/>
                <w:szCs w:val="20"/>
                <w:color w:val="auto"/>
              </w:rPr>
            </w:pPr>
            <w:r>
              <w:rPr>
                <w:rFonts w:ascii="Arial" w:cs="Arial" w:eastAsia="Arial" w:hAnsi="Arial"/>
                <w:sz w:val="16"/>
                <w:szCs w:val="16"/>
                <w:color w:val="auto"/>
                <w:w w:val="93"/>
              </w:rPr>
              <w:t>155,000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center"/>
              <w:ind w:right="680"/>
              <w:spacing w:after="0"/>
              <w:rPr>
                <w:sz w:val="20"/>
                <w:szCs w:val="20"/>
                <w:color w:val="auto"/>
              </w:rPr>
            </w:pPr>
            <w:r>
              <w:rPr>
                <w:rFonts w:ascii="Arial" w:cs="Arial" w:eastAsia="Arial" w:hAnsi="Arial"/>
                <w:sz w:val="16"/>
                <w:szCs w:val="16"/>
                <w:color w:val="auto"/>
                <w:w w:val="95"/>
              </w:rPr>
              <w:t>Shell</w:t>
            </w:r>
          </w:p>
        </w:tc>
        <w:tc>
          <w:tcPr>
            <w:tcW w:w="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TFDE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w w:val="92"/>
              </w:rPr>
              <w:t>March 2022</w:t>
            </w:r>
          </w:p>
        </w:tc>
        <w:tc>
          <w:tcPr>
            <w:tcW w:w="9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3"/>
                <w:szCs w:val="23"/>
                <w:color w:val="auto"/>
                <w:w w:val="84"/>
                <w:vertAlign w:val="superscript"/>
              </w:rPr>
              <w:t>(6)</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4</w:t>
            </w:r>
          </w:p>
        </w:tc>
        <w:tc>
          <w:tcPr>
            <w:tcW w:w="322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Heather Sally</w:t>
            </w:r>
          </w:p>
        </w:tc>
        <w:tc>
          <w:tcPr>
            <w:tcW w:w="580" w:type="dxa"/>
            <w:vAlign w:val="bottom"/>
            <w:gridSpan w:val="3"/>
          </w:tcPr>
          <w:p>
            <w:pPr>
              <w:ind w:left="200"/>
              <w:spacing w:after="0"/>
              <w:rPr>
                <w:sz w:val="20"/>
                <w:szCs w:val="20"/>
                <w:color w:val="auto"/>
              </w:rPr>
            </w:pPr>
            <w:r>
              <w:rPr>
                <w:rFonts w:ascii="Arial" w:cs="Arial" w:eastAsia="Arial" w:hAnsi="Arial"/>
                <w:sz w:val="16"/>
                <w:szCs w:val="16"/>
                <w:color w:val="auto"/>
              </w:rPr>
              <w:t>2007</w:t>
            </w:r>
          </w:p>
        </w:tc>
        <w:tc>
          <w:tcPr>
            <w:tcW w:w="1000" w:type="dxa"/>
            <w:vAlign w:val="bottom"/>
            <w:gridSpan w:val="5"/>
          </w:tcPr>
          <w:p>
            <w:pPr>
              <w:jc w:val="center"/>
              <w:ind w:left="299"/>
              <w:spacing w:after="0"/>
              <w:rPr>
                <w:sz w:val="20"/>
                <w:szCs w:val="20"/>
                <w:color w:val="auto"/>
              </w:rPr>
            </w:pPr>
            <w:r>
              <w:rPr>
                <w:rFonts w:ascii="Arial" w:cs="Arial" w:eastAsia="Arial" w:hAnsi="Arial"/>
                <w:sz w:val="16"/>
                <w:szCs w:val="16"/>
                <w:color w:val="auto"/>
                <w:w w:val="93"/>
              </w:rPr>
              <w:t>145,000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5"/>
          </w:tcPr>
          <w:p>
            <w:pPr>
              <w:jc w:val="center"/>
              <w:ind w:right="680"/>
              <w:spacing w:after="0"/>
              <w:rPr>
                <w:sz w:val="20"/>
                <w:szCs w:val="20"/>
                <w:color w:val="auto"/>
              </w:rPr>
            </w:pPr>
            <w:r>
              <w:rPr>
                <w:rFonts w:ascii="Arial" w:cs="Arial" w:eastAsia="Arial" w:hAnsi="Arial"/>
                <w:sz w:val="16"/>
                <w:szCs w:val="16"/>
                <w:color w:val="auto"/>
                <w:w w:val="89"/>
              </w:rPr>
              <w:t>Cheniere</w:t>
            </w:r>
          </w:p>
        </w:tc>
        <w:tc>
          <w:tcPr>
            <w:tcW w:w="920" w:type="dxa"/>
            <w:vAlign w:val="bottom"/>
            <w:gridSpan w:val="4"/>
          </w:tcPr>
          <w:p>
            <w:pPr>
              <w:ind w:left="40"/>
              <w:spacing w:after="0"/>
              <w:rPr>
                <w:sz w:val="20"/>
                <w:szCs w:val="20"/>
                <w:color w:val="auto"/>
              </w:rPr>
            </w:pPr>
            <w:r>
              <w:rPr>
                <w:rFonts w:ascii="Arial" w:cs="Arial" w:eastAsia="Arial" w:hAnsi="Arial"/>
                <w:sz w:val="16"/>
                <w:szCs w:val="16"/>
                <w:color w:val="auto"/>
              </w:rPr>
              <w:t>Steam</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440"/>
              <w:spacing w:after="0"/>
              <w:rPr>
                <w:sz w:val="20"/>
                <w:szCs w:val="20"/>
                <w:color w:val="auto"/>
              </w:rPr>
            </w:pPr>
            <w:r>
              <w:rPr>
                <w:rFonts w:ascii="Arial" w:cs="Arial" w:eastAsia="Arial" w:hAnsi="Arial"/>
                <w:sz w:val="16"/>
                <w:szCs w:val="16"/>
                <w:color w:val="auto"/>
                <w:w w:val="88"/>
              </w:rPr>
              <w:t>June 2022</w:t>
            </w:r>
          </w:p>
        </w:tc>
        <w:tc>
          <w:tcPr>
            <w:tcW w:w="960" w:type="dxa"/>
            <w:vAlign w:val="bottom"/>
            <w:gridSpan w:val="2"/>
          </w:tcPr>
          <w:p>
            <w:pPr>
              <w:jc w:val="center"/>
              <w:spacing w:after="0" w:line="202" w:lineRule="exact"/>
              <w:rPr>
                <w:sz w:val="20"/>
                <w:szCs w:val="20"/>
                <w:color w:val="auto"/>
              </w:rPr>
            </w:pPr>
            <w:r>
              <w:rPr>
                <w:rFonts w:ascii="Arial" w:cs="Arial" w:eastAsia="Arial" w:hAnsi="Arial"/>
                <w:sz w:val="16"/>
                <w:szCs w:val="16"/>
                <w:color w:val="auto"/>
                <w:w w:val="88"/>
              </w:rPr>
              <w:t xml:space="preserve">2023-2024 </w:t>
            </w:r>
            <w:r>
              <w:rPr>
                <w:rFonts w:ascii="Arial" w:cs="Arial" w:eastAsia="Arial" w:hAnsi="Arial"/>
                <w:sz w:val="23"/>
                <w:szCs w:val="23"/>
                <w:color w:val="auto"/>
                <w:w w:val="88"/>
                <w:vertAlign w:val="superscript"/>
              </w:rPr>
              <w:t>(8)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5</w:t>
            </w:r>
          </w:p>
        </w:tc>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Sydney</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2013</w:t>
            </w:r>
          </w:p>
        </w:tc>
        <w:tc>
          <w:tcPr>
            <w:tcW w:w="1000" w:type="dxa"/>
            <w:vAlign w:val="bottom"/>
            <w:gridSpan w:val="5"/>
            <w:shd w:val="clear" w:color="auto" w:fill="CCEEFF"/>
          </w:tcPr>
          <w:p>
            <w:pPr>
              <w:jc w:val="center"/>
              <w:ind w:left="299"/>
              <w:spacing w:after="0"/>
              <w:rPr>
                <w:sz w:val="20"/>
                <w:szCs w:val="20"/>
                <w:color w:val="auto"/>
              </w:rPr>
            </w:pPr>
            <w:r>
              <w:rPr>
                <w:rFonts w:ascii="Arial" w:cs="Arial" w:eastAsia="Arial" w:hAnsi="Arial"/>
                <w:sz w:val="16"/>
                <w:szCs w:val="16"/>
                <w:color w:val="auto"/>
                <w:w w:val="93"/>
              </w:rPr>
              <w:t>155,000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6"/>
            <w:shd w:val="clear" w:color="auto" w:fill="CCEEFF"/>
          </w:tcPr>
          <w:p>
            <w:pPr>
              <w:jc w:val="center"/>
              <w:ind w:right="320"/>
              <w:spacing w:after="0"/>
              <w:rPr>
                <w:sz w:val="20"/>
                <w:szCs w:val="20"/>
                <w:color w:val="auto"/>
              </w:rPr>
            </w:pPr>
            <w:r>
              <w:rPr>
                <w:rFonts w:ascii="Arial" w:cs="Arial" w:eastAsia="Arial" w:hAnsi="Arial"/>
                <w:sz w:val="16"/>
                <w:szCs w:val="16"/>
                <w:color w:val="auto"/>
                <w:w w:val="91"/>
              </w:rPr>
              <w:t>TotalEnergies</w:t>
            </w:r>
          </w:p>
        </w:tc>
        <w:tc>
          <w:tcPr>
            <w:tcW w:w="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TFDE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w w:val="88"/>
              </w:rPr>
              <w:t>June 2022</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9"/>
              </w:rPr>
              <w:t>—</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6</w:t>
            </w:r>
          </w:p>
        </w:tc>
        <w:tc>
          <w:tcPr>
            <w:tcW w:w="32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Seattle</w:t>
            </w:r>
          </w:p>
        </w:tc>
        <w:tc>
          <w:tcPr>
            <w:tcW w:w="580" w:type="dxa"/>
            <w:vAlign w:val="bottom"/>
            <w:gridSpan w:val="3"/>
          </w:tcPr>
          <w:p>
            <w:pPr>
              <w:ind w:left="200"/>
              <w:spacing w:after="0"/>
              <w:rPr>
                <w:sz w:val="20"/>
                <w:szCs w:val="20"/>
                <w:color w:val="auto"/>
              </w:rPr>
            </w:pPr>
            <w:r>
              <w:rPr>
                <w:rFonts w:ascii="Arial" w:cs="Arial" w:eastAsia="Arial" w:hAnsi="Arial"/>
                <w:sz w:val="16"/>
                <w:szCs w:val="16"/>
                <w:color w:val="auto"/>
              </w:rPr>
              <w:t>2013</w:t>
            </w:r>
          </w:p>
        </w:tc>
        <w:tc>
          <w:tcPr>
            <w:tcW w:w="1000" w:type="dxa"/>
            <w:vAlign w:val="bottom"/>
            <w:gridSpan w:val="5"/>
          </w:tcPr>
          <w:p>
            <w:pPr>
              <w:jc w:val="center"/>
              <w:ind w:left="299"/>
              <w:spacing w:after="0"/>
              <w:rPr>
                <w:sz w:val="20"/>
                <w:szCs w:val="20"/>
                <w:color w:val="auto"/>
              </w:rPr>
            </w:pPr>
            <w:r>
              <w:rPr>
                <w:rFonts w:ascii="Arial" w:cs="Arial" w:eastAsia="Arial" w:hAnsi="Arial"/>
                <w:sz w:val="16"/>
                <w:szCs w:val="16"/>
                <w:color w:val="auto"/>
                <w:w w:val="93"/>
              </w:rPr>
              <w:t>155,000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center"/>
              <w:ind w:right="320"/>
              <w:spacing w:after="0"/>
              <w:rPr>
                <w:sz w:val="20"/>
                <w:szCs w:val="20"/>
                <w:color w:val="auto"/>
              </w:rPr>
            </w:pPr>
            <w:r>
              <w:rPr>
                <w:rFonts w:ascii="Arial" w:cs="Arial" w:eastAsia="Arial" w:hAnsi="Arial"/>
                <w:sz w:val="16"/>
                <w:szCs w:val="16"/>
                <w:color w:val="auto"/>
                <w:w w:val="91"/>
              </w:rPr>
              <w:t>TotalEnergies</w:t>
            </w:r>
          </w:p>
        </w:tc>
        <w:tc>
          <w:tcPr>
            <w:tcW w:w="920" w:type="dxa"/>
            <w:vAlign w:val="bottom"/>
            <w:gridSpan w:val="4"/>
          </w:tcPr>
          <w:p>
            <w:pPr>
              <w:ind w:left="40"/>
              <w:spacing w:after="0"/>
              <w:rPr>
                <w:sz w:val="20"/>
                <w:szCs w:val="20"/>
                <w:color w:val="auto"/>
              </w:rPr>
            </w:pPr>
            <w:r>
              <w:rPr>
                <w:rFonts w:ascii="Arial" w:cs="Arial" w:eastAsia="Arial" w:hAnsi="Arial"/>
                <w:sz w:val="16"/>
                <w:szCs w:val="16"/>
                <w:color w:val="auto"/>
              </w:rPr>
              <w:t>TFDE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440"/>
              <w:spacing w:after="0"/>
              <w:rPr>
                <w:sz w:val="20"/>
                <w:szCs w:val="20"/>
                <w:color w:val="auto"/>
              </w:rPr>
            </w:pPr>
            <w:r>
              <w:rPr>
                <w:rFonts w:ascii="Arial" w:cs="Arial" w:eastAsia="Arial" w:hAnsi="Arial"/>
                <w:sz w:val="16"/>
                <w:szCs w:val="16"/>
                <w:color w:val="auto"/>
                <w:w w:val="88"/>
              </w:rPr>
              <w:t>June 2022</w:t>
            </w:r>
          </w:p>
        </w:tc>
        <w:tc>
          <w:tcPr>
            <w:tcW w:w="40" w:type="dxa"/>
            <w:vAlign w:val="bottom"/>
          </w:tcPr>
          <w:p>
            <w:pPr>
              <w:spacing w:after="0"/>
              <w:rPr>
                <w:sz w:val="17"/>
                <w:szCs w:val="17"/>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w:t>
            </w: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7</w:t>
            </w:r>
          </w:p>
        </w:tc>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Methane Shirley Elisabeth</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2007</w:t>
            </w:r>
          </w:p>
        </w:tc>
        <w:tc>
          <w:tcPr>
            <w:tcW w:w="1000" w:type="dxa"/>
            <w:vAlign w:val="bottom"/>
            <w:gridSpan w:val="5"/>
            <w:shd w:val="clear" w:color="auto" w:fill="CCEEFF"/>
          </w:tcPr>
          <w:p>
            <w:pPr>
              <w:jc w:val="center"/>
              <w:ind w:left="299"/>
              <w:spacing w:after="0"/>
              <w:rPr>
                <w:sz w:val="20"/>
                <w:szCs w:val="20"/>
                <w:color w:val="auto"/>
              </w:rPr>
            </w:pPr>
            <w:r>
              <w:rPr>
                <w:rFonts w:ascii="Arial" w:cs="Arial" w:eastAsia="Arial" w:hAnsi="Arial"/>
                <w:sz w:val="16"/>
                <w:szCs w:val="16"/>
                <w:color w:val="auto"/>
                <w:w w:val="93"/>
              </w:rPr>
              <w:t>145,000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6"/>
            <w:shd w:val="clear" w:color="auto" w:fill="CCEEFF"/>
          </w:tcPr>
          <w:p>
            <w:pPr>
              <w:jc w:val="center"/>
              <w:ind w:right="320"/>
              <w:spacing w:after="0" w:line="202" w:lineRule="exact"/>
              <w:rPr>
                <w:sz w:val="20"/>
                <w:szCs w:val="20"/>
                <w:color w:val="auto"/>
              </w:rPr>
            </w:pPr>
            <w:r>
              <w:rPr>
                <w:rFonts w:ascii="Arial" w:cs="Arial" w:eastAsia="Arial" w:hAnsi="Arial"/>
                <w:sz w:val="16"/>
                <w:szCs w:val="16"/>
                <w:color w:val="auto"/>
                <w:w w:val="87"/>
              </w:rPr>
              <w:t xml:space="preserve">JOVO </w:t>
            </w:r>
            <w:r>
              <w:rPr>
                <w:rFonts w:ascii="Arial" w:cs="Arial" w:eastAsia="Arial" w:hAnsi="Arial"/>
                <w:sz w:val="23"/>
                <w:szCs w:val="23"/>
                <w:color w:val="auto"/>
                <w:w w:val="87"/>
                <w:vertAlign w:val="superscript"/>
              </w:rPr>
              <w:t>(13)</w:t>
            </w:r>
          </w:p>
        </w:tc>
        <w:tc>
          <w:tcPr>
            <w:tcW w:w="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Steam</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w w:val="91"/>
              </w:rPr>
              <w:t>August 2022</w:t>
            </w: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9"/>
              </w:rPr>
              <w:t>—</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8</w:t>
            </w:r>
          </w:p>
        </w:tc>
        <w:tc>
          <w:tcPr>
            <w:tcW w:w="32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Shanghai</w:t>
            </w:r>
          </w:p>
        </w:tc>
        <w:tc>
          <w:tcPr>
            <w:tcW w:w="580" w:type="dxa"/>
            <w:vAlign w:val="bottom"/>
            <w:gridSpan w:val="3"/>
          </w:tcPr>
          <w:p>
            <w:pPr>
              <w:ind w:left="200"/>
              <w:spacing w:after="0"/>
              <w:rPr>
                <w:sz w:val="20"/>
                <w:szCs w:val="20"/>
                <w:color w:val="auto"/>
              </w:rPr>
            </w:pPr>
            <w:r>
              <w:rPr>
                <w:rFonts w:ascii="Arial" w:cs="Arial" w:eastAsia="Arial" w:hAnsi="Arial"/>
                <w:sz w:val="16"/>
                <w:szCs w:val="16"/>
                <w:color w:val="auto"/>
              </w:rPr>
              <w:t>2013</w:t>
            </w:r>
          </w:p>
        </w:tc>
        <w:tc>
          <w:tcPr>
            <w:tcW w:w="1000" w:type="dxa"/>
            <w:vAlign w:val="bottom"/>
            <w:gridSpan w:val="5"/>
          </w:tcPr>
          <w:p>
            <w:pPr>
              <w:jc w:val="center"/>
              <w:ind w:left="299"/>
              <w:spacing w:after="0"/>
              <w:rPr>
                <w:sz w:val="20"/>
                <w:szCs w:val="20"/>
                <w:color w:val="auto"/>
              </w:rPr>
            </w:pPr>
            <w:r>
              <w:rPr>
                <w:rFonts w:ascii="Arial" w:cs="Arial" w:eastAsia="Arial" w:hAnsi="Arial"/>
                <w:sz w:val="16"/>
                <w:szCs w:val="16"/>
                <w:color w:val="auto"/>
                <w:w w:val="93"/>
              </w:rPr>
              <w:t>155,000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center"/>
              <w:ind w:right="300"/>
              <w:spacing w:after="0" w:line="202" w:lineRule="exact"/>
              <w:rPr>
                <w:sz w:val="20"/>
                <w:szCs w:val="20"/>
                <w:color w:val="auto"/>
              </w:rPr>
            </w:pPr>
            <w:r>
              <w:rPr>
                <w:rFonts w:ascii="Arial" w:cs="Arial" w:eastAsia="Arial" w:hAnsi="Arial"/>
                <w:sz w:val="16"/>
                <w:szCs w:val="16"/>
                <w:color w:val="auto"/>
                <w:w w:val="89"/>
              </w:rPr>
              <w:t xml:space="preserve">Gunvor </w:t>
            </w:r>
            <w:r>
              <w:rPr>
                <w:rFonts w:ascii="Arial" w:cs="Arial" w:eastAsia="Arial" w:hAnsi="Arial"/>
                <w:sz w:val="23"/>
                <w:szCs w:val="23"/>
                <w:color w:val="auto"/>
                <w:w w:val="89"/>
                <w:vertAlign w:val="superscript"/>
              </w:rPr>
              <w:t>(4)</w:t>
            </w:r>
          </w:p>
        </w:tc>
        <w:tc>
          <w:tcPr>
            <w:tcW w:w="920" w:type="dxa"/>
            <w:vAlign w:val="bottom"/>
            <w:gridSpan w:val="4"/>
          </w:tcPr>
          <w:p>
            <w:pPr>
              <w:ind w:left="40"/>
              <w:spacing w:after="0"/>
              <w:rPr>
                <w:sz w:val="20"/>
                <w:szCs w:val="20"/>
                <w:color w:val="auto"/>
              </w:rPr>
            </w:pPr>
            <w:r>
              <w:rPr>
                <w:rFonts w:ascii="Arial" w:cs="Arial" w:eastAsia="Arial" w:hAnsi="Arial"/>
                <w:sz w:val="16"/>
                <w:szCs w:val="16"/>
                <w:color w:val="auto"/>
              </w:rPr>
              <w:t>TFDE</w:t>
            </w:r>
          </w:p>
        </w:tc>
        <w:tc>
          <w:tcPr>
            <w:tcW w:w="80" w:type="dxa"/>
            <w:vAlign w:val="bottom"/>
          </w:tcPr>
          <w:p>
            <w:pPr>
              <w:spacing w:after="0"/>
              <w:rPr>
                <w:sz w:val="17"/>
                <w:szCs w:val="17"/>
                <w:color w:val="auto"/>
              </w:rPr>
            </w:pPr>
          </w:p>
        </w:tc>
        <w:tc>
          <w:tcPr>
            <w:tcW w:w="1440" w:type="dxa"/>
            <w:vAlign w:val="bottom"/>
            <w:gridSpan w:val="5"/>
          </w:tcPr>
          <w:p>
            <w:pPr>
              <w:jc w:val="center"/>
              <w:ind w:right="380"/>
              <w:spacing w:after="0"/>
              <w:rPr>
                <w:sz w:val="20"/>
                <w:szCs w:val="20"/>
                <w:color w:val="auto"/>
              </w:rPr>
            </w:pPr>
            <w:r>
              <w:rPr>
                <w:rFonts w:ascii="Arial" w:cs="Arial" w:eastAsia="Arial" w:hAnsi="Arial"/>
                <w:sz w:val="16"/>
                <w:szCs w:val="16"/>
                <w:color w:val="auto"/>
                <w:w w:val="93"/>
              </w:rPr>
              <w:t>November 2022</w:t>
            </w:r>
          </w:p>
        </w:tc>
        <w:tc>
          <w:tcPr>
            <w:tcW w:w="40" w:type="dxa"/>
            <w:vAlign w:val="bottom"/>
          </w:tcPr>
          <w:p>
            <w:pPr>
              <w:spacing w:after="0"/>
              <w:rPr>
                <w:sz w:val="17"/>
                <w:szCs w:val="17"/>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w:t>
            </w: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9</w:t>
            </w:r>
          </w:p>
        </w:tc>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Methane Jane Elizabeth</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2006</w:t>
            </w:r>
          </w:p>
        </w:tc>
        <w:tc>
          <w:tcPr>
            <w:tcW w:w="1000" w:type="dxa"/>
            <w:vAlign w:val="bottom"/>
            <w:gridSpan w:val="5"/>
            <w:shd w:val="clear" w:color="auto" w:fill="CCEEFF"/>
          </w:tcPr>
          <w:p>
            <w:pPr>
              <w:jc w:val="center"/>
              <w:ind w:left="299"/>
              <w:spacing w:after="0"/>
              <w:rPr>
                <w:sz w:val="20"/>
                <w:szCs w:val="20"/>
                <w:color w:val="auto"/>
              </w:rPr>
            </w:pPr>
            <w:r>
              <w:rPr>
                <w:rFonts w:ascii="Arial" w:cs="Arial" w:eastAsia="Arial" w:hAnsi="Arial"/>
                <w:sz w:val="16"/>
                <w:szCs w:val="16"/>
                <w:color w:val="auto"/>
                <w:w w:val="93"/>
              </w:rPr>
              <w:t>145,000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center"/>
              <w:ind w:right="680"/>
              <w:spacing w:after="0"/>
              <w:rPr>
                <w:sz w:val="20"/>
                <w:szCs w:val="20"/>
                <w:color w:val="auto"/>
              </w:rPr>
            </w:pPr>
            <w:r>
              <w:rPr>
                <w:rFonts w:ascii="Arial" w:cs="Arial" w:eastAsia="Arial" w:hAnsi="Arial"/>
                <w:sz w:val="16"/>
                <w:szCs w:val="16"/>
                <w:color w:val="auto"/>
                <w:w w:val="89"/>
              </w:rPr>
              <w:t>Cheniere</w:t>
            </w:r>
          </w:p>
        </w:tc>
        <w:tc>
          <w:tcPr>
            <w:tcW w:w="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Steam</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w w:val="92"/>
              </w:rPr>
              <w:t>March 2023</w:t>
            </w:r>
          </w:p>
        </w:tc>
        <w:tc>
          <w:tcPr>
            <w:tcW w:w="9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6"/>
                <w:szCs w:val="16"/>
                <w:color w:val="auto"/>
                <w:w w:val="88"/>
              </w:rPr>
              <w:t xml:space="preserve">2024-2025 </w:t>
            </w:r>
            <w:r>
              <w:rPr>
                <w:rFonts w:ascii="Arial" w:cs="Arial" w:eastAsia="Arial" w:hAnsi="Arial"/>
                <w:sz w:val="23"/>
                <w:szCs w:val="23"/>
                <w:color w:val="auto"/>
                <w:w w:val="88"/>
                <w:vertAlign w:val="superscript"/>
              </w:rPr>
              <w:t>(8)</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w w:val="89"/>
              </w:rPr>
              <w:t>10</w:t>
            </w:r>
          </w:p>
        </w:tc>
        <w:tc>
          <w:tcPr>
            <w:tcW w:w="32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Geneva</w:t>
            </w:r>
          </w:p>
        </w:tc>
        <w:tc>
          <w:tcPr>
            <w:tcW w:w="580" w:type="dxa"/>
            <w:vAlign w:val="bottom"/>
            <w:gridSpan w:val="3"/>
          </w:tcPr>
          <w:p>
            <w:pPr>
              <w:ind w:left="200"/>
              <w:spacing w:after="0"/>
              <w:rPr>
                <w:sz w:val="20"/>
                <w:szCs w:val="20"/>
                <w:color w:val="auto"/>
              </w:rPr>
            </w:pPr>
            <w:r>
              <w:rPr>
                <w:rFonts w:ascii="Arial" w:cs="Arial" w:eastAsia="Arial" w:hAnsi="Arial"/>
                <w:sz w:val="16"/>
                <w:szCs w:val="16"/>
                <w:color w:val="auto"/>
              </w:rPr>
              <w:t>2016</w:t>
            </w:r>
          </w:p>
        </w:tc>
        <w:tc>
          <w:tcPr>
            <w:tcW w:w="1000" w:type="dxa"/>
            <w:vAlign w:val="bottom"/>
            <w:gridSpan w:val="5"/>
          </w:tcPr>
          <w:p>
            <w:pPr>
              <w:jc w:val="center"/>
              <w:ind w:left="299"/>
              <w:spacing w:after="0"/>
              <w:rPr>
                <w:sz w:val="20"/>
                <w:szCs w:val="20"/>
                <w:color w:val="auto"/>
              </w:rPr>
            </w:pPr>
            <w:r>
              <w:rPr>
                <w:rFonts w:ascii="Arial" w:cs="Arial" w:eastAsia="Arial" w:hAnsi="Arial"/>
                <w:sz w:val="16"/>
                <w:szCs w:val="16"/>
                <w:color w:val="auto"/>
                <w:w w:val="93"/>
              </w:rPr>
              <w:t>174,000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5"/>
          </w:tcPr>
          <w:p>
            <w:pPr>
              <w:jc w:val="center"/>
              <w:ind w:right="680"/>
              <w:spacing w:after="0"/>
              <w:rPr>
                <w:sz w:val="20"/>
                <w:szCs w:val="20"/>
                <w:color w:val="auto"/>
              </w:rPr>
            </w:pPr>
            <w:r>
              <w:rPr>
                <w:rFonts w:ascii="Arial" w:cs="Arial" w:eastAsia="Arial" w:hAnsi="Arial"/>
                <w:sz w:val="16"/>
                <w:szCs w:val="16"/>
                <w:color w:val="auto"/>
                <w:w w:val="95"/>
              </w:rPr>
              <w:t>Shell</w:t>
            </w:r>
          </w:p>
        </w:tc>
        <w:tc>
          <w:tcPr>
            <w:tcW w:w="920" w:type="dxa"/>
            <w:vAlign w:val="bottom"/>
            <w:gridSpan w:val="4"/>
          </w:tcPr>
          <w:p>
            <w:pPr>
              <w:ind w:left="40"/>
              <w:spacing w:after="0"/>
              <w:rPr>
                <w:sz w:val="20"/>
                <w:szCs w:val="20"/>
                <w:color w:val="auto"/>
              </w:rPr>
            </w:pPr>
            <w:r>
              <w:rPr>
                <w:rFonts w:ascii="Arial" w:cs="Arial" w:eastAsia="Arial" w:hAnsi="Arial"/>
                <w:sz w:val="16"/>
                <w:szCs w:val="16"/>
                <w:color w:val="auto"/>
              </w:rPr>
              <w:t>TFDE</w:t>
            </w:r>
          </w:p>
        </w:tc>
        <w:tc>
          <w:tcPr>
            <w:tcW w:w="1520" w:type="dxa"/>
            <w:vAlign w:val="bottom"/>
            <w:gridSpan w:val="6"/>
          </w:tcPr>
          <w:p>
            <w:pPr>
              <w:jc w:val="center"/>
              <w:ind w:right="300"/>
              <w:spacing w:after="0"/>
              <w:rPr>
                <w:sz w:val="20"/>
                <w:szCs w:val="20"/>
                <w:color w:val="auto"/>
              </w:rPr>
            </w:pPr>
            <w:r>
              <w:rPr>
                <w:rFonts w:ascii="Arial" w:cs="Arial" w:eastAsia="Arial" w:hAnsi="Arial"/>
                <w:sz w:val="16"/>
                <w:szCs w:val="16"/>
                <w:color w:val="auto"/>
                <w:w w:val="89"/>
              </w:rPr>
              <w:t>September 2023</w:t>
            </w:r>
          </w:p>
        </w:tc>
        <w:tc>
          <w:tcPr>
            <w:tcW w:w="960" w:type="dxa"/>
            <w:vAlign w:val="bottom"/>
            <w:gridSpan w:val="2"/>
          </w:tcPr>
          <w:p>
            <w:pPr>
              <w:jc w:val="center"/>
              <w:spacing w:after="0" w:line="202"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3"/>
                <w:szCs w:val="23"/>
                <w:color w:val="auto"/>
                <w:w w:val="88"/>
                <w:vertAlign w:val="superscript"/>
              </w:rPr>
              <w:t>(6)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11</w:t>
            </w:r>
          </w:p>
        </w:tc>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Methane Alison Victoria</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2007</w:t>
            </w:r>
          </w:p>
        </w:tc>
        <w:tc>
          <w:tcPr>
            <w:tcW w:w="1000" w:type="dxa"/>
            <w:vAlign w:val="bottom"/>
            <w:gridSpan w:val="5"/>
            <w:shd w:val="clear" w:color="auto" w:fill="CCEEFF"/>
          </w:tcPr>
          <w:p>
            <w:pPr>
              <w:jc w:val="center"/>
              <w:ind w:left="299"/>
              <w:spacing w:after="0"/>
              <w:rPr>
                <w:sz w:val="20"/>
                <w:szCs w:val="20"/>
                <w:color w:val="auto"/>
              </w:rPr>
            </w:pPr>
            <w:r>
              <w:rPr>
                <w:rFonts w:ascii="Arial" w:cs="Arial" w:eastAsia="Arial" w:hAnsi="Arial"/>
                <w:sz w:val="16"/>
                <w:szCs w:val="16"/>
                <w:color w:val="auto"/>
                <w:w w:val="93"/>
              </w:rPr>
              <w:t>145,000</w:t>
            </w:r>
          </w:p>
        </w:tc>
        <w:tc>
          <w:tcPr>
            <w:tcW w:w="40" w:type="dxa"/>
            <w:vAlign w:val="bottom"/>
            <w:shd w:val="clear" w:color="auto" w:fill="CCEEFF"/>
          </w:tcPr>
          <w:p>
            <w:pPr>
              <w:spacing w:after="0"/>
              <w:rPr>
                <w:sz w:val="17"/>
                <w:szCs w:val="17"/>
                <w:color w:val="auto"/>
              </w:rPr>
            </w:pPr>
          </w:p>
        </w:tc>
        <w:tc>
          <w:tcPr>
            <w:tcW w:w="1780" w:type="dxa"/>
            <w:vAlign w:val="bottom"/>
            <w:gridSpan w:val="7"/>
            <w:shd w:val="clear" w:color="auto" w:fill="CCEEFF"/>
          </w:tcPr>
          <w:p>
            <w:pPr>
              <w:jc w:val="center"/>
              <w:ind w:right="160"/>
              <w:spacing w:after="0" w:line="202" w:lineRule="exact"/>
              <w:rPr>
                <w:sz w:val="20"/>
                <w:szCs w:val="20"/>
                <w:color w:val="auto"/>
              </w:rPr>
            </w:pPr>
            <w:r>
              <w:rPr>
                <w:rFonts w:ascii="Arial" w:cs="Arial" w:eastAsia="Arial" w:hAnsi="Arial"/>
                <w:sz w:val="16"/>
                <w:szCs w:val="16"/>
                <w:color w:val="auto"/>
                <w:w w:val="92"/>
              </w:rPr>
              <w:t xml:space="preserve">CNTIC VPower </w:t>
            </w:r>
            <w:r>
              <w:rPr>
                <w:rFonts w:ascii="Arial" w:cs="Arial" w:eastAsia="Arial" w:hAnsi="Arial"/>
                <w:sz w:val="23"/>
                <w:szCs w:val="23"/>
                <w:color w:val="auto"/>
                <w:w w:val="92"/>
                <w:vertAlign w:val="superscript"/>
              </w:rPr>
              <w:t>(14)</w:t>
            </w:r>
          </w:p>
        </w:tc>
        <w:tc>
          <w:tcPr>
            <w:tcW w:w="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Steam</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w w:val="92"/>
              </w:rPr>
              <w:t>October 2023</w:t>
            </w:r>
          </w:p>
        </w:tc>
        <w:tc>
          <w:tcPr>
            <w:tcW w:w="9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3"/>
                <w:szCs w:val="23"/>
                <w:color w:val="auto"/>
                <w:w w:val="86"/>
                <w:vertAlign w:val="superscript"/>
              </w:rPr>
              <w:t>(14)</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w w:val="89"/>
              </w:rPr>
              <w:t>12</w:t>
            </w:r>
          </w:p>
        </w:tc>
        <w:tc>
          <w:tcPr>
            <w:tcW w:w="32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Gibraltar</w:t>
            </w:r>
          </w:p>
        </w:tc>
        <w:tc>
          <w:tcPr>
            <w:tcW w:w="580" w:type="dxa"/>
            <w:vAlign w:val="bottom"/>
            <w:gridSpan w:val="3"/>
          </w:tcPr>
          <w:p>
            <w:pPr>
              <w:ind w:left="200"/>
              <w:spacing w:after="0"/>
              <w:rPr>
                <w:sz w:val="20"/>
                <w:szCs w:val="20"/>
                <w:color w:val="auto"/>
              </w:rPr>
            </w:pPr>
            <w:r>
              <w:rPr>
                <w:rFonts w:ascii="Arial" w:cs="Arial" w:eastAsia="Arial" w:hAnsi="Arial"/>
                <w:sz w:val="16"/>
                <w:szCs w:val="16"/>
                <w:color w:val="auto"/>
              </w:rPr>
              <w:t>2016</w:t>
            </w:r>
          </w:p>
        </w:tc>
        <w:tc>
          <w:tcPr>
            <w:tcW w:w="1000" w:type="dxa"/>
            <w:vAlign w:val="bottom"/>
            <w:gridSpan w:val="5"/>
          </w:tcPr>
          <w:p>
            <w:pPr>
              <w:jc w:val="center"/>
              <w:ind w:left="299"/>
              <w:spacing w:after="0"/>
              <w:rPr>
                <w:sz w:val="20"/>
                <w:szCs w:val="20"/>
                <w:color w:val="auto"/>
              </w:rPr>
            </w:pPr>
            <w:r>
              <w:rPr>
                <w:rFonts w:ascii="Arial" w:cs="Arial" w:eastAsia="Arial" w:hAnsi="Arial"/>
                <w:sz w:val="16"/>
                <w:szCs w:val="16"/>
                <w:color w:val="auto"/>
                <w:w w:val="93"/>
              </w:rPr>
              <w:t>174,000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5"/>
          </w:tcPr>
          <w:p>
            <w:pPr>
              <w:jc w:val="center"/>
              <w:ind w:right="680"/>
              <w:spacing w:after="0"/>
              <w:rPr>
                <w:sz w:val="20"/>
                <w:szCs w:val="20"/>
                <w:color w:val="auto"/>
              </w:rPr>
            </w:pPr>
            <w:r>
              <w:rPr>
                <w:rFonts w:ascii="Arial" w:cs="Arial" w:eastAsia="Arial" w:hAnsi="Arial"/>
                <w:sz w:val="16"/>
                <w:szCs w:val="16"/>
                <w:color w:val="auto"/>
                <w:w w:val="95"/>
              </w:rPr>
              <w:t>Shell</w:t>
            </w:r>
          </w:p>
        </w:tc>
        <w:tc>
          <w:tcPr>
            <w:tcW w:w="920" w:type="dxa"/>
            <w:vAlign w:val="bottom"/>
            <w:gridSpan w:val="4"/>
          </w:tcPr>
          <w:p>
            <w:pPr>
              <w:ind w:left="40"/>
              <w:spacing w:after="0"/>
              <w:rPr>
                <w:sz w:val="20"/>
                <w:szCs w:val="20"/>
                <w:color w:val="auto"/>
              </w:rPr>
            </w:pPr>
            <w:r>
              <w:rPr>
                <w:rFonts w:ascii="Arial" w:cs="Arial" w:eastAsia="Arial" w:hAnsi="Arial"/>
                <w:sz w:val="16"/>
                <w:szCs w:val="16"/>
                <w:color w:val="auto"/>
              </w:rPr>
              <w:t>TFDE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440"/>
              <w:spacing w:after="0"/>
              <w:rPr>
                <w:sz w:val="20"/>
                <w:szCs w:val="20"/>
                <w:color w:val="auto"/>
              </w:rPr>
            </w:pPr>
            <w:r>
              <w:rPr>
                <w:rFonts w:ascii="Arial" w:cs="Arial" w:eastAsia="Arial" w:hAnsi="Arial"/>
                <w:sz w:val="16"/>
                <w:szCs w:val="16"/>
                <w:color w:val="auto"/>
                <w:w w:val="92"/>
              </w:rPr>
              <w:t>October 2023</w:t>
            </w:r>
          </w:p>
        </w:tc>
        <w:tc>
          <w:tcPr>
            <w:tcW w:w="960" w:type="dxa"/>
            <w:vAlign w:val="bottom"/>
            <w:gridSpan w:val="2"/>
          </w:tcPr>
          <w:p>
            <w:pPr>
              <w:jc w:val="center"/>
              <w:spacing w:after="0" w:line="202"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3"/>
                <w:szCs w:val="23"/>
                <w:color w:val="auto"/>
                <w:w w:val="88"/>
                <w:vertAlign w:val="superscript"/>
              </w:rPr>
              <w:t>(6)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13</w:t>
            </w:r>
          </w:p>
        </w:tc>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Methane Becki Anne</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2010</w:t>
            </w:r>
          </w:p>
        </w:tc>
        <w:tc>
          <w:tcPr>
            <w:tcW w:w="1000" w:type="dxa"/>
            <w:vAlign w:val="bottom"/>
            <w:gridSpan w:val="5"/>
            <w:shd w:val="clear" w:color="auto" w:fill="CCEEFF"/>
          </w:tcPr>
          <w:p>
            <w:pPr>
              <w:jc w:val="center"/>
              <w:ind w:left="299"/>
              <w:spacing w:after="0"/>
              <w:rPr>
                <w:sz w:val="20"/>
                <w:szCs w:val="20"/>
                <w:color w:val="auto"/>
              </w:rPr>
            </w:pPr>
            <w:r>
              <w:rPr>
                <w:rFonts w:ascii="Arial" w:cs="Arial" w:eastAsia="Arial" w:hAnsi="Arial"/>
                <w:sz w:val="16"/>
                <w:szCs w:val="16"/>
                <w:color w:val="auto"/>
                <w:w w:val="93"/>
              </w:rPr>
              <w:t>170,000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center"/>
              <w:ind w:right="680"/>
              <w:spacing w:after="0"/>
              <w:rPr>
                <w:sz w:val="20"/>
                <w:szCs w:val="20"/>
                <w:color w:val="auto"/>
              </w:rPr>
            </w:pPr>
            <w:r>
              <w:rPr>
                <w:rFonts w:ascii="Arial" w:cs="Arial" w:eastAsia="Arial" w:hAnsi="Arial"/>
                <w:sz w:val="16"/>
                <w:szCs w:val="16"/>
                <w:color w:val="auto"/>
                <w:w w:val="95"/>
              </w:rPr>
              <w:t>Shell</w:t>
            </w:r>
          </w:p>
        </w:tc>
        <w:tc>
          <w:tcPr>
            <w:tcW w:w="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TFDE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w w:val="92"/>
              </w:rPr>
              <w:t>March 2024</w:t>
            </w:r>
          </w:p>
        </w:tc>
        <w:tc>
          <w:tcPr>
            <w:tcW w:w="9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6"/>
                <w:szCs w:val="16"/>
                <w:color w:val="auto"/>
                <w:w w:val="88"/>
              </w:rPr>
              <w:t xml:space="preserve">2027-2029 </w:t>
            </w:r>
            <w:r>
              <w:rPr>
                <w:rFonts w:ascii="Arial" w:cs="Arial" w:eastAsia="Arial" w:hAnsi="Arial"/>
                <w:sz w:val="23"/>
                <w:szCs w:val="23"/>
                <w:color w:val="auto"/>
                <w:w w:val="88"/>
                <w:vertAlign w:val="superscript"/>
              </w:rPr>
              <w:t>(6)</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w w:val="89"/>
              </w:rPr>
              <w:t>14</w:t>
            </w:r>
          </w:p>
        </w:tc>
        <w:tc>
          <w:tcPr>
            <w:tcW w:w="32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Greece</w:t>
            </w:r>
          </w:p>
        </w:tc>
        <w:tc>
          <w:tcPr>
            <w:tcW w:w="580" w:type="dxa"/>
            <w:vAlign w:val="bottom"/>
            <w:gridSpan w:val="3"/>
          </w:tcPr>
          <w:p>
            <w:pPr>
              <w:ind w:left="200"/>
              <w:spacing w:after="0"/>
              <w:rPr>
                <w:sz w:val="20"/>
                <w:szCs w:val="20"/>
                <w:color w:val="auto"/>
              </w:rPr>
            </w:pPr>
            <w:r>
              <w:rPr>
                <w:rFonts w:ascii="Arial" w:cs="Arial" w:eastAsia="Arial" w:hAnsi="Arial"/>
                <w:sz w:val="16"/>
                <w:szCs w:val="16"/>
                <w:color w:val="auto"/>
              </w:rPr>
              <w:t>2016</w:t>
            </w:r>
          </w:p>
        </w:tc>
        <w:tc>
          <w:tcPr>
            <w:tcW w:w="1000" w:type="dxa"/>
            <w:vAlign w:val="bottom"/>
            <w:gridSpan w:val="5"/>
          </w:tcPr>
          <w:p>
            <w:pPr>
              <w:jc w:val="center"/>
              <w:ind w:left="299"/>
              <w:spacing w:after="0"/>
              <w:rPr>
                <w:sz w:val="20"/>
                <w:szCs w:val="20"/>
                <w:color w:val="auto"/>
              </w:rPr>
            </w:pPr>
            <w:r>
              <w:rPr>
                <w:rFonts w:ascii="Arial" w:cs="Arial" w:eastAsia="Arial" w:hAnsi="Arial"/>
                <w:sz w:val="16"/>
                <w:szCs w:val="16"/>
                <w:color w:val="auto"/>
                <w:w w:val="93"/>
              </w:rPr>
              <w:t>174,000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5"/>
          </w:tcPr>
          <w:p>
            <w:pPr>
              <w:jc w:val="center"/>
              <w:ind w:right="680"/>
              <w:spacing w:after="0"/>
              <w:rPr>
                <w:sz w:val="20"/>
                <w:szCs w:val="20"/>
                <w:color w:val="auto"/>
              </w:rPr>
            </w:pPr>
            <w:r>
              <w:rPr>
                <w:rFonts w:ascii="Arial" w:cs="Arial" w:eastAsia="Arial" w:hAnsi="Arial"/>
                <w:sz w:val="16"/>
                <w:szCs w:val="16"/>
                <w:color w:val="auto"/>
                <w:w w:val="95"/>
              </w:rPr>
              <w:t>Shell</w:t>
            </w:r>
          </w:p>
        </w:tc>
        <w:tc>
          <w:tcPr>
            <w:tcW w:w="920" w:type="dxa"/>
            <w:vAlign w:val="bottom"/>
            <w:gridSpan w:val="4"/>
          </w:tcPr>
          <w:p>
            <w:pPr>
              <w:ind w:left="40"/>
              <w:spacing w:after="0"/>
              <w:rPr>
                <w:sz w:val="20"/>
                <w:szCs w:val="20"/>
                <w:color w:val="auto"/>
              </w:rPr>
            </w:pPr>
            <w:r>
              <w:rPr>
                <w:rFonts w:ascii="Arial" w:cs="Arial" w:eastAsia="Arial" w:hAnsi="Arial"/>
                <w:sz w:val="16"/>
                <w:szCs w:val="16"/>
                <w:color w:val="auto"/>
              </w:rPr>
              <w:t>TFDE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440"/>
              <w:spacing w:after="0"/>
              <w:rPr>
                <w:sz w:val="20"/>
                <w:szCs w:val="20"/>
                <w:color w:val="auto"/>
              </w:rPr>
            </w:pPr>
            <w:r>
              <w:rPr>
                <w:rFonts w:ascii="Arial" w:cs="Arial" w:eastAsia="Arial" w:hAnsi="Arial"/>
                <w:sz w:val="16"/>
                <w:szCs w:val="16"/>
                <w:color w:val="auto"/>
                <w:w w:val="92"/>
              </w:rPr>
              <w:t>March 2026</w:t>
            </w:r>
          </w:p>
        </w:tc>
        <w:tc>
          <w:tcPr>
            <w:tcW w:w="960" w:type="dxa"/>
            <w:vAlign w:val="bottom"/>
            <w:gridSpan w:val="2"/>
          </w:tcPr>
          <w:p>
            <w:pPr>
              <w:jc w:val="center"/>
              <w:spacing w:after="0" w:line="202"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3"/>
                <w:szCs w:val="23"/>
                <w:color w:val="auto"/>
                <w:w w:val="84"/>
                <w:vertAlign w:val="superscript"/>
              </w:rPr>
              <w:t>(6)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15</w:t>
            </w:r>
          </w:p>
        </w:tc>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GasLog Glasgow</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2016</w:t>
            </w:r>
          </w:p>
        </w:tc>
        <w:tc>
          <w:tcPr>
            <w:tcW w:w="1000" w:type="dxa"/>
            <w:vAlign w:val="bottom"/>
            <w:gridSpan w:val="5"/>
            <w:shd w:val="clear" w:color="auto" w:fill="CCEEFF"/>
          </w:tcPr>
          <w:p>
            <w:pPr>
              <w:jc w:val="center"/>
              <w:ind w:left="299"/>
              <w:spacing w:after="0"/>
              <w:rPr>
                <w:sz w:val="20"/>
                <w:szCs w:val="20"/>
                <w:color w:val="auto"/>
              </w:rPr>
            </w:pPr>
            <w:r>
              <w:rPr>
                <w:rFonts w:ascii="Arial" w:cs="Arial" w:eastAsia="Arial" w:hAnsi="Arial"/>
                <w:sz w:val="16"/>
                <w:szCs w:val="16"/>
                <w:color w:val="auto"/>
                <w:w w:val="93"/>
              </w:rPr>
              <w:t>174,000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center"/>
              <w:ind w:right="680"/>
              <w:spacing w:after="0"/>
              <w:rPr>
                <w:sz w:val="20"/>
                <w:szCs w:val="20"/>
                <w:color w:val="auto"/>
              </w:rPr>
            </w:pPr>
            <w:r>
              <w:rPr>
                <w:rFonts w:ascii="Arial" w:cs="Arial" w:eastAsia="Arial" w:hAnsi="Arial"/>
                <w:sz w:val="16"/>
                <w:szCs w:val="16"/>
                <w:color w:val="auto"/>
                <w:w w:val="95"/>
              </w:rPr>
              <w:t>Shell</w:t>
            </w:r>
          </w:p>
        </w:tc>
        <w:tc>
          <w:tcPr>
            <w:tcW w:w="9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TFDE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w w:val="88"/>
              </w:rPr>
              <w:t>June 2026</w:t>
            </w:r>
          </w:p>
        </w:tc>
        <w:tc>
          <w:tcPr>
            <w:tcW w:w="9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3"/>
                <w:szCs w:val="23"/>
                <w:color w:val="auto"/>
                <w:w w:val="84"/>
                <w:vertAlign w:val="superscript"/>
              </w:rPr>
              <w:t>(6)</w:t>
            </w:r>
          </w:p>
        </w:tc>
        <w:tc>
          <w:tcPr>
            <w:tcW w:w="20" w:type="dxa"/>
            <w:vAlign w:val="bottom"/>
            <w:shd w:val="clear" w:color="auto" w:fill="CCEEFF"/>
          </w:tcPr>
          <w:p>
            <w:pPr>
              <w:spacing w:after="0"/>
              <w:rPr>
                <w:sz w:val="17"/>
                <w:szCs w:val="17"/>
                <w:color w:val="auto"/>
              </w:rPr>
            </w:pPr>
          </w:p>
        </w:tc>
      </w:tr>
      <w:tr>
        <w:trPr>
          <w:trHeight w:val="399"/>
        </w:trPr>
        <w:tc>
          <w:tcPr>
            <w:tcW w:w="342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Bareboat Vessels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b w:val="1"/>
                <w:bCs w:val="1"/>
                <w:color w:val="auto"/>
              </w:rPr>
              <w:t>Year</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Charter</w:t>
            </w:r>
          </w:p>
        </w:tc>
        <w:tc>
          <w:tcPr>
            <w:tcW w:w="40" w:type="dxa"/>
            <w:vAlign w:val="bottom"/>
          </w:tcPr>
          <w:p>
            <w:pPr>
              <w:spacing w:after="0"/>
              <w:rPr>
                <w:sz w:val="24"/>
                <w:szCs w:val="24"/>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Optional</w:t>
            </w:r>
          </w:p>
        </w:tc>
      </w:tr>
      <w:tr>
        <w:trPr>
          <w:trHeight w:val="217"/>
        </w:trPr>
        <w:tc>
          <w:tcPr>
            <w:tcW w:w="3420" w:type="dxa"/>
            <w:vAlign w:val="bottom"/>
            <w:gridSpan w:val="4"/>
          </w:tcPr>
          <w:p>
            <w:pPr>
              <w:ind w:left="20"/>
              <w:spacing w:after="0"/>
              <w:rPr>
                <w:sz w:val="20"/>
                <w:szCs w:val="20"/>
                <w:color w:val="auto"/>
              </w:rPr>
            </w:pPr>
            <w:r>
              <w:rPr>
                <w:rFonts w:ascii="Arial" w:cs="Arial" w:eastAsia="Arial" w:hAnsi="Arial"/>
                <w:sz w:val="16"/>
                <w:szCs w:val="16"/>
                <w:b w:val="1"/>
                <w:bCs w:val="1"/>
                <w:color w:val="auto"/>
              </w:rPr>
              <w:t>Vessel Name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b w:val="1"/>
                <w:bCs w:val="1"/>
                <w:color w:val="auto"/>
              </w:rPr>
              <w:t>Built</w:t>
            </w:r>
          </w:p>
        </w:tc>
        <w:tc>
          <w:tcPr>
            <w:tcW w:w="4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Cbm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200" w:type="dxa"/>
            <w:vAlign w:val="bottom"/>
          </w:tcPr>
          <w:p>
            <w:pPr>
              <w:spacing w:after="0"/>
              <w:rPr>
                <w:sz w:val="18"/>
                <w:szCs w:val="18"/>
                <w:color w:val="auto"/>
              </w:rPr>
            </w:pPr>
          </w:p>
        </w:tc>
        <w:tc>
          <w:tcPr>
            <w:tcW w:w="8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20"/>
              <w:spacing w:after="0" w:line="217" w:lineRule="exact"/>
              <w:rPr>
                <w:sz w:val="20"/>
                <w:szCs w:val="20"/>
                <w:color w:val="auto"/>
              </w:rPr>
            </w:pPr>
            <w:r>
              <w:rPr>
                <w:rFonts w:ascii="Arial" w:cs="Arial" w:eastAsia="Arial" w:hAnsi="Arial"/>
                <w:sz w:val="16"/>
                <w:szCs w:val="16"/>
                <w:b w:val="1"/>
                <w:bCs w:val="1"/>
                <w:color w:val="auto"/>
                <w:w w:val="89"/>
              </w:rPr>
              <w:t>Expiration</w:t>
            </w:r>
            <w:r>
              <w:rPr>
                <w:rFonts w:ascii="Arial" w:cs="Arial" w:eastAsia="Arial" w:hAnsi="Arial"/>
                <w:sz w:val="24"/>
                <w:szCs w:val="24"/>
                <w:b w:val="1"/>
                <w:bCs w:val="1"/>
                <w:color w:val="auto"/>
                <w:w w:val="89"/>
                <w:vertAlign w:val="superscript"/>
              </w:rPr>
              <w:t>(1)</w:t>
            </w:r>
          </w:p>
        </w:tc>
        <w:tc>
          <w:tcPr>
            <w:tcW w:w="40" w:type="dxa"/>
            <w:vAlign w:val="bottom"/>
          </w:tcPr>
          <w:p>
            <w:pPr>
              <w:spacing w:after="0"/>
              <w:rPr>
                <w:sz w:val="18"/>
                <w:szCs w:val="18"/>
                <w:color w:val="auto"/>
              </w:rPr>
            </w:pPr>
          </w:p>
        </w:tc>
        <w:tc>
          <w:tcPr>
            <w:tcW w:w="940" w:type="dxa"/>
            <w:vAlign w:val="bottom"/>
            <w:gridSpan w:val="2"/>
          </w:tcPr>
          <w:p>
            <w:pPr>
              <w:ind w:left="1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4"/>
                <w:szCs w:val="24"/>
                <w:b w:val="1"/>
                <w:bCs w:val="1"/>
                <w:color w:val="auto"/>
                <w:vertAlign w:val="superscript"/>
              </w:rPr>
              <w:t>(2)</w:t>
            </w:r>
          </w:p>
        </w:tc>
      </w:tr>
      <w:tr>
        <w:trPr>
          <w:trHeight w:val="196"/>
        </w:trPr>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1</w:t>
            </w:r>
          </w:p>
        </w:tc>
        <w:tc>
          <w:tcPr>
            <w:tcW w:w="3220" w:type="dxa"/>
            <w:vAlign w:val="bottom"/>
            <w:tcBorders>
              <w:top w:val="single" w:sz="8" w:color="auto"/>
            </w:tcBorders>
            <w:gridSpan w:val="2"/>
            <w:shd w:val="clear" w:color="auto" w:fill="CCEEFF"/>
          </w:tcPr>
          <w:p>
            <w:pPr>
              <w:ind w:left="100"/>
              <w:spacing w:after="0" w:line="195" w:lineRule="exact"/>
              <w:rPr>
                <w:sz w:val="20"/>
                <w:szCs w:val="20"/>
                <w:color w:val="auto"/>
              </w:rPr>
            </w:pPr>
            <w:r>
              <w:rPr>
                <w:rFonts w:ascii="Arial" w:cs="Arial" w:eastAsia="Arial" w:hAnsi="Arial"/>
                <w:sz w:val="15"/>
                <w:szCs w:val="15"/>
                <w:i w:val="1"/>
                <w:iCs w:val="1"/>
                <w:color w:val="auto"/>
              </w:rPr>
              <w:t xml:space="preserve">GasLog Hong Kong </w:t>
            </w:r>
            <w:r>
              <w:rPr>
                <w:rFonts w:ascii="Arial" w:cs="Arial" w:eastAsia="Arial" w:hAnsi="Arial"/>
                <w:sz w:val="22"/>
                <w:szCs w:val="22"/>
                <w:i w:val="1"/>
                <w:iCs w:val="1"/>
                <w:color w:val="auto"/>
                <w:vertAlign w:val="superscript"/>
              </w:rPr>
              <w:t>(15)</w:t>
            </w: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6"/>
                <w:szCs w:val="16"/>
                <w:color w:val="auto"/>
              </w:rPr>
              <w:t>2018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TotalEnergies</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rPr>
              <w:t>X-DF</w:t>
            </w: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1"/>
              </w:rPr>
              <w:t>December 2025</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5"/>
                <w:szCs w:val="15"/>
                <w:color w:val="auto"/>
                <w:w w:val="91"/>
              </w:rPr>
              <w:t xml:space="preserve">2028 </w:t>
            </w:r>
            <w:r>
              <w:rPr>
                <w:rFonts w:ascii="Arial" w:cs="Arial" w:eastAsia="Arial" w:hAnsi="Arial"/>
                <w:sz w:val="22"/>
                <w:szCs w:val="22"/>
                <w:color w:val="auto"/>
                <w:w w:val="91"/>
                <w:vertAlign w:val="superscript"/>
              </w:rPr>
              <w:t>(16)</w:t>
            </w:r>
          </w:p>
        </w:tc>
        <w:tc>
          <w:tcPr>
            <w:tcW w:w="20" w:type="dxa"/>
            <w:vAlign w:val="bottom"/>
          </w:tcPr>
          <w:p>
            <w:pPr>
              <w:spacing w:after="0"/>
              <w:rPr>
                <w:sz w:val="17"/>
                <w:szCs w:val="17"/>
                <w:color w:val="auto"/>
              </w:rPr>
            </w:pPr>
          </w:p>
        </w:tc>
      </w:tr>
      <w:tr>
        <w:trPr>
          <w:trHeight w:val="203"/>
        </w:trPr>
        <w:tc>
          <w:tcPr>
            <w:tcW w:w="200" w:type="dxa"/>
            <w:vAlign w:val="bottom"/>
            <w:gridSpan w:val="2"/>
          </w:tcPr>
          <w:p>
            <w:pPr>
              <w:ind w:left="20"/>
              <w:spacing w:after="0"/>
              <w:rPr>
                <w:sz w:val="20"/>
                <w:szCs w:val="20"/>
                <w:color w:val="auto"/>
              </w:rPr>
            </w:pPr>
            <w:r>
              <w:rPr>
                <w:rFonts w:ascii="Arial" w:cs="Arial" w:eastAsia="Arial" w:hAnsi="Arial"/>
                <w:sz w:val="16"/>
                <w:szCs w:val="16"/>
                <w:b w:val="1"/>
                <w:bCs w:val="1"/>
                <w:color w:val="auto"/>
              </w:rPr>
              <w:t>2</w:t>
            </w:r>
          </w:p>
        </w:tc>
        <w:tc>
          <w:tcPr>
            <w:tcW w:w="3220" w:type="dxa"/>
            <w:vAlign w:val="bottom"/>
            <w:gridSpan w:val="2"/>
          </w:tcPr>
          <w:p>
            <w:pPr>
              <w:ind w:left="100"/>
              <w:spacing w:after="0" w:line="202"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3"/>
                <w:szCs w:val="23"/>
                <w:i w:val="1"/>
                <w:iCs w:val="1"/>
                <w:color w:val="auto"/>
                <w:vertAlign w:val="superscript"/>
              </w:rPr>
              <w:t>(15)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6"/>
                <w:szCs w:val="16"/>
                <w:color w:val="auto"/>
              </w:rPr>
              <w:t>2010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center"/>
              <w:spacing w:after="0"/>
              <w:rPr>
                <w:sz w:val="20"/>
                <w:szCs w:val="20"/>
                <w:color w:val="auto"/>
              </w:rPr>
            </w:pPr>
            <w:r>
              <w:rPr>
                <w:rFonts w:ascii="Arial" w:cs="Arial" w:eastAsia="Arial" w:hAnsi="Arial"/>
                <w:sz w:val="16"/>
                <w:szCs w:val="16"/>
                <w:color w:val="auto"/>
                <w:w w:val="89"/>
              </w:rPr>
              <w:t>170,000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Arial" w:cs="Arial" w:eastAsia="Arial" w:hAnsi="Arial"/>
                <w:sz w:val="16"/>
                <w:szCs w:val="16"/>
                <w:color w:val="auto"/>
                <w:w w:val="89"/>
              </w:rPr>
              <w:t>Shell</w:t>
            </w:r>
          </w:p>
        </w:tc>
        <w:tc>
          <w:tcPr>
            <w:tcW w:w="200" w:type="dxa"/>
            <w:vAlign w:val="bottom"/>
          </w:tcPr>
          <w:p>
            <w:pPr>
              <w:spacing w:after="0"/>
              <w:rPr>
                <w:sz w:val="17"/>
                <w:szCs w:val="17"/>
                <w:color w:val="auto"/>
              </w:rPr>
            </w:pP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rPr>
              <w:t>TFDE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March 2026</w:t>
            </w:r>
          </w:p>
        </w:tc>
        <w:tc>
          <w:tcPr>
            <w:tcW w:w="960" w:type="dxa"/>
            <w:vAlign w:val="bottom"/>
            <w:gridSpan w:val="2"/>
          </w:tcPr>
          <w:p>
            <w:pPr>
              <w:jc w:val="center"/>
              <w:spacing w:after="0" w:line="202" w:lineRule="exact"/>
              <w:rPr>
                <w:sz w:val="20"/>
                <w:szCs w:val="20"/>
                <w:color w:val="auto"/>
              </w:rPr>
            </w:pPr>
            <w:r>
              <w:rPr>
                <w:rFonts w:ascii="Arial" w:cs="Arial" w:eastAsia="Arial" w:hAnsi="Arial"/>
                <w:sz w:val="16"/>
                <w:szCs w:val="16"/>
                <w:color w:val="auto"/>
                <w:w w:val="90"/>
              </w:rPr>
              <w:t xml:space="preserve">2029-2031 </w:t>
            </w:r>
            <w:r>
              <w:rPr>
                <w:rFonts w:ascii="Arial" w:cs="Arial" w:eastAsia="Arial" w:hAnsi="Arial"/>
                <w:sz w:val="23"/>
                <w:szCs w:val="23"/>
                <w:color w:val="auto"/>
                <w:w w:val="90"/>
                <w:vertAlign w:val="superscript"/>
              </w:rPr>
              <w:t>(6)</w:t>
            </w:r>
          </w:p>
        </w:tc>
        <w:tc>
          <w:tcPr>
            <w:tcW w:w="20" w:type="dxa"/>
            <w:vAlign w:val="bottom"/>
          </w:tcPr>
          <w:p>
            <w:pPr>
              <w:spacing w:after="0"/>
              <w:rPr>
                <w:sz w:val="17"/>
                <w:szCs w:val="17"/>
                <w:color w:val="auto"/>
              </w:rPr>
            </w:pPr>
          </w:p>
        </w:tc>
      </w:tr>
      <w:tr>
        <w:trPr>
          <w:trHeight w:val="203"/>
        </w:trPr>
        <w:tc>
          <w:tcPr>
            <w:tcW w:w="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3</w:t>
            </w:r>
          </w:p>
        </w:tc>
        <w:tc>
          <w:tcPr>
            <w:tcW w:w="3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i w:val="1"/>
                <w:iCs w:val="1"/>
                <w:color w:val="auto"/>
              </w:rPr>
              <w:t xml:space="preserve">GasLog Houston </w:t>
            </w:r>
            <w:r>
              <w:rPr>
                <w:rFonts w:ascii="Arial" w:cs="Arial" w:eastAsia="Arial" w:hAnsi="Arial"/>
                <w:sz w:val="23"/>
                <w:szCs w:val="23"/>
                <w:i w:val="1"/>
                <w:iCs w:val="1"/>
                <w:color w:val="auto"/>
                <w:vertAlign w:val="superscript"/>
              </w:rPr>
              <w:t>(15)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2018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Shell</w:t>
            </w:r>
          </w:p>
        </w:tc>
        <w:tc>
          <w:tcPr>
            <w:tcW w:w="2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center"/>
              <w:ind w:left="59"/>
              <w:spacing w:after="0"/>
              <w:rPr>
                <w:sz w:val="20"/>
                <w:szCs w:val="20"/>
                <w:color w:val="auto"/>
              </w:rPr>
            </w:pPr>
            <w:r>
              <w:rPr>
                <w:rFonts w:ascii="Arial" w:cs="Arial" w:eastAsia="Arial" w:hAnsi="Arial"/>
                <w:sz w:val="16"/>
                <w:szCs w:val="16"/>
                <w:color w:val="auto"/>
              </w:rPr>
              <w:t>X-DF</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3"/>
              </w:rPr>
              <w:t>May 2028</w:t>
            </w:r>
          </w:p>
        </w:tc>
        <w:tc>
          <w:tcPr>
            <w:tcW w:w="9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6"/>
                <w:szCs w:val="16"/>
                <w:color w:val="auto"/>
                <w:w w:val="90"/>
              </w:rPr>
              <w:t xml:space="preserve">2031-2034 </w:t>
            </w:r>
            <w:r>
              <w:rPr>
                <w:rFonts w:ascii="Arial" w:cs="Arial" w:eastAsia="Arial" w:hAnsi="Arial"/>
                <w:sz w:val="23"/>
                <w:szCs w:val="23"/>
                <w:color w:val="auto"/>
                <w:w w:val="90"/>
                <w:vertAlign w:val="superscript"/>
              </w:rPr>
              <w:t>(6)</w:t>
            </w:r>
          </w:p>
        </w:tc>
        <w:tc>
          <w:tcPr>
            <w:tcW w:w="20" w:type="dxa"/>
            <w:vAlign w:val="bottom"/>
          </w:tcPr>
          <w:p>
            <w:pPr>
              <w:spacing w:after="0"/>
              <w:rPr>
                <w:sz w:val="17"/>
                <w:szCs w:val="17"/>
                <w:color w:val="auto"/>
              </w:rPr>
            </w:pPr>
          </w:p>
        </w:tc>
      </w:tr>
    </w:tbl>
    <w:p>
      <w:pPr>
        <w:spacing w:after="0" w:line="130" w:lineRule="exact"/>
        <w:rPr>
          <w:sz w:val="20"/>
          <w:szCs w:val="20"/>
          <w:color w:val="auto"/>
        </w:rPr>
      </w:pPr>
    </w:p>
    <w:p>
      <w:pPr>
        <w:ind w:left="200" w:hanging="190"/>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36" w:lineRule="exact"/>
        <w:rPr>
          <w:rFonts w:ascii="Arial" w:cs="Arial" w:eastAsia="Arial" w:hAnsi="Arial"/>
          <w:sz w:val="11"/>
          <w:szCs w:val="11"/>
          <w:color w:val="auto"/>
        </w:rPr>
      </w:pPr>
    </w:p>
    <w:p>
      <w:pPr>
        <w:ind w:left="220" w:hanging="210"/>
        <w:spacing w:after="0"/>
        <w:tabs>
          <w:tab w:leader="none" w:pos="22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136" w:lineRule="exact"/>
        <w:rPr>
          <w:rFonts w:ascii="Arial" w:cs="Arial" w:eastAsia="Arial" w:hAnsi="Arial"/>
          <w:sz w:val="11"/>
          <w:szCs w:val="11"/>
          <w:color w:val="auto"/>
        </w:rPr>
      </w:pPr>
    </w:p>
    <w:p>
      <w:pPr>
        <w:ind w:left="200" w:hanging="190"/>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vessel is chartered to ST Shipping &amp; Transport Pte. Ltd., a wholly owned subsidiary of Glencore PLC. (“Glencore”).</w:t>
      </w:r>
    </w:p>
    <w:p>
      <w:pPr>
        <w:spacing w:after="0" w:line="136" w:lineRule="exact"/>
        <w:rPr>
          <w:rFonts w:ascii="Arial" w:cs="Arial" w:eastAsia="Arial" w:hAnsi="Arial"/>
          <w:sz w:val="11"/>
          <w:szCs w:val="11"/>
          <w:color w:val="auto"/>
        </w:rPr>
      </w:pPr>
    </w:p>
    <w:p>
      <w:pPr>
        <w:ind w:left="260" w:right="60" w:hanging="250"/>
        <w:spacing w:after="0" w:line="253" w:lineRule="auto"/>
        <w:tabs>
          <w:tab w:leader="none" w:pos="239"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The vessel is chartered to Clearlake Shipping Pte. Ltd., a wholly owned subsidiary of Gunvor Group Ltd. (“Gunvor”). Gunvor may extend the term of the time charter of the </w:t>
      </w:r>
      <w:r>
        <w:rPr>
          <w:rFonts w:ascii="Arial" w:cs="Arial" w:eastAsia="Arial" w:hAnsi="Arial"/>
          <w:sz w:val="14"/>
          <w:szCs w:val="14"/>
          <w:i w:val="1"/>
          <w:iCs w:val="1"/>
          <w:color w:val="auto"/>
        </w:rPr>
        <w:t xml:space="preserve">Methane Rita Andrea </w:t>
      </w:r>
      <w:r>
        <w:rPr>
          <w:rFonts w:ascii="Arial" w:cs="Arial" w:eastAsia="Arial" w:hAnsi="Arial"/>
          <w:sz w:val="14"/>
          <w:szCs w:val="14"/>
          <w:color w:val="auto"/>
        </w:rPr>
        <w:t>by an additional period of six months.</w:t>
      </w:r>
    </w:p>
    <w:p>
      <w:pPr>
        <w:spacing w:after="0" w:line="106" w:lineRule="exact"/>
        <w:rPr>
          <w:rFonts w:ascii="Arial" w:cs="Arial" w:eastAsia="Arial" w:hAnsi="Arial"/>
          <w:sz w:val="11"/>
          <w:szCs w:val="11"/>
          <w:color w:val="auto"/>
        </w:rPr>
      </w:pPr>
    </w:p>
    <w:p>
      <w:pPr>
        <w:ind w:left="200" w:hanging="190"/>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vessel is chartered to LNG Shipping SpA, a wholly owned subsidiary of Eni SpA (“Eni”).</w:t>
      </w:r>
    </w:p>
    <w:p>
      <w:pPr>
        <w:spacing w:after="0" w:line="136" w:lineRule="exact"/>
        <w:rPr>
          <w:rFonts w:ascii="Arial" w:cs="Arial" w:eastAsia="Arial" w:hAnsi="Arial"/>
          <w:sz w:val="11"/>
          <w:szCs w:val="11"/>
          <w:color w:val="auto"/>
        </w:rPr>
      </w:pPr>
    </w:p>
    <w:p>
      <w:pPr>
        <w:ind w:left="200" w:right="20" w:hanging="190"/>
        <w:spacing w:after="0" w:line="233" w:lineRule="auto"/>
        <w:tabs>
          <w:tab w:leader="none" w:pos="20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Shell has the right to extend the charters of (a)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by two additional periods of three years, (b)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by an additional four months, (c)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by two additional periods of five and three years, respectively, (d)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for a period of either three or five years, (e)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for a period of five years, provided that Shell gives us advance notice of the declarations.</w:t>
      </w:r>
    </w:p>
    <w:p>
      <w:pPr>
        <w:spacing w:after="0" w:line="117" w:lineRule="exact"/>
        <w:rPr>
          <w:rFonts w:ascii="Arial" w:cs="Arial" w:eastAsia="Arial" w:hAnsi="Arial"/>
          <w:sz w:val="11"/>
          <w:szCs w:val="11"/>
          <w:color w:val="auto"/>
        </w:rPr>
      </w:pPr>
    </w:p>
    <w:p>
      <w:pPr>
        <w:ind w:left="200" w:right="100" w:hanging="190"/>
        <w:spacing w:after="0" w:line="253" w:lineRule="auto"/>
        <w:tabs>
          <w:tab w:leader="none" w:pos="20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vessel is chartered to Pioneer Shipping Limited, a wholly owned subsidiary of Centrica Plc (“Centrica”). Centrica has the right to extend the charters by three additional periods of two years, provided that Centrica gives us advance notice of declaration.</w:t>
      </w:r>
    </w:p>
    <w:p>
      <w:pPr>
        <w:spacing w:after="0" w:line="106" w:lineRule="exact"/>
        <w:rPr>
          <w:rFonts w:ascii="Arial" w:cs="Arial" w:eastAsia="Arial" w:hAnsi="Arial"/>
          <w:sz w:val="11"/>
          <w:szCs w:val="11"/>
          <w:color w:val="auto"/>
        </w:rPr>
      </w:pPr>
    </w:p>
    <w:p>
      <w:pPr>
        <w:ind w:left="200" w:right="40" w:hanging="190"/>
        <w:spacing w:after="0" w:line="238" w:lineRule="auto"/>
        <w:tabs>
          <w:tab w:leader="none" w:pos="20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Cheniere has the right to extend the charters of (a) the </w:t>
      </w:r>
      <w:r>
        <w:rPr>
          <w:rFonts w:ascii="Arial" w:cs="Arial" w:eastAsia="Arial" w:hAnsi="Arial"/>
          <w:sz w:val="14"/>
          <w:szCs w:val="14"/>
          <w:i w:val="1"/>
          <w:iCs w:val="1"/>
          <w:color w:val="auto"/>
        </w:rPr>
        <w:t>GasLog Georgetown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Galveston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Wellington</w:t>
      </w:r>
      <w:r>
        <w:rPr>
          <w:rFonts w:ascii="Arial" w:cs="Arial" w:eastAsia="Arial" w:hAnsi="Arial"/>
          <w:sz w:val="14"/>
          <w:szCs w:val="14"/>
          <w:color w:val="auto"/>
        </w:rPr>
        <w:t xml:space="preserve"> by three consecutive periods of three years, two years and two years, respectively, (b)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xml:space="preserve"> by one, two or three years at varying rates and (c)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by two additional periods of one year, provided that Cheniere gives us advance notice of the declarations.</w:t>
      </w:r>
    </w:p>
    <w:p>
      <w:pPr>
        <w:spacing w:after="0" w:line="115" w:lineRule="exact"/>
        <w:rPr>
          <w:rFonts w:ascii="Arial" w:cs="Arial" w:eastAsia="Arial" w:hAnsi="Arial"/>
          <w:sz w:val="11"/>
          <w:szCs w:val="11"/>
          <w:color w:val="auto"/>
        </w:rPr>
      </w:pPr>
    </w:p>
    <w:p>
      <w:pPr>
        <w:ind w:left="200" w:right="500" w:hanging="190"/>
        <w:spacing w:after="0" w:line="253" w:lineRule="auto"/>
        <w:tabs>
          <w:tab w:leader="none" w:pos="186"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“Endesa” refers to Endesa S.A.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Endesa gives us advance notice of declaration.</w:t>
      </w:r>
    </w:p>
    <w:p>
      <w:pPr>
        <w:spacing w:after="0" w:line="106" w:lineRule="exact"/>
        <w:rPr>
          <w:sz w:val="20"/>
          <w:szCs w:val="20"/>
          <w:color w:val="auto"/>
        </w:rPr>
      </w:pPr>
    </w:p>
    <w:p>
      <w:pPr>
        <w:ind w:left="200" w:right="20" w:hanging="188"/>
        <w:spacing w:after="0" w:line="248" w:lineRule="auto"/>
        <w:rPr>
          <w:sz w:val="20"/>
          <w:szCs w:val="20"/>
          <w:color w:val="auto"/>
        </w:rPr>
      </w:pPr>
      <w:r>
        <w:rPr>
          <w:rFonts w:ascii="Arial" w:cs="Arial" w:eastAsia="Arial" w:hAnsi="Arial"/>
          <w:sz w:val="10"/>
          <w:szCs w:val="10"/>
          <w:color w:val="auto"/>
        </w:rPr>
        <w:t>(10)</w:t>
      </w:r>
      <w:r>
        <w:rPr>
          <w:rFonts w:ascii="Arial" w:cs="Arial" w:eastAsia="Arial" w:hAnsi="Arial"/>
          <w:sz w:val="13"/>
          <w:szCs w:val="13"/>
          <w:color w:val="auto"/>
        </w:rPr>
        <w:t>RWE has the option to extend the term of the time charter by an additional period of six months or one year. Following the completion of the charter with RWE, the vessel is</w:t>
      </w:r>
      <w:r>
        <w:rPr>
          <w:rFonts w:ascii="Arial" w:cs="Arial" w:eastAsia="Arial" w:hAnsi="Arial"/>
          <w:sz w:val="10"/>
          <w:szCs w:val="10"/>
          <w:color w:val="auto"/>
        </w:rPr>
        <w:t xml:space="preserve"> </w:t>
      </w:r>
      <w:r>
        <w:rPr>
          <w:rFonts w:ascii="Arial" w:cs="Arial" w:eastAsia="Arial" w:hAnsi="Arial"/>
          <w:sz w:val="13"/>
          <w:szCs w:val="13"/>
          <w:color w:val="auto"/>
        </w:rPr>
        <w:t>expected to be delivered to Sinolam LNG Terminal, S.A. (“Sinolam LNG”) for use as a floating storage unit (“FSU”) in support of a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significantly delayed as a result of COVID-19 related impacts to the construction schedule. GasLog is currently under discussions with Sinolam LNG to determine the project’s new expected start date. In the meantime, the vessel has undergone FSU conversion for the Sinolam LNG charter during its scheduled dry-dock in the second quarter of 2021.</w:t>
      </w:r>
    </w:p>
    <w:p>
      <w:pPr>
        <w:spacing w:after="0" w:line="113" w:lineRule="exact"/>
        <w:rPr>
          <w:sz w:val="20"/>
          <w:szCs w:val="20"/>
          <w:color w:val="auto"/>
        </w:rPr>
      </w:pPr>
    </w:p>
    <w:p>
      <w:pPr>
        <w:ind w:left="200" w:right="140" w:hanging="190"/>
        <w:spacing w:after="0" w:line="290" w:lineRule="auto"/>
        <w:tabs>
          <w:tab w:leader="none" w:pos="200" w:val="left"/>
        </w:tabs>
        <w:numPr>
          <w:ilvl w:val="0"/>
          <w:numId w:val="4"/>
        </w:numPr>
        <w:rPr>
          <w:rFonts w:ascii="Arial" w:cs="Arial" w:eastAsia="Arial" w:hAnsi="Arial"/>
          <w:sz w:val="10"/>
          <w:szCs w:val="10"/>
          <w:color w:val="auto"/>
        </w:rPr>
      </w:pPr>
      <w:r>
        <w:rPr>
          <w:rFonts w:ascii="Arial" w:cs="Arial" w:eastAsia="Arial" w:hAnsi="Arial"/>
          <w:sz w:val="13"/>
          <w:szCs w:val="13"/>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84" w:lineRule="exact"/>
        <w:rPr>
          <w:rFonts w:ascii="Arial" w:cs="Arial" w:eastAsia="Arial" w:hAnsi="Arial"/>
          <w:sz w:val="10"/>
          <w:szCs w:val="10"/>
          <w:color w:val="auto"/>
        </w:rPr>
      </w:pPr>
    </w:p>
    <w:p>
      <w:pPr>
        <w:ind w:left="200" w:right="200" w:hanging="190"/>
        <w:spacing w:after="0" w:line="253" w:lineRule="auto"/>
        <w:tabs>
          <w:tab w:leader="none" w:pos="240" w:val="left"/>
        </w:tabs>
        <w:numPr>
          <w:ilvl w:val="0"/>
          <w:numId w:val="4"/>
        </w:numPr>
        <w:rPr>
          <w:rFonts w:ascii="Arial" w:cs="Arial" w:eastAsia="Arial" w:hAnsi="Arial"/>
          <w:sz w:val="11"/>
          <w:szCs w:val="11"/>
          <w:color w:val="auto"/>
        </w:rPr>
      </w:pPr>
      <w:r>
        <w:rPr>
          <w:rFonts w:ascii="Arial" w:cs="Arial" w:eastAsia="Arial" w:hAnsi="Arial"/>
          <w:sz w:val="14"/>
          <w:szCs w:val="14"/>
          <w:color w:val="auto"/>
        </w:rPr>
        <w:t>“Trafigura” refers to Trafigura Maritime Logistics PTE Ltd. Trafigura may extend the term of this time charter for a period ranging from one to seven years, provided that the charterer gives us advance notice of declaration.</w:t>
      </w:r>
    </w:p>
    <w:p>
      <w:pPr>
        <w:spacing w:after="0" w:line="106" w:lineRule="exact"/>
        <w:rPr>
          <w:rFonts w:ascii="Arial" w:cs="Arial" w:eastAsia="Arial" w:hAnsi="Arial"/>
          <w:sz w:val="11"/>
          <w:szCs w:val="11"/>
          <w:color w:val="auto"/>
        </w:rPr>
      </w:pPr>
    </w:p>
    <w:p>
      <w:pPr>
        <w:ind w:left="240" w:hanging="230"/>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vessel is chartered to Singapore Carbon Hydrogen Energy Pte. Ltd., a wholly owned subsidiary of JOVO Group (“JOVO”).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130" w:right="839" w:bottom="1440" w:gutter="0" w:footer="0" w:header="0"/>
        </w:sectPr>
      </w:pPr>
    </w:p>
    <w:bookmarkStart w:id="7" w:name="page8"/>
    <w:bookmarkEnd w:id="7"/>
    <w:p>
      <w:pPr>
        <w:ind w:left="200" w:right="180" w:hanging="190"/>
        <w:spacing w:after="0" w:line="215" w:lineRule="auto"/>
        <w:tabs>
          <w:tab w:leader="none" w:pos="240"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115" w:lineRule="exact"/>
        <w:rPr>
          <w:rFonts w:ascii="Arial" w:cs="Arial" w:eastAsia="Arial" w:hAnsi="Arial"/>
          <w:sz w:val="19"/>
          <w:szCs w:val="19"/>
          <w:color w:val="auto"/>
          <w:vertAlign w:val="superscript"/>
        </w:rPr>
      </w:pPr>
    </w:p>
    <w:p>
      <w:pPr>
        <w:ind w:left="200" w:right="160" w:hanging="190"/>
        <w:spacing w:after="0" w:line="264" w:lineRule="auto"/>
        <w:tabs>
          <w:tab w:leader="none" w:pos="240" w:val="left"/>
        </w:tabs>
        <w:numPr>
          <w:ilvl w:val="0"/>
          <w:numId w:val="5"/>
        </w:numPr>
        <w:rPr>
          <w:rFonts w:ascii="Arial" w:cs="Arial" w:eastAsia="Arial" w:hAnsi="Arial"/>
          <w:sz w:val="10"/>
          <w:szCs w:val="10"/>
          <w:color w:val="auto"/>
        </w:rPr>
      </w:pPr>
      <w:r>
        <w:rPr>
          <w:rFonts w:ascii="Arial" w:cs="Arial" w:eastAsia="Arial" w:hAnsi="Arial"/>
          <w:sz w:val="13"/>
          <w:szCs w:val="13"/>
          <w:color w:val="auto"/>
        </w:rPr>
        <w:t xml:space="preserve">GAS-twenty five Ltd., GAS-twenty six Ltd. and GAS-twenty four Ltd. have sold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to Sea 190 Leasing</w:t>
      </w:r>
      <w:r>
        <w:rPr>
          <w:rFonts w:ascii="Arial" w:cs="Arial" w:eastAsia="Arial" w:hAnsi="Arial"/>
          <w:sz w:val="13"/>
          <w:szCs w:val="13"/>
          <w:i w:val="1"/>
          <w:iCs w:val="1"/>
          <w:color w:val="auto"/>
        </w:rPr>
        <w:t>,</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to Lepta Shipping and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to Hai Kuo Shipping,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100" w:lineRule="exact"/>
        <w:rPr>
          <w:rFonts w:ascii="Arial" w:cs="Arial" w:eastAsia="Arial" w:hAnsi="Arial"/>
          <w:sz w:val="10"/>
          <w:szCs w:val="10"/>
          <w:color w:val="auto"/>
        </w:rPr>
      </w:pPr>
    </w:p>
    <w:p>
      <w:pPr>
        <w:ind w:left="240" w:hanging="230"/>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4"/>
          <w:szCs w:val="14"/>
          <w:color w:val="auto"/>
        </w:rPr>
        <w:t>TotalEnergies has the right to extend the charter for a period of three years, provided that TotalEnergies provides us with advance notice of declaration.</w:t>
      </w:r>
    </w:p>
    <w:p>
      <w:pPr>
        <w:spacing w:after="0" w:line="145" w:lineRule="exact"/>
        <w:rPr>
          <w:sz w:val="20"/>
          <w:szCs w:val="20"/>
          <w:color w:val="auto"/>
        </w:rPr>
      </w:pPr>
    </w:p>
    <w:p>
      <w:pPr>
        <w:ind w:left="20" w:right="20" w:firstLine="324"/>
        <w:spacing w:after="0" w:line="293" w:lineRule="auto"/>
        <w:rPr>
          <w:sz w:val="20"/>
          <w:szCs w:val="20"/>
          <w:color w:val="auto"/>
        </w:rPr>
      </w:pPr>
      <w:r>
        <w:rPr>
          <w:rFonts w:ascii="Arial" w:cs="Arial" w:eastAsia="Arial" w:hAnsi="Arial"/>
          <w:sz w:val="15"/>
          <w:szCs w:val="15"/>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Results of Operations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05"/>
        </w:trPr>
        <w:tc>
          <w:tcPr>
            <w:tcW w:w="82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Three-month period ended June 30, 2020, compared to the three-month period ended June 30, 2021</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1"/>
        </w:trPr>
        <w:tc>
          <w:tcPr>
            <w:tcW w:w="822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For the three months ended</w:t>
            </w:r>
          </w:p>
        </w:tc>
      </w:tr>
      <w:tr>
        <w:trPr>
          <w:trHeight w:val="203"/>
        </w:trPr>
        <w:tc>
          <w:tcPr>
            <w:tcW w:w="822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20" w:type="dxa"/>
            <w:vAlign w:val="bottom"/>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r>
      <w:tr>
        <w:trPr>
          <w:trHeight w:val="199"/>
        </w:trPr>
        <w:tc>
          <w:tcPr>
            <w:tcW w:w="82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158,861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173,010</w:t>
            </w:r>
          </w:p>
        </w:tc>
      </w:tr>
      <w:tr>
        <w:trPr>
          <w:trHeight w:val="203"/>
        </w:trPr>
        <w:tc>
          <w:tcPr>
            <w:tcW w:w="8220" w:type="dxa"/>
            <w:vAlign w:val="bottom"/>
          </w:tcPr>
          <w:p>
            <w:pPr>
              <w:ind w:left="20"/>
              <w:spacing w:after="0"/>
              <w:rPr>
                <w:sz w:val="20"/>
                <w:szCs w:val="20"/>
                <w:color w:val="auto"/>
              </w:rPr>
            </w:pPr>
            <w:r>
              <w:rPr>
                <w:rFonts w:ascii="Arial" w:cs="Arial" w:eastAsia="Arial" w:hAnsi="Arial"/>
                <w:sz w:val="16"/>
                <w:szCs w:val="16"/>
                <w:color w:val="auto"/>
              </w:rPr>
              <w:t>Voyage expenses and commissions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(5,442)</w:t>
            </w:r>
          </w:p>
        </w:tc>
        <w:tc>
          <w:tcPr>
            <w:tcW w:w="880" w:type="dxa"/>
            <w:vAlign w:val="bottom"/>
          </w:tcPr>
          <w:p>
            <w:pPr>
              <w:jc w:val="right"/>
              <w:spacing w:after="0"/>
              <w:rPr>
                <w:sz w:val="20"/>
                <w:szCs w:val="20"/>
                <w:color w:val="auto"/>
              </w:rPr>
            </w:pPr>
            <w:r>
              <w:rPr>
                <w:rFonts w:ascii="Arial" w:cs="Arial" w:eastAsia="Arial" w:hAnsi="Arial"/>
                <w:sz w:val="16"/>
                <w:szCs w:val="16"/>
                <w:color w:val="auto"/>
              </w:rPr>
              <w:t>(5,681)</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Vessel operating and supervision costs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(32,605)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(40,688)</w:t>
            </w:r>
          </w:p>
        </w:tc>
      </w:tr>
      <w:tr>
        <w:trPr>
          <w:trHeight w:val="203"/>
        </w:trPr>
        <w:tc>
          <w:tcPr>
            <w:tcW w:w="82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(43,647)</w:t>
            </w:r>
          </w:p>
        </w:tc>
        <w:tc>
          <w:tcPr>
            <w:tcW w:w="880" w:type="dxa"/>
            <w:vAlign w:val="bottom"/>
          </w:tcPr>
          <w:p>
            <w:pPr>
              <w:jc w:val="right"/>
              <w:spacing w:after="0"/>
              <w:rPr>
                <w:sz w:val="20"/>
                <w:szCs w:val="20"/>
                <w:color w:val="auto"/>
              </w:rPr>
            </w:pPr>
            <w:r>
              <w:rPr>
                <w:rFonts w:ascii="Arial" w:cs="Arial" w:eastAsia="Arial" w:hAnsi="Arial"/>
                <w:sz w:val="16"/>
                <w:szCs w:val="16"/>
                <w:color w:val="auto"/>
              </w:rPr>
              <w:t>(48,493)</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(13,498)</w:t>
            </w:r>
          </w:p>
        </w:tc>
      </w:tr>
      <w:tr>
        <w:trPr>
          <w:trHeight w:val="203"/>
        </w:trPr>
        <w:tc>
          <w:tcPr>
            <w:tcW w:w="8220" w:type="dxa"/>
            <w:vAlign w:val="bottom"/>
          </w:tcPr>
          <w:p>
            <w:pPr>
              <w:ind w:left="20"/>
              <w:spacing w:after="0"/>
              <w:rPr>
                <w:sz w:val="20"/>
                <w:szCs w:val="20"/>
                <w:color w:val="auto"/>
              </w:rPr>
            </w:pPr>
            <w:r>
              <w:rPr>
                <w:rFonts w:ascii="Arial" w:cs="Arial" w:eastAsia="Arial" w:hAnsi="Arial"/>
                <w:sz w:val="16"/>
                <w:szCs w:val="16"/>
                <w:color w:val="auto"/>
              </w:rPr>
              <w:t>Loss on disposal of non-current assets</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(572)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loss on vessels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42,987</w:t>
            </w:r>
          </w:p>
        </w:tc>
        <w:tc>
          <w:tcPr>
            <w:tcW w:w="2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64,650</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costs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(43,557)</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(51,216)</w:t>
            </w:r>
          </w:p>
        </w:tc>
      </w:tr>
      <w:tr>
        <w:trPr>
          <w:trHeight w:val="203"/>
        </w:trPr>
        <w:tc>
          <w:tcPr>
            <w:tcW w:w="822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880" w:type="dxa"/>
            <w:vAlign w:val="bottom"/>
          </w:tcPr>
          <w:p>
            <w:pPr>
              <w:jc w:val="right"/>
              <w:spacing w:after="0"/>
              <w:rPr>
                <w:sz w:val="20"/>
                <w:szCs w:val="20"/>
                <w:color w:val="auto"/>
              </w:rPr>
            </w:pPr>
            <w:r>
              <w:rPr>
                <w:rFonts w:ascii="Arial" w:cs="Arial" w:eastAsia="Arial" w:hAnsi="Arial"/>
                <w:sz w:val="16"/>
                <w:szCs w:val="16"/>
                <w:color w:val="auto"/>
              </w:rPr>
              <w:t>177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derivatives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(13,467)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r>
      <w:tr>
        <w:trPr>
          <w:trHeight w:val="20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of profit of associates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2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expenses,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(56,325)</w:t>
            </w:r>
          </w:p>
        </w:tc>
        <w:tc>
          <w:tcPr>
            <w:tcW w:w="2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(56,939)</w:t>
            </w:r>
          </w:p>
        </w:tc>
      </w:tr>
      <w:tr>
        <w:trPr>
          <w:trHeight w:val="23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(Loss)/profit for the period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(13,338)</w:t>
            </w: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7,711</w:t>
            </w:r>
          </w:p>
        </w:tc>
      </w:tr>
      <w:tr>
        <w:trPr>
          <w:trHeight w:val="183"/>
        </w:trPr>
        <w:tc>
          <w:tcPr>
            <w:tcW w:w="82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Non-controlling interests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(8,010)</w:t>
            </w:r>
          </w:p>
        </w:tc>
        <w:tc>
          <w:tcPr>
            <w:tcW w:w="24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(12,495)</w:t>
            </w:r>
          </w:p>
        </w:tc>
      </w:tr>
      <w:tr>
        <w:trPr>
          <w:trHeight w:val="19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Loss attributable to owners of the Group</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(21,348)</w:t>
            </w:r>
          </w:p>
        </w:tc>
        <w:tc>
          <w:tcPr>
            <w:tcW w:w="2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(4,784)</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0" w:right="80" w:firstLine="324"/>
        <w:spacing w:after="0" w:line="278" w:lineRule="auto"/>
        <w:rPr>
          <w:sz w:val="20"/>
          <w:szCs w:val="20"/>
          <w:color w:val="auto"/>
        </w:rPr>
      </w:pPr>
      <w:r>
        <w:rPr>
          <w:rFonts w:ascii="Arial" w:cs="Arial" w:eastAsia="Arial" w:hAnsi="Arial"/>
          <w:sz w:val="16"/>
          <w:szCs w:val="16"/>
          <w:color w:val="auto"/>
        </w:rPr>
        <w:t>During the three-month period ended June 30, 2020, we had an average of 30.0 ships operating in our owned and bareboat fleet (including ships owned by the Partnership), having 2,592 available days. During the three-month period ended June 30, 2021, we had an average of 33.2 ships operating in our owned and bareboat fleet (including ships owned by the Partnership), having 2,864 available days.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Revenues:</w:t>
      </w:r>
    </w:p>
    <w:p>
      <w:pPr>
        <w:spacing w:after="0" w:line="221" w:lineRule="exact"/>
        <w:rPr>
          <w:sz w:val="20"/>
          <w:szCs w:val="20"/>
          <w:color w:val="auto"/>
        </w:rPr>
      </w:pPr>
    </w:p>
    <w:p>
      <w:pPr>
        <w:ind w:left="20" w:right="140" w:firstLine="324"/>
        <w:spacing w:after="0" w:line="268" w:lineRule="auto"/>
        <w:rPr>
          <w:sz w:val="20"/>
          <w:szCs w:val="20"/>
          <w:color w:val="auto"/>
        </w:rPr>
      </w:pPr>
      <w:r>
        <w:rPr>
          <w:rFonts w:ascii="Arial" w:cs="Arial" w:eastAsia="Arial" w:hAnsi="Arial"/>
          <w:sz w:val="16"/>
          <w:szCs w:val="16"/>
          <w:color w:val="auto"/>
        </w:rPr>
        <w:t xml:space="preserve">Revenues increased by 8.9%, or $14.1 million, from $158.9 million during the three-month period ended June 30, 2020, to $173.0 million during the three-month period ended June 30, 2021. The increase in revenues is attributable to an increase of $25.1 million due to the deliveries of the GasLog wholly owned vessels,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Wellington</w:t>
      </w:r>
      <w:r>
        <w:rPr>
          <w:rFonts w:ascii="Arial" w:cs="Arial" w:eastAsia="Arial" w:hAnsi="Arial"/>
          <w:sz w:val="16"/>
          <w:szCs w:val="16"/>
          <w:color w:val="auto"/>
        </w:rPr>
        <w:t xml:space="preserve"> on May 11, 2020, July 15, 2020, November 16, 2020, January 4, 2021 and June 15, 2021, respectively, and a net increase of $6.6 million from the vessels of our spot fleet, as defined below. These increases were partially offset by a net decrease of $10.3 million attributable to the expirations of the initial multi-year time charters (mainly of the Partnership’s vessels which were at higher rates compared to their current spot rates) and a decrease of $5.0 million due to increased off-hire days for scheduled dry-dockings. The average daily hire rate decreased from $64,549 for the quarter ended June 30, 2020, to $63,958 for the quarter ended June 30, 2021.</w:t>
      </w:r>
    </w:p>
    <w:p>
      <w:pPr>
        <w:spacing w:after="0" w:line="179" w:lineRule="exact"/>
        <w:rPr>
          <w:sz w:val="20"/>
          <w:szCs w:val="20"/>
          <w:color w:val="auto"/>
        </w:rPr>
      </w:pPr>
    </w:p>
    <w:p>
      <w:pPr>
        <w:ind w:left="20" w:right="20" w:firstLine="324"/>
        <w:spacing w:after="0" w:line="278" w:lineRule="auto"/>
        <w:rPr>
          <w:sz w:val="20"/>
          <w:szCs w:val="20"/>
          <w:color w:val="auto"/>
        </w:rPr>
      </w:pPr>
      <w:r>
        <w:rPr>
          <w:rFonts w:ascii="Arial" w:cs="Arial" w:eastAsia="Arial" w:hAnsi="Arial"/>
          <w:sz w:val="16"/>
          <w:szCs w:val="16"/>
          <w:color w:val="auto"/>
        </w:rPr>
        <w:t>Management allocates vessel revenues to two categories: (a) spot fleet and (b) long-term fleet. The spot fleet category contains all vessels that have contracts with initial duration of less than five years. The long-term fleet category contains all vessels that have charter party agreements with initial duration of more than five years. Both categories exclude optional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121" w:right="859" w:bottom="1440" w:gutter="0" w:footer="0" w:header="0"/>
        </w:sectPr>
      </w:pPr>
    </w:p>
    <w:bookmarkStart w:id="8" w:name="page9"/>
    <w:bookmarkEnd w:id="8"/>
    <w:p>
      <w:pPr>
        <w:ind w:left="10" w:right="360" w:firstLine="324"/>
        <w:spacing w:after="0" w:line="293" w:lineRule="auto"/>
        <w:rPr>
          <w:sz w:val="20"/>
          <w:szCs w:val="20"/>
          <w:color w:val="auto"/>
        </w:rPr>
      </w:pPr>
      <w:r>
        <w:rPr>
          <w:rFonts w:ascii="Arial" w:cs="Arial" w:eastAsia="Arial" w:hAnsi="Arial"/>
          <w:sz w:val="16"/>
          <w:szCs w:val="16"/>
          <w:color w:val="auto"/>
        </w:rPr>
        <w:t>For the three months ended June 30, 2020, and 2021, an analysis of available days, revenues and voyage expenses and commissions per category is presented below:</w:t>
      </w:r>
    </w:p>
    <w:p>
      <w:pPr>
        <w:spacing w:after="0" w:line="168" w:lineRule="exact"/>
        <w:rPr>
          <w:sz w:val="20"/>
          <w:szCs w:val="20"/>
          <w:color w:val="auto"/>
        </w:rPr>
      </w:pPr>
    </w:p>
    <w:tbl>
      <w:tblPr>
        <w:tblLayout w:type="fixed"/>
        <w:tblInd w:w="103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1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92"/>
              </w:rPr>
              <w:t>For the three months ended</w:t>
            </w:r>
          </w:p>
        </w:tc>
        <w:tc>
          <w:tcPr>
            <w:tcW w:w="2040" w:type="dxa"/>
            <w:vAlign w:val="bottom"/>
            <w:gridSpan w:val="4"/>
          </w:tcPr>
          <w:p>
            <w:pPr>
              <w:ind w:left="60"/>
              <w:spacing w:after="0"/>
              <w:rPr>
                <w:sz w:val="20"/>
                <w:szCs w:val="20"/>
                <w:color w:val="auto"/>
              </w:rPr>
            </w:pPr>
            <w:r>
              <w:rPr>
                <w:rFonts w:ascii="Arial" w:cs="Arial" w:eastAsia="Arial" w:hAnsi="Arial"/>
                <w:sz w:val="16"/>
                <w:szCs w:val="16"/>
                <w:b w:val="1"/>
                <w:bCs w:val="1"/>
                <w:color w:val="auto"/>
                <w:w w:val="92"/>
              </w:rPr>
              <w:t>For the three months ended</w:t>
            </w:r>
          </w:p>
        </w:tc>
      </w:tr>
      <w:tr>
        <w:trPr>
          <w:trHeight w:val="210"/>
        </w:trPr>
        <w:tc>
          <w:tcPr>
            <w:tcW w:w="3980" w:type="dxa"/>
            <w:vAlign w:val="bottom"/>
          </w:tcPr>
          <w:p>
            <w:pPr>
              <w:spacing w:after="0"/>
              <w:rPr>
                <w:sz w:val="18"/>
                <w:szCs w:val="18"/>
                <w:color w:val="auto"/>
              </w:rPr>
            </w:pPr>
          </w:p>
        </w:tc>
        <w:tc>
          <w:tcPr>
            <w:tcW w:w="218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June 30, 2020</w:t>
            </w:r>
          </w:p>
        </w:tc>
        <w:tc>
          <w:tcPr>
            <w:tcW w:w="2040" w:type="dxa"/>
            <w:vAlign w:val="bottom"/>
            <w:gridSpan w:val="4"/>
          </w:tcPr>
          <w:p>
            <w:pPr>
              <w:ind w:left="540"/>
              <w:spacing w:after="0"/>
              <w:rPr>
                <w:sz w:val="20"/>
                <w:szCs w:val="20"/>
                <w:color w:val="auto"/>
              </w:rPr>
            </w:pPr>
            <w:r>
              <w:rPr>
                <w:rFonts w:ascii="Arial" w:cs="Arial" w:eastAsia="Arial" w:hAnsi="Arial"/>
                <w:sz w:val="16"/>
                <w:szCs w:val="16"/>
                <w:b w:val="1"/>
                <w:bCs w:val="1"/>
                <w:color w:val="auto"/>
              </w:rPr>
              <w:t>June 30, 2021</w:t>
            </w:r>
          </w:p>
        </w:tc>
      </w:tr>
      <w:tr>
        <w:trPr>
          <w:trHeight w:val="202"/>
        </w:trPr>
        <w:tc>
          <w:tcPr>
            <w:tcW w:w="398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9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93"/>
              </w:rPr>
              <w:t>Spot fleet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Long-term fleet</w:t>
            </w:r>
          </w:p>
        </w:tc>
        <w:tc>
          <w:tcPr>
            <w:tcW w:w="160" w:type="dxa"/>
            <w:vAlign w:val="bottom"/>
          </w:tcPr>
          <w:p>
            <w:pPr>
              <w:spacing w:after="0"/>
              <w:rPr>
                <w:sz w:val="17"/>
                <w:szCs w:val="17"/>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Spot fleet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Long-term fleet</w:t>
            </w:r>
          </w:p>
        </w:tc>
        <w:tc>
          <w:tcPr>
            <w:tcW w:w="20" w:type="dxa"/>
            <w:vAlign w:val="bottom"/>
          </w:tcPr>
          <w:p>
            <w:pPr>
              <w:spacing w:after="0"/>
              <w:rPr>
                <w:sz w:val="17"/>
                <w:szCs w:val="17"/>
                <w:color w:val="auto"/>
              </w:rPr>
            </w:pPr>
          </w:p>
        </w:tc>
      </w:tr>
      <w:tr>
        <w:trPr>
          <w:trHeight w:val="196"/>
        </w:trPr>
        <w:tc>
          <w:tcPr>
            <w:tcW w:w="39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5"/>
                <w:szCs w:val="15"/>
                <w:color w:val="auto"/>
              </w:rPr>
              <w:t xml:space="preserve">Available days </w:t>
            </w:r>
            <w:r>
              <w:rPr>
                <w:rFonts w:ascii="Arial" w:cs="Arial" w:eastAsia="Arial" w:hAnsi="Arial"/>
                <w:sz w:val="22"/>
                <w:szCs w:val="22"/>
                <w:color w:val="auto"/>
                <w:vertAlign w:val="superscript"/>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20" w:type="dxa"/>
            <w:vAlign w:val="bottom"/>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3"/>
                <w:szCs w:val="23"/>
                <w:color w:val="auto"/>
                <w:vertAlign w:val="superscript"/>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41,565</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117,096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57,293</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115,522</w:t>
            </w:r>
          </w:p>
        </w:tc>
        <w:tc>
          <w:tcPr>
            <w:tcW w:w="2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Voyage expenses and commissions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(3,838)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(4,044)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20" w:type="dxa"/>
            <w:vAlign w:val="bottom"/>
          </w:tcPr>
          <w:p>
            <w:pPr>
              <w:spacing w:after="0"/>
              <w:rPr>
                <w:sz w:val="17"/>
                <w:szCs w:val="17"/>
                <w:color w:val="auto"/>
              </w:rPr>
            </w:pPr>
          </w:p>
        </w:tc>
      </w:tr>
    </w:tbl>
    <w:p>
      <w:pPr>
        <w:spacing w:after="0" w:line="193" w:lineRule="exact"/>
        <w:rPr>
          <w:sz w:val="20"/>
          <w:szCs w:val="20"/>
          <w:color w:val="auto"/>
        </w:rPr>
      </w:pPr>
    </w:p>
    <w:p>
      <w:pPr>
        <w:ind w:left="10" w:right="220" w:hanging="10"/>
        <w:spacing w:after="0" w:line="213" w:lineRule="auto"/>
        <w:tabs>
          <w:tab w:leader="none" w:pos="182"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ind w:left="10"/>
        <w:spacing w:after="0"/>
        <w:rPr>
          <w:rFonts w:ascii="Arial" w:cs="Arial" w:eastAsia="Arial" w:hAnsi="Arial"/>
          <w:sz w:val="24"/>
          <w:szCs w:val="24"/>
          <w:color w:val="auto"/>
          <w:vertAlign w:val="superscript"/>
        </w:rPr>
      </w:pPr>
      <w:r>
        <w:rPr>
          <w:rFonts w:ascii="Arial" w:cs="Arial" w:eastAsia="Arial" w:hAnsi="Arial"/>
          <w:sz w:val="21"/>
          <w:szCs w:val="21"/>
          <w:color w:val="auto"/>
          <w:vertAlign w:val="superscript"/>
        </w:rPr>
        <w:t>(**)</w:t>
      </w:r>
      <w:r>
        <w:rPr>
          <w:rFonts w:ascii="Arial" w:cs="Arial" w:eastAsia="Arial" w:hAnsi="Arial"/>
          <w:sz w:val="14"/>
          <w:szCs w:val="14"/>
          <w:color w:val="auto"/>
        </w:rPr>
        <w:t xml:space="preserve"> Revenues exclude the revenues from vessel management services of $200 and $195 for the three months ended June 30, 2020, and 2021, respectively.</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21" w:lineRule="exact"/>
        <w:rPr>
          <w:sz w:val="20"/>
          <w:szCs w:val="20"/>
          <w:color w:val="auto"/>
        </w:rPr>
      </w:pPr>
    </w:p>
    <w:p>
      <w:pPr>
        <w:ind w:left="10" w:firstLine="324"/>
        <w:spacing w:after="0" w:line="286" w:lineRule="auto"/>
        <w:rPr>
          <w:sz w:val="20"/>
          <w:szCs w:val="20"/>
          <w:color w:val="auto"/>
        </w:rPr>
      </w:pPr>
      <w:r>
        <w:rPr>
          <w:rFonts w:ascii="Arial" w:cs="Arial" w:eastAsia="Arial" w:hAnsi="Arial"/>
          <w:sz w:val="15"/>
          <w:szCs w:val="15"/>
          <w:color w:val="auto"/>
        </w:rPr>
        <w:t xml:space="preserve">Vessel operating and supervision costs increased by 24.8%, or $8.1 million, from $32.6 million during the three-month period ended June 30, 2020, to $40.7 million during the three-month period ended June 30, 2021. The increase in vessel operating and supervision costs is mainly attributable to the increase in ownership days due to the full operation and deliveries of the </w:t>
      </w:r>
      <w:r>
        <w:rPr>
          <w:rFonts w:ascii="Arial" w:cs="Arial" w:eastAsia="Arial" w:hAnsi="Arial"/>
          <w:sz w:val="15"/>
          <w:szCs w:val="15"/>
          <w:i w:val="1"/>
          <w:iCs w:val="1"/>
          <w:color w:val="auto"/>
        </w:rPr>
        <w:t>GasLog Wales,</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Westminster,</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Georgetown,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Galveston</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Wellington</w:t>
      </w:r>
      <w:r>
        <w:rPr>
          <w:rFonts w:ascii="Arial" w:cs="Arial" w:eastAsia="Arial" w:hAnsi="Arial"/>
          <w:sz w:val="15"/>
          <w:szCs w:val="15"/>
          <w:color w:val="auto"/>
        </w:rPr>
        <w:t xml:space="preserve"> on May 11, 2020, on July 15, 2020, on November 16, 2020, on January 4, 2021 and on June 15, 2021, respectively, and also due to the increase in daily operating costs from $12,550 per ownership day (as defined below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three-month period ended June 30, 2020 to $13,901 per ownership day (as defined below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three-month period ended June 30, 2021. Ownership days represent total calendar days for our owned and bareboat fleet. Daily operating costs per vessel increased mainly due to technical maintenance expenses primarily in connection with the dry-dockings of four of our vessels in the second quarter of 2021 (compared to one in the same period in 2020), resulting in an increase in dry-docking related costs from $206 per day in the three-month period ended June 30, 2020 to $537 per day in the three-month period ended June 30, 2021. There was also an increase in crew costs, mainly as a result of the unfavorable movement of the Euro (“EUR”)/U. S. Dollar (“USD”) exchange rate in the three-month period ended June 30, 2021, as compared to the three-month period ended June 30, 2020, and the COVID-19 restrictions (increased costs for travelling and quarantines).</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1" w:lineRule="exact"/>
        <w:rPr>
          <w:sz w:val="20"/>
          <w:szCs w:val="20"/>
          <w:color w:val="auto"/>
        </w:rPr>
      </w:pPr>
    </w:p>
    <w:p>
      <w:pPr>
        <w:ind w:left="10" w:right="40" w:firstLine="324"/>
        <w:spacing w:after="0" w:line="287" w:lineRule="auto"/>
        <w:rPr>
          <w:sz w:val="20"/>
          <w:szCs w:val="20"/>
          <w:color w:val="auto"/>
        </w:rPr>
      </w:pPr>
      <w:r>
        <w:rPr>
          <w:rFonts w:ascii="Arial" w:cs="Arial" w:eastAsia="Arial" w:hAnsi="Arial"/>
          <w:sz w:val="15"/>
          <w:szCs w:val="15"/>
          <w:color w:val="auto"/>
        </w:rPr>
        <w:t>General and administrative expenses increased by 20.5%, or $2.3 million, from $11.2 million during the three-month period ended June 30, 2020, to $13.5 million during the three-month period ended June 30, 2021. The increase in absolute terms is mainly attributable to legal costs, accelerated amortization of the share-based compensation and other employee costs associated with the Transaction, the unfavorable movement of the EUR/USD exchange rate in the three-month period ended June 30, 2021, as well as the increased costs of directors’ and officers’ insurance, which were partially offset by reduced employee costs due to the restructuring completed in 2020. General and administrative expenses include the effect of the restructuring costs of $1.1 million and $0.1 million for the three-month period ended June 30, 2020, and June 30, 2021, respectively and the effect of the costs related to the Transaction of $5.2 million for the three-month period ended June 30, 2021. Daily general and administrative expenses increased from $4,148 per vessel ownership day for the three-month period ended June 30, 2020, to $4,472 per vessel ownership day for the three-month period ended June 30, 2021, which includes restructuring costs of $402 and $31 per vessel ownership day in three-month period ended June 30, 2020, and 2021, respectively and costs related to the Transaction of $1,737 per vessel ownership day for the three-month period ended June 30, 2021.</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Impairment Loss on Vessels:</w:t>
      </w:r>
    </w:p>
    <w:p>
      <w:pPr>
        <w:spacing w:after="0" w:line="221" w:lineRule="exact"/>
        <w:rPr>
          <w:sz w:val="20"/>
          <w:szCs w:val="20"/>
          <w:color w:val="auto"/>
        </w:rPr>
      </w:pPr>
    </w:p>
    <w:p>
      <w:pPr>
        <w:ind w:left="10" w:right="40" w:firstLine="324"/>
        <w:spacing w:after="0" w:line="273" w:lineRule="auto"/>
        <w:rPr>
          <w:sz w:val="20"/>
          <w:szCs w:val="20"/>
          <w:color w:val="auto"/>
        </w:rPr>
      </w:pPr>
      <w:r>
        <w:rPr>
          <w:rFonts w:ascii="Arial" w:cs="Arial" w:eastAsia="Arial" w:hAnsi="Arial"/>
          <w:sz w:val="16"/>
          <w:szCs w:val="16"/>
          <w:color w:val="auto"/>
        </w:rPr>
        <w:t xml:space="preserve">Impairment loss on vessels was $22.5 million for the three-month period ended June 30, 2020, and nil for the same period in 2021. The impairment loss recorded as of June 30, 2020, was recognized with respect to four of our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as a result of anticipated increases in volatility in the spot charter market over the near term from COVID-19 pandemic related impacts to LNG and LNG shipping demand.</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Financial Costs:</w:t>
      </w:r>
    </w:p>
    <w:p>
      <w:pPr>
        <w:spacing w:after="0" w:line="221" w:lineRule="exact"/>
        <w:rPr>
          <w:sz w:val="20"/>
          <w:szCs w:val="20"/>
          <w:color w:val="auto"/>
        </w:rPr>
      </w:pPr>
    </w:p>
    <w:p>
      <w:pPr>
        <w:ind w:left="10" w:right="20" w:firstLine="324"/>
        <w:spacing w:after="0" w:line="311" w:lineRule="auto"/>
        <w:rPr>
          <w:sz w:val="20"/>
          <w:szCs w:val="20"/>
          <w:color w:val="auto"/>
        </w:rPr>
      </w:pPr>
      <w:r>
        <w:rPr>
          <w:rFonts w:ascii="Arial" w:cs="Arial" w:eastAsia="Arial" w:hAnsi="Arial"/>
          <w:sz w:val="14"/>
          <w:szCs w:val="14"/>
          <w:color w:val="auto"/>
        </w:rPr>
        <w:t>Financial costs increased by 17.4%, or $7.6 million, from $43.6 million during the three-month period ended June 30, 2020, to $51.2 million during the three-month period ended June 30, 2021. The increase is mainly attributable to an increase of $12.7 million in other financial costs, net related mainly to the $15.7 million financing fees associated with the amendment of the credit facilities as a result of the Transaction. This increase is partially offset by a decrease of $4.8 million in interest expense on loans and bonds in connection with a decrease in the London Interbank Offered Rate (“LIBOR”) rates during the three-month period ended June 30, 2021, although there was higher weighted average indebtedness, compared to the same period in 2020. Specifically, during the three-month period ended June 30, 2021, we had an average of $3,788.6 million of outstanding indebtedness, with a weighted average interest rate of 3.0%, while during the three-month period ended June 30, 2020, we had an average of $3,380.3 million of outstanding indebtedness, with a weighted average interest rate of 4.0%. These weighted average interest rates include interest expense on loans, bonds and Cross Currency Swaps (“CCSs”).</w:t>
      </w:r>
    </w:p>
    <w:p>
      <w:pPr>
        <w:spacing w:after="0" w:line="200" w:lineRule="exact"/>
        <w:rPr>
          <w:sz w:val="20"/>
          <w:szCs w:val="20"/>
          <w:color w:val="auto"/>
        </w:rPr>
      </w:pPr>
    </w:p>
    <w:p>
      <w:pPr>
        <w:spacing w:after="0" w:line="38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130" w:right="839" w:bottom="1440" w:gutter="0" w:footer="0" w:header="0"/>
        </w:sectPr>
      </w:pPr>
    </w:p>
    <w:bookmarkStart w:id="9" w:name="page10"/>
    <w:bookmarkEnd w:id="9"/>
    <w:p>
      <w:pPr>
        <w:ind w:left="20"/>
        <w:spacing w:after="0"/>
        <w:rPr>
          <w:sz w:val="20"/>
          <w:szCs w:val="20"/>
          <w:color w:val="auto"/>
        </w:rPr>
      </w:pPr>
      <w:r>
        <w:rPr>
          <w:rFonts w:ascii="Arial" w:cs="Arial" w:eastAsia="Arial" w:hAnsi="Arial"/>
          <w:sz w:val="16"/>
          <w:szCs w:val="16"/>
          <w:b w:val="1"/>
          <w:bCs w:val="1"/>
          <w:i w:val="1"/>
          <w:iCs w:val="1"/>
          <w:color w:val="auto"/>
        </w:rPr>
        <w:t>Loss on Derivatives:</w:t>
      </w:r>
    </w:p>
    <w:p>
      <w:pPr>
        <w:spacing w:after="0" w:line="221" w:lineRule="exact"/>
        <w:rPr>
          <w:sz w:val="20"/>
          <w:szCs w:val="20"/>
          <w:color w:val="auto"/>
        </w:rPr>
      </w:pPr>
    </w:p>
    <w:p>
      <w:pPr>
        <w:ind w:left="20" w:right="40" w:firstLine="324"/>
        <w:spacing w:after="0" w:line="293" w:lineRule="auto"/>
        <w:rPr>
          <w:sz w:val="20"/>
          <w:szCs w:val="20"/>
          <w:color w:val="auto"/>
        </w:rPr>
      </w:pPr>
      <w:r>
        <w:rPr>
          <w:rFonts w:ascii="Arial" w:cs="Arial" w:eastAsia="Arial" w:hAnsi="Arial"/>
          <w:sz w:val="15"/>
          <w:szCs w:val="15"/>
          <w:color w:val="auto"/>
        </w:rPr>
        <w:t>Loss on derivatives decreased by $7.2 million, from a loss of $13.5 million during the three-month period ended June 30, 2020, to a loss of $6.3 million during the three-month period ended June 30, 2021. The decrease in loss on derivatives is mainly attributable to a decrease of $13.2 million in loss from marked-to-market valuation of our derivative financial instruments carried at fair value through profit or loss which reflected a loss of $9.1 million in the three months ended June 30, 2020, as compared to a gain of $4.1 million in the three months ended June 30, 2021, partially offset by an increase of $6.2 million in realized loss from interest rate swaps held for trading as a result of the decrease in LIBOR.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(Loss)/profit for the Period:</w:t>
      </w:r>
    </w:p>
    <w:p>
      <w:pPr>
        <w:spacing w:after="0" w:line="221" w:lineRule="exact"/>
        <w:rPr>
          <w:sz w:val="20"/>
          <w:szCs w:val="20"/>
          <w:color w:val="auto"/>
        </w:rPr>
      </w:pPr>
    </w:p>
    <w:p>
      <w:pPr>
        <w:ind w:left="20" w:right="120" w:firstLine="324"/>
        <w:spacing w:after="0" w:line="293" w:lineRule="auto"/>
        <w:rPr>
          <w:sz w:val="20"/>
          <w:szCs w:val="20"/>
          <w:color w:val="auto"/>
        </w:rPr>
      </w:pPr>
      <w:r>
        <w:rPr>
          <w:rFonts w:ascii="Arial" w:cs="Arial" w:eastAsia="Arial" w:hAnsi="Arial"/>
          <w:sz w:val="16"/>
          <w:szCs w:val="16"/>
          <w:color w:val="auto"/>
        </w:rPr>
        <w:t>Loss for the period decreased by $21.0 million, from a loss of $13.3 million for the three-month period ended June 30, 2020, to a profit of $7.7 million for the three-month period ended June 30, 2021, as a result of the aforementioned factors.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Loss Attributable to Owners of the Group:</w:t>
      </w:r>
    </w:p>
    <w:p>
      <w:pPr>
        <w:spacing w:after="0" w:line="221" w:lineRule="exact"/>
        <w:rPr>
          <w:sz w:val="20"/>
          <w:szCs w:val="20"/>
          <w:color w:val="auto"/>
        </w:rPr>
      </w:pPr>
    </w:p>
    <w:p>
      <w:pPr>
        <w:ind w:left="20" w:right="120" w:firstLine="324"/>
        <w:spacing w:after="0" w:line="273" w:lineRule="auto"/>
        <w:rPr>
          <w:sz w:val="20"/>
          <w:szCs w:val="20"/>
          <w:color w:val="auto"/>
        </w:rPr>
      </w:pPr>
      <w:r>
        <w:rPr>
          <w:rFonts w:ascii="Arial" w:cs="Arial" w:eastAsia="Arial" w:hAnsi="Arial"/>
          <w:sz w:val="16"/>
          <w:szCs w:val="16"/>
          <w:color w:val="auto"/>
        </w:rPr>
        <w:t>Loss attributable to owners of the Group decreased by $16.5 million, from a loss of $21.3 million for the three-month period ended June 30, 2020, to a loss of $4.8 million for the three-month period ended June 30, 2021. The decrease in loss attributable to the owners of GasLog resulted mainly from the decrease in loss for the period mentioned above, partially offset by the increase in profit attributable to the non-controlling interests (non-controlling unitholders of GasLog Partners) following the increase in the Partnership’s profit.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Six-month period ended June 30, 2020, compared to the six-month period ended June 30, 2021</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1"/>
        </w:trPr>
        <w:tc>
          <w:tcPr>
            <w:tcW w:w="8280" w:type="dxa"/>
            <w:vAlign w:val="bottom"/>
          </w:tcPr>
          <w:p>
            <w:pPr>
              <w:spacing w:after="0"/>
              <w:rPr>
                <w:sz w:val="24"/>
                <w:szCs w:val="24"/>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03"/>
        </w:trPr>
        <w:tc>
          <w:tcPr>
            <w:tcW w:w="828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80" w:type="dxa"/>
            <w:vAlign w:val="bottom"/>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r>
      <w:tr>
        <w:trPr>
          <w:trHeight w:val="199"/>
        </w:trPr>
        <w:tc>
          <w:tcPr>
            <w:tcW w:w="82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324,758</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378,337</w:t>
            </w:r>
          </w:p>
        </w:tc>
      </w:tr>
      <w:tr>
        <w:trPr>
          <w:trHeight w:val="203"/>
        </w:trPr>
        <w:tc>
          <w:tcPr>
            <w:tcW w:w="8280" w:type="dxa"/>
            <w:vAlign w:val="bottom"/>
          </w:tcPr>
          <w:p>
            <w:pPr>
              <w:ind w:left="20"/>
              <w:spacing w:after="0"/>
              <w:rPr>
                <w:sz w:val="20"/>
                <w:szCs w:val="20"/>
                <w:color w:val="auto"/>
              </w:rPr>
            </w:pPr>
            <w:r>
              <w:rPr>
                <w:rFonts w:ascii="Arial" w:cs="Arial" w:eastAsia="Arial" w:hAnsi="Arial"/>
                <w:sz w:val="16"/>
                <w:szCs w:val="16"/>
                <w:color w:val="auto"/>
              </w:rPr>
              <w:t>Voyage expenses and commissions</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(12,915)</w:t>
            </w:r>
          </w:p>
        </w:tc>
        <w:tc>
          <w:tcPr>
            <w:tcW w:w="840" w:type="dxa"/>
            <w:vAlign w:val="bottom"/>
          </w:tcPr>
          <w:p>
            <w:pPr>
              <w:jc w:val="right"/>
              <w:spacing w:after="0"/>
              <w:rPr>
                <w:sz w:val="20"/>
                <w:szCs w:val="20"/>
                <w:color w:val="auto"/>
              </w:rPr>
            </w:pPr>
            <w:r>
              <w:rPr>
                <w:rFonts w:ascii="Arial" w:cs="Arial" w:eastAsia="Arial" w:hAnsi="Arial"/>
                <w:sz w:val="16"/>
                <w:szCs w:val="16"/>
                <w:color w:val="auto"/>
              </w:rPr>
              <w:t>(9,593)</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Vessel operating and supervision costs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(67,657)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(79,941)</w:t>
            </w:r>
          </w:p>
        </w:tc>
      </w:tr>
      <w:tr>
        <w:trPr>
          <w:trHeight w:val="203"/>
        </w:trPr>
        <w:tc>
          <w:tcPr>
            <w:tcW w:w="82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(85,144)</w:t>
            </w:r>
          </w:p>
        </w:tc>
        <w:tc>
          <w:tcPr>
            <w:tcW w:w="840" w:type="dxa"/>
            <w:vAlign w:val="bottom"/>
          </w:tcPr>
          <w:p>
            <w:pPr>
              <w:jc w:val="right"/>
              <w:spacing w:after="0"/>
              <w:rPr>
                <w:sz w:val="20"/>
                <w:szCs w:val="20"/>
                <w:color w:val="auto"/>
              </w:rPr>
            </w:pPr>
            <w:r>
              <w:rPr>
                <w:rFonts w:ascii="Arial" w:cs="Arial" w:eastAsia="Arial" w:hAnsi="Arial"/>
                <w:sz w:val="16"/>
                <w:szCs w:val="16"/>
                <w:color w:val="auto"/>
              </w:rPr>
              <w:t>(96,183)</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(20,775)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(25,240)</w:t>
            </w:r>
          </w:p>
        </w:tc>
      </w:tr>
      <w:tr>
        <w:trPr>
          <w:trHeight w:val="203"/>
        </w:trPr>
        <w:tc>
          <w:tcPr>
            <w:tcW w:w="8280" w:type="dxa"/>
            <w:vAlign w:val="bottom"/>
          </w:tcPr>
          <w:p>
            <w:pPr>
              <w:ind w:left="20"/>
              <w:spacing w:after="0"/>
              <w:rPr>
                <w:sz w:val="20"/>
                <w:szCs w:val="20"/>
                <w:color w:val="auto"/>
              </w:rPr>
            </w:pPr>
            <w:r>
              <w:rPr>
                <w:rFonts w:ascii="Arial" w:cs="Arial" w:eastAsia="Arial" w:hAnsi="Arial"/>
                <w:sz w:val="16"/>
                <w:szCs w:val="16"/>
                <w:color w:val="auto"/>
              </w:rPr>
              <w:t>Loss on disposal of non-current assets</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(572)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loss on vessels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(22,454)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115,241</w:t>
            </w:r>
          </w:p>
        </w:tc>
        <w:tc>
          <w:tcPr>
            <w:tcW w:w="2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167,380</w:t>
            </w:r>
          </w:p>
        </w:tc>
      </w:tr>
      <w:tr>
        <w:trPr>
          <w:trHeight w:val="19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costs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(84,998)</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(90,604)</w:t>
            </w:r>
          </w:p>
        </w:tc>
      </w:tr>
      <w:tr>
        <w:trPr>
          <w:trHeight w:val="203"/>
        </w:trPr>
        <w:tc>
          <w:tcPr>
            <w:tcW w:w="828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645</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(Loss)/gain on derivatives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(84,591)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13,973</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of profit of associates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19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expenses,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(168,016)</w:t>
            </w:r>
          </w:p>
        </w:tc>
        <w:tc>
          <w:tcPr>
            <w:tcW w:w="2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(75,425)</w:t>
            </w:r>
          </w:p>
        </w:tc>
      </w:tr>
      <w:tr>
        <w:trPr>
          <w:trHeight w:val="23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(Loss)/profit for the period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(52,775)</w:t>
            </w: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91,955</w:t>
            </w:r>
          </w:p>
        </w:tc>
      </w:tr>
      <w:tr>
        <w:trPr>
          <w:trHeight w:val="183"/>
        </w:trPr>
        <w:tc>
          <w:tcPr>
            <w:tcW w:w="82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Non-controlling interests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(20,052)</w:t>
            </w:r>
          </w:p>
        </w:tc>
        <w:tc>
          <w:tcPr>
            <w:tcW w:w="2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(38,805)</w:t>
            </w:r>
          </w:p>
        </w:tc>
      </w:tr>
      <w:tr>
        <w:trPr>
          <w:trHeight w:val="196"/>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(Loss)/profit attributable to owners of the Group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(72,827)</w:t>
            </w:r>
          </w:p>
        </w:tc>
        <w:tc>
          <w:tcPr>
            <w:tcW w:w="2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53,150</w:t>
            </w:r>
          </w:p>
        </w:tc>
      </w:tr>
      <w:tr>
        <w:trPr>
          <w:trHeight w:val="20"/>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20" w:firstLine="324"/>
        <w:spacing w:after="0" w:line="278" w:lineRule="auto"/>
        <w:rPr>
          <w:sz w:val="20"/>
          <w:szCs w:val="20"/>
          <w:color w:val="auto"/>
        </w:rPr>
      </w:pPr>
      <w:r>
        <w:rPr>
          <w:rFonts w:ascii="Arial" w:cs="Arial" w:eastAsia="Arial" w:hAnsi="Arial"/>
          <w:sz w:val="16"/>
          <w:szCs w:val="16"/>
          <w:color w:val="auto"/>
        </w:rPr>
        <w:t>During the six-month period ended June 30, 2020, we had an average of 29.0 ships operating in our owned and bareboat fleet (including ships owned by the Partnership), having 5,048 available days. During the six-month period ended June 30, 2021, we had an average of 33.1 ships operating in our owned and bareboat fleet (including ships owned by the Partnership), having 5,817 available days.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Revenues:</w:t>
      </w:r>
    </w:p>
    <w:p>
      <w:pPr>
        <w:spacing w:after="0" w:line="221" w:lineRule="exact"/>
        <w:rPr>
          <w:sz w:val="20"/>
          <w:szCs w:val="20"/>
          <w:color w:val="auto"/>
        </w:rPr>
      </w:pPr>
    </w:p>
    <w:p>
      <w:pPr>
        <w:ind w:left="20" w:firstLine="324"/>
        <w:spacing w:after="0" w:line="268" w:lineRule="auto"/>
        <w:rPr>
          <w:sz w:val="20"/>
          <w:szCs w:val="20"/>
          <w:color w:val="auto"/>
        </w:rPr>
      </w:pPr>
      <w:r>
        <w:rPr>
          <w:rFonts w:ascii="Arial" w:cs="Arial" w:eastAsia="Arial" w:hAnsi="Arial"/>
          <w:sz w:val="16"/>
          <w:szCs w:val="16"/>
          <w:color w:val="auto"/>
        </w:rPr>
        <w:t xml:space="preserve">Revenues increased by 16.5%, or $53.5 million, from $324.8 million during the six-month period ended June 30, 2020, to $378.3 million during the six-month period ended June 30, 2021. The increase in revenues is attributable to an increase of $56.5 million due to the deliveries of the GasLog wholly owned vessels,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Wellington</w:t>
      </w:r>
      <w:r>
        <w:rPr>
          <w:rFonts w:ascii="Arial" w:cs="Arial" w:eastAsia="Arial" w:hAnsi="Arial"/>
          <w:sz w:val="16"/>
          <w:szCs w:val="16"/>
          <w:color w:val="auto"/>
        </w:rPr>
        <w:t xml:space="preserve"> on April 1, 2020, May 11, 2020, July 15, 2020, November 16, 2020, January 4, 2021 and June 15, 2021, respectively, and a net increase of $20.4 million from the vessels of our spot fleet. These increases were partially offset by a decrease of $16.1 million attributable to the expirations of the initial multi-year time charters mainly of the Partnership’s vessels (which were at higher rates compared to their current spot rates) and a decrease of $2.3 million due to increased off-hire days for scheduled dry-dockings. The average daily hire rate decreased from $68,897 for the six-month period ended June 30, 2020, to $67,840 for the six-month period ended June 30,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130" w:right="859" w:bottom="1440" w:gutter="0" w:footer="0" w:header="0"/>
        </w:sectPr>
      </w:pPr>
    </w:p>
    <w:bookmarkStart w:id="10" w:name="page11"/>
    <w:bookmarkEnd w:id="10"/>
    <w:p>
      <w:pPr>
        <w:ind w:left="10" w:right="460" w:firstLine="324"/>
        <w:spacing w:after="0" w:line="293" w:lineRule="auto"/>
        <w:rPr>
          <w:sz w:val="20"/>
          <w:szCs w:val="20"/>
          <w:color w:val="auto"/>
        </w:rPr>
      </w:pPr>
      <w:r>
        <w:rPr>
          <w:rFonts w:ascii="Arial" w:cs="Arial" w:eastAsia="Arial" w:hAnsi="Arial"/>
          <w:sz w:val="16"/>
          <w:szCs w:val="16"/>
          <w:color w:val="auto"/>
        </w:rPr>
        <w:t>For the six months ended June 30, 2020, and 2021, an analysis of available days, revenues and voyage expenses and commissions per category is presented below:</w:t>
      </w:r>
    </w:p>
    <w:p>
      <w:pPr>
        <w:spacing w:after="0" w:line="168" w:lineRule="exact"/>
        <w:rPr>
          <w:sz w:val="20"/>
          <w:szCs w:val="20"/>
          <w:color w:val="auto"/>
        </w:rPr>
      </w:pPr>
    </w:p>
    <w:tbl>
      <w:tblPr>
        <w:tblLayout w:type="fixed"/>
        <w:tblInd w:w="103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208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2"/>
              </w:rPr>
              <w:t>For the six months ended</w:t>
            </w:r>
          </w:p>
        </w:tc>
        <w:tc>
          <w:tcPr>
            <w:tcW w:w="1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9"/>
              </w:rPr>
              <w:t>For the six months ended</w:t>
            </w:r>
          </w:p>
        </w:tc>
      </w:tr>
      <w:tr>
        <w:trPr>
          <w:trHeight w:val="210"/>
        </w:trPr>
        <w:tc>
          <w:tcPr>
            <w:tcW w:w="4160" w:type="dxa"/>
            <w:vAlign w:val="bottom"/>
          </w:tcPr>
          <w:p>
            <w:pPr>
              <w:spacing w:after="0"/>
              <w:rPr>
                <w:sz w:val="18"/>
                <w:szCs w:val="18"/>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June 30, 2020</w:t>
            </w:r>
          </w:p>
        </w:tc>
        <w:tc>
          <w:tcPr>
            <w:tcW w:w="1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June 30, 2021</w:t>
            </w:r>
          </w:p>
        </w:tc>
      </w:tr>
      <w:tr>
        <w:trPr>
          <w:trHeight w:val="202"/>
        </w:trPr>
        <w:tc>
          <w:tcPr>
            <w:tcW w:w="416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8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Spot fleet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Long-term fleet</w:t>
            </w:r>
          </w:p>
        </w:tc>
        <w:tc>
          <w:tcPr>
            <w:tcW w:w="160" w:type="dxa"/>
            <w:vAlign w:val="bottom"/>
          </w:tcPr>
          <w:p>
            <w:pPr>
              <w:spacing w:after="0"/>
              <w:rPr>
                <w:sz w:val="17"/>
                <w:szCs w:val="17"/>
                <w:color w:val="auto"/>
              </w:rPr>
            </w:pPr>
          </w:p>
        </w:tc>
        <w:tc>
          <w:tcPr>
            <w:tcW w:w="8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87"/>
              </w:rPr>
              <w:t>Spot fleet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Long-term fleet</w:t>
            </w:r>
          </w:p>
        </w:tc>
        <w:tc>
          <w:tcPr>
            <w:tcW w:w="20" w:type="dxa"/>
            <w:vAlign w:val="bottom"/>
          </w:tcPr>
          <w:p>
            <w:pPr>
              <w:spacing w:after="0"/>
              <w:rPr>
                <w:sz w:val="17"/>
                <w:szCs w:val="17"/>
                <w:color w:val="auto"/>
              </w:rPr>
            </w:pPr>
          </w:p>
        </w:tc>
      </w:tr>
      <w:tr>
        <w:trPr>
          <w:trHeight w:val="196"/>
        </w:trPr>
        <w:tc>
          <w:tcPr>
            <w:tcW w:w="41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5"/>
                <w:szCs w:val="15"/>
                <w:color w:val="auto"/>
              </w:rPr>
              <w:t xml:space="preserve">Available days </w:t>
            </w:r>
            <w:r>
              <w:rPr>
                <w:rFonts w:ascii="Arial" w:cs="Arial" w:eastAsia="Arial" w:hAnsi="Arial"/>
                <w:sz w:val="22"/>
                <w:szCs w:val="22"/>
                <w:color w:val="auto"/>
                <w:vertAlign w:val="superscript"/>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20" w:type="dxa"/>
            <w:vAlign w:val="bottom"/>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3"/>
                <w:szCs w:val="23"/>
                <w:color w:val="auto"/>
                <w:vertAlign w:val="superscript"/>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97,041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227,325</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144,256</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233,681</w:t>
            </w:r>
          </w:p>
        </w:tc>
        <w:tc>
          <w:tcPr>
            <w:tcW w:w="2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Voyage expenses and commissions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(9,206)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(6,283)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w:t>
            </w:r>
          </w:p>
        </w:tc>
        <w:tc>
          <w:tcPr>
            <w:tcW w:w="20" w:type="dxa"/>
            <w:vAlign w:val="bottom"/>
          </w:tcPr>
          <w:p>
            <w:pPr>
              <w:spacing w:after="0"/>
              <w:rPr>
                <w:sz w:val="17"/>
                <w:szCs w:val="17"/>
                <w:color w:val="auto"/>
              </w:rPr>
            </w:pPr>
          </w:p>
        </w:tc>
      </w:tr>
    </w:tbl>
    <w:p>
      <w:pPr>
        <w:spacing w:after="0" w:line="193" w:lineRule="exact"/>
        <w:rPr>
          <w:sz w:val="20"/>
          <w:szCs w:val="20"/>
          <w:color w:val="auto"/>
        </w:rPr>
      </w:pPr>
    </w:p>
    <w:p>
      <w:pPr>
        <w:ind w:left="10" w:right="200" w:hanging="10"/>
        <w:spacing w:after="0" w:line="213" w:lineRule="auto"/>
        <w:tabs>
          <w:tab w:leader="none" w:pos="192"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ind w:left="10"/>
        <w:spacing w:after="0"/>
        <w:rPr>
          <w:rFonts w:ascii="Arial" w:cs="Arial" w:eastAsia="Arial" w:hAnsi="Arial"/>
          <w:sz w:val="24"/>
          <w:szCs w:val="24"/>
          <w:color w:val="auto"/>
          <w:vertAlign w:val="superscript"/>
        </w:rPr>
      </w:pPr>
      <w:r>
        <w:rPr>
          <w:rFonts w:ascii="Arial" w:cs="Arial" w:eastAsia="Arial" w:hAnsi="Arial"/>
          <w:sz w:val="21"/>
          <w:szCs w:val="21"/>
          <w:color w:val="auto"/>
          <w:vertAlign w:val="superscript"/>
        </w:rPr>
        <w:t>(**)</w:t>
      </w:r>
      <w:r>
        <w:rPr>
          <w:rFonts w:ascii="Arial" w:cs="Arial" w:eastAsia="Arial" w:hAnsi="Arial"/>
          <w:sz w:val="14"/>
          <w:szCs w:val="14"/>
          <w:color w:val="auto"/>
        </w:rPr>
        <w:t xml:space="preserve"> Revenues exclude the revenues from vessel management services of $392 and $400 for the six months ended June 30, 2020, and 2021, respectively.</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21" w:lineRule="exact"/>
        <w:rPr>
          <w:sz w:val="20"/>
          <w:szCs w:val="20"/>
          <w:color w:val="auto"/>
        </w:rPr>
      </w:pPr>
    </w:p>
    <w:p>
      <w:pPr>
        <w:jc w:val="both"/>
        <w:ind w:left="10" w:right="20" w:firstLine="324"/>
        <w:spacing w:after="0" w:line="273" w:lineRule="auto"/>
        <w:rPr>
          <w:sz w:val="20"/>
          <w:szCs w:val="20"/>
          <w:color w:val="auto"/>
        </w:rPr>
      </w:pPr>
      <w:r>
        <w:rPr>
          <w:rFonts w:ascii="Arial" w:cs="Arial" w:eastAsia="Arial" w:hAnsi="Arial"/>
          <w:sz w:val="16"/>
          <w:szCs w:val="16"/>
          <w:color w:val="auto"/>
        </w:rPr>
        <w:t>Voyage expenses and commissions decreased by 25.6%, or $3.3 million, from $12.9 million during the six-month period ended June 30, 2020, to $9.6 million during the six-month period ended June 30, 2021. The decrease in voyage expenses and commissions is mainly attributable to a net decrease of $3.4 million in bunker consumption costs due to the increased utilization of our vessels in the spot fleet in the six-month period ended June 30, 2021, as compared to the same period in 2020.</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21" w:lineRule="exact"/>
        <w:rPr>
          <w:sz w:val="20"/>
          <w:szCs w:val="20"/>
          <w:color w:val="auto"/>
        </w:rPr>
      </w:pPr>
    </w:p>
    <w:p>
      <w:pPr>
        <w:ind w:left="10" w:firstLine="324"/>
        <w:spacing w:after="0" w:line="310" w:lineRule="auto"/>
        <w:rPr>
          <w:sz w:val="20"/>
          <w:szCs w:val="20"/>
          <w:color w:val="auto"/>
        </w:rPr>
      </w:pPr>
      <w:r>
        <w:rPr>
          <w:rFonts w:ascii="Arial" w:cs="Arial" w:eastAsia="Arial" w:hAnsi="Arial"/>
          <w:sz w:val="14"/>
          <w:szCs w:val="14"/>
          <w:color w:val="auto"/>
        </w:rPr>
        <w:t xml:space="preserve">Vessel operating and supervision costs increased by 18.0%, or $12.2 million, from $67.7 million during the six-month period ended June 30, 2020, to $79.9 million during the six-month period ended June 30, 2021. The increase in vessel operating and supervision costs is mainly attributable to the increase in ownership days due to the full operation and deliveries of the </w:t>
      </w:r>
      <w:r>
        <w:rPr>
          <w:rFonts w:ascii="Arial" w:cs="Arial" w:eastAsia="Arial" w:hAnsi="Arial"/>
          <w:sz w:val="14"/>
          <w:szCs w:val="14"/>
          <w:i w:val="1"/>
          <w:iCs w:val="1"/>
          <w:color w:val="auto"/>
        </w:rPr>
        <w:t>GasLog Windsor,</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Wales,</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Westminster,</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Georgetown,</w:t>
      </w:r>
      <w:r>
        <w:rPr>
          <w:rFonts w:ascii="Arial" w:cs="Arial" w:eastAsia="Arial" w:hAnsi="Arial"/>
          <w:sz w:val="14"/>
          <w:szCs w:val="14"/>
          <w:color w:val="auto"/>
        </w:rPr>
        <w:t xml:space="preserve"> the </w:t>
      </w:r>
      <w:r>
        <w:rPr>
          <w:rFonts w:ascii="Arial" w:cs="Arial" w:eastAsia="Arial" w:hAnsi="Arial"/>
          <w:sz w:val="14"/>
          <w:szCs w:val="14"/>
          <w:i w:val="1"/>
          <w:iCs w:val="1"/>
          <w:color w:val="auto"/>
        </w:rPr>
        <w:t xml:space="preserve">GasLog Galveston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Wellington </w:t>
      </w:r>
      <w:r>
        <w:rPr>
          <w:rFonts w:ascii="Arial" w:cs="Arial" w:eastAsia="Arial" w:hAnsi="Arial"/>
          <w:sz w:val="14"/>
          <w:szCs w:val="14"/>
          <w:color w:val="auto"/>
        </w:rPr>
        <w:t>on April 1, 2020, on May 11, 2020, on July 15, 2020, on November 16, 2020, on January 4, 2021 and on June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15, 2021, respectively, and also to the increase in daily operating costs from $13,384 per ownership day (as defined below excluding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managed by Shell) for the six-month period ended June 30, 2020, to $13,773 per ownership day (as defined below excluding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managed by Shell) for the six-month period ended June 30, 2021. Ownership days represent total calendar days for our owned and bareboat fleet. Daily operating costs per vessel increased mainly due to increased crew costs, as a result of COVID-19 restrictions (costs for travelling and quarantines) and the unfavorable movement of the EUR/USD exchange rate in the six-month period ended June 30, 2021, as compared to the six-month period ended June 30, 2020.</w:t>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1" w:lineRule="exact"/>
        <w:rPr>
          <w:sz w:val="20"/>
          <w:szCs w:val="20"/>
          <w:color w:val="auto"/>
        </w:rPr>
      </w:pPr>
    </w:p>
    <w:p>
      <w:pPr>
        <w:ind w:left="10" w:firstLine="324"/>
        <w:spacing w:after="0" w:line="287" w:lineRule="auto"/>
        <w:rPr>
          <w:sz w:val="20"/>
          <w:szCs w:val="20"/>
          <w:color w:val="auto"/>
        </w:rPr>
      </w:pPr>
      <w:r>
        <w:rPr>
          <w:rFonts w:ascii="Arial" w:cs="Arial" w:eastAsia="Arial" w:hAnsi="Arial"/>
          <w:sz w:val="15"/>
          <w:szCs w:val="15"/>
          <w:color w:val="auto"/>
        </w:rPr>
        <w:t>General and administrative expenses increased by 21.2%, or $4.4 million, from $20.8 million during the six-month period ended June 30, 2020, to $25.2 million during the six-month period ended June 30, 2021. The increase in absolute terms is mainly attributable to legal costs, accelerated amortization of the share-based compensation and other employee costs associated with the Transaction, the unfavorable movement of the EUR/USD exchange rate in the six-month period ended June 30, 2021, as well as the increased costs of directors and officers’ insurance, which were partially offset by reduced employee costs due to the restructuring completed in 2020. General and administrative expenses include the effect of the restructuring costs of $1.5 million and $0.1 million for the six-month period ended June 30, 2020, and 2021, respectively and the effect of the costs related to the Transaction of $9.0 million for the six-month period ended June 30, 2021. Daily general and administrative expenses increased from $3,967 per vessel ownership day for the six-month period ended June 30, 2020, to $4,217 per vessel ownership day for the six-month period ended June 30, 2021, which includes restructuring costs of $291 and $24 per vessel ownership day in six-month period ended June 30, 2020, and 2021, respectively and costs related to the Transaction of $1,497 per vessel ownership day in six-month period ended June 30, 2021.</w:t>
      </w:r>
    </w:p>
    <w:p>
      <w:pPr>
        <w:spacing w:after="0" w:line="165"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Impairment Loss on Vessels:</w:t>
      </w:r>
    </w:p>
    <w:p>
      <w:pPr>
        <w:spacing w:after="0" w:line="221" w:lineRule="exact"/>
        <w:rPr>
          <w:sz w:val="20"/>
          <w:szCs w:val="20"/>
          <w:color w:val="auto"/>
        </w:rPr>
      </w:pPr>
    </w:p>
    <w:p>
      <w:pPr>
        <w:ind w:left="10" w:right="20" w:firstLine="324"/>
        <w:spacing w:after="0" w:line="273" w:lineRule="auto"/>
        <w:rPr>
          <w:sz w:val="20"/>
          <w:szCs w:val="20"/>
          <w:color w:val="auto"/>
        </w:rPr>
      </w:pPr>
      <w:r>
        <w:rPr>
          <w:rFonts w:ascii="Arial" w:cs="Arial" w:eastAsia="Arial" w:hAnsi="Arial"/>
          <w:sz w:val="16"/>
          <w:szCs w:val="16"/>
          <w:color w:val="auto"/>
        </w:rPr>
        <w:t xml:space="preserve">Impairment loss on vessels was $22.5 million for the six-month period ended June 30, 2020, and nil for the same period in 2021. The impairment loss recorded as of June 30, 2020, was recognized with respect to four of our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as a result of anticipated increases in volatility in the spot charter market over the near term from COVID-19 pandemic related impacts to LNG and LNG shipping demand.</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Financial Costs:</w:t>
      </w:r>
    </w:p>
    <w:p>
      <w:pPr>
        <w:spacing w:after="0" w:line="221" w:lineRule="exact"/>
        <w:rPr>
          <w:sz w:val="20"/>
          <w:szCs w:val="20"/>
          <w:color w:val="auto"/>
        </w:rPr>
      </w:pPr>
    </w:p>
    <w:p>
      <w:pPr>
        <w:ind w:left="10" w:firstLine="324"/>
        <w:spacing w:after="0" w:line="288" w:lineRule="auto"/>
        <w:rPr>
          <w:sz w:val="20"/>
          <w:szCs w:val="20"/>
          <w:color w:val="auto"/>
        </w:rPr>
      </w:pPr>
      <w:r>
        <w:rPr>
          <w:rFonts w:ascii="Arial" w:cs="Arial" w:eastAsia="Arial" w:hAnsi="Arial"/>
          <w:sz w:val="15"/>
          <w:szCs w:val="15"/>
          <w:color w:val="auto"/>
        </w:rPr>
        <w:t>Financial costs increased by 6.6%, or $5.6 million, from $85.0 million during the six-month period ended June 30, 2020, to $90.6 million during the six-month period ended June 30, 2021. The increase is mainly attributable to an increase of $16.2 million in other financial costs, net related mainly to the $15.7 million financing fees associated with the amendment of the credit facilities as a result of the Transaction. This increase is partially offset by a decrease of $11.7 million in interest expense on loans and bonds in connection with a decrease in the LIBOR rates during the six-month period ended June 30, 2021, although there was higher weighted average indebtedness, compared to the same period in 2020. Specifically, during the six-month period ended June 30, 2021, we had an average of $3,801.7 million of outstanding indebtedness, with a weighted average interest rate of 3.1%, while during the six-month period ended June 30, 2020, we had an average of $3,259.3 million of outstanding indebtedness, with a weighted average interest rate of 4.3%. These weighted average interest rates include interest expense on loans, bonds and CCSs.</w:t>
      </w:r>
    </w:p>
    <w:p>
      <w:pPr>
        <w:sectPr>
          <w:pgSz w:w="11900" w:h="16838" w:orient="portrait"/>
          <w:cols w:equalWidth="0" w:num="1">
            <w:col w:w="10210"/>
          </w:cols>
          <w:pgMar w:left="830" w:top="130" w:right="859" w:bottom="1440" w:gutter="0" w:footer="0" w:header="0"/>
        </w:sectPr>
      </w:pPr>
    </w:p>
    <w:p>
      <w:pPr>
        <w:spacing w:after="0" w:line="392" w:lineRule="exact"/>
        <w:rPr>
          <w:sz w:val="20"/>
          <w:szCs w:val="20"/>
          <w:color w:val="auto"/>
        </w:rPr>
      </w:pPr>
    </w:p>
    <w:p>
      <w:pPr>
        <w:jc w:val="center"/>
        <w:ind w:right="-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649795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10"/>
          </w:cols>
          <w:pgMar w:left="830" w:top="130" w:right="8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(Loss)/gain on Derivatives:</w:t>
      </w:r>
    </w:p>
    <w:p>
      <w:pPr>
        <w:spacing w:after="0" w:line="221" w:lineRule="exact"/>
        <w:rPr>
          <w:sz w:val="20"/>
          <w:szCs w:val="20"/>
          <w:color w:val="auto"/>
        </w:rPr>
      </w:pPr>
    </w:p>
    <w:p>
      <w:pPr>
        <w:ind w:firstLine="324"/>
        <w:spacing w:after="0" w:line="293" w:lineRule="auto"/>
        <w:rPr>
          <w:sz w:val="20"/>
          <w:szCs w:val="20"/>
          <w:color w:val="auto"/>
        </w:rPr>
      </w:pPr>
      <w:r>
        <w:rPr>
          <w:rFonts w:ascii="Arial" w:cs="Arial" w:eastAsia="Arial" w:hAnsi="Arial"/>
          <w:sz w:val="15"/>
          <w:szCs w:val="15"/>
          <w:color w:val="auto"/>
        </w:rPr>
        <w:t>Loss on derivatives decreased by $98.6 million, from a loss of $84.6 million during the six-month period ended June 30, 2020, to a gain of $14.0 million during the six-month period ended June 30, 2021. The decrease in loss on derivatives is mainly attributable to a decrease of $111.9 million in loss from marked-to-market valuation of our derivative financial instruments carried at fair value through profit or loss which reflected a loss of $80.5 million in the six months ended June 30, 2020, as compared to a gain of $31.4 million in the six months ended June 30, 2021, partially offset by an increase of $14.1 million in realized loss from interest rate swaps held for trading as a result of the decrease in LIBOR.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(Loss)/profit for the Period:</w:t>
      </w:r>
    </w:p>
    <w:p>
      <w:pPr>
        <w:spacing w:after="0" w:line="22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Loss for the period decreased by $144.8 million, from a loss of $52.8 million for the six-month period ended June 30, 2020, to a profit of $92.0 million for the six-month period ended June 30, 2021, as a result of the aforementioned factors.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(Loss)/profit Attributable to Owners of the Group:</w:t>
      </w:r>
    </w:p>
    <w:p>
      <w:pPr>
        <w:spacing w:after="0" w:line="22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6"/>
          <w:szCs w:val="16"/>
          <w:color w:val="auto"/>
        </w:rPr>
        <w:t>Loss attributable to owners of the Group decreased by $126.0 million, from a loss of $72.8 million for the six-month period ended June 30, 2020, to a profit of $53.2 million for the six-month period ended June 30, 2021. The decrease in loss attributable to the owners of GasLog resulted mainly from the decrease in loss for the period mentioned above, partially offset by the increase in profit attributable to the non-controlling interests (non-controlling unitholders of GasLog Partners) following the increase in the Partnership’s profit.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6"/>
          <w:szCs w:val="16"/>
          <w:color w:val="auto"/>
        </w:rPr>
        <w:t>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75" w:lineRule="exact"/>
        <w:rPr>
          <w:sz w:val="20"/>
          <w:szCs w:val="20"/>
          <w:color w:val="auto"/>
        </w:rPr>
      </w:pPr>
    </w:p>
    <w:p>
      <w:pPr>
        <w:ind w:right="480" w:firstLine="324"/>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balancing investment returns to maintain appropriate liquidity. Cash and cash equivalents are held primarily in USD.</w:t>
      </w:r>
    </w:p>
    <w:p>
      <w:pPr>
        <w:spacing w:after="0" w:line="158" w:lineRule="exact"/>
        <w:rPr>
          <w:sz w:val="20"/>
          <w:szCs w:val="20"/>
          <w:color w:val="auto"/>
        </w:rPr>
      </w:pPr>
    </w:p>
    <w:p>
      <w:pPr>
        <w:ind w:right="160" w:firstLine="324"/>
        <w:spacing w:after="0" w:line="278" w:lineRule="auto"/>
        <w:rPr>
          <w:sz w:val="20"/>
          <w:szCs w:val="20"/>
          <w:color w:val="auto"/>
        </w:rPr>
      </w:pPr>
      <w:r>
        <w:rPr>
          <w:rFonts w:ascii="Arial" w:cs="Arial" w:eastAsia="Arial" w:hAnsi="Arial"/>
          <w:sz w:val="16"/>
          <w:szCs w:val="16"/>
          <w:color w:val="auto"/>
        </w:rPr>
        <w:t>As of June 30, 2021, GasLog had $232.1 million of cash and cash equivalents. In addition, an amount of $8.2 million was held as cash collaterals with respect to our swaps and is included in Other non-current assets and Prepayments and other current assets. An additional amount of $2.5 million of time deposits with an original duration greater than three months was classified under short-term investments.</w:t>
      </w:r>
    </w:p>
    <w:p>
      <w:pPr>
        <w:spacing w:after="0" w:line="17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 xml:space="preserve">On January 22, 2021, GasLog’s subsidiary, GAS-twenty four Ltd., completed the sale and leaseback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 Hai Kuo Shipping, a wholly owned subsidiary of ICBC. The vessel was sold to Hai Kuo Shipping. GasLog has leased back the vessel under a bareboat charter from Hai Kuo Shipping for a period of up to eight years. GasLog has the obligation to re-purchase the vessel at the end of the charter period. GasLog has also the option to re-purchase the vessel on pre-agreed terms no earlier than the first interest period and no later than the end of year eight of the bareboat charter. The vessel remains on its charter with Shell.</w:t>
      </w:r>
    </w:p>
    <w:p>
      <w:pPr>
        <w:spacing w:after="0" w:line="176"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6"/>
          <w:szCs w:val="16"/>
          <w:color w:val="auto"/>
        </w:rPr>
        <w:t>As of June 30, 2021, the total remaining balance of the contract price for the one LNG carrier on order was $150.9 million, all of which is due within 12 months, and which will be funded under the facility signed on December 12, 2019, with an Export Credit Agency-backed debt financing of $1.1 billion with 13 international banks to provide the debt funding for its current newbuilding program (the “Newbuilding Facility”). As of June 30, 2021, there was undrawn available capacity of $153.0 million under the Newbuilding Facility.</w:t>
      </w:r>
    </w:p>
    <w:p>
      <w:pPr>
        <w:spacing w:after="0" w:line="175" w:lineRule="exact"/>
        <w:rPr>
          <w:sz w:val="20"/>
          <w:szCs w:val="20"/>
          <w:color w:val="auto"/>
        </w:rPr>
      </w:pPr>
    </w:p>
    <w:p>
      <w:pPr>
        <w:ind w:right="220" w:firstLine="324"/>
        <w:spacing w:after="0" w:line="273" w:lineRule="auto"/>
        <w:rPr>
          <w:sz w:val="20"/>
          <w:szCs w:val="20"/>
          <w:color w:val="auto"/>
        </w:rPr>
      </w:pPr>
      <w:r>
        <w:rPr>
          <w:rFonts w:ascii="Arial" w:cs="Arial" w:eastAsia="Arial" w:hAnsi="Arial"/>
          <w:sz w:val="16"/>
          <w:szCs w:val="16"/>
          <w:color w:val="auto"/>
        </w:rPr>
        <w:t xml:space="preserve">As of June 30, 2021, GasLog had an aggregate of $3.8 billion of indebtedness outstanding under its credit facilities and bond agreements, of which $555.8 million is repayable within one year ($315.0 million of which relating to the 8.875% senior unsecured notes due in 2022 (the “8.875% Senior Notes”)), and $193.6 million of lease liabilities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of which $10.0 million is payable within one year.</w:t>
      </w:r>
    </w:p>
    <w:p>
      <w:pPr>
        <w:spacing w:after="0" w:line="175"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GasLog has hedged 44.1% of its expected floating interest rate exposure on its outstanding debt (excluding the lease liability and the 8.875% Senior Notes) as of June 30, 2021.</w:t>
      </w:r>
    </w:p>
    <w:p>
      <w:pPr>
        <w:spacing w:after="0" w:line="158"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In the three and six months ended June 30, 2021, GasLog Partners, under its ATM Common Equity Offering Programme, issued and received payment for 3,195,401 common units at a weighted average price of $3.19 per common unit for total gross proceeds of $10.2 million and net proceeds of $10.0 million, after broker commissions. As of June 30, 2021, GasLog held a 33.3% ownership interest (including the 2% interest through general partner units) in GasLog Partners.</w:t>
      </w:r>
    </w:p>
    <w:p>
      <w:pPr>
        <w:spacing w:after="0" w:line="175" w:lineRule="exact"/>
        <w:rPr>
          <w:sz w:val="20"/>
          <w:szCs w:val="20"/>
          <w:color w:val="auto"/>
        </w:rPr>
      </w:pPr>
    </w:p>
    <w:p>
      <w:pPr>
        <w:ind w:right="120" w:firstLine="324"/>
        <w:spacing w:after="0" w:line="328" w:lineRule="auto"/>
        <w:rPr>
          <w:sz w:val="20"/>
          <w:szCs w:val="20"/>
          <w:color w:val="auto"/>
        </w:rPr>
      </w:pPr>
      <w:r>
        <w:rPr>
          <w:rFonts w:ascii="Arial" w:cs="Arial" w:eastAsia="Arial" w:hAnsi="Arial"/>
          <w:sz w:val="15"/>
          <w:szCs w:val="15"/>
          <w:color w:val="auto"/>
        </w:rPr>
        <w:t>Our credit facilities are described in Note 13 of our annual audited consolidated financial statements included in our Annual Report on Form 20-F filed with the SEC on March 5, 2021 and Note 7 of our unaudited condensed consolidated financial statements included elsewhere in this report.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332" w:right="8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Working Capital Position</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As of June 30, 2021, GasLog’s current assets totaled $297.6 million, while current liabilities totaled $771.0 million, resulting in a negative working capital position of $473.4 million. Current liabilities include $315.0 million relating to the 8.875% Senior Notes, which will mature on March 22, 2022 (and we plan to refinance in due course), and $61.4 million of unearned revenue in relation to hires received in advance of June 30, 2021 (which represents a non-cash liability that will be recognized as revenue in July 2021 as the services are rendered).</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5"/>
          <w:szCs w:val="15"/>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Considering the volatile commercial and financial market conditions experienced throughout 2020 due to the COVID-19 pandemic and the continued uncertainty surrounding the long-term impact of the pandemic, we anticipate that our primary sources of funds for at least twelve months from the date of this report will be available cash, cash from operations and existing borrowings. We believe that these anticipated sources of funds will be sufficient to meet our liquidity needs and to comply with our banking covenants for at least twelve months from the date of this report and therefore it is appropriate to prepare the financial statements on a going concern basis. In relation to the 8.875% Senior Notes that mature on March 22, 2022, we are exploring all options available and have productive discussions with financiers to complete this refinancing on time subject to market conditions. In addition, we may enter into new debt facilities in the future, as well as equity or debt instruments, although there can be no assurance that we will be able to obtain additional financings on terms acceptable to us, which will also depend on financial, commercial and other factors that are beyond our control.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Six-month period ended June 30, 2020, compared to the six-month period ended June 30, 2021</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1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98"/>
              </w:rPr>
              <w:t>For the six months ended</w:t>
            </w:r>
          </w:p>
        </w:tc>
      </w:tr>
      <w:tr>
        <w:trPr>
          <w:trHeight w:val="210"/>
        </w:trPr>
        <w:tc>
          <w:tcPr>
            <w:tcW w:w="60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June 30, 2020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2"/>
              </w:rPr>
              <w:t>June 30, 2021</w:t>
            </w:r>
          </w:p>
        </w:tc>
      </w:tr>
      <w:tr>
        <w:trPr>
          <w:trHeight w:val="196"/>
        </w:trPr>
        <w:tc>
          <w:tcPr>
            <w:tcW w:w="604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8"/>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208,384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269,412</w:t>
            </w: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(371,179)</w:t>
            </w:r>
          </w:p>
        </w:tc>
        <w:tc>
          <w:tcPr>
            <w:tcW w:w="1000" w:type="dxa"/>
            <w:vAlign w:val="bottom"/>
          </w:tcPr>
          <w:p>
            <w:pPr>
              <w:jc w:val="right"/>
              <w:spacing w:after="0"/>
              <w:rPr>
                <w:sz w:val="20"/>
                <w:szCs w:val="20"/>
                <w:color w:val="auto"/>
              </w:rPr>
            </w:pPr>
            <w:r>
              <w:rPr>
                <w:rFonts w:ascii="Arial" w:cs="Arial" w:eastAsia="Arial" w:hAnsi="Arial"/>
                <w:sz w:val="16"/>
                <w:szCs w:val="16"/>
                <w:color w:val="auto"/>
              </w:rPr>
              <w:t>(335,050)</w:t>
            </w: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by/(used in) financing activities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(69,525)</w:t>
            </w:r>
          </w:p>
        </w:tc>
      </w:tr>
    </w:tbl>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221"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Net cash provided by operating activities increased by $61.0 million, from $208.4 million during the six-month period ended June 30, 2020, to $269.4 million during the six-month period ended June 30, 2021. The increase is mainly attributable to an increase in revenues of $53.5 million, an increase of $19.8 million in movements of the working capital accounts (mainly driven by a $17.2 million increase in unearned revenue collected), partially offset by an increase of $12.2 million in vessel operating and supervision costs.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21"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Net cash used in investing activities decreased by $36.1 million, from $371.2 million in the six-month period ended June 30, 2020, to $335.1 million in the six-month period ended June 30, 2021. The decrease is mainly attributable to a decrease of $41.1 million in net cash used in payments for the construction costs of newbuildings and other fixed assets, a decrease of $2.7 million in net cash used in payments for right-of-use assets, partially offset by a decrease of $7.0 million in cash from short-term investments in the six-month period ended June 30, 2021 (compared to the same period of 2020) and a decrease of $0.7 million in cash from interest income.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Net Cash Provided by/(Used in) Financing Activities</w:t>
      </w:r>
    </w:p>
    <w:p>
      <w:pPr>
        <w:spacing w:after="0" w:line="221" w:lineRule="exact"/>
        <w:rPr>
          <w:sz w:val="20"/>
          <w:szCs w:val="20"/>
          <w:color w:val="auto"/>
        </w:rPr>
      </w:pPr>
    </w:p>
    <w:p>
      <w:pPr>
        <w:ind w:right="40" w:firstLine="324"/>
        <w:spacing w:after="0" w:line="267" w:lineRule="auto"/>
        <w:rPr>
          <w:sz w:val="20"/>
          <w:szCs w:val="20"/>
          <w:color w:val="auto"/>
        </w:rPr>
      </w:pPr>
      <w:r>
        <w:rPr>
          <w:rFonts w:ascii="Arial" w:cs="Arial" w:eastAsia="Arial" w:hAnsi="Arial"/>
          <w:sz w:val="16"/>
          <w:szCs w:val="16"/>
          <w:color w:val="auto"/>
        </w:rPr>
        <w:t>Net cash provided by financing activities decreased by $143.6 million, from net cash provided by financing activities of $74.1 million in the six-month period ended June 30, 2020, to net cash used in financing activities of $69.5 million in the six-month period ended June 30, 2021. The decrease is mainly attributable to an increase of $116.3 million in bank loan and bond repayments, a decrease of $83.0 million in proceeds from bank loans and bonds, a decrease of $36.0 million in proceeds from the private placement which took place in the previous year, an increase of $15.7 million in loan/bond modification costs related to the Transaction and an increase of $1.7 million in cash paid for interest, partially offset by a net movement of $64.1 million in cash collaterals for swaps, a decrease of $23.1 million in dividend payments, an increase of $10.0 million in proceeds from GasLog Partner’s equity raisings, a decrease of $4.1 million relating to the payment for the termination of cross currency swaps in 2020, a decrease of $3.3 million in net payments of loan issuance costs, a decrease of $3.0 million in cash used for purchases of treasury shares and a decrease of $1.9 million in payments for bond repurchase at a premium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00"/>
          </w:cols>
          <w:pgMar w:left="840" w:top="126" w:right="859"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t>Contracted Charter Revenues and Days from Time Charters</w:t>
      </w:r>
    </w:p>
    <w:p>
      <w:pPr>
        <w:spacing w:after="0" w:line="225" w:lineRule="exact"/>
        <w:rPr>
          <w:sz w:val="20"/>
          <w:szCs w:val="20"/>
          <w:color w:val="auto"/>
        </w:rPr>
      </w:pPr>
    </w:p>
    <w:p>
      <w:pPr>
        <w:ind w:left="20" w:right="20" w:firstLine="324"/>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contract cover after June 30,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5200" w:type="dxa"/>
            <w:vAlign w:val="bottom"/>
            <w:gridSpan w:val="14"/>
          </w:tcPr>
          <w:p>
            <w:pPr>
              <w:jc w:val="right"/>
              <w:ind w:right="580"/>
              <w:spacing w:after="0"/>
              <w:rPr>
                <w:sz w:val="20"/>
                <w:szCs w:val="20"/>
                <w:color w:val="auto"/>
              </w:rPr>
            </w:pPr>
            <w:r>
              <w:rPr>
                <w:rFonts w:ascii="Arial" w:cs="Arial" w:eastAsia="Arial" w:hAnsi="Arial"/>
                <w:sz w:val="16"/>
                <w:szCs w:val="16"/>
                <w:b w:val="1"/>
                <w:bCs w:val="1"/>
                <w:color w:val="auto"/>
              </w:rPr>
              <w:t>Contracted Charter Revenues and Days from Time Charters</w:t>
            </w:r>
          </w:p>
        </w:tc>
      </w:tr>
      <w:tr>
        <w:trPr>
          <w:trHeight w:val="210"/>
        </w:trPr>
        <w:tc>
          <w:tcPr>
            <w:tcW w:w="50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0"/>
              </w:rPr>
              <w:t>After June 30,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8"/>
          </w:tcPr>
          <w:p>
            <w:pPr>
              <w:ind w:left="20"/>
              <w:spacing w:after="0"/>
              <w:rPr>
                <w:sz w:val="20"/>
                <w:szCs w:val="20"/>
                <w:color w:val="auto"/>
              </w:rPr>
            </w:pPr>
            <w:r>
              <w:rPr>
                <w:rFonts w:ascii="Arial" w:cs="Arial" w:eastAsia="Arial" w:hAnsi="Arial"/>
                <w:sz w:val="16"/>
                <w:szCs w:val="16"/>
                <w:b w:val="1"/>
                <w:bCs w:val="1"/>
                <w:color w:val="auto"/>
                <w:w w:val="94"/>
              </w:rPr>
              <w:t>For the years ending December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0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2025-2032</w:t>
            </w: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83"/>
        </w:trPr>
        <w:tc>
          <w:tcPr>
            <w:tcW w:w="5020" w:type="dxa"/>
            <w:vAlign w:val="bottom"/>
          </w:tcPr>
          <w:p>
            <w:pPr>
              <w:spacing w:after="0"/>
              <w:rPr>
                <w:sz w:val="15"/>
                <w:szCs w:val="15"/>
                <w:color w:val="auto"/>
              </w:rPr>
            </w:pPr>
          </w:p>
        </w:tc>
        <w:tc>
          <w:tcPr>
            <w:tcW w:w="4420" w:type="dxa"/>
            <w:vAlign w:val="bottom"/>
            <w:gridSpan w:val="11"/>
          </w:tcPr>
          <w:p>
            <w:pPr>
              <w:jc w:val="right"/>
              <w:spacing w:after="0" w:line="183" w:lineRule="exact"/>
              <w:rPr>
                <w:sz w:val="20"/>
                <w:szCs w:val="20"/>
                <w:color w:val="auto"/>
              </w:rPr>
            </w:pPr>
            <w:r>
              <w:rPr>
                <w:rFonts w:ascii="Arial" w:cs="Arial" w:eastAsia="Arial" w:hAnsi="Arial"/>
                <w:sz w:val="16"/>
                <w:szCs w:val="16"/>
                <w:b w:val="1"/>
                <w:bCs w:val="1"/>
                <w:color w:val="auto"/>
              </w:rPr>
              <w:t>(in millions of U.S. dollars, except days and percentages)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502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3"/>
                <w:szCs w:val="23"/>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498.0</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1,188.9</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3,075.5</w:t>
            </w:r>
          </w:p>
        </w:tc>
        <w:tc>
          <w:tcPr>
            <w:tcW w:w="140" w:type="dxa"/>
            <w:vAlign w:val="bottom"/>
            <w:shd w:val="clear" w:color="auto" w:fill="CCEEFF"/>
          </w:tcPr>
          <w:p>
            <w:pPr>
              <w:spacing w:after="0"/>
              <w:rPr>
                <w:sz w:val="17"/>
                <w:szCs w:val="17"/>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3"/>
                <w:szCs w:val="23"/>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5,768</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8,823</w:t>
            </w:r>
          </w:p>
        </w:tc>
        <w:tc>
          <w:tcPr>
            <w:tcW w:w="1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6,671</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5,521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15,723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42,506</w:t>
            </w:r>
          </w:p>
        </w:tc>
        <w:tc>
          <w:tcPr>
            <w:tcW w:w="140" w:type="dxa"/>
            <w:vAlign w:val="bottom"/>
          </w:tcPr>
          <w:p>
            <w:pPr>
              <w:spacing w:after="0"/>
              <w:rPr>
                <w:sz w:val="17"/>
                <w:szCs w:val="17"/>
                <w:color w:val="auto"/>
              </w:rPr>
            </w:pPr>
          </w:p>
        </w:tc>
      </w:tr>
      <w:tr>
        <w:trPr>
          <w:trHeight w:val="203"/>
        </w:trPr>
        <w:tc>
          <w:tcPr>
            <w:tcW w:w="502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3"/>
                <w:szCs w:val="23"/>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6,311</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12,775</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12,535</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12,690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100,530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144,841</w:t>
            </w:r>
          </w:p>
        </w:tc>
        <w:tc>
          <w:tcPr>
            <w:tcW w:w="140" w:type="dxa"/>
            <w:vAlign w:val="bottom"/>
            <w:shd w:val="clear" w:color="auto" w:fill="CCEEFF"/>
          </w:tcPr>
          <w:p>
            <w:pPr>
              <w:spacing w:after="0"/>
              <w:rPr>
                <w:sz w:val="17"/>
                <w:szCs w:val="17"/>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6"/>
                <w:szCs w:val="16"/>
                <w:color w:val="auto"/>
              </w:rPr>
              <w:t>Total unfixed days</w:t>
            </w:r>
            <w:r>
              <w:rPr>
                <w:rFonts w:ascii="Arial" w:cs="Arial" w:eastAsia="Arial" w:hAnsi="Arial"/>
                <w:sz w:val="23"/>
                <w:szCs w:val="23"/>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543</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3,952</w:t>
            </w:r>
          </w:p>
        </w:tc>
        <w:tc>
          <w:tcPr>
            <w:tcW w:w="1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5,864</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7,169</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84,807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102,335</w:t>
            </w:r>
          </w:p>
        </w:tc>
        <w:tc>
          <w:tcPr>
            <w:tcW w:w="140" w:type="dxa"/>
            <w:vAlign w:val="bottom"/>
          </w:tcPr>
          <w:p>
            <w:pPr>
              <w:spacing w:after="0"/>
              <w:rPr>
                <w:sz w:val="17"/>
                <w:szCs w:val="17"/>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total contracted days/total available days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91.4 %</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69.1 %</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53.2 %</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43.5 %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15.6 %</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29.3 %</w:t>
            </w:r>
          </w:p>
        </w:tc>
      </w:tr>
    </w:tbl>
    <w:p>
      <w:pPr>
        <w:spacing w:after="0" w:line="193" w:lineRule="exact"/>
        <w:rPr>
          <w:sz w:val="20"/>
          <w:szCs w:val="20"/>
          <w:color w:val="auto"/>
        </w:rPr>
      </w:pPr>
    </w:p>
    <w:p>
      <w:pPr>
        <w:jc w:val="both"/>
        <w:ind w:left="20"/>
        <w:spacing w:after="0" w:line="328" w:lineRule="auto"/>
        <w:rPr>
          <w:sz w:val="20"/>
          <w:szCs w:val="20"/>
          <w:color w:val="auto"/>
        </w:rPr>
      </w:pPr>
      <w:r>
        <w:rPr>
          <w:rFonts w:ascii="Arial" w:cs="Arial" w:eastAsia="Arial" w:hAnsi="Arial"/>
          <w:sz w:val="15"/>
          <w:szCs w:val="15"/>
          <w:color w:val="auto"/>
        </w:rPr>
        <w:t>After giving effect to the charter parties signed from June 30, 2021 until August 5, 2021, the contracted time charter revenues and the percentage of total contracted days to total available days for the remaining quarters of 2021 increased to $380.1 million and 95.6%,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6287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6" w:lineRule="exact"/>
        <w:rPr>
          <w:sz w:val="20"/>
          <w:szCs w:val="20"/>
          <w:color w:val="auto"/>
        </w:rPr>
      </w:pPr>
    </w:p>
    <w:p>
      <w:pPr>
        <w:ind w:left="200" w:right="60" w:hanging="190"/>
        <w:spacing w:after="0" w:line="245" w:lineRule="auto"/>
        <w:tabs>
          <w:tab w:leader="none" w:pos="200" w:val="left"/>
        </w:tabs>
        <w:numPr>
          <w:ilvl w:val="0"/>
          <w:numId w:val="8"/>
        </w:numPr>
        <w:rPr>
          <w:rFonts w:ascii="Arial" w:cs="Arial" w:eastAsia="Arial" w:hAnsi="Arial"/>
          <w:sz w:val="10"/>
          <w:szCs w:val="10"/>
          <w:color w:val="auto"/>
        </w:rPr>
      </w:pPr>
      <w:r>
        <w:rPr>
          <w:rFonts w:ascii="Arial" w:cs="Arial" w:eastAsia="Arial" w:hAnsi="Arial"/>
          <w:sz w:val="13"/>
          <w:szCs w:val="13"/>
          <w:color w:val="auto"/>
        </w:rPr>
        <w:t xml:space="preserve">Reflects time charter revenues and contracted days for 16 of our currently wholly owned vessels, the 15 vessels owned by the Partnership, the three bareboat vessels and the one newbuilding on order for which we have secured time charters. Does not include charter revenues for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115" w:lineRule="exact"/>
        <w:rPr>
          <w:rFonts w:ascii="Arial" w:cs="Arial" w:eastAsia="Arial" w:hAnsi="Arial"/>
          <w:sz w:val="10"/>
          <w:szCs w:val="10"/>
          <w:color w:val="auto"/>
        </w:rPr>
      </w:pPr>
    </w:p>
    <w:p>
      <w:pPr>
        <w:ind w:left="200" w:right="100" w:hanging="190"/>
        <w:spacing w:after="0" w:line="253" w:lineRule="auto"/>
        <w:tabs>
          <w:tab w:leader="none" w:pos="200" w:val="left"/>
        </w:tabs>
        <w:numPr>
          <w:ilvl w:val="0"/>
          <w:numId w:val="8"/>
        </w:numPr>
        <w:rPr>
          <w:rFonts w:ascii="Arial" w:cs="Arial" w:eastAsia="Arial" w:hAnsi="Arial"/>
          <w:sz w:val="11"/>
          <w:szCs w:val="11"/>
          <w:color w:val="auto"/>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106" w:lineRule="exact"/>
        <w:rPr>
          <w:rFonts w:ascii="Arial" w:cs="Arial" w:eastAsia="Arial" w:hAnsi="Arial"/>
          <w:sz w:val="11"/>
          <w:szCs w:val="11"/>
          <w:color w:val="auto"/>
        </w:rPr>
      </w:pPr>
    </w:p>
    <w:p>
      <w:pPr>
        <w:ind w:left="200" w:right="440" w:hanging="190"/>
        <w:spacing w:after="0" w:line="253" w:lineRule="auto"/>
        <w:tabs>
          <w:tab w:leader="none" w:pos="200" w:val="left"/>
        </w:tabs>
        <w:numPr>
          <w:ilvl w:val="0"/>
          <w:numId w:val="8"/>
        </w:numPr>
        <w:rPr>
          <w:rFonts w:ascii="Arial" w:cs="Arial" w:eastAsia="Arial" w:hAnsi="Arial"/>
          <w:sz w:val="11"/>
          <w:szCs w:val="11"/>
          <w:color w:val="auto"/>
        </w:rPr>
      </w:pPr>
      <w:r>
        <w:rPr>
          <w:rFonts w:ascii="Arial" w:cs="Arial" w:eastAsia="Arial" w:hAnsi="Arial"/>
          <w:sz w:val="14"/>
          <w:szCs w:val="14"/>
          <w:color w:val="auto"/>
        </w:rPr>
        <w:t>Represents available days for ships after the expiration of existing charters (assuming charterers do not exercise any option to extend the terms of the charters) and the available days for the vessels operating in the spot/short-term market.</w:t>
      </w:r>
    </w:p>
    <w:p>
      <w:pPr>
        <w:spacing w:after="0" w:line="115" w:lineRule="exact"/>
        <w:rPr>
          <w:sz w:val="20"/>
          <w:szCs w:val="20"/>
          <w:color w:val="auto"/>
        </w:rPr>
      </w:pPr>
    </w:p>
    <w:p>
      <w:pPr>
        <w:ind w:left="20" w:firstLine="324"/>
        <w:spacing w:after="0" w:line="284" w:lineRule="auto"/>
        <w:rPr>
          <w:sz w:val="20"/>
          <w:szCs w:val="20"/>
          <w:color w:val="auto"/>
        </w:rPr>
      </w:pPr>
      <w:r>
        <w:rPr>
          <w:rFonts w:ascii="Arial" w:cs="Arial" w:eastAsia="Arial" w:hAnsi="Arial"/>
          <w:sz w:val="15"/>
          <w:szCs w:val="15"/>
          <w:color w:val="auto"/>
        </w:rPr>
        <w:t>Other than the assumptions reflected in the footnotes to the table, including our assumption that our newbuilding is delivered on schedule, the table does not reflect events occurring after June 30, 2021.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vessels that are operating in the spot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5, 2021.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Significant Accounting Policies</w:t>
      </w:r>
    </w:p>
    <w:p>
      <w:pPr>
        <w:spacing w:after="0" w:line="225" w:lineRule="exact"/>
        <w:rPr>
          <w:sz w:val="20"/>
          <w:szCs w:val="20"/>
          <w:color w:val="auto"/>
        </w:rPr>
      </w:pPr>
    </w:p>
    <w:p>
      <w:pPr>
        <w:ind w:left="20" w:right="40" w:firstLine="324"/>
        <w:spacing w:after="0" w:line="369" w:lineRule="auto"/>
        <w:rPr>
          <w:sz w:val="20"/>
          <w:szCs w:val="20"/>
          <w:color w:val="auto"/>
        </w:rPr>
      </w:pPr>
      <w:r>
        <w:rPr>
          <w:rFonts w:ascii="Arial" w:cs="Arial" w:eastAsia="Arial" w:hAnsi="Arial"/>
          <w:sz w:val="14"/>
          <w:szCs w:val="14"/>
          <w:color w:val="auto"/>
        </w:rPr>
        <w:t>For a description of all of our significant accounting policies, see Note 2 of our annual audited consolidated financial statements included in our Annual Report on Form 20-F filed on March 5, 2021, and Note 2 of our unaudited condensed consolidated financial statements included elsewhere in this report.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126" w:right="859"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w w:val="92"/>
              </w:rPr>
              <w:t>Exhibit 99.2</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40" w:type="dxa"/>
            <w:vAlign w:val="bottom"/>
            <w:gridSpan w:val="7"/>
          </w:tcPr>
          <w:p>
            <w:pPr>
              <w:jc w:val="center"/>
              <w:ind w:right="680"/>
              <w:spacing w:after="0"/>
              <w:rPr>
                <w:sz w:val="20"/>
                <w:szCs w:val="20"/>
                <w:color w:val="auto"/>
              </w:rPr>
            </w:pPr>
            <w:r>
              <w:rPr>
                <w:rFonts w:ascii="Arial" w:cs="Arial" w:eastAsia="Arial" w:hAnsi="Arial"/>
                <w:sz w:val="16"/>
                <w:szCs w:val="16"/>
                <w:b w:val="1"/>
                <w:bCs w:val="1"/>
                <w:color w:val="auto"/>
              </w:rPr>
              <w:t>GASLOG LTD.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8"/>
          </w:tcPr>
          <w:p>
            <w:pPr>
              <w:jc w:val="center"/>
              <w:ind w:left="739"/>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940" w:type="dxa"/>
            <w:vAlign w:val="bottom"/>
            <w:gridSpan w:val="9"/>
            <w:shd w:val="clear" w:color="auto" w:fill="CCEEFF"/>
          </w:tcPr>
          <w:p>
            <w:pPr>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Unaudited condensed consolidated statements of financial position as of December 31,2020 and June 30, 2021</w:t>
              </w:r>
            </w:hyperlink>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F-2</w:t>
            </w:r>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vMerge w:val="restart"/>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940" w:type="dxa"/>
            <w:vAlign w:val="bottom"/>
            <w:gridSpan w:val="9"/>
            <w:shd w:val="clear" w:color="auto" w:fill="CCEEFF"/>
          </w:tcPr>
          <w:p>
            <w:pPr>
              <w:spacing w:after="0" w:line="162" w:lineRule="exact"/>
              <w:rPr>
                <w:rFonts w:ascii="Arial" w:cs="Arial" w:eastAsia="Arial" w:hAnsi="Arial"/>
                <w:sz w:val="16"/>
                <w:szCs w:val="16"/>
                <w:color w:val="0000EE"/>
                <w:w w:val="91"/>
              </w:rPr>
            </w:pPr>
            <w:hyperlink w:anchor="page17">
              <w:r>
                <w:rPr>
                  <w:rFonts w:ascii="Arial" w:cs="Arial" w:eastAsia="Arial" w:hAnsi="Arial"/>
                  <w:sz w:val="16"/>
                  <w:szCs w:val="16"/>
                  <w:color w:val="0000EE"/>
                  <w:w w:val="91"/>
                </w:rPr>
                <w:t>Unaudited condensed consolidated statements of profit or loss for the three and six months ended June 30,2020 and 2021</w:t>
              </w:r>
            </w:hyperlink>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F-3</w:t>
            </w:r>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vMerge w:val="restart"/>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940" w:type="dxa"/>
            <w:vAlign w:val="bottom"/>
            <w:gridSpan w:val="9"/>
            <w:shd w:val="clear" w:color="auto" w:fill="CCEEFF"/>
          </w:tcPr>
          <w:p>
            <w:pPr>
              <w:spacing w:after="0" w:line="162" w:lineRule="exact"/>
              <w:rPr>
                <w:rFonts w:ascii="Arial" w:cs="Arial" w:eastAsia="Arial" w:hAnsi="Arial"/>
                <w:sz w:val="16"/>
                <w:szCs w:val="16"/>
                <w:color w:val="0000EE"/>
                <w:w w:val="96"/>
              </w:rPr>
            </w:pPr>
            <w:hyperlink w:anchor="page18">
              <w:r>
                <w:rPr>
                  <w:rFonts w:ascii="Arial" w:cs="Arial" w:eastAsia="Arial" w:hAnsi="Arial"/>
                  <w:sz w:val="16"/>
                  <w:szCs w:val="16"/>
                  <w:color w:val="0000EE"/>
                  <w:w w:val="96"/>
                </w:rPr>
                <w:t>Unaudited condensed consolidated statements of comprehensive income or loss for the three and six months ended</w:t>
              </w:r>
            </w:hyperlink>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tcPr>
          <w:p>
            <w:pPr>
              <w:spacing w:after="0"/>
              <w:rPr>
                <w:sz w:val="17"/>
                <w:szCs w:val="17"/>
                <w:color w:val="auto"/>
              </w:rPr>
            </w:pPr>
          </w:p>
        </w:tc>
        <w:tc>
          <w:tcPr>
            <w:tcW w:w="7420" w:type="dxa"/>
            <w:vAlign w:val="bottom"/>
            <w:tcBorders>
              <w:top w:val="single" w:sz="8" w:color="0000EE"/>
            </w:tcBorders>
            <w:gridSpan w:val="6"/>
            <w:shd w:val="clear" w:color="auto" w:fill="CCEEFF"/>
          </w:tcPr>
          <w:p>
            <w:pPr>
              <w:ind w:left="100"/>
              <w:spacing w:after="0" w:line="183" w:lineRule="exact"/>
              <w:rPr>
                <w:rFonts w:ascii="Arial" w:cs="Arial" w:eastAsia="Arial" w:hAnsi="Arial"/>
                <w:sz w:val="16"/>
                <w:szCs w:val="16"/>
                <w:color w:val="0000EE"/>
              </w:rPr>
            </w:pPr>
            <w:hyperlink w:anchor="page18">
              <w:r>
                <w:rPr>
                  <w:rFonts w:ascii="Arial" w:cs="Arial" w:eastAsia="Arial" w:hAnsi="Arial"/>
                  <w:sz w:val="16"/>
                  <w:szCs w:val="16"/>
                  <w:color w:val="0000EE"/>
                </w:rPr>
                <w:t>June 30,2020 and 2021</w:t>
              </w:r>
            </w:hyperlink>
          </w:p>
        </w:tc>
        <w:tc>
          <w:tcPr>
            <w:tcW w:w="520" w:type="dxa"/>
            <w:vAlign w:val="bottom"/>
            <w:tcBorders>
              <w:top w:val="single" w:sz="8" w:color="CCEEFF"/>
            </w:tcBorders>
            <w:gridSpan w:val="3"/>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1"/>
              </w:rPr>
              <w:t>F-4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76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940" w:type="dxa"/>
            <w:vAlign w:val="bottom"/>
            <w:gridSpan w:val="9"/>
            <w:shd w:val="clear" w:color="auto" w:fill="CCEEFF"/>
          </w:tcPr>
          <w:p>
            <w:pPr>
              <w:spacing w:after="0" w:line="162" w:lineRule="exact"/>
              <w:rPr>
                <w:rFonts w:ascii="Arial" w:cs="Arial" w:eastAsia="Arial" w:hAnsi="Arial"/>
                <w:sz w:val="16"/>
                <w:szCs w:val="16"/>
                <w:color w:val="0000EE"/>
                <w:w w:val="95"/>
              </w:rPr>
            </w:pPr>
            <w:hyperlink w:anchor="page19">
              <w:r>
                <w:rPr>
                  <w:rFonts w:ascii="Arial" w:cs="Arial" w:eastAsia="Arial" w:hAnsi="Arial"/>
                  <w:sz w:val="16"/>
                  <w:szCs w:val="16"/>
                  <w:color w:val="0000EE"/>
                  <w:w w:val="95"/>
                </w:rPr>
                <w:t>Unaudited condensed consolidated statements of changes in equity for the six months ended June 30,2020 and 2021</w:t>
              </w:r>
            </w:hyperlink>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vMerge w:val="restart"/>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940" w:type="dxa"/>
            <w:vAlign w:val="bottom"/>
            <w:gridSpan w:val="9"/>
            <w:shd w:val="clear" w:color="auto" w:fill="CCEEFF"/>
          </w:tcPr>
          <w:p>
            <w:pPr>
              <w:spacing w:after="0" w:line="162" w:lineRule="exact"/>
              <w:rPr>
                <w:rFonts w:ascii="Arial" w:cs="Arial" w:eastAsia="Arial" w:hAnsi="Arial"/>
                <w:sz w:val="16"/>
                <w:szCs w:val="16"/>
                <w:color w:val="0000EE"/>
              </w:rPr>
            </w:pPr>
            <w:hyperlink w:anchor="page20">
              <w:r>
                <w:rPr>
                  <w:rFonts w:ascii="Arial" w:cs="Arial" w:eastAsia="Arial" w:hAnsi="Arial"/>
                  <w:sz w:val="16"/>
                  <w:szCs w:val="16"/>
                  <w:color w:val="0000EE"/>
                </w:rPr>
                <w:t>Unaudited condensed consolidated statements of cash flows for the six months ended June 30,2020 and 2021</w:t>
              </w:r>
            </w:hyperlink>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F-6</w:t>
            </w:r>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vMerge w:val="restart"/>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940" w:type="dxa"/>
            <w:vAlign w:val="bottom"/>
            <w:gridSpan w:val="9"/>
            <w:shd w:val="clear" w:color="auto" w:fill="CCEEFF"/>
          </w:tcPr>
          <w:p>
            <w:pPr>
              <w:spacing w:after="0" w:line="162" w:lineRule="exact"/>
              <w:rPr>
                <w:rFonts w:ascii="Arial" w:cs="Arial" w:eastAsia="Arial" w:hAnsi="Arial"/>
                <w:sz w:val="16"/>
                <w:szCs w:val="16"/>
                <w:color w:val="0000EE"/>
              </w:rPr>
            </w:pPr>
            <w:hyperlink w:anchor="page22">
              <w:r>
                <w:rPr>
                  <w:rFonts w:ascii="Arial" w:cs="Arial" w:eastAsia="Arial" w:hAnsi="Arial"/>
                  <w:sz w:val="16"/>
                  <w:szCs w:val="16"/>
                  <w:color w:val="0000EE"/>
                </w:rPr>
                <w:t>Notes to the unaudited condensed consolidated financial statements</w:t>
              </w:r>
            </w:hyperlink>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6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6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As of December 31, 2020 and June 30, 2021</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21,759</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22,429</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12,463</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5,570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Tangible fixed assets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5,028,509</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5,326,990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Vessels under construction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132,839</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78,692</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Right-of-use assets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5</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203,437</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200,905</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5,419,229</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5,652,443</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37,966</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1,259</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current portion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Inventories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7,564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8,890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14,825</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Short-term investments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367,269</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232,054</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437,534</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297,591</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5,856,763</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5,950,034</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6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Preference shares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Contributed surplus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759,822</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745,262</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Reserves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15,175</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Treasury shares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(132,780)</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(79,630)</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645,369</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681,807</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951,768</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984,347</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equity</w:t>
            </w: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1,597,137</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1,666,154</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Trade accounts payable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25,046</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23,295</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Ship management creditors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current portion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35,415</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33,393</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143,057</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148,119</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Borrowings, current portion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245,626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555,775</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Lease liability, current portion</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5</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9,644</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9,950</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459,349</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770,995</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78,440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48,679</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3,527,595</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3,273,473</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 non-current portion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186,526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183,608</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liabilities</w:t>
            </w: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7,716</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7,125</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3,800,277</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3,512,885</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5,856,763</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5,950,034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GasLog Ltd. and its Subsidiaries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For the three and six months ended June 30, 2020 and 2021</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4"/>
          </w:tcPr>
          <w:p>
            <w:pPr>
              <w:spacing w:after="0"/>
              <w:rPr>
                <w:sz w:val="20"/>
                <w:szCs w:val="20"/>
                <w:color w:val="auto"/>
              </w:rPr>
            </w:pPr>
            <w:r>
              <w:rPr>
                <w:rFonts w:ascii="Arial" w:cs="Arial" w:eastAsia="Arial" w:hAnsi="Arial"/>
                <w:sz w:val="16"/>
                <w:szCs w:val="16"/>
                <w:b w:val="1"/>
                <w:bCs w:val="1"/>
                <w:color w:val="auto"/>
                <w:w w:val="98"/>
              </w:rPr>
              <w:t>For the three months ended</w:t>
            </w: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For the six months ended</w:t>
            </w: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Notes</w:t>
            </w: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r>
      <w:tr>
        <w:trPr>
          <w:trHeight w:val="202"/>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158,861</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173,010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324,758</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378,337</w:t>
            </w: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(5,442)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(5,681)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(12,915)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(9,593)</w:t>
            </w: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and supervision costs</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(32,605)</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(79,941)</w:t>
            </w: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Depreciation</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4, 5</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(43,647)</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(48,493)</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(85,144)</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(96,183)</w:t>
            </w: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(25,240)</w:t>
            </w: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(22,454)</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8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42,987</w:t>
            </w:r>
          </w:p>
        </w:tc>
        <w:tc>
          <w:tcPr>
            <w:tcW w:w="1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64,650</w:t>
            </w: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115,241</w:t>
            </w:r>
          </w:p>
        </w:tc>
        <w:tc>
          <w:tcPr>
            <w:tcW w:w="1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167,380</w:t>
            </w: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(84,998)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(90,604)</w:t>
            </w: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Financial income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(Loss)/gain on derivatives</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13,973</w:t>
            </w:r>
          </w:p>
        </w:tc>
      </w:tr>
      <w:tr>
        <w:trPr>
          <w:trHeight w:val="203"/>
        </w:trPr>
        <w:tc>
          <w:tcPr>
            <w:tcW w:w="20" w:type="dxa"/>
            <w:vAlign w:val="bottom"/>
          </w:tcPr>
          <w:p>
            <w:pPr>
              <w:spacing w:after="0"/>
              <w:rPr>
                <w:sz w:val="17"/>
                <w:szCs w:val="17"/>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of profit of associates</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3</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(56,325)</w:t>
            </w: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(56,939)</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(168,016)</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(75,425)</w:t>
            </w: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(Loss)/profit for the period</w:t>
            </w:r>
          </w:p>
        </w:tc>
        <w:tc>
          <w:tcPr>
            <w:tcW w:w="8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(13,338)</w:t>
            </w:r>
          </w:p>
        </w:tc>
        <w:tc>
          <w:tcPr>
            <w:tcW w:w="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7,711</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(52,775)</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91,955</w:t>
            </w:r>
          </w:p>
        </w:tc>
      </w:tr>
      <w:tr>
        <w:trPr>
          <w:trHeight w:val="163"/>
        </w:trPr>
        <w:tc>
          <w:tcPr>
            <w:tcW w:w="20" w:type="dxa"/>
            <w:vAlign w:val="bottom"/>
          </w:tcPr>
          <w:p>
            <w:pPr>
              <w:spacing w:after="0"/>
              <w:rPr>
                <w:sz w:val="14"/>
                <w:szCs w:val="14"/>
                <w:color w:val="auto"/>
              </w:rPr>
            </w:pPr>
          </w:p>
        </w:tc>
        <w:tc>
          <w:tcPr>
            <w:tcW w:w="4040" w:type="dxa"/>
            <w:vAlign w:val="bottom"/>
            <w:tcBorders>
              <w:bottom w:val="single" w:sz="8" w:color="CCEEFF"/>
            </w:tcBorders>
            <w:shd w:val="clear" w:color="auto" w:fill="CCEEFF"/>
          </w:tcPr>
          <w:p>
            <w:pPr>
              <w:spacing w:after="0" w:line="160" w:lineRule="exact"/>
              <w:rPr>
                <w:sz w:val="20"/>
                <w:szCs w:val="20"/>
                <w:color w:val="auto"/>
              </w:rPr>
            </w:pPr>
            <w:r>
              <w:rPr>
                <w:rFonts w:ascii="Arial" w:cs="Arial" w:eastAsia="Arial" w:hAnsi="Arial"/>
                <w:sz w:val="16"/>
                <w:szCs w:val="16"/>
                <w:color w:val="auto"/>
              </w:rPr>
              <w:t>Attributable to:</w:t>
            </w:r>
          </w:p>
        </w:tc>
        <w:tc>
          <w:tcPr>
            <w:tcW w:w="8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Owners of the Group</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(21,348)</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(4,784)</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(72,827)</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53,150</w:t>
            </w: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8,010</w:t>
            </w: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12,495</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20,052</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38,805</w:t>
            </w:r>
          </w:p>
        </w:tc>
      </w:tr>
      <w:tr>
        <w:trPr>
          <w:trHeight w:val="196"/>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(13,338)</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7,711</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(52,775)</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91,955</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GasLog Ltd. and its Subsidiaries</w:t>
      </w:r>
    </w:p>
    <w:p>
      <w:pPr>
        <w:spacing w:after="0" w:line="208" w:lineRule="exact"/>
        <w:rPr>
          <w:sz w:val="20"/>
          <w:szCs w:val="20"/>
          <w:color w:val="auto"/>
        </w:rPr>
      </w:pPr>
    </w:p>
    <w:p>
      <w:pPr>
        <w:ind w:left="60" w:right="3519"/>
        <w:spacing w:after="0" w:line="281" w:lineRule="auto"/>
        <w:rPr>
          <w:sz w:val="20"/>
          <w:szCs w:val="20"/>
          <w:color w:val="auto"/>
        </w:rPr>
      </w:pPr>
      <w:r>
        <w:rPr>
          <w:rFonts w:ascii="Arial" w:cs="Arial" w:eastAsia="Arial" w:hAnsi="Arial"/>
          <w:sz w:val="16"/>
          <w:szCs w:val="16"/>
          <w:b w:val="1"/>
          <w:bCs w:val="1"/>
          <w:color w:val="auto"/>
        </w:rPr>
        <w:t>Unaudited condensed consolidated statements of comprehensive income or loss For the three and six months ended June 30, 2020 and 2021 (Amounts expressed in thousands of U.S. Dollars)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4"/>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6"/>
              </w:rPr>
              <w:t>For the six months ended</w:t>
            </w: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5"/>
              </w:rPr>
              <w:t>Notes</w:t>
            </w:r>
          </w:p>
        </w:tc>
        <w:tc>
          <w:tcPr>
            <w:tcW w:w="126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2021</w:t>
            </w:r>
          </w:p>
        </w:tc>
      </w:tr>
      <w:tr>
        <w:trPr>
          <w:trHeight w:val="202"/>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(Loss)/profit for the period</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(13,338)</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(52,775)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91,955</w:t>
            </w: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2"/>
              </w:rPr>
              <w:t>Items that may be reclassified subsequently to profit or</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00" w:type="dxa"/>
            <w:vAlign w:val="bottom"/>
          </w:tcPr>
          <w:p>
            <w:pPr>
              <w:ind w:left="100"/>
              <w:spacing w:after="0"/>
              <w:rPr>
                <w:sz w:val="20"/>
                <w:szCs w:val="20"/>
                <w:color w:val="auto"/>
              </w:rPr>
            </w:pPr>
            <w:r>
              <w:rPr>
                <w:rFonts w:ascii="Arial" w:cs="Arial" w:eastAsia="Arial" w:hAnsi="Arial"/>
                <w:sz w:val="16"/>
                <w:szCs w:val="16"/>
                <w:color w:val="auto"/>
              </w:rPr>
              <w:t>hedges, net of amounts recycled to profit or loss</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1,881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(2,229)</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02"/>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income/(loss) for the period</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r>
      <w:tr>
        <w:trPr>
          <w:trHeight w:val="236"/>
        </w:trPr>
        <w:tc>
          <w:tcPr>
            <w:tcW w:w="20" w:type="dxa"/>
            <w:vAlign w:val="bottom"/>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comprehensive (loss)/income for the period</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(11,457)</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8,706</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(55,004)</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91,852</w:t>
            </w:r>
          </w:p>
        </w:tc>
      </w:tr>
      <w:tr>
        <w:trPr>
          <w:trHeight w:val="163"/>
        </w:trPr>
        <w:tc>
          <w:tcPr>
            <w:tcW w:w="20" w:type="dxa"/>
            <w:vAlign w:val="bottom"/>
          </w:tcPr>
          <w:p>
            <w:pPr>
              <w:spacing w:after="0"/>
              <w:rPr>
                <w:sz w:val="14"/>
                <w:szCs w:val="14"/>
                <w:color w:val="auto"/>
              </w:rPr>
            </w:pPr>
          </w:p>
        </w:tc>
        <w:tc>
          <w:tcPr>
            <w:tcW w:w="3900" w:type="dxa"/>
            <w:vAlign w:val="bottom"/>
            <w:tcBorders>
              <w:bottom w:val="single" w:sz="8" w:color="CCEEFF"/>
            </w:tcBorders>
            <w:shd w:val="clear" w:color="auto" w:fill="CCEEFF"/>
          </w:tcPr>
          <w:p>
            <w:pPr>
              <w:spacing w:after="0" w:line="160" w:lineRule="exact"/>
              <w:rPr>
                <w:sz w:val="20"/>
                <w:szCs w:val="20"/>
                <w:color w:val="auto"/>
              </w:rPr>
            </w:pPr>
            <w:r>
              <w:rPr>
                <w:rFonts w:ascii="Arial" w:cs="Arial" w:eastAsia="Arial" w:hAnsi="Arial"/>
                <w:sz w:val="16"/>
                <w:szCs w:val="16"/>
                <w:color w:val="auto"/>
              </w:rPr>
              <w:t>Attributable to:</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Owners of the Group</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(19,467)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(3,789)</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(75,056)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53,047</w:t>
            </w: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8,010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38,805</w:t>
            </w:r>
          </w:p>
        </w:tc>
      </w:tr>
      <w:tr>
        <w:trPr>
          <w:trHeight w:val="196"/>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(11,457)</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8,706</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(55,004)</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91,852</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Preference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Contributed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Treasury</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6"/>
              </w:rPr>
              <w:t>Attributable</w:t>
            </w: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Non -</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continue"/>
          </w:tcPr>
          <w:p>
            <w:pPr>
              <w:spacing w:after="0"/>
              <w:rPr>
                <w:sz w:val="12"/>
                <w:szCs w:val="12"/>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Reserves</w:t>
            </w:r>
          </w:p>
        </w:tc>
        <w:tc>
          <w:tcPr>
            <w:tcW w:w="5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(Note 13)</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(Note 13)</w:t>
            </w: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surplus</w:t>
            </w:r>
          </w:p>
        </w:tc>
        <w:tc>
          <w:tcPr>
            <w:tcW w:w="780" w:type="dxa"/>
            <w:vAlign w:val="bottom"/>
            <w:gridSpan w:val="3"/>
            <w:vMerge w:val="continue"/>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the Group</w:t>
            </w:r>
          </w:p>
        </w:tc>
        <w:tc>
          <w:tcPr>
            <w:tcW w:w="1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760,671</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16,799</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(2,159)</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(87,832)</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688,335</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961,518</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1,649,853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line="142" w:lineRule="exact"/>
              <w:rPr>
                <w:sz w:val="20"/>
                <w:szCs w:val="20"/>
                <w:color w:val="auto"/>
              </w:rPr>
            </w:pPr>
            <w:r>
              <w:rPr>
                <w:rFonts w:ascii="Arial" w:cs="Arial" w:eastAsia="Arial" w:hAnsi="Arial"/>
                <w:sz w:val="14"/>
                <w:szCs w:val="14"/>
                <w:color w:val="auto"/>
              </w:rPr>
              <w:t>Proceeds from private placement, net of offering costs</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144</w:t>
            </w: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34,856</w:t>
            </w: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35,000</w:t>
            </w: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34,886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paid (common and preference shares)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(37,322)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Share-based compensation, net of accrued dividend</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2,714</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2,714</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Settlement of share-based compensation</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w w:val="96"/>
              </w:rPr>
              <w:t>Treasury shares, net or GasLog Partners’ common units</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(Loss)/profit for the period</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(72,827)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(72,827)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(52,775)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Other comprehensive loss for the period</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(2,229)</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(2,229)</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comprehensive (loss)/income for the period</w:t>
            </w: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(2,229)</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(72,827)</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(75,056)</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20,052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(55,004)</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as of June 30, 2020</w:t>
            </w:r>
          </w:p>
        </w:tc>
        <w:tc>
          <w:tcPr>
            <w:tcW w:w="6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954</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774,378</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14,839</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(1,718)</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(160,659)</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627,840</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943,138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1,570,978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954</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759,822</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18,667</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(1,340)</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(132,780)</w:t>
            </w: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645,369</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951,768</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1,597,137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proceeds from GasLog Partners' public offerings</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9,593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w w:val="93"/>
              </w:rPr>
              <w:t>Dividend paid (common and preference shares) (Note 13)</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(14,560)</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(14,560)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(15,819)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net of accrued dividend</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Settlement of share-based compensation</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(6,534)</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1,340</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(5,194)</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 for the period</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53,150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53,150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38,805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91,955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Other comprehensive loss for the period</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comprehensive (loss)/income for the period</w:t>
            </w: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(103)</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53,150</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53,047</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38,805</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91,852</w:t>
            </w:r>
          </w:p>
        </w:tc>
        <w:tc>
          <w:tcPr>
            <w:tcW w:w="0" w:type="dxa"/>
            <w:vAlign w:val="bottom"/>
          </w:tcPr>
          <w:p>
            <w:pPr>
              <w:spacing w:after="0"/>
              <w:rPr>
                <w:sz w:val="1"/>
                <w:szCs w:val="1"/>
                <w:color w:val="auto"/>
              </w:rPr>
            </w:pPr>
          </w:p>
        </w:tc>
      </w:tr>
      <w:tr>
        <w:trPr>
          <w:trHeight w:val="142"/>
        </w:trPr>
        <w:tc>
          <w:tcPr>
            <w:tcW w:w="3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as of June 30, 2021</w:t>
            </w:r>
          </w:p>
        </w:tc>
        <w:tc>
          <w:tcPr>
            <w:tcW w:w="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954</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745,262</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15,175</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(79,630)</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681,807</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984,347</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1,666,154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10320"/>
          </w:cols>
          <w:pgMar w:left="1220" w:top="517" w:right="359"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18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84"/>
        </w:trPr>
        <w:tc>
          <w:tcPr>
            <w:tcW w:w="61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b w:val="1"/>
                <w:bCs w:val="1"/>
                <w:color w:val="auto"/>
              </w:rPr>
              <w:t>For the six months ended June 30, 2020 and 2021</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11"/>
        </w:trPr>
        <w:tc>
          <w:tcPr>
            <w:tcW w:w="6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6"/>
              </w:rPr>
              <w:t>For the six months ended</w:t>
            </w:r>
          </w:p>
        </w:tc>
      </w:tr>
      <w:tr>
        <w:trPr>
          <w:trHeight w:val="210"/>
        </w:trPr>
        <w:tc>
          <w:tcPr>
            <w:tcW w:w="61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c>
          <w:tcPr>
            <w:tcW w:w="126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2021</w:t>
            </w:r>
          </w:p>
        </w:tc>
      </w:tr>
      <w:tr>
        <w:trPr>
          <w:trHeight w:val="202"/>
        </w:trPr>
        <w:tc>
          <w:tcPr>
            <w:tcW w:w="61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9"/>
              <w:spacing w:after="0" w:line="202" w:lineRule="exact"/>
              <w:rPr>
                <w:sz w:val="20"/>
                <w:szCs w:val="20"/>
                <w:color w:val="auto"/>
              </w:rPr>
            </w:pPr>
            <w:r>
              <w:rPr>
                <w:rFonts w:ascii="Arial" w:cs="Arial" w:eastAsia="Arial" w:hAnsi="Arial"/>
                <w:sz w:val="16"/>
                <w:szCs w:val="16"/>
                <w:i w:val="1"/>
                <w:iCs w:val="1"/>
                <w:color w:val="auto"/>
                <w:w w:val="93"/>
              </w:rPr>
              <w:t>(restated)</w:t>
            </w:r>
            <w:r>
              <w:rPr>
                <w:rFonts w:ascii="Arial" w:cs="Arial" w:eastAsia="Arial" w:hAnsi="Arial"/>
                <w:sz w:val="23"/>
                <w:szCs w:val="23"/>
                <w:i w:val="1"/>
                <w:iCs w:val="1"/>
                <w:color w:val="auto"/>
                <w:w w:val="93"/>
                <w:vertAlign w:val="superscript"/>
              </w:rPr>
              <w:t>(1)</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r>
      <w:tr>
        <w:trPr>
          <w:trHeight w:val="196"/>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(Loss)/profit for the period</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(52,775)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91,955</w:t>
            </w:r>
          </w:p>
        </w:tc>
      </w:tr>
      <w:tr>
        <w:trPr>
          <w:trHeight w:val="202"/>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Depreciation</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85,144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96,183</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22,454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572</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Share of profit of associates</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Financial income</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(645)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84,998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90,604</w:t>
            </w:r>
          </w:p>
        </w:tc>
      </w:tr>
      <w:tr>
        <w:trPr>
          <w:trHeight w:val="193"/>
        </w:trPr>
        <w:tc>
          <w:tcPr>
            <w:tcW w:w="6180" w:type="dxa"/>
            <w:vAlign w:val="bottom"/>
          </w:tcPr>
          <w:p>
            <w:pPr>
              <w:spacing w:after="0"/>
              <w:rPr>
                <w:sz w:val="20"/>
                <w:szCs w:val="20"/>
                <w:color w:val="auto"/>
              </w:rPr>
            </w:pPr>
            <w:r>
              <w:rPr>
                <w:rFonts w:ascii="Arial" w:cs="Arial" w:eastAsia="Arial" w:hAnsi="Arial"/>
                <w:sz w:val="16"/>
                <w:szCs w:val="16"/>
                <w:color w:val="auto"/>
                <w:w w:val="97"/>
              </w:rPr>
              <w:t>Loss/(gain) on derivatives (excluding realized loss on forward foreign exchange contracts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6180" w:type="dxa"/>
            <w:vAlign w:val="bottom"/>
          </w:tcPr>
          <w:p>
            <w:pPr>
              <w:ind w:left="120"/>
              <w:spacing w:after="0"/>
              <w:rPr>
                <w:sz w:val="20"/>
                <w:szCs w:val="20"/>
                <w:color w:val="auto"/>
              </w:rPr>
            </w:pPr>
            <w:r>
              <w:rPr>
                <w:rFonts w:ascii="Arial" w:cs="Arial" w:eastAsia="Arial" w:hAnsi="Arial"/>
                <w:sz w:val="16"/>
                <w:szCs w:val="16"/>
                <w:color w:val="auto"/>
              </w:rPr>
              <w:t>held for trading)</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83,854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(13,918)</w:t>
            </w: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r>
      <w:tr>
        <w:trPr>
          <w:trHeight w:val="196"/>
        </w:trPr>
        <w:tc>
          <w:tcPr>
            <w:tcW w:w="61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225,666</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266,854</w:t>
            </w:r>
          </w:p>
        </w:tc>
      </w:tr>
      <w:tr>
        <w:trPr>
          <w:trHeight w:val="196"/>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Movements in working capital</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(17,282)</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2,558</w:t>
            </w:r>
          </w:p>
        </w:tc>
      </w:tr>
      <w:tr>
        <w:trPr>
          <w:trHeight w:val="196"/>
        </w:trPr>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208,384</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269,412</w:t>
            </w:r>
          </w:p>
        </w:tc>
      </w:tr>
      <w:tr>
        <w:trPr>
          <w:trHeight w:val="196"/>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(374,605)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(333,461)</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Payments for right-of-use assets</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Dividends received from associate</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Purchase of short-term investments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received</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196"/>
        </w:trPr>
        <w:tc>
          <w:tcPr>
            <w:tcW w:w="61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(371,179)</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6"/>
              </w:rPr>
              <w:t>For the 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9"/>
              </w:rPr>
              <w:t>Note</w:t>
            </w:r>
          </w:p>
        </w:tc>
        <w:tc>
          <w:tcPr>
            <w:tcW w:w="126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9"/>
              <w:spacing w:after="0" w:line="202" w:lineRule="exact"/>
              <w:rPr>
                <w:sz w:val="20"/>
                <w:szCs w:val="20"/>
                <w:color w:val="auto"/>
              </w:rPr>
            </w:pPr>
            <w:r>
              <w:rPr>
                <w:rFonts w:ascii="Arial" w:cs="Arial" w:eastAsia="Arial" w:hAnsi="Arial"/>
                <w:sz w:val="16"/>
                <w:szCs w:val="16"/>
                <w:i w:val="1"/>
                <w:iCs w:val="1"/>
                <w:color w:val="auto"/>
                <w:w w:val="93"/>
              </w:rPr>
              <w:t>(restated)</w:t>
            </w:r>
            <w:r>
              <w:rPr>
                <w:rFonts w:ascii="Arial" w:cs="Arial" w:eastAsia="Arial" w:hAnsi="Arial"/>
                <w:sz w:val="23"/>
                <w:szCs w:val="23"/>
                <w:i w:val="1"/>
                <w:iCs w:val="1"/>
                <w:color w:val="auto"/>
                <w:w w:val="93"/>
                <w:vertAlign w:val="superscript"/>
              </w:rPr>
              <w:t>(1)</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Proceeds from loans</w:t>
            </w: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401,911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318,913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Loan and bond repayments</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(150,508)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Payment for bond repurchase at a premium</w:t>
            </w: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(1,937)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Payment for interest rate swaps termination</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(10,811)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Proceeds from entering into interest rate swaps</w:t>
            </w: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10,770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(86,656)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Loan/bond modification costs related to the Transaction (as defined in Note 1)</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Payment of cash collaterals for swaps</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(80,530)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Release of cash collaterals for swaps</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31,650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Payment of loan and bond issuance costs</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(7,605)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Loan issuance costs received</w:t>
            </w: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Payment of equity raising costs</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6"/>
                <w:szCs w:val="16"/>
                <w:color w:val="auto"/>
                <w:w w:val="96"/>
              </w:rPr>
              <w:t>Proceeds from GasLog Partners’ common unit offerings (net of underwriting discounts and</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60" w:type="dxa"/>
            <w:vAlign w:val="bottom"/>
          </w:tcPr>
          <w:p>
            <w:pPr>
              <w:ind w:left="100"/>
              <w:spacing w:after="0"/>
              <w:rPr>
                <w:sz w:val="20"/>
                <w:szCs w:val="20"/>
                <w:color w:val="auto"/>
              </w:rPr>
            </w:pPr>
            <w:r>
              <w:rPr>
                <w:rFonts w:ascii="Arial" w:cs="Arial" w:eastAsia="Arial" w:hAnsi="Arial"/>
                <w:sz w:val="16"/>
                <w:szCs w:val="16"/>
                <w:color w:val="auto"/>
              </w:rPr>
              <w:t>commissions)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private placement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Dividends paid</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(55,955)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Payment for cross currency swaps’ (“CCS”) termination/modification</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Purchase of treasury shares or GasLog Partners’ common units</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(2,996)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Payments for lease liability</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(5,182)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by/(used in) financing activities</w:t>
            </w: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74,085</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(69,525)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(90,833)</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the period</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263,747</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367,269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5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172,914</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232,054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w w:val="99"/>
              </w:rPr>
              <w:t>Capital expenditures included in liabilities at the end of the period – Right-of-use assets</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3,045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Receivable from related parties - Disposal of non-current assets</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1,113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Dividend declared included in liabilities at the end of the period</w:t>
            </w:r>
          </w:p>
        </w:tc>
        <w:tc>
          <w:tcPr>
            <w:tcW w:w="5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2,516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20" w:right="219" w:hanging="319"/>
        <w:spacing w:after="0" w:line="253" w:lineRule="auto"/>
        <w:tabs>
          <w:tab w:leader="none" w:pos="720" w:val="left"/>
        </w:tabs>
        <w:numPr>
          <w:ilvl w:val="0"/>
          <w:numId w:val="9"/>
        </w:numPr>
        <w:rPr>
          <w:rFonts w:ascii="Arial" w:cs="Arial" w:eastAsia="Arial" w:hAnsi="Arial"/>
          <w:sz w:val="11"/>
          <w:szCs w:val="11"/>
          <w:color w:val="auto"/>
        </w:rPr>
      </w:pPr>
      <w:r>
        <w:rPr>
          <w:rFonts w:ascii="Arial" w:cs="Arial" w:eastAsia="Arial" w:hAnsi="Arial"/>
          <w:sz w:val="14"/>
          <w:szCs w:val="14"/>
          <w:color w:val="auto"/>
        </w:rPr>
        <w:t>Restated so as to reflect a change in accounting policy introduced on January 1, 2021, with respect to the reclassification of interest paid and movements of cash collaterals for swaps (Note 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GasLog Ltd. and its Subsidiaries</w:t>
      </w:r>
    </w:p>
    <w:p>
      <w:pPr>
        <w:spacing w:after="0" w:line="208" w:lineRule="exact"/>
        <w:rPr>
          <w:sz w:val="20"/>
          <w:szCs w:val="20"/>
          <w:color w:val="auto"/>
        </w:rPr>
      </w:pPr>
    </w:p>
    <w:p>
      <w:pPr>
        <w:ind w:left="60" w:right="4319"/>
        <w:spacing w:after="0" w:line="287" w:lineRule="auto"/>
        <w:rPr>
          <w:sz w:val="20"/>
          <w:szCs w:val="20"/>
          <w:color w:val="auto"/>
        </w:rPr>
      </w:pPr>
      <w:r>
        <w:rPr>
          <w:rFonts w:ascii="Arial" w:cs="Arial" w:eastAsia="Arial" w:hAnsi="Arial"/>
          <w:sz w:val="15"/>
          <w:szCs w:val="15"/>
          <w:b w:val="1"/>
          <w:bCs w:val="1"/>
          <w:color w:val="auto"/>
        </w:rPr>
        <w:t>Notes to the unaudited condensed consolidated financial statements For the six months ended June 30, 2020 and 2021</w:t>
      </w:r>
    </w:p>
    <w:p>
      <w:pPr>
        <w:ind w:left="60"/>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 Organization and Operations</w:t>
      </w:r>
    </w:p>
    <w:p>
      <w:pPr>
        <w:spacing w:after="0" w:line="198"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and Singapore. The registered office of GasLog is Clarendon House, 2 Church Street, Hamilton HM 11, Bermuda.</w:t>
      </w:r>
    </w:p>
    <w:p>
      <w:pPr>
        <w:spacing w:after="0" w:line="167" w:lineRule="exact"/>
        <w:rPr>
          <w:sz w:val="20"/>
          <w:szCs w:val="20"/>
          <w:color w:val="auto"/>
        </w:rPr>
      </w:pPr>
    </w:p>
    <w:p>
      <w:pPr>
        <w:ind w:left="60" w:right="199" w:firstLine="324"/>
        <w:spacing w:after="0" w:line="288" w:lineRule="auto"/>
        <w:rPr>
          <w:sz w:val="20"/>
          <w:szCs w:val="20"/>
          <w:color w:val="auto"/>
        </w:rPr>
      </w:pPr>
      <w:r>
        <w:rPr>
          <w:rFonts w:ascii="Arial" w:cs="Arial" w:eastAsia="Arial" w:hAnsi="Arial"/>
          <w:sz w:val="15"/>
          <w:szCs w:val="15"/>
          <w:color w:val="auto"/>
        </w:rPr>
        <w:t>On February 21, 2021, GasLog entered into an agreement and plan of merger (the “Merger Agreement”) with BlackRock’s Global Energy &amp; Power Infrastructure Team (collectively, “GEPIF”), pursuant to which GEPIF acquired all of the outstanding common shares of GasLog Ltd. that were not held by certain existing shareholders of GasLog Ltd. for a purchase price of $5.80 in cash per share (the “Transaction”). On June 4, 2021, the special general meeting of shareholders (the “Special Meeting”) was held and approved (i) the previously announced Merger Agreement, (ii) the merger and (iii) the statutory merger agreement contemplated by the Merger Agreement. Trading in GasLog’s common shares on the New York Stock Exchange (“NYSE”) was suspended and the delisting of the common shares from the NYSE became effective on June 21, 2021. GasLog’s 8.75% Series A Cumulative Redeemable Perpetual Preference Shares remain outstanding and continue to trade in the NYSE.</w:t>
      </w:r>
    </w:p>
    <w:p>
      <w:pPr>
        <w:spacing w:after="0" w:line="140"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5"/>
          <w:szCs w:val="15"/>
          <w:color w:val="auto"/>
        </w:rPr>
        <w:t>Following the consummation of the Transaction on June 9, 2021, the Company, GEPIF, Blenheim Holdings Ltd., Blenheim Special Investments Holding Ltd. and Olympic LNG Investments Ltd. (the “Rolling Shareholders”) entered into a shareholders’ agreement with respect to the governance of the Company (the “Shareholders’ Agreement”). Pursuant to the Shareholders’ Agreement, the board of directors of the Company were reduced to five persons, and the Rolling Shareholders that are party to the Shareholders’ Agreement will appoint a majority of the Company’s board of directors in accordance with the terms of the Shareholders’ Agreement.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140" w:lineRule="exact"/>
        <w:rPr>
          <w:sz w:val="20"/>
          <w:szCs w:val="20"/>
          <w:color w:val="auto"/>
        </w:rPr>
      </w:pPr>
    </w:p>
    <w:p>
      <w:pPr>
        <w:jc w:val="both"/>
        <w:ind w:left="60" w:right="119" w:firstLine="324"/>
        <w:spacing w:after="0" w:line="324" w:lineRule="auto"/>
        <w:rPr>
          <w:sz w:val="20"/>
          <w:szCs w:val="20"/>
          <w:color w:val="auto"/>
        </w:rPr>
      </w:pPr>
      <w:r>
        <w:rPr>
          <w:rFonts w:ascii="Arial" w:cs="Arial" w:eastAsia="Arial" w:hAnsi="Arial"/>
          <w:sz w:val="14"/>
          <w:szCs w:val="14"/>
          <w:color w:val="auto"/>
        </w:rPr>
        <w:t>As of June 30, 2021, GasLog held a 33.3% ownership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30" w:lineRule="exact"/>
        <w:rPr>
          <w:sz w:val="20"/>
          <w:szCs w:val="20"/>
          <w:color w:val="auto"/>
        </w:rPr>
      </w:pPr>
    </w:p>
    <w:p>
      <w:pPr>
        <w:ind w:left="60" w:right="359" w:firstLine="324"/>
        <w:spacing w:after="0" w:line="324" w:lineRule="auto"/>
        <w:rPr>
          <w:sz w:val="20"/>
          <w:szCs w:val="20"/>
          <w:color w:val="auto"/>
        </w:rPr>
      </w:pPr>
      <w:r>
        <w:rPr>
          <w:rFonts w:ascii="Arial" w:cs="Arial" w:eastAsia="Arial" w:hAnsi="Arial"/>
          <w:sz w:val="14"/>
          <w:szCs w:val="14"/>
          <w:color w:val="auto"/>
        </w:rPr>
        <w:t>The accompanying unaudited condensed consolidated financial statements include the financial statements of GasLog and its subsidiaries. All subsidiaries included in the unaudited condensed consolidated financial statements are 100% held (either directly or indirectly) by GasLog, except for GasLog Partners and its subsidiaries. In comparison to the Group’s structure for the year ended December 31, 2020, no new subsidiaries were established or acquired in the three and six months ended June 30, 2021.</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2. Basis of Presentation</w:t>
      </w:r>
    </w:p>
    <w:p>
      <w:pPr>
        <w:spacing w:after="0" w:line="198" w:lineRule="exact"/>
        <w:rPr>
          <w:sz w:val="20"/>
          <w:szCs w:val="20"/>
          <w:color w:val="auto"/>
        </w:rPr>
      </w:pPr>
    </w:p>
    <w:p>
      <w:pPr>
        <w:ind w:left="60" w:right="439" w:firstLine="324"/>
        <w:spacing w:after="0" w:line="318" w:lineRule="auto"/>
        <w:rPr>
          <w:sz w:val="20"/>
          <w:szCs w:val="20"/>
          <w:color w:val="auto"/>
        </w:rPr>
      </w:pPr>
      <w:r>
        <w:rPr>
          <w:rFonts w:ascii="Arial" w:cs="Arial" w:eastAsia="Arial" w:hAnsi="Arial"/>
          <w:sz w:val="14"/>
          <w:szCs w:val="14"/>
          <w:color w:val="auto"/>
        </w:rPr>
        <w:t xml:space="preserve">These unaudited condensed consolidated financial statements have been prepared in accordance with International Accounting Standard (“IAS”) 34 </w:t>
      </w:r>
      <w:r>
        <w:rPr>
          <w:rFonts w:ascii="Arial" w:cs="Arial" w:eastAsia="Arial" w:hAnsi="Arial"/>
          <w:sz w:val="14"/>
          <w:szCs w:val="14"/>
          <w:i w:val="1"/>
          <w:iCs w:val="1"/>
          <w:color w:val="auto"/>
        </w:rPr>
        <w:t>Interim Financial Reporting</w:t>
      </w:r>
      <w:r>
        <w:rPr>
          <w:rFonts w:ascii="Arial" w:cs="Arial" w:eastAsia="Arial" w:hAnsi="Arial"/>
          <w:sz w:val="14"/>
          <w:szCs w:val="14"/>
          <w:color w:val="auto"/>
        </w:rPr>
        <w:t xml:space="preserve"> as issued by the International Accounting Standards Board (“IASB”). Certain information and footnote disclosures required by IFRS for a complete set of annual financial statements have been omitted, and, therefore, these unaudited condensed consolidated financial statements should be read in conjunction with the Group’s annual consolidated financial statements as of and for the year ended December 31, 2020, filed with the SEC on March 5, 2021.</w:t>
      </w:r>
    </w:p>
    <w:p>
      <w:pPr>
        <w:spacing w:after="0" w:line="121"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2020 and remain unchanged.</w:t>
      </w:r>
    </w:p>
    <w:p>
      <w:pPr>
        <w:spacing w:after="0" w:line="145" w:lineRule="exact"/>
        <w:rPr>
          <w:sz w:val="20"/>
          <w:szCs w:val="20"/>
          <w:color w:val="auto"/>
        </w:rPr>
      </w:pPr>
    </w:p>
    <w:p>
      <w:pPr>
        <w:jc w:val="both"/>
        <w:ind w:left="60" w:right="119" w:firstLine="324"/>
        <w:spacing w:after="0" w:line="305" w:lineRule="auto"/>
        <w:rPr>
          <w:sz w:val="20"/>
          <w:szCs w:val="20"/>
          <w:color w:val="auto"/>
        </w:rPr>
      </w:pPr>
      <w:r>
        <w:rPr>
          <w:rFonts w:ascii="Arial" w:cs="Arial" w:eastAsia="Arial" w:hAnsi="Arial"/>
          <w:sz w:val="15"/>
          <w:szCs w:val="15"/>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19" w:firstLine="324"/>
        <w:spacing w:after="0" w:line="305" w:lineRule="auto"/>
        <w:rPr>
          <w:sz w:val="20"/>
          <w:szCs w:val="20"/>
          <w:color w:val="auto"/>
        </w:rPr>
      </w:pPr>
      <w:r>
        <w:rPr>
          <w:rFonts w:ascii="Arial" w:cs="Arial" w:eastAsia="Arial" w:hAnsi="Arial"/>
          <w:sz w:val="15"/>
          <w:szCs w:val="15"/>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2020.</w:t>
      </w:r>
    </w:p>
    <w:p>
      <w:pPr>
        <w:spacing w:after="0" w:line="139"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5"/>
          <w:szCs w:val="15"/>
          <w:color w:val="auto"/>
        </w:rPr>
        <w:t xml:space="preserve">Until December 31, 2020, interest paid and movements of cash collaterals for swaps were presented in the consolidated statement of cash flows under cash provided by operating activities. IAS 7 </w:t>
      </w:r>
      <w:r>
        <w:rPr>
          <w:rFonts w:ascii="Arial" w:cs="Arial" w:eastAsia="Arial" w:hAnsi="Arial"/>
          <w:sz w:val="15"/>
          <w:szCs w:val="15"/>
          <w:i w:val="1"/>
          <w:iCs w:val="1"/>
          <w:color w:val="auto"/>
        </w:rPr>
        <w:t>Cash Flow Statement</w:t>
      </w:r>
      <w:r>
        <w:rPr>
          <w:rFonts w:ascii="Arial" w:cs="Arial" w:eastAsia="Arial" w:hAnsi="Arial"/>
          <w:sz w:val="15"/>
          <w:szCs w:val="15"/>
          <w:color w:val="auto"/>
        </w:rPr>
        <w:t xml:space="preserve"> does not dictate how interest cash flows should be classified, but rather allows an entity to determine the classification appropriate to its business. The standard permits entities to present payments for interest under either operating or financing activities, provided that the elected presentation is applied consistently from period to period. In 2021, management, after reviewing the Exposure Draft </w:t>
      </w:r>
      <w:r>
        <w:rPr>
          <w:rFonts w:ascii="Arial" w:cs="Arial" w:eastAsia="Arial" w:hAnsi="Arial"/>
          <w:sz w:val="15"/>
          <w:szCs w:val="15"/>
          <w:i w:val="1"/>
          <w:iCs w:val="1"/>
          <w:color w:val="auto"/>
        </w:rPr>
        <w:t>General Presentation and Disclosures</w:t>
      </w:r>
      <w:r>
        <w:rPr>
          <w:rFonts w:ascii="Arial" w:cs="Arial" w:eastAsia="Arial" w:hAnsi="Arial"/>
          <w:sz w:val="15"/>
          <w:szCs w:val="15"/>
          <w:color w:val="auto"/>
        </w:rPr>
        <w:t xml:space="preserve"> issued by the IASB in December 2019, elected to reclassify interest paid including cash paid for interest rate swaps held for trading and the movements of cash collaterals related to the Group’s swaps under cash used in financing activities, in conformity with the proposal of the Exposure Draft to reduce presentation alternatives and classify interest paid as a cash flow arising from financing activities. Management believes that the revised classification provides more relevant information to users, as it better reflects management’s view of the financing nature of these transactions. Comparative figures have been retrospectively adjusted to reflect this change in policy in the statement of cash flows, as follows: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2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Six months ended June 30, 2020</w:t>
            </w: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w w:val="89"/>
              </w:rPr>
              <w:t>As previously reported</w:t>
            </w:r>
          </w:p>
        </w:tc>
        <w:tc>
          <w:tcPr>
            <w:tcW w:w="1220" w:type="dxa"/>
            <w:vAlign w:val="bottom"/>
            <w:gridSpan w:val="3"/>
          </w:tcPr>
          <w:p>
            <w:pPr>
              <w:ind w:left="160"/>
              <w:spacing w:after="0"/>
              <w:rPr>
                <w:sz w:val="20"/>
                <w:szCs w:val="20"/>
                <w:color w:val="auto"/>
              </w:rPr>
            </w:pPr>
            <w:r>
              <w:rPr>
                <w:rFonts w:ascii="Arial" w:cs="Arial" w:eastAsia="Arial" w:hAnsi="Arial"/>
                <w:sz w:val="16"/>
                <w:szCs w:val="16"/>
                <w:b w:val="1"/>
                <w:bCs w:val="1"/>
                <w:color w:val="auto"/>
              </w:rPr>
              <w:t>Adjustments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87"/>
              </w:rPr>
              <w:t>As restated</w:t>
            </w:r>
          </w:p>
        </w:tc>
      </w:tr>
      <w:tr>
        <w:trPr>
          <w:trHeight w:val="199"/>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72,848</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135,536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208,384</w:t>
            </w: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600" w:type="dxa"/>
            <w:vAlign w:val="bottom"/>
          </w:tcPr>
          <w:p>
            <w:pPr>
              <w:jc w:val="right"/>
              <w:spacing w:after="0"/>
              <w:rPr>
                <w:sz w:val="20"/>
                <w:szCs w:val="20"/>
                <w:color w:val="auto"/>
              </w:rPr>
            </w:pPr>
            <w:r>
              <w:rPr>
                <w:rFonts w:ascii="Arial" w:cs="Arial" w:eastAsia="Arial" w:hAnsi="Arial"/>
                <w:sz w:val="16"/>
                <w:szCs w:val="16"/>
                <w:color w:val="auto"/>
              </w:rPr>
              <w:t>(371,179)</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(371,179)</w:t>
            </w: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(135,536)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74,085</w:t>
            </w:r>
          </w:p>
        </w:tc>
      </w:tr>
      <w:tr>
        <w:trPr>
          <w:trHeight w:val="193"/>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w w:val="94"/>
              </w:rPr>
              <w:t>Effects of exchange rate changes on cash and cash</w:t>
            </w: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equivalents</w:t>
            </w:r>
          </w:p>
        </w:tc>
        <w:tc>
          <w:tcPr>
            <w:tcW w:w="1600" w:type="dxa"/>
            <w:vAlign w:val="bottom"/>
          </w:tcPr>
          <w:p>
            <w:pPr>
              <w:jc w:val="right"/>
              <w:spacing w:after="0"/>
              <w:rPr>
                <w:sz w:val="20"/>
                <w:szCs w:val="20"/>
                <w:color w:val="auto"/>
              </w:rPr>
            </w:pPr>
            <w:r>
              <w:rPr>
                <w:rFonts w:ascii="Arial" w:cs="Arial" w:eastAsia="Arial" w:hAnsi="Arial"/>
                <w:sz w:val="16"/>
                <w:szCs w:val="16"/>
                <w:color w:val="auto"/>
              </w:rPr>
              <w:t>(2,123)</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(2,123)</w:t>
            </w:r>
          </w:p>
        </w:tc>
      </w:tr>
      <w:tr>
        <w:trPr>
          <w:trHeight w:val="202"/>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(90,833)</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(90,833)</w:t>
            </w:r>
          </w:p>
        </w:tc>
      </w:tr>
    </w:tbl>
    <w:p>
      <w:pPr>
        <w:spacing w:after="0" w:line="1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August 5, 2021, GasLog’s board of directors authorized the unaudited condensed consolidated financial statements for issuance.</w:t>
      </w:r>
    </w:p>
    <w:p>
      <w:pPr>
        <w:spacing w:after="0" w:line="217"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6"/>
          <w:szCs w:val="16"/>
          <w:color w:val="auto"/>
        </w:rPr>
        <w:t>As of June 30, 2021, GasLog’s current assets totaled $297,591, while current liabilities totaled $770,995, resulting in a negative working capital position of $473,404. Current liabilities include $315,000 relating to the 8.875% senior unsecured notes due in 2022 (the “8.875% Senior Notes”) which will mature on March 22, 2022 (and we plan to refinance in due course) and $61,406 of unearned revenue in relation to hires received in advance of June 30, 2021 (which represents a non-cash liability that will be recognized as revenue in July as the services are rendered).</w:t>
      </w:r>
    </w:p>
    <w:p>
      <w:pPr>
        <w:spacing w:after="0" w:line="149"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4"/>
          <w:szCs w:val="14"/>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Considering the volatile commercial and financial market conditions experienced throughout 2020 due to the COVID-19 pandemic and the continued uncertainty surrounding the long-term impact of the pandemic, management anticipates that our primary sources of funds for at least twelve months from the date of this report will be available cash, cash from operations and existing borrowings. Management believes that these anticipated sources of funds will be sufficient for the Company to meet its liquidity needs and to comply with its banking covenants for at least twelve months from the date of this report and therefore it is appropriate to prepare the financial statements on a going concern basis. In relation to the 8.875% Senior Notes that mature on March 22, 2022, the Company is exploring all options available and has productive discussions with financiers to complete this refinancing on time subject to market conditions. In addition, the Company may enter into new debt facilities in the future, as well as equity or debt instruments, although there can be no assurance that the Company will be able to obtain additional financings on terms acceptable to the Company, which will also depend on financial, commercial and other factors that are beyond the Company’s control.</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193"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5"/>
          <w:szCs w:val="15"/>
          <w:color w:val="auto"/>
        </w:rPr>
        <w:t xml:space="preserve">In August 2020, the IASB issued the Phase 2 amendments to IFRS 9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IFRS 7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Disclosures</w:t>
      </w:r>
      <w:r>
        <w:rPr>
          <w:rFonts w:ascii="Arial" w:cs="Arial" w:eastAsia="Arial" w:hAnsi="Arial"/>
          <w:sz w:val="15"/>
          <w:szCs w:val="15"/>
          <w:color w:val="auto"/>
        </w:rPr>
        <w:t>, IFRS 4 and IFRS 16 in connection with the Phase 2 of the interest rate benchmark reform. The amendments address the</w:t>
      </w:r>
      <w:r>
        <w:rPr>
          <w:rFonts w:ascii="Arial" w:cs="Arial" w:eastAsia="Arial" w:hAnsi="Arial"/>
          <w:sz w:val="15"/>
          <w:szCs w:val="15"/>
          <w:i w:val="1"/>
          <w:iCs w:val="1"/>
          <w:color w:val="auto"/>
        </w:rPr>
        <w:t xml:space="preserve"> </w:t>
      </w:r>
      <w:r>
        <w:rPr>
          <w:rFonts w:ascii="Arial" w:cs="Arial" w:eastAsia="Arial" w:hAnsi="Arial"/>
          <w:sz w:val="15"/>
          <w:szCs w:val="15"/>
          <w:color w:val="auto"/>
        </w:rPr>
        <w:t>issues arising from the implementation of the reforms, including the replacement of one benchmark with an alternative one. The amendment is effective for annual periods beginning on or after January 1, 2021. Management anticipates that this amendment will not have a material impact on the Group’s consolidated financial statements.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12"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6"/>
          <w:szCs w:val="16"/>
          <w:color w:val="auto"/>
        </w:rPr>
        <w:t xml:space="preserve">In January 2020, the IASB issued a narrow-scope amendment to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6"/>
          <w:szCs w:val="16"/>
          <w:i w:val="1"/>
          <w:iCs w:val="1"/>
          <w:color w:val="auto"/>
        </w:rPr>
        <w:t>Accounting Policies, Changes in Accounting Estimates</w:t>
      </w:r>
      <w:r>
        <w:rPr>
          <w:rFonts w:ascii="Arial" w:cs="Arial" w:eastAsia="Arial" w:hAnsi="Arial"/>
          <w:sz w:val="16"/>
          <w:szCs w:val="16"/>
          <w:color w:val="auto"/>
        </w:rPr>
        <w:t xml:space="preserve"> </w:t>
      </w:r>
      <w:r>
        <w:rPr>
          <w:rFonts w:ascii="Arial" w:cs="Arial" w:eastAsia="Arial" w:hAnsi="Arial"/>
          <w:sz w:val="16"/>
          <w:szCs w:val="16"/>
          <w:i w:val="1"/>
          <w:iCs w:val="1"/>
          <w:color w:val="auto"/>
        </w:rPr>
        <w:t>and Errors</w:t>
      </w:r>
      <w:r>
        <w:rPr>
          <w:rFonts w:ascii="Arial" w:cs="Arial" w:eastAsia="Arial" w:hAnsi="Arial"/>
          <w:sz w:val="16"/>
          <w:szCs w:val="16"/>
          <w:color w:val="auto"/>
        </w:rPr>
        <w:t>. Earlier application is permitted. Management anticipates that this amendment will not have a material impact on the Group’s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3. Investment in Associates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movements in investment in associates are reported in the following table:</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199"/>
        </w:trPr>
        <w:tc>
          <w:tcPr>
            <w:tcW w:w="466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As of January 1, 2021</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5"/>
          </w:tcPr>
          <w:p>
            <w:pPr>
              <w:ind w:left="20"/>
              <w:spacing w:after="0"/>
              <w:rPr>
                <w:sz w:val="20"/>
                <w:szCs w:val="20"/>
                <w:color w:val="auto"/>
              </w:rPr>
            </w:pPr>
            <w:r>
              <w:rPr>
                <w:rFonts w:ascii="Arial" w:cs="Arial" w:eastAsia="Arial" w:hAnsi="Arial"/>
                <w:sz w:val="16"/>
                <w:szCs w:val="16"/>
                <w:color w:val="auto"/>
              </w:rPr>
              <w:t>Share of profit of associates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Dividend declared</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gridSpan w:val="5"/>
          </w:tcPr>
          <w:p>
            <w:pPr>
              <w:ind w:left="20"/>
              <w:spacing w:after="0"/>
              <w:rPr>
                <w:sz w:val="20"/>
                <w:szCs w:val="20"/>
                <w:color w:val="auto"/>
              </w:rPr>
            </w:pPr>
            <w:r>
              <w:rPr>
                <w:rFonts w:ascii="Arial" w:cs="Arial" w:eastAsia="Arial" w:hAnsi="Arial"/>
                <w:sz w:val="16"/>
                <w:szCs w:val="16"/>
                <w:b w:val="1"/>
                <w:bCs w:val="1"/>
                <w:color w:val="auto"/>
              </w:rPr>
              <w:t>As of June 30, 2021</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4. Tangible Fixed Assets and Vessels Under Construction</w:t>
            </w: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660" w:type="dxa"/>
            <w:vAlign w:val="bottom"/>
            <w:gridSpan w:val="5"/>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40" w:type="dxa"/>
            <w:vAlign w:val="bottom"/>
            <w:gridSpan w:val="9"/>
          </w:tcPr>
          <w:p>
            <w:pPr>
              <w:jc w:val="right"/>
              <w:ind w:right="540"/>
              <w:spacing w:after="0"/>
              <w:rPr>
                <w:sz w:val="20"/>
                <w:szCs w:val="20"/>
                <w:color w:val="auto"/>
              </w:rPr>
            </w:pPr>
            <w:r>
              <w:rPr>
                <w:rFonts w:ascii="Arial" w:cs="Arial" w:eastAsia="Arial" w:hAnsi="Arial"/>
                <w:sz w:val="16"/>
                <w:szCs w:val="16"/>
                <w:color w:val="auto"/>
                <w:w w:val="91"/>
              </w:rPr>
              <w:t>The movements in tangible fixed assets and vessels under construction are reported in the following table: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Office property</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Total</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and other</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tangible fixed</w:t>
            </w:r>
          </w:p>
        </w:tc>
        <w:tc>
          <w:tcPr>
            <w:tcW w:w="160" w:type="dxa"/>
            <w:vAlign w:val="bottom"/>
          </w:tcPr>
          <w:p>
            <w:pPr>
              <w:spacing w:after="0"/>
              <w:rPr>
                <w:sz w:val="17"/>
                <w:szCs w:val="17"/>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6"/>
              </w:rPr>
              <w:t>Vessels under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Vessels</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tangible assets</w:t>
            </w:r>
          </w:p>
        </w:tc>
        <w:tc>
          <w:tcPr>
            <w:tcW w:w="9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0"/>
              </w:rPr>
              <w:t>assets</w:t>
            </w:r>
          </w:p>
        </w:tc>
        <w:tc>
          <w:tcPr>
            <w:tcW w:w="16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construction</w:t>
            </w:r>
          </w:p>
        </w:tc>
        <w:tc>
          <w:tcPr>
            <w:tcW w:w="0" w:type="dxa"/>
            <w:vAlign w:val="bottom"/>
          </w:tcPr>
          <w:p>
            <w:pPr>
              <w:spacing w:after="0"/>
              <w:rPr>
                <w:sz w:val="1"/>
                <w:szCs w:val="1"/>
                <w:color w:val="auto"/>
              </w:rPr>
            </w:pPr>
          </w:p>
        </w:tc>
      </w:tr>
      <w:tr>
        <w:trPr>
          <w:trHeight w:val="145"/>
        </w:trPr>
        <w:tc>
          <w:tcPr>
            <w:tcW w:w="4660" w:type="dxa"/>
            <w:vAlign w:val="bottom"/>
            <w:tcBorders>
              <w:top w:val="single" w:sz="8" w:color="CCEEFF"/>
            </w:tcBorders>
            <w:gridSpan w:val="5"/>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Cost</w:t>
            </w: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5"/>
          </w:tcPr>
          <w:p>
            <w:pPr>
              <w:ind w:left="20"/>
              <w:spacing w:after="0"/>
              <w:rPr>
                <w:sz w:val="20"/>
                <w:szCs w:val="20"/>
                <w:color w:val="auto"/>
              </w:rPr>
            </w:pPr>
            <w:r>
              <w:rPr>
                <w:rFonts w:ascii="Arial" w:cs="Arial" w:eastAsia="Arial" w:hAnsi="Arial"/>
                <w:sz w:val="16"/>
                <w:szCs w:val="16"/>
                <w:color w:val="auto"/>
              </w:rPr>
              <w:t>As of January 1, 2021</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6,078,041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33,380</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6,111,421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132,839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321,563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5"/>
          </w:tcPr>
          <w:p>
            <w:pPr>
              <w:ind w:left="20"/>
              <w:spacing w:after="0"/>
              <w:rPr>
                <w:sz w:val="20"/>
                <w:szCs w:val="20"/>
                <w:color w:val="auto"/>
              </w:rPr>
            </w:pPr>
            <w:r>
              <w:rPr>
                <w:rFonts w:ascii="Arial" w:cs="Arial" w:eastAsia="Arial" w:hAnsi="Arial"/>
                <w:sz w:val="16"/>
                <w:szCs w:val="16"/>
                <w:color w:val="auto"/>
              </w:rPr>
              <w:t>Transfer from vessels under construction</w:t>
            </w:r>
          </w:p>
        </w:tc>
        <w:tc>
          <w:tcPr>
            <w:tcW w:w="740" w:type="dxa"/>
            <w:vAlign w:val="bottom"/>
          </w:tcPr>
          <w:p>
            <w:pPr>
              <w:jc w:val="right"/>
              <w:spacing w:after="0"/>
              <w:rPr>
                <w:sz w:val="20"/>
                <w:szCs w:val="20"/>
                <w:color w:val="auto"/>
              </w:rPr>
            </w:pPr>
            <w:r>
              <w:rPr>
                <w:rFonts w:ascii="Arial" w:cs="Arial" w:eastAsia="Arial" w:hAnsi="Arial"/>
                <w:sz w:val="16"/>
                <w:szCs w:val="16"/>
                <w:color w:val="auto"/>
              </w:rPr>
              <w:t>375,710</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375,710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(375,710)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Fully amortized fixed assets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(8,626)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(8,626)</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b w:val="1"/>
                <w:bCs w:val="1"/>
                <w:color w:val="auto"/>
              </w:rPr>
              <w:t>As of June 30,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6,456,772</w:t>
            </w: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35,269</w:t>
            </w: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6,492,041</w:t>
            </w:r>
          </w:p>
        </w:tc>
        <w:tc>
          <w:tcPr>
            <w:tcW w:w="1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60" w:type="dxa"/>
            <w:vAlign w:val="bottom"/>
            <w:gridSpan w:val="5"/>
          </w:tcPr>
          <w:p>
            <w:pPr>
              <w:ind w:left="20"/>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As of January 1, 2021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1,076,867</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1,082,912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5"/>
          </w:tcPr>
          <w:p>
            <w:pPr>
              <w:ind w:left="20"/>
              <w:spacing w:after="0"/>
              <w:rPr>
                <w:sz w:val="20"/>
                <w:szCs w:val="20"/>
                <w:color w:val="auto"/>
              </w:rPr>
            </w:pPr>
            <w:r>
              <w:rPr>
                <w:rFonts w:ascii="Arial" w:cs="Arial" w:eastAsia="Arial" w:hAnsi="Arial"/>
                <w:sz w:val="16"/>
                <w:szCs w:val="16"/>
                <w:color w:val="auto"/>
              </w:rPr>
              <w:t>Depreciation expense</w:t>
            </w:r>
          </w:p>
        </w:tc>
        <w:tc>
          <w:tcPr>
            <w:tcW w:w="740" w:type="dxa"/>
            <w:vAlign w:val="bottom"/>
          </w:tcPr>
          <w:p>
            <w:pPr>
              <w:jc w:val="right"/>
              <w:spacing w:after="0"/>
              <w:rPr>
                <w:sz w:val="20"/>
                <w:szCs w:val="20"/>
                <w:color w:val="auto"/>
              </w:rPr>
            </w:pPr>
            <w:r>
              <w:rPr>
                <w:rFonts w:ascii="Arial" w:cs="Arial" w:eastAsia="Arial" w:hAnsi="Arial"/>
                <w:sz w:val="16"/>
                <w:szCs w:val="16"/>
                <w:color w:val="auto"/>
              </w:rPr>
              <w:t>90,446</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90,765</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Fully amortized fixed assets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(8,626)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(8,626)</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b w:val="1"/>
                <w:bCs w:val="1"/>
                <w:color w:val="auto"/>
              </w:rPr>
              <w:t>As of June 30,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1,158,687</w:t>
            </w: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6,364</w:t>
            </w: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1,165,051</w:t>
            </w:r>
          </w:p>
        </w:tc>
        <w:tc>
          <w:tcPr>
            <w:tcW w:w="1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60" w:type="dxa"/>
            <w:vAlign w:val="bottom"/>
            <w:gridSpan w:val="5"/>
          </w:tcPr>
          <w:p>
            <w:pPr>
              <w:ind w:left="20"/>
              <w:spacing w:after="0" w:line="162" w:lineRule="exact"/>
              <w:rPr>
                <w:sz w:val="20"/>
                <w:szCs w:val="20"/>
                <w:color w:val="auto"/>
              </w:rPr>
            </w:pPr>
            <w:r>
              <w:rPr>
                <w:rFonts w:ascii="Arial" w:cs="Arial" w:eastAsia="Arial" w:hAnsi="Arial"/>
                <w:sz w:val="16"/>
                <w:szCs w:val="16"/>
                <w:b w:val="1"/>
                <w:bCs w:val="1"/>
                <w:color w:val="auto"/>
              </w:rPr>
              <w:t>Net book value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5,001,174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27,335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5,028,509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132,839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gridSpan w:val="5"/>
          </w:tcPr>
          <w:p>
            <w:pPr>
              <w:ind w:left="20"/>
              <w:spacing w:after="0"/>
              <w:rPr>
                <w:sz w:val="20"/>
                <w:szCs w:val="20"/>
                <w:color w:val="auto"/>
              </w:rPr>
            </w:pPr>
            <w:r>
              <w:rPr>
                <w:rFonts w:ascii="Arial" w:cs="Arial" w:eastAsia="Arial" w:hAnsi="Arial"/>
                <w:sz w:val="16"/>
                <w:szCs w:val="16"/>
                <w:b w:val="1"/>
                <w:bCs w:val="1"/>
                <w:color w:val="auto"/>
              </w:rPr>
              <w:t>As of June 30,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5,298,085</w:t>
            </w:r>
          </w:p>
        </w:tc>
        <w:tc>
          <w:tcPr>
            <w:tcW w:w="16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28,905</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5,326,990</w:t>
            </w: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Vessels with an aggregate carrying amount of $5,298,085 as of June 30, 2021 (December 31, 2020: $5,001,174) have been pledged as collateral under the terms of the Group’s credit facilities.</w:t>
      </w:r>
    </w:p>
    <w:p>
      <w:pPr>
        <w:spacing w:after="0" w:line="131" w:lineRule="exact"/>
        <w:rPr>
          <w:sz w:val="20"/>
          <w:szCs w:val="20"/>
          <w:color w:val="auto"/>
        </w:rPr>
      </w:pPr>
    </w:p>
    <w:p>
      <w:pPr>
        <w:ind w:left="60" w:right="559" w:firstLine="324"/>
        <w:spacing w:after="0" w:line="293" w:lineRule="auto"/>
        <w:rPr>
          <w:sz w:val="20"/>
          <w:szCs w:val="20"/>
          <w:color w:val="auto"/>
        </w:rPr>
      </w:pPr>
      <w:r>
        <w:rPr>
          <w:rFonts w:ascii="Arial" w:cs="Arial" w:eastAsia="Arial" w:hAnsi="Arial"/>
          <w:sz w:val="16"/>
          <w:szCs w:val="16"/>
          <w:color w:val="auto"/>
        </w:rPr>
        <w:t>As of June 30, 2021, the Company concluded that there were no events or circumstances triggering the existence of potential impairment or reversal of impairment of its vessels.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June 30, 2021, GasLog has the following newbuilding on order at Samsung Heavy Industries Co., Ltd. (“Samsung”):</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Cargo Capacity</w:t>
            </w: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 of</w:t>
            </w: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Estimated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cubic meters</w:t>
            </w:r>
          </w:p>
        </w:tc>
      </w:tr>
      <w:tr>
        <w:trPr>
          <w:trHeight w:val="213"/>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color w:val="auto"/>
              </w:rPr>
              <w:t>LNG Carrier</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agreement</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delivery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(“cbm”)</w:t>
            </w:r>
          </w:p>
        </w:tc>
      </w:tr>
      <w:tr>
        <w:trPr>
          <w:trHeight w:val="19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Hull No. 2312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2018</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Q3 2021</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180,000</w:t>
            </w:r>
          </w:p>
        </w:tc>
      </w:tr>
    </w:tbl>
    <w:p>
      <w:pPr>
        <w:spacing w:after="0" w:line="1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Vessels under construction represent scheduled advance payments to the shipyards as well as certain capitalized expenditures.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5. Leases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movements in right-of-use assets are reported in the following table:</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Vessels’</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Right-of-Use Assets</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Vessel</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Equipment</w:t>
            </w:r>
          </w:p>
        </w:tc>
        <w:tc>
          <w:tcPr>
            <w:tcW w:w="1020" w:type="dxa"/>
            <w:vAlign w:val="bottom"/>
            <w:gridSpan w:val="3"/>
          </w:tcPr>
          <w:p>
            <w:pPr>
              <w:ind w:left="80"/>
              <w:spacing w:after="0"/>
              <w:rPr>
                <w:sz w:val="20"/>
                <w:szCs w:val="20"/>
                <w:color w:val="auto"/>
              </w:rPr>
            </w:pPr>
            <w:r>
              <w:rPr>
                <w:rFonts w:ascii="Arial" w:cs="Arial" w:eastAsia="Arial" w:hAnsi="Arial"/>
                <w:sz w:val="16"/>
                <w:szCs w:val="16"/>
                <w:b w:val="1"/>
                <w:bCs w:val="1"/>
                <w:color w:val="auto"/>
              </w:rPr>
              <w:t>Properties</w:t>
            </w:r>
          </w:p>
        </w:tc>
        <w:tc>
          <w:tcPr>
            <w:tcW w:w="88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197,668</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4,258</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203,437</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Additions, net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1,014</w:t>
            </w: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1,914</w:t>
            </w:r>
          </w:p>
        </w:tc>
        <w:tc>
          <w:tcPr>
            <w:tcW w:w="160" w:type="dxa"/>
            <w:vAlign w:val="bottom"/>
          </w:tcPr>
          <w:p>
            <w:pPr>
              <w:spacing w:after="0"/>
              <w:rPr>
                <w:sz w:val="17"/>
                <w:szCs w:val="17"/>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6"/>
                <w:szCs w:val="16"/>
                <w:color w:val="auto"/>
              </w:rPr>
              <w:t>(42)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(651)</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(5,418)</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 of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193,558</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1,808</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5,521</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18</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200,905</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40"/>
              <w:spacing w:after="0"/>
              <w:rPr>
                <w:sz w:val="20"/>
                <w:szCs w:val="20"/>
                <w:color w:val="auto"/>
              </w:rPr>
            </w:pPr>
            <w:r>
              <w:rPr>
                <w:rFonts w:ascii="Arial" w:cs="Arial" w:eastAsia="Arial" w:hAnsi="Arial"/>
                <w:sz w:val="16"/>
                <w:szCs w:val="16"/>
                <w:color w:val="auto"/>
              </w:rPr>
              <w:t>An analysis of the lease liabilities is as follows:</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w w:val="98"/>
              </w:rPr>
              <w:t>Lease Liabilities</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January 1, 2021</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196,170</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Additions, net</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charge (Note 16)</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4,826</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Payments</w:t>
            </w: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(10,324)</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193,558</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6"/>
                <w:szCs w:val="16"/>
                <w:color w:val="auto"/>
              </w:rPr>
              <w:t>Lease liability, current portion</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9,950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non-current portion</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183,608</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193,558</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6. Other Non-Current Assets</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tcPr>
          <w:p>
            <w:pPr>
              <w:ind w:left="340"/>
              <w:spacing w:after="0"/>
              <w:rPr>
                <w:sz w:val="20"/>
                <w:szCs w:val="20"/>
                <w:color w:val="auto"/>
              </w:rPr>
            </w:pPr>
            <w:r>
              <w:rPr>
                <w:rFonts w:ascii="Arial" w:cs="Arial" w:eastAsia="Arial" w:hAnsi="Arial"/>
                <w:sz w:val="16"/>
                <w:szCs w:val="16"/>
                <w:color w:val="auto"/>
              </w:rPr>
              <w:t>Other non-current assets consist of the following:</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7"/>
          </w:tcPr>
          <w:p>
            <w:pPr>
              <w:jc w:val="right"/>
              <w:ind w:right="200"/>
              <w:spacing w:after="0"/>
              <w:rPr>
                <w:sz w:val="20"/>
                <w:szCs w:val="20"/>
                <w:color w:val="auto"/>
              </w:rPr>
            </w:pPr>
            <w:r>
              <w:rPr>
                <w:rFonts w:ascii="Arial" w:cs="Arial" w:eastAsia="Arial" w:hAnsi="Arial"/>
                <w:sz w:val="16"/>
                <w:szCs w:val="16"/>
                <w:b w:val="1"/>
                <w:bCs w:val="1"/>
                <w:color w:val="auto"/>
                <w:w w:val="90"/>
              </w:rPr>
              <w:t>December 31, 2020</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Various guarantees</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5,378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5,069</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collaterals on swaps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6,796</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12,463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5,570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0" w:right="99" w:firstLine="324"/>
        <w:spacing w:after="0" w:line="278" w:lineRule="auto"/>
        <w:rPr>
          <w:sz w:val="20"/>
          <w:szCs w:val="20"/>
          <w:color w:val="auto"/>
        </w:rPr>
      </w:pPr>
      <w:r>
        <w:rPr>
          <w:rFonts w:ascii="Arial" w:cs="Arial" w:eastAsia="Arial" w:hAnsi="Arial"/>
          <w:sz w:val="16"/>
          <w:szCs w:val="16"/>
          <w:color w:val="auto"/>
        </w:rPr>
        <w:t>Cash collaterals on swaps represent cash deposited for the Group’s interest rate swaps and CCSs, being the difference between their fair value and an agreed threshold. An amount of $8,017 of cash collaterals has been included in Prepayments and other current assets (December 31, 2020: $16,671).</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7. Borrowings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91"/>
        </w:trPr>
        <w:tc>
          <w:tcPr>
            <w:tcW w:w="5940" w:type="dxa"/>
            <w:vAlign w:val="bottom"/>
          </w:tcPr>
          <w:p>
            <w:pPr>
              <w:ind w:left="340"/>
              <w:spacing w:after="0"/>
              <w:rPr>
                <w:sz w:val="20"/>
                <w:szCs w:val="20"/>
                <w:color w:val="auto"/>
              </w:rPr>
            </w:pPr>
            <w:r>
              <w:rPr>
                <w:rFonts w:ascii="Arial" w:cs="Arial" w:eastAsia="Arial" w:hAnsi="Arial"/>
                <w:sz w:val="16"/>
                <w:szCs w:val="16"/>
                <w:color w:val="auto"/>
              </w:rPr>
              <w:t>An analysis of the borrowings is as follows: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2"/>
        </w:trPr>
        <w:tc>
          <w:tcPr>
            <w:tcW w:w="594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December 31, 2020</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 2021</w:t>
            </w:r>
          </w:p>
        </w:tc>
      </w:tr>
      <w:tr>
        <w:trPr>
          <w:trHeight w:val="19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within one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258,262</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569,009</w:t>
            </w: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color w:val="auto"/>
              </w:rPr>
              <w:t>Less: unamortized premium</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deferred loan/bond issuance costs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(12,636)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(13,706)</w:t>
            </w:r>
          </w:p>
        </w:tc>
      </w:tr>
      <w:tr>
        <w:trPr>
          <w:trHeight w:val="19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Borrowings, current portion</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245,626</w:t>
            </w:r>
          </w:p>
        </w:tc>
        <w:tc>
          <w:tcPr>
            <w:tcW w:w="22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555,775</w:t>
            </w:r>
          </w:p>
        </w:tc>
      </w:tr>
      <w:tr>
        <w:trPr>
          <w:trHeight w:val="19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after one year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3,583,447</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3,324,636</w:t>
            </w: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color w:val="auto"/>
              </w:rPr>
              <w:t>Less: unamortized premium</w:t>
            </w:r>
          </w:p>
        </w:tc>
        <w:tc>
          <w:tcPr>
            <w:tcW w:w="1360" w:type="dxa"/>
            <w:vAlign w:val="bottom"/>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deferred loan/bond issuance costs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(56,649)</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(51,163)</w:t>
            </w:r>
          </w:p>
        </w:tc>
      </w:tr>
      <w:tr>
        <w:trPr>
          <w:trHeight w:val="19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Borrowings, non-current portion</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3,527,595</w:t>
            </w:r>
          </w:p>
        </w:tc>
        <w:tc>
          <w:tcPr>
            <w:tcW w:w="22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3,273,473</w:t>
            </w: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3,773,221</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3,829,248</w:t>
            </w: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Loans</w:t>
      </w:r>
    </w:p>
    <w:p>
      <w:pPr>
        <w:spacing w:after="0" w:line="194" w:lineRule="exact"/>
        <w:rPr>
          <w:sz w:val="20"/>
          <w:szCs w:val="20"/>
          <w:color w:val="auto"/>
        </w:rPr>
      </w:pPr>
    </w:p>
    <w:p>
      <w:pPr>
        <w:ind w:left="60" w:right="479" w:firstLine="324"/>
        <w:spacing w:after="0" w:line="328" w:lineRule="auto"/>
        <w:rPr>
          <w:sz w:val="20"/>
          <w:szCs w:val="20"/>
          <w:color w:val="auto"/>
        </w:rPr>
      </w:pPr>
      <w:r>
        <w:rPr>
          <w:rFonts w:ascii="Arial" w:cs="Arial" w:eastAsia="Arial" w:hAnsi="Arial"/>
          <w:sz w:val="15"/>
          <w:szCs w:val="15"/>
          <w:color w:val="auto"/>
        </w:rPr>
        <w:t>The main terms of the Group’s loan facilities in existence as of December 31, 2020, have been disclosed in the annual audited consolidated financial statements for the year ended December 31, 2020. Refer to Note 13 “Borrowings”.</w:t>
      </w:r>
    </w:p>
    <w:p>
      <w:pPr>
        <w:spacing w:after="0" w:line="109"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5"/>
          <w:szCs w:val="15"/>
          <w:color w:val="auto"/>
        </w:rPr>
        <w:t xml:space="preserve">On January 22, 2021, GasLog refinanced through a sale-and-leaseback transaction the </w:t>
      </w:r>
      <w:r>
        <w:rPr>
          <w:rFonts w:ascii="Arial" w:cs="Arial" w:eastAsia="Arial" w:hAnsi="Arial"/>
          <w:sz w:val="15"/>
          <w:szCs w:val="15"/>
          <w:i w:val="1"/>
          <w:iCs w:val="1"/>
          <w:color w:val="auto"/>
        </w:rPr>
        <w:t>GasLog Houston</w:t>
      </w:r>
      <w:r>
        <w:rPr>
          <w:rFonts w:ascii="Arial" w:cs="Arial" w:eastAsia="Arial" w:hAnsi="Arial"/>
          <w:sz w:val="15"/>
          <w:szCs w:val="15"/>
          <w:color w:val="auto"/>
        </w:rPr>
        <w:t>, a 174,000 cbm LNG carrier with X-DF propulsion built in 2018. GAS-twenty four Ltd. (“G24”) sold the vessel to an indirectly owned subsidiary of ICBC Financial Leasing Co., Ltd. (the “GasLog Houston SLB”), raising $165,958 and leased it back under a bareboat charter for a period of up to eight years. At the end of the charter period, G24 has the obligation to re-purchase the vessel for $99,575. G24 has also the option to re-purchase the vessel on pre-agreed terms no earlier than the end of the first interest period, and no later than the end of year eight, of the bareboat charter. The amount drawn was used to refinance the outstanding indebtedness of G24, in the amount of $130,889. The amount drawn on January 22, 2021, is repayable in 32 quarterly installments of $2,074 each and a final balloon payment of $99,575 payable concurrently with the last quarterly installment in January 2029. Interest on the outstanding capital of the bareboat charter will be payable at a rate of the London Interbank Offered Rate (“LIBOR”) plus a margin. G24 has the obligation to re-purchase the vessel and as a result under IFRS 15, the transfer of the vessel does not qualify as a sale and leaseback. The Company did not derecognize the respective vessel from its balance sheet and accounted for the amount received under the sale-and-leaseback transaction as a financial liability. The relevant tranches of the existing loan facility of the specified vessel were terminated and the respective unamortized loan fees of $3,528 were written off to profit or loss.</w:t>
      </w:r>
    </w:p>
    <w:p>
      <w:pPr>
        <w:spacing w:after="0" w:line="159" w:lineRule="exact"/>
        <w:rPr>
          <w:sz w:val="20"/>
          <w:szCs w:val="20"/>
          <w:color w:val="auto"/>
        </w:rPr>
      </w:pPr>
    </w:p>
    <w:p>
      <w:pPr>
        <w:ind w:left="60" w:right="79" w:firstLine="324"/>
        <w:spacing w:after="0" w:line="324" w:lineRule="auto"/>
        <w:rPr>
          <w:sz w:val="20"/>
          <w:szCs w:val="20"/>
          <w:color w:val="auto"/>
        </w:rPr>
      </w:pPr>
      <w:r>
        <w:rPr>
          <w:rFonts w:ascii="Arial" w:cs="Arial" w:eastAsia="Arial" w:hAnsi="Arial"/>
          <w:sz w:val="14"/>
          <w:szCs w:val="14"/>
          <w:color w:val="auto"/>
        </w:rPr>
        <w:t>The facility includes customary respective covenants, and among other restrictions the facility includes a fair market value covenant pursuant to which the lender may request additional security under the facility if the aggregate fair market value of the collateral vessel (without taking into account any charter arrangements) were to fall below 100% of the aggregate outstanding principal balance through December 31, 2022 (110% thereafter). The Group was in compliance with the required minimum security coverage as of June 30, 2021.</w:t>
      </w:r>
    </w:p>
    <w:p>
      <w:pPr>
        <w:spacing w:after="0" w:line="116"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5"/>
          <w:szCs w:val="15"/>
          <w:color w:val="auto"/>
        </w:rPr>
        <w:t xml:space="preserve">During the six months ended June 30, 2021, the Group drew down $152,955 under the facility signed on December 12, 2019 with 13 international banks to provide debt funding for its current newbuilding program (the “Newbuilding Facility”) to partially finance the delivery of the </w:t>
      </w:r>
      <w:r>
        <w:rPr>
          <w:rFonts w:ascii="Arial" w:cs="Arial" w:eastAsia="Arial" w:hAnsi="Arial"/>
          <w:sz w:val="15"/>
          <w:szCs w:val="15"/>
          <w:i w:val="1"/>
          <w:iCs w:val="1"/>
          <w:color w:val="auto"/>
        </w:rPr>
        <w:t>GasLog Wellington</w:t>
      </w:r>
      <w:r>
        <w:rPr>
          <w:rFonts w:ascii="Arial" w:cs="Arial" w:eastAsia="Arial" w:hAnsi="Arial"/>
          <w:sz w:val="15"/>
          <w:szCs w:val="15"/>
          <w:color w:val="auto"/>
        </w:rPr>
        <w:t>. In addition, during the six months ended June 30, 2021, the Group repaid $135,880 in accordance with the repayment terms under its loan facilities. In connection with the de-listing of Gaslog’s common shares from the New York Stock Exchange completed in June 2021, supplemental agreements have been signed with certain lenders with respect to clauses relating to GasLog. Costs relating to the aforementioned amendment of the agreements amounted to $15,652 for the three and six months ended June 30, 2021, respectively and have been included in Financial costs (Note 16).</w:t>
      </w:r>
    </w:p>
    <w:p>
      <w:pPr>
        <w:spacing w:after="0" w:line="139" w:lineRule="exact"/>
        <w:rPr>
          <w:sz w:val="20"/>
          <w:szCs w:val="20"/>
          <w:color w:val="auto"/>
        </w:rPr>
      </w:pPr>
    </w:p>
    <w:p>
      <w:pPr>
        <w:ind w:left="60" w:right="559" w:firstLine="324"/>
        <w:spacing w:after="0" w:line="293" w:lineRule="auto"/>
        <w:rPr>
          <w:sz w:val="20"/>
          <w:szCs w:val="20"/>
          <w:color w:val="auto"/>
        </w:rPr>
      </w:pPr>
      <w:r>
        <w:rPr>
          <w:rFonts w:ascii="Arial" w:cs="Arial" w:eastAsia="Arial" w:hAnsi="Arial"/>
          <w:sz w:val="16"/>
          <w:szCs w:val="16"/>
          <w:color w:val="auto"/>
        </w:rPr>
        <w:t>The carrying amount of the Group’s credit facilities recognized in the unaudited condensed consolidated financial statements approximates its fair value after adjusting for the unamortized loan/bond issuance costs.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Bonds</w:t>
      </w:r>
    </w:p>
    <w:p>
      <w:pPr>
        <w:spacing w:after="0" w:line="194"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The main terms of the Group’s bonds have been disclosed in the annual audited consolidated financial statements for the year ended December 31, 2020. Refer to Note 13 “Borrowings”.</w:t>
      </w:r>
    </w:p>
    <w:p>
      <w:pPr>
        <w:spacing w:after="0" w:line="131"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6"/>
          <w:szCs w:val="16"/>
          <w:color w:val="auto"/>
        </w:rPr>
        <w:t>The carrying amount under the Norwegian Kroner (“NOK”) bond maturing in 2024 (the “NOK 2024 Bonds”), net of unamortized financing costs and unamortized premium, as of June 30, 2021 is $103,955 (carrying amount under the NOK 2024 Bonds as of December 31, 2020: $104,017) while their fair value is $107,352 based on a USD/NOK exchange rate of 0.1168 as of June 30, 2021 (December 31,2020 : $96,581, based on a USD/NOK exchange rate of 0.1170).</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519" w:firstLine="324"/>
        <w:spacing w:after="0" w:line="293" w:lineRule="auto"/>
        <w:rPr>
          <w:sz w:val="20"/>
          <w:szCs w:val="20"/>
          <w:color w:val="auto"/>
        </w:rPr>
      </w:pPr>
      <w:r>
        <w:rPr>
          <w:rFonts w:ascii="Arial" w:cs="Arial" w:eastAsia="Arial" w:hAnsi="Arial"/>
          <w:sz w:val="16"/>
          <w:szCs w:val="16"/>
          <w:color w:val="auto"/>
        </w:rPr>
        <w:t>The carrying amount under the 8.875% Senior Notes, net of unamortized financing costs and premium as of June 30, 2021, is $314,232 (December 31, 2020: $313,773).</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Group was in compliance with its financial covenants as of June 30, 2021.</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8. Related Party Transactions</w:t>
      </w:r>
    </w:p>
    <w:p>
      <w:pPr>
        <w:spacing w:after="0" w:line="198" w:lineRule="exact"/>
        <w:rPr>
          <w:sz w:val="20"/>
          <w:szCs w:val="20"/>
          <w:color w:val="auto"/>
        </w:rPr>
      </w:pPr>
    </w:p>
    <w:p>
      <w:pPr>
        <w:ind w:left="60" w:right="359" w:firstLine="441"/>
        <w:spacing w:after="0" w:line="293" w:lineRule="auto"/>
        <w:rPr>
          <w:sz w:val="20"/>
          <w:szCs w:val="20"/>
          <w:color w:val="auto"/>
        </w:rPr>
      </w:pPr>
      <w:r>
        <w:rPr>
          <w:rFonts w:ascii="Arial" w:cs="Arial" w:eastAsia="Arial" w:hAnsi="Arial"/>
          <w:sz w:val="16"/>
          <w:szCs w:val="16"/>
          <w:color w:val="auto"/>
        </w:rPr>
        <w:t>The Group had the following balances with related parties which have been included in the unaudited condensed consolidated statements of financial position:</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Current Assets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6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Dividends receivable and other amounts due from related parties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receivable from associate (Note 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receivables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1,259</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884</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Current Liabilities</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4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 management creditors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6"/>
        </w:trPr>
        <w:tc>
          <w:tcPr>
            <w:tcW w:w="6440" w:type="dxa"/>
            <w:vAlign w:val="bottom"/>
          </w:tcPr>
          <w:p>
            <w:pPr>
              <w:ind w:left="20"/>
              <w:spacing w:after="0"/>
              <w:rPr>
                <w:sz w:val="20"/>
                <w:szCs w:val="20"/>
                <w:color w:val="auto"/>
              </w:rPr>
            </w:pPr>
            <w:r>
              <w:rPr>
                <w:rFonts w:ascii="Arial" w:cs="Arial" w:eastAsia="Arial" w:hAnsi="Arial"/>
                <w:sz w:val="16"/>
                <w:szCs w:val="16"/>
                <w:color w:val="auto"/>
              </w:rPr>
              <w:t>Amounts due to related parties</w:t>
            </w:r>
          </w:p>
        </w:tc>
        <w:tc>
          <w:tcPr>
            <w:tcW w:w="1140" w:type="dxa"/>
            <w:vAlign w:val="bottom"/>
          </w:tcPr>
          <w:p>
            <w:pPr>
              <w:jc w:val="right"/>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Ship management creditors’ liability comprises cash collected from Egypt LNG Shipping Ltd. to cover the obligations of its vessel under the Group’s management.</w:t>
      </w:r>
    </w:p>
    <w:p>
      <w:pPr>
        <w:spacing w:after="0" w:line="131"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Amounts due to related parties of $45 as of June 30, 2021 (December 31, 2020: $164) are expenses paid by a related party on behalf of the Group and payables to other related parties for the office lease and other operating expenses.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9. Revenues from Contracts with Customers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Group has recognized the following amounts relating to revenues: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2220" w:type="dxa"/>
            <w:vAlign w:val="bottom"/>
            <w:gridSpan w:val="4"/>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7"/>
              </w:rPr>
              <w:t>For the six months ended</w:t>
            </w:r>
          </w:p>
        </w:tc>
      </w:tr>
      <w:tr>
        <w:trPr>
          <w:trHeight w:val="213"/>
        </w:trPr>
        <w:tc>
          <w:tcPr>
            <w:tcW w:w="46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0"/>
              </w:rPr>
              <w:t>June 30, 2021</w:t>
            </w:r>
          </w:p>
        </w:tc>
      </w:tr>
      <w:tr>
        <w:trPr>
          <w:trHeight w:val="19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long-term fleet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117,096</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115,522</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227,325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233,681</w:t>
            </w: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Revenues from spot fleet</w:t>
            </w:r>
          </w:p>
        </w:tc>
        <w:tc>
          <w:tcPr>
            <w:tcW w:w="940" w:type="dxa"/>
            <w:vAlign w:val="bottom"/>
          </w:tcPr>
          <w:p>
            <w:pPr>
              <w:jc w:val="right"/>
              <w:spacing w:after="0"/>
              <w:rPr>
                <w:sz w:val="20"/>
                <w:szCs w:val="20"/>
                <w:color w:val="auto"/>
              </w:rPr>
            </w:pPr>
            <w:r>
              <w:rPr>
                <w:rFonts w:ascii="Arial" w:cs="Arial" w:eastAsia="Arial" w:hAnsi="Arial"/>
                <w:sz w:val="16"/>
                <w:szCs w:val="16"/>
                <w:color w:val="auto"/>
              </w:rPr>
              <w:t>41,565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57,293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97,041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144,256</w:t>
            </w: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vessel management services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19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158,861</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173,010</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324,758</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378,337</w:t>
            </w: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6"/>
          <w:szCs w:val="16"/>
          <w:color w:val="auto"/>
        </w:rPr>
        <w:t>Management allocates vessel revenues to two categories: a) spot fleet and b) long-term fleet, which reflects its commercial strategy. Specifically, the spot fleet category contains all vessels that have contracts with initial duration of less than five years. The long-term fleet category contains all vessels that have charter party agreements with initial duration of more than five years. Both categories, exclude optional periods.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10. General and Administrative Expenses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2"/>
        </w:trPr>
        <w:tc>
          <w:tcPr>
            <w:tcW w:w="4600" w:type="dxa"/>
            <w:vAlign w:val="bottom"/>
          </w:tcPr>
          <w:p>
            <w:pPr>
              <w:ind w:left="340"/>
              <w:spacing w:after="0"/>
              <w:rPr>
                <w:sz w:val="20"/>
                <w:szCs w:val="20"/>
                <w:color w:val="auto"/>
              </w:rPr>
            </w:pPr>
            <w:r>
              <w:rPr>
                <w:rFonts w:ascii="Arial" w:cs="Arial" w:eastAsia="Arial" w:hAnsi="Arial"/>
                <w:sz w:val="16"/>
                <w:szCs w:val="16"/>
                <w:color w:val="auto"/>
                <w:w w:val="92"/>
              </w:rPr>
              <w:t>An analysis of general and administrative expenses is as follows: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1"/>
        </w:trPr>
        <w:tc>
          <w:tcPr>
            <w:tcW w:w="4600" w:type="dxa"/>
            <w:vAlign w:val="bottom"/>
          </w:tcPr>
          <w:p>
            <w:pPr>
              <w:spacing w:after="0"/>
              <w:rPr>
                <w:sz w:val="24"/>
                <w:szCs w:val="24"/>
                <w:color w:val="auto"/>
              </w:rPr>
            </w:pPr>
          </w:p>
        </w:tc>
        <w:tc>
          <w:tcPr>
            <w:tcW w:w="2220" w:type="dxa"/>
            <w:vAlign w:val="bottom"/>
            <w:gridSpan w:val="4"/>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7"/>
              </w:rPr>
              <w:t>For the six months ended</w:t>
            </w:r>
          </w:p>
        </w:tc>
      </w:tr>
      <w:tr>
        <w:trPr>
          <w:trHeight w:val="213"/>
        </w:trPr>
        <w:tc>
          <w:tcPr>
            <w:tcW w:w="46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0"/>
              </w:rPr>
              <w:t>June 30, 2021</w:t>
            </w:r>
          </w:p>
        </w:tc>
      </w:tr>
      <w:tr>
        <w:trPr>
          <w:trHeight w:val="19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costs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w:t>
            </w: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jc w:val="right"/>
              <w:spacing w:after="0"/>
              <w:rPr>
                <w:sz w:val="20"/>
                <w:szCs w:val="20"/>
                <w:color w:val="auto"/>
              </w:rPr>
            </w:pPr>
            <w:r>
              <w:rPr>
                <w:rFonts w:ascii="Arial" w:cs="Arial" w:eastAsia="Arial" w:hAnsi="Arial"/>
                <w:sz w:val="16"/>
                <w:szCs w:val="16"/>
                <w:color w:val="auto"/>
              </w:rPr>
              <w:t>1,613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3,099</w:t>
            </w: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12,942</w:t>
            </w:r>
          </w:p>
        </w:tc>
      </w:tr>
      <w:tr>
        <w:trPr>
          <w:trHeight w:val="19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11,154</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13,498</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20,775</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25,240</w:t>
            </w: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Other expenses include legal and professional costs relating to the Transaction of $3,084 and $6,801 for the three and six months ended June 30, 2021, respectively (nil for the three and six months ended June 30, 2020).</w:t>
      </w:r>
    </w:p>
    <w:p>
      <w:pPr>
        <w:spacing w:after="0" w:line="131"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6"/>
          <w:szCs w:val="16"/>
          <w:color w:val="auto"/>
        </w:rPr>
        <w:t>GasLog had granted to executives, managers and certain employees of the Group, Restricted Stock Units (“RSUs”), Stock Appreciation Rights or Stock Options (collectively, the “SARs”) and Performance Stock Units (“PSUs”) in accordance with its 2013 Omnibus Incentive Compensation Plan (the “Plan”). The terms of the Plan and the assumptions for the valuation of the RSUs, the SARs and the PSUs have been disclosed in the annual audited consolidated financial statements for the year ended December 31, 2020. Refer to Note 22 “Share-Based Compensation”.</w:t>
      </w:r>
    </w:p>
    <w:p>
      <w:pPr>
        <w:spacing w:after="0" w:line="149" w:lineRule="exact"/>
        <w:rPr>
          <w:sz w:val="20"/>
          <w:szCs w:val="20"/>
          <w:color w:val="auto"/>
        </w:rPr>
      </w:pPr>
    </w:p>
    <w:p>
      <w:pPr>
        <w:jc w:val="both"/>
        <w:ind w:left="60" w:right="99" w:firstLine="324"/>
        <w:spacing w:after="0" w:line="273" w:lineRule="auto"/>
        <w:rPr>
          <w:sz w:val="20"/>
          <w:szCs w:val="20"/>
          <w:color w:val="auto"/>
        </w:rPr>
      </w:pPr>
      <w:r>
        <w:rPr>
          <w:rFonts w:ascii="Arial" w:cs="Arial" w:eastAsia="Arial" w:hAnsi="Arial"/>
          <w:sz w:val="16"/>
          <w:szCs w:val="16"/>
          <w:color w:val="auto"/>
        </w:rPr>
        <w:t>Following the consummation of the Transaction, the previously unvested RSUs and PSUs vested; the PSUs vested assuming 100% achievement of performance conditions. In addition, all SARs have been cancelled and replaced by cash consideration. For the three and six months ended June 30, 2021, the accelerated amortization for the stock plan termination amounted to $1,949 (nil for the three and six months ended June 30,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11. Vessel Operating and Supervision Costs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 analysis of vessel operating and supervision costs is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For the three months ended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w w:val="97"/>
              </w:rPr>
              <w:t>For the six months ended</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June 30, 2020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0"/>
              </w:rPr>
              <w:t>June 30, 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6"/>
                <w:szCs w:val="16"/>
                <w:b w:val="1"/>
                <w:bCs w:val="1"/>
                <w:color w:val="auto"/>
              </w:rPr>
              <w:t>June 30, 2020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Crew and vessel management employee costs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20,548</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24,819</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40,936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49,661</w:t>
            </w: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Technical maintenance expenses</w:t>
            </w:r>
          </w:p>
        </w:tc>
        <w:tc>
          <w:tcPr>
            <w:tcW w:w="940" w:type="dxa"/>
            <w:vAlign w:val="bottom"/>
          </w:tcPr>
          <w:p>
            <w:pPr>
              <w:jc w:val="right"/>
              <w:spacing w:after="0"/>
              <w:rPr>
                <w:sz w:val="20"/>
                <w:szCs w:val="20"/>
                <w:color w:val="auto"/>
              </w:rPr>
            </w:pPr>
            <w:r>
              <w:rPr>
                <w:rFonts w:ascii="Arial" w:cs="Arial" w:eastAsia="Arial" w:hAnsi="Arial"/>
                <w:sz w:val="16"/>
                <w:szCs w:val="16"/>
                <w:color w:val="auto"/>
              </w:rPr>
              <w:t>7,583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9,573</w:t>
            </w:r>
          </w:p>
        </w:tc>
        <w:tc>
          <w:tcPr>
            <w:tcW w:w="1120" w:type="dxa"/>
            <w:vAlign w:val="bottom"/>
            <w:gridSpan w:val="4"/>
          </w:tcPr>
          <w:p>
            <w:pPr>
              <w:jc w:val="right"/>
              <w:ind w:right="60"/>
              <w:spacing w:after="0"/>
              <w:rPr>
                <w:sz w:val="20"/>
                <w:szCs w:val="20"/>
                <w:color w:val="auto"/>
              </w:rPr>
            </w:pPr>
            <w:r>
              <w:rPr>
                <w:rFonts w:ascii="Arial" w:cs="Arial" w:eastAsia="Arial" w:hAnsi="Arial"/>
                <w:sz w:val="16"/>
                <w:szCs w:val="16"/>
                <w:color w:val="auto"/>
              </w:rPr>
              <w:t>17,304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17,749</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vessel operating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6,296</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9,417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12,531</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32,605</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67,657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79,941</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12. Other Payables and Accruals</w:t>
            </w: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0" w:type="dxa"/>
            <w:vAlign w:val="bottom"/>
          </w:tcPr>
          <w:p>
            <w:pPr>
              <w:ind w:left="340"/>
              <w:spacing w:after="0"/>
              <w:rPr>
                <w:sz w:val="20"/>
                <w:szCs w:val="20"/>
                <w:color w:val="auto"/>
              </w:rPr>
            </w:pPr>
            <w:r>
              <w:rPr>
                <w:rFonts w:ascii="Arial" w:cs="Arial" w:eastAsia="Arial" w:hAnsi="Arial"/>
                <w:sz w:val="16"/>
                <w:szCs w:val="16"/>
                <w:color w:val="auto"/>
              </w:rPr>
              <w:t>An analysis of other payables and accruals is as follows: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59,612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61,406</w:t>
            </w:r>
          </w:p>
        </w:tc>
        <w:tc>
          <w:tcPr>
            <w:tcW w:w="0" w:type="dxa"/>
            <w:vAlign w:val="bottom"/>
          </w:tcPr>
          <w:p>
            <w:pPr>
              <w:spacing w:after="0"/>
              <w:rPr>
                <w:sz w:val="1"/>
                <w:szCs w:val="1"/>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6"/>
                <w:szCs w:val="16"/>
                <w:color w:val="auto"/>
              </w:rPr>
              <w:t>Accrued off-hire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5,886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10,816</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purchases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15,924</w:t>
            </w: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33,600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27,029</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accruals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34,092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32,944</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143,057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148,119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13. Share Capital and Preference Shares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0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of June 30, 2021, the share capital consisted of 95,389,062 issued and outstanding common shares, par value $0.01 per share and 4,600,000 preference shares issued and outstanding.</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Dividend distributions</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GasLog’s dividend distributions for the period ending June 30, 2021, are presented in the following table:</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Declaration date</w:t>
            </w: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Type of shares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 per share</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Payment date</w:t>
            </w:r>
          </w:p>
        </w:tc>
        <w:tc>
          <w:tcPr>
            <w:tcW w:w="940" w:type="dxa"/>
            <w:vAlign w:val="bottom"/>
          </w:tcPr>
          <w:p>
            <w:pPr>
              <w:ind w:left="20"/>
              <w:spacing w:after="0"/>
              <w:rPr>
                <w:sz w:val="20"/>
                <w:szCs w:val="20"/>
                <w:color w:val="auto"/>
              </w:rPr>
            </w:pPr>
            <w:r>
              <w:rPr>
                <w:rFonts w:ascii="Arial" w:cs="Arial" w:eastAsia="Arial" w:hAnsi="Arial"/>
                <w:sz w:val="16"/>
                <w:szCs w:val="16"/>
                <w:b w:val="1"/>
                <w:bCs w:val="1"/>
                <w:color w:val="auto"/>
                <w:w w:val="91"/>
              </w:rPr>
              <w:t>Amount paid</w:t>
            </w:r>
          </w:p>
        </w:tc>
      </w:tr>
      <w:tr>
        <w:trPr>
          <w:trHeight w:val="19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February 21, 2021</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Common</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0.05</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March 11, 2021</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4,759</w:t>
            </w:r>
          </w:p>
        </w:tc>
      </w:tr>
      <w:tr>
        <w:trPr>
          <w:trHeight w:val="203"/>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March 11, 2021</w:t>
            </w: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Preference</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39"/>
              <w:spacing w:after="0"/>
              <w:rPr>
                <w:sz w:val="20"/>
                <w:szCs w:val="20"/>
                <w:color w:val="auto"/>
              </w:rPr>
            </w:pPr>
            <w:r>
              <w:rPr>
                <w:rFonts w:ascii="Arial" w:cs="Arial" w:eastAsia="Arial" w:hAnsi="Arial"/>
                <w:sz w:val="16"/>
                <w:szCs w:val="16"/>
                <w:color w:val="auto"/>
                <w:w w:val="89"/>
              </w:rPr>
              <w:t>0.546875</w:t>
            </w:r>
          </w:p>
        </w:tc>
        <w:tc>
          <w:tcPr>
            <w:tcW w:w="1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March 31, 2021</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2,516</w:t>
            </w:r>
          </w:p>
        </w:tc>
      </w:tr>
      <w:tr>
        <w:trPr>
          <w:trHeight w:val="20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5, 2021</w:t>
            </w:r>
          </w:p>
        </w:tc>
        <w:tc>
          <w:tcPr>
            <w:tcW w:w="11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5"/>
              </w:rPr>
              <w:t>Common</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0.05</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May 26, 2021</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4,769</w:t>
            </w:r>
          </w:p>
        </w:tc>
      </w:tr>
      <w:tr>
        <w:trPr>
          <w:trHeight w:val="203"/>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May 13, 2021</w:t>
            </w:r>
          </w:p>
        </w:tc>
        <w:tc>
          <w:tcPr>
            <w:tcW w:w="1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6"/>
                <w:szCs w:val="16"/>
                <w:color w:val="auto"/>
                <w:w w:val="89"/>
              </w:rPr>
              <w:t>Preference</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center"/>
              <w:ind w:right="39"/>
              <w:spacing w:after="0"/>
              <w:rPr>
                <w:sz w:val="20"/>
                <w:szCs w:val="20"/>
                <w:color w:val="auto"/>
              </w:rPr>
            </w:pPr>
            <w:r>
              <w:rPr>
                <w:rFonts w:ascii="Arial" w:cs="Arial" w:eastAsia="Arial" w:hAnsi="Arial"/>
                <w:sz w:val="16"/>
                <w:szCs w:val="16"/>
                <w:color w:val="auto"/>
                <w:w w:val="89"/>
              </w:rPr>
              <w:t>0.546875</w:t>
            </w: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8"/>
              </w:rPr>
              <w:t>June 30, 2021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2,516</w:t>
            </w:r>
          </w:p>
        </w:tc>
      </w:tr>
      <w:tr>
        <w:trPr>
          <w:trHeight w:val="19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14,560</w:t>
            </w: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14. Commitments and Contingencies</w:t>
      </w:r>
    </w:p>
    <w:p>
      <w:pPr>
        <w:spacing w:after="0" w:line="198"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Commitments relating to the vessel under construction (Note 4) as of June 30, 2021, payable to Samsung were as follows: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-109855</wp:posOffset>
            </wp:positionV>
            <wp:extent cx="564896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later than one year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-112395</wp:posOffset>
            </wp:positionV>
            <wp:extent cx="564896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2021</w:t>
      </w:r>
    </w:p>
    <w:p>
      <w:pPr>
        <w:spacing w:after="0" w:line="225"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150,880</w:t>
      </w:r>
    </w:p>
    <w:p>
      <w:pPr>
        <w:spacing w:after="0" w:line="28" w:lineRule="exact"/>
        <w:rPr>
          <w:sz w:val="20"/>
          <w:szCs w:val="20"/>
          <w:color w:val="auto"/>
        </w:rPr>
      </w:pPr>
    </w:p>
    <w:p>
      <w:pPr>
        <w:jc w:val="right"/>
        <w:ind w:right="119"/>
        <w:spacing w:after="0"/>
        <w:rPr>
          <w:sz w:val="20"/>
          <w:szCs w:val="20"/>
          <w:color w:val="auto"/>
        </w:rPr>
      </w:pPr>
      <w:r>
        <w:rPr>
          <w:rFonts w:ascii="Arial" w:cs="Arial" w:eastAsia="Arial" w:hAnsi="Arial"/>
          <w:sz w:val="16"/>
          <w:szCs w:val="16"/>
          <w:b w:val="1"/>
          <w:bCs w:val="1"/>
          <w:color w:val="auto"/>
        </w:rPr>
        <w:t>150,880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37465</wp:posOffset>
            </wp:positionV>
            <wp:extent cx="8572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1219"/>
          </w:cols>
          <w:pgMar w:left="1440" w:top="517" w:right="1440" w:bottom="1440" w:gutter="0" w:footer="0" w:header="0"/>
          <w:type w:val="continuous"/>
        </w:sectPr>
      </w:pPr>
    </w:p>
    <w:p>
      <w:pPr>
        <w:spacing w:after="0" w:line="79" w:lineRule="exact"/>
        <w:rPr>
          <w:sz w:val="20"/>
          <w:szCs w:val="20"/>
          <w:color w:val="auto"/>
        </w:rPr>
      </w:pPr>
    </w:p>
    <w:p>
      <w:pPr>
        <w:ind w:left="380" w:right="79" w:hanging="330"/>
        <w:spacing w:after="0" w:line="273"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Future gross minimum revenues receivable in relation to non-cancellable time charter agreements for vessels in operation, including a vessel under a lease (Note 5), as of June 30, 2021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2021</w:t>
            </w:r>
          </w:p>
        </w:tc>
      </w:tr>
      <w:tr>
        <w:trPr>
          <w:trHeight w:val="185"/>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Period</w:t>
            </w:r>
          </w:p>
        </w:tc>
        <w:tc>
          <w:tcPr>
            <w:tcW w:w="1340" w:type="dxa"/>
            <w:vAlign w:val="bottom"/>
            <w:shd w:val="clear" w:color="auto" w:fill="CCEEFF"/>
          </w:tcPr>
          <w:p>
            <w:pPr>
              <w:spacing w:after="0"/>
              <w:rPr>
                <w:sz w:val="16"/>
                <w:szCs w:val="16"/>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6"/>
                <w:szCs w:val="16"/>
                <w:color w:val="auto"/>
              </w:rPr>
              <w:t>Not later than one year</w:t>
            </w:r>
          </w:p>
        </w:tc>
        <w:tc>
          <w:tcPr>
            <w:tcW w:w="1340" w:type="dxa"/>
            <w:vAlign w:val="bottom"/>
          </w:tcPr>
          <w:p>
            <w:pPr>
              <w:jc w:val="right"/>
              <w:spacing w:after="0"/>
              <w:rPr>
                <w:sz w:val="20"/>
                <w:szCs w:val="20"/>
                <w:color w:val="auto"/>
              </w:rPr>
            </w:pPr>
            <w:r>
              <w:rPr>
                <w:rFonts w:ascii="Arial" w:cs="Arial" w:eastAsia="Arial" w:hAnsi="Arial"/>
                <w:sz w:val="16"/>
                <w:szCs w:val="16"/>
                <w:color w:val="auto"/>
              </w:rPr>
              <w:t>518,333</w:t>
            </w: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Later than one year and not later than two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390,923</w:t>
            </w:r>
          </w:p>
        </w:tc>
      </w:tr>
      <w:tr>
        <w:trPr>
          <w:trHeight w:val="202"/>
        </w:trPr>
        <w:tc>
          <w:tcPr>
            <w:tcW w:w="7560" w:type="dxa"/>
            <w:vAlign w:val="bottom"/>
          </w:tcPr>
          <w:p>
            <w:pPr>
              <w:ind w:left="20"/>
              <w:spacing w:after="0"/>
              <w:rPr>
                <w:sz w:val="20"/>
                <w:szCs w:val="20"/>
                <w:color w:val="auto"/>
              </w:rPr>
            </w:pPr>
            <w:r>
              <w:rPr>
                <w:rFonts w:ascii="Arial" w:cs="Arial" w:eastAsia="Arial" w:hAnsi="Arial"/>
                <w:sz w:val="16"/>
                <w:szCs w:val="16"/>
                <w:color w:val="auto"/>
              </w:rPr>
              <w:t>Later than two years and not later than three years</w:t>
            </w:r>
          </w:p>
        </w:tc>
        <w:tc>
          <w:tcPr>
            <w:tcW w:w="1340" w:type="dxa"/>
            <w:vAlign w:val="bottom"/>
          </w:tcPr>
          <w:p>
            <w:pPr>
              <w:jc w:val="right"/>
              <w:spacing w:after="0"/>
              <w:rPr>
                <w:sz w:val="20"/>
                <w:szCs w:val="20"/>
                <w:color w:val="auto"/>
              </w:rPr>
            </w:pPr>
            <w:r>
              <w:rPr>
                <w:rFonts w:ascii="Arial" w:cs="Arial" w:eastAsia="Arial" w:hAnsi="Arial"/>
                <w:sz w:val="16"/>
                <w:szCs w:val="16"/>
                <w:color w:val="auto"/>
              </w:rPr>
              <w:t>344,838</w:t>
            </w: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Later than three years and not later than four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306,158</w:t>
            </w:r>
          </w:p>
        </w:tc>
      </w:tr>
      <w:tr>
        <w:trPr>
          <w:trHeight w:val="203"/>
        </w:trPr>
        <w:tc>
          <w:tcPr>
            <w:tcW w:w="7560" w:type="dxa"/>
            <w:vAlign w:val="bottom"/>
          </w:tcPr>
          <w:p>
            <w:pPr>
              <w:ind w:left="20"/>
              <w:spacing w:after="0"/>
              <w:rPr>
                <w:sz w:val="20"/>
                <w:szCs w:val="20"/>
                <w:color w:val="auto"/>
              </w:rPr>
            </w:pPr>
            <w:r>
              <w:rPr>
                <w:rFonts w:ascii="Arial" w:cs="Arial" w:eastAsia="Arial" w:hAnsi="Arial"/>
                <w:sz w:val="16"/>
                <w:szCs w:val="16"/>
                <w:color w:val="auto"/>
              </w:rPr>
              <w:t>Later than four years and not later than five years</w:t>
            </w:r>
          </w:p>
        </w:tc>
        <w:tc>
          <w:tcPr>
            <w:tcW w:w="1340" w:type="dxa"/>
            <w:vAlign w:val="bottom"/>
          </w:tcPr>
          <w:p>
            <w:pPr>
              <w:jc w:val="right"/>
              <w:spacing w:after="0"/>
              <w:rPr>
                <w:sz w:val="20"/>
                <w:szCs w:val="20"/>
                <w:color w:val="auto"/>
              </w:rPr>
            </w:pPr>
            <w:r>
              <w:rPr>
                <w:rFonts w:ascii="Arial" w:cs="Arial" w:eastAsia="Arial" w:hAnsi="Arial"/>
                <w:sz w:val="16"/>
                <w:szCs w:val="16"/>
                <w:color w:val="auto"/>
              </w:rPr>
              <w:t>280,647</w:t>
            </w: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Later than five years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451,715</w:t>
            </w:r>
          </w:p>
        </w:tc>
      </w:tr>
      <w:tr>
        <w:trPr>
          <w:trHeight w:val="19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2,292,614</w:t>
            </w:r>
          </w:p>
        </w:tc>
      </w:tr>
      <w:tr>
        <w:trPr>
          <w:trHeight w:val="20"/>
        </w:trPr>
        <w:tc>
          <w:tcPr>
            <w:tcW w:w="7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0" w:right="819" w:firstLine="324"/>
        <w:spacing w:after="0" w:line="293" w:lineRule="auto"/>
        <w:rPr>
          <w:sz w:val="20"/>
          <w:szCs w:val="20"/>
          <w:color w:val="auto"/>
        </w:rPr>
      </w:pPr>
      <w:r>
        <w:rPr>
          <w:rFonts w:ascii="Arial" w:cs="Arial" w:eastAsia="Arial" w:hAnsi="Arial"/>
          <w:sz w:val="16"/>
          <w:szCs w:val="16"/>
          <w:color w:val="auto"/>
        </w:rPr>
        <w:t>Future gross minimum lease payments disclosed in the above table exclude the lease payments of the vessel that is under construction as of June 30, 2021 (Note 4).</w:t>
      </w:r>
    </w:p>
    <w:p>
      <w:pPr>
        <w:spacing w:after="0" w:line="131" w:lineRule="exact"/>
        <w:rPr>
          <w:sz w:val="20"/>
          <w:szCs w:val="20"/>
          <w:color w:val="auto"/>
        </w:rPr>
      </w:pPr>
    </w:p>
    <w:p>
      <w:pPr>
        <w:ind w:left="380" w:right="139" w:hanging="330"/>
        <w:spacing w:after="0" w:line="293" w:lineRule="auto"/>
        <w:tabs>
          <w:tab w:leader="none" w:pos="3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September 2017 (in addition to the seven existing maintenance agreements signed in 2015 in relation to GasLog vessels) and later in June 2021, GasLog LNG Services Ltd. entered into further maintenance agreements with Wartsila Greece S.A. (“Wartsila”) in respect of eighteen additional GasLog LNG carriers in total.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148" w:lineRule="exact"/>
        <w:rPr>
          <w:rFonts w:ascii="Arial" w:cs="Arial" w:eastAsia="Arial" w:hAnsi="Arial"/>
          <w:sz w:val="15"/>
          <w:szCs w:val="15"/>
          <w:color w:val="auto"/>
        </w:rPr>
      </w:pPr>
    </w:p>
    <w:p>
      <w:pPr>
        <w:ind w:left="380" w:right="119" w:hanging="330"/>
        <w:spacing w:after="0" w:line="273"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June 30, 2021, ballast water management systems had been installed on thirteen out of the nineteen vessels.</w:t>
      </w:r>
    </w:p>
    <w:p>
      <w:pPr>
        <w:spacing w:after="0" w:line="148"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220" w:type="dxa"/>
            <w:vAlign w:val="bottom"/>
          </w:tcPr>
          <w:p>
            <w:pPr>
              <w:spacing w:after="0"/>
              <w:rPr>
                <w:sz w:val="20"/>
                <w:szCs w:val="20"/>
                <w:color w:val="auto"/>
              </w:rPr>
            </w:pPr>
            <w:r>
              <w:rPr>
                <w:rFonts w:ascii="Arial" w:cs="Arial" w:eastAsia="Arial" w:hAnsi="Arial"/>
                <w:sz w:val="16"/>
                <w:szCs w:val="16"/>
                <w:b w:val="1"/>
                <w:bCs w:val="1"/>
                <w:color w:val="auto"/>
              </w:rPr>
              <w:t>15. Derivative Financial Instruments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220" w:type="dxa"/>
            <w:vAlign w:val="bottom"/>
          </w:tcPr>
          <w:p>
            <w:pPr>
              <w:ind w:left="320"/>
              <w:spacing w:after="0"/>
              <w:rPr>
                <w:sz w:val="20"/>
                <w:szCs w:val="20"/>
                <w:color w:val="auto"/>
              </w:rPr>
            </w:pPr>
            <w:r>
              <w:rPr>
                <w:rFonts w:ascii="Arial" w:cs="Arial" w:eastAsia="Arial" w:hAnsi="Arial"/>
                <w:sz w:val="16"/>
                <w:szCs w:val="16"/>
                <w:color w:val="auto"/>
              </w:rPr>
              <w:t>The fair value of the derivative assets is as follows: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Forward foreign exchange contracts</w:t>
            </w:r>
          </w:p>
        </w:tc>
        <w:tc>
          <w:tcPr>
            <w:tcW w:w="124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4"/>
              </w:rPr>
              <w:t>Derivative assets designated and effective as hedging instruments carried at fair value</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Cross-currency swaps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5,573</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6,095</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assets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vMerge w:val="continue"/>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534</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2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6,095</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5,573</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20"/>
              <w:spacing w:after="0"/>
              <w:rPr>
                <w:sz w:val="20"/>
                <w:szCs w:val="20"/>
                <w:color w:val="auto"/>
              </w:rPr>
            </w:pPr>
            <w:r>
              <w:rPr>
                <w:rFonts w:ascii="Arial" w:cs="Arial" w:eastAsia="Arial" w:hAnsi="Arial"/>
                <w:sz w:val="16"/>
                <w:szCs w:val="16"/>
                <w:color w:val="auto"/>
              </w:rPr>
              <w:t>The fair value of the derivative liabilities is as follows: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Interest rate swaps</w:t>
            </w:r>
          </w:p>
        </w:tc>
        <w:tc>
          <w:tcPr>
            <w:tcW w:w="1240" w:type="dxa"/>
            <w:vAlign w:val="bottom"/>
          </w:tcPr>
          <w:p>
            <w:pPr>
              <w:jc w:val="right"/>
              <w:spacing w:after="0"/>
              <w:rPr>
                <w:sz w:val="20"/>
                <w:szCs w:val="20"/>
                <w:color w:val="auto"/>
              </w:rPr>
            </w:pPr>
            <w:r>
              <w:rPr>
                <w:rFonts w:ascii="Arial" w:cs="Arial" w:eastAsia="Arial" w:hAnsi="Arial"/>
                <w:sz w:val="16"/>
                <w:szCs w:val="16"/>
                <w:color w:val="auto"/>
              </w:rPr>
              <w:t>113,855</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81,812</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Forward foreign exchange contracts</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113,855</w:t>
            </w:r>
          </w:p>
        </w:tc>
        <w:tc>
          <w:tcPr>
            <w:tcW w:w="22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82,072</w:t>
            </w:r>
          </w:p>
        </w:tc>
        <w:tc>
          <w:tcPr>
            <w:tcW w:w="0" w:type="dxa"/>
            <w:vAlign w:val="bottom"/>
          </w:tcPr>
          <w:p>
            <w:pPr>
              <w:spacing w:after="0"/>
              <w:rPr>
                <w:sz w:val="1"/>
                <w:szCs w:val="1"/>
                <w:color w:val="auto"/>
              </w:rPr>
            </w:pPr>
          </w:p>
        </w:tc>
      </w:tr>
      <w:tr>
        <w:trPr>
          <w:trHeight w:val="183"/>
        </w:trPr>
        <w:tc>
          <w:tcPr>
            <w:tcW w:w="6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Derivative financial instruments, current liability</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35,415</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33,393</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78,440</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48,679</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113,855</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82,072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Interest rate swap agreements</w:t>
      </w:r>
    </w:p>
    <w:p>
      <w:pPr>
        <w:spacing w:after="0" w:line="198" w:lineRule="exact"/>
        <w:rPr>
          <w:sz w:val="20"/>
          <w:szCs w:val="20"/>
          <w:color w:val="auto"/>
        </w:rPr>
      </w:pPr>
    </w:p>
    <w:p>
      <w:pPr>
        <w:ind w:left="60" w:right="339" w:firstLine="324"/>
        <w:spacing w:after="0" w:line="297" w:lineRule="auto"/>
        <w:rPr>
          <w:sz w:val="20"/>
          <w:szCs w:val="20"/>
          <w:color w:val="auto"/>
        </w:rPr>
      </w:pPr>
      <w:r>
        <w:rPr>
          <w:rFonts w:ascii="Arial" w:cs="Arial" w:eastAsia="Arial" w:hAnsi="Arial"/>
          <w:sz w:val="15"/>
          <w:szCs w:val="15"/>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USD LIBOR, and the Group effects quarterly payments to the bank on the notional amounts at the respective fixed rates.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08"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6"/>
          <w:szCs w:val="16"/>
          <w:color w:val="auto"/>
        </w:rPr>
        <w:t>The principal terms of the Group’s interest rate swaps held for trading as of December 31, 2020, have been disclosed in the annual audited consolidated financial statements for the year ended December 31, 2020. Refer to Note 26 “Derivative Financial Instruments”. In June 2021, the Group novated to ABN Amro Bank N.V. an interest rate swap with HSBC Bank plc originally maturing in July 2025 with notional amount of $33,333. During the six months ended June 30, 2021, the Group did not enter into any new interest rate swaps held for trading.</w:t>
      </w:r>
    </w:p>
    <w:p>
      <w:pPr>
        <w:spacing w:after="0" w:line="149" w:lineRule="exact"/>
        <w:rPr>
          <w:sz w:val="20"/>
          <w:szCs w:val="20"/>
          <w:color w:val="auto"/>
        </w:rPr>
      </w:pPr>
    </w:p>
    <w:p>
      <w:pPr>
        <w:ind w:left="60" w:right="99" w:firstLine="324"/>
        <w:spacing w:after="0" w:line="318" w:lineRule="auto"/>
        <w:rPr>
          <w:sz w:val="20"/>
          <w:szCs w:val="20"/>
          <w:color w:val="auto"/>
        </w:rPr>
      </w:pPr>
      <w:r>
        <w:rPr>
          <w:rFonts w:ascii="Arial" w:cs="Arial" w:eastAsia="Arial" w:hAnsi="Arial"/>
          <w:sz w:val="14"/>
          <w:szCs w:val="14"/>
          <w:color w:val="auto"/>
        </w:rPr>
        <w:t>The Group’s interest rate swaps held for trading were not designated as cash flow hedging instruments. The change in the fair value of the interest rate swaps held for trading for the three and six months ended June 30, 2021 amounted to a net gain of $3,718 and a net gain of $32,044, respectively (for the three and six months ended June 30, 2020: a net loss of $9,847 and a net loss of $79,827, respectively), which was recognized against profit or loss in the period incurred and is included in (Loss)/gain on derivatives. During the three and six months ended June 30, 2021, the net gain of $3,718 and $32,044, respectively derived from changes in the LIBOR curve.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Cross currency swap agreements</w:t>
      </w:r>
    </w:p>
    <w:p>
      <w:pPr>
        <w:spacing w:after="0" w:line="212"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6"/>
          <w:szCs w:val="16"/>
          <w:color w:val="auto"/>
        </w:rPr>
        <w:t>The principal terms of the Group’s CCSs designated as cash flow hedging instruments as of December 31, 2020, have been disclosed in the annual audited consolidated financial statements for the year ended December 31, 2020. Refer to Note 26 “Derivative Financial Instruments”. During the six months ended June 30, 2021, the Group did not enter any CCS designated as cash flow hedging instruments.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5"/>
          <w:szCs w:val="15"/>
          <w:color w:val="auto"/>
        </w:rPr>
        <w:t>For the three and six months ended June 30, 2021, the effective portion of changes in the fair value of CCSs amounting to a gain of $1,024 and a loss of $153, respectively, has been recognized in Other comprehensive income/(loss) (for the three and six months ended June 30, 2020: a gain of $8,985 and a loss of $11,782, respectively). For the three and six months ended June 30, 2021, a gain of $106 and $157, respectively, was recycled to profit or loss representing the realized gain on CCSs in relation to the interest expenses component of the hedge (for the three and six months ended June 30, 2020: a loss of $240 and $455, respectively). Additionally, for the three and six months ended June 30, 2021, a gain of $77 and a gain of $207, respectively, was recognized in Other comprehensive income/(loss) in relation to the translation of the NOK Bonds in USD as of June 30, 2021 (for the three and six months ended June 30, 2020: a loss of $7,344 and a gain of $9,098,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Forward foreign exchange contracts</w:t>
      </w:r>
    </w:p>
    <w:p>
      <w:pPr>
        <w:spacing w:after="0" w:line="198" w:lineRule="exact"/>
        <w:rPr>
          <w:sz w:val="20"/>
          <w:szCs w:val="20"/>
          <w:color w:val="auto"/>
        </w:rPr>
      </w:pPr>
    </w:p>
    <w:p>
      <w:pPr>
        <w:ind w:left="60" w:right="259" w:firstLine="324"/>
        <w:spacing w:after="0" w:line="324" w:lineRule="auto"/>
        <w:rPr>
          <w:sz w:val="20"/>
          <w:szCs w:val="20"/>
          <w:color w:val="auto"/>
        </w:rPr>
      </w:pPr>
      <w:r>
        <w:rPr>
          <w:rFonts w:ascii="Arial" w:cs="Arial" w:eastAsia="Arial" w:hAnsi="Arial"/>
          <w:sz w:val="14"/>
          <w:szCs w:val="14"/>
          <w:color w:val="auto"/>
        </w:rPr>
        <w:t>The Group uses forward foreign exchange contracts to mitigate foreign exchange transaction exposures in Euros (“EUR”). Under these forward foreign exchange contracts, the bank counterparty will effect fixed payments in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16" w:lineRule="exact"/>
        <w:rPr>
          <w:sz w:val="20"/>
          <w:szCs w:val="20"/>
          <w:color w:val="auto"/>
        </w:rPr>
      </w:pPr>
    </w:p>
    <w:p>
      <w:pPr>
        <w:ind w:left="60" w:right="119" w:firstLine="324"/>
        <w:spacing w:after="0" w:line="278" w:lineRule="auto"/>
        <w:rPr>
          <w:sz w:val="20"/>
          <w:szCs w:val="20"/>
          <w:color w:val="auto"/>
        </w:rPr>
      </w:pPr>
      <w:r>
        <w:rPr>
          <w:rFonts w:ascii="Arial" w:cs="Arial" w:eastAsia="Arial" w:hAnsi="Arial"/>
          <w:sz w:val="16"/>
          <w:szCs w:val="16"/>
          <w:color w:val="auto"/>
        </w:rPr>
        <w:t>The principal terms of the forward foreign exchange contracts held for trading as of December 31, 2020, have been disclosed in the annual audited consolidated financial statements for the year ended December 31, 2020. Refer to Note 26 “Derivative Financial Instruments”.</w:t>
      </w:r>
    </w:p>
    <w:p>
      <w:pPr>
        <w:spacing w:after="0" w:line="157" w:lineRule="exact"/>
        <w:rPr>
          <w:sz w:val="20"/>
          <w:szCs w:val="20"/>
          <w:color w:val="auto"/>
        </w:rPr>
      </w:pPr>
    </w:p>
    <w:p>
      <w:pPr>
        <w:ind w:left="60" w:right="399" w:firstLine="324"/>
        <w:spacing w:after="0" w:line="293" w:lineRule="auto"/>
        <w:rPr>
          <w:sz w:val="20"/>
          <w:szCs w:val="20"/>
          <w:color w:val="auto"/>
        </w:rPr>
      </w:pPr>
      <w:r>
        <w:rPr>
          <w:rFonts w:ascii="Arial" w:cs="Arial" w:eastAsia="Arial" w:hAnsi="Arial"/>
          <w:sz w:val="16"/>
          <w:szCs w:val="16"/>
          <w:color w:val="auto"/>
        </w:rPr>
        <w:t>During the six months ended June 30, 2021, the Group entered the following forward foreign exchange contracts which remain unsettled as of June 30, 2021:</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Fixed</w:t>
            </w:r>
          </w:p>
        </w:tc>
        <w:tc>
          <w:tcPr>
            <w:tcW w:w="1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Total Exchange</w:t>
            </w:r>
          </w:p>
        </w:tc>
      </w:tr>
      <w:tr>
        <w:trPr>
          <w:trHeight w:val="203"/>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Number of</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Exchange Rate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Amount</w:t>
            </w:r>
          </w:p>
        </w:tc>
      </w:tr>
      <w:tr>
        <w:trPr>
          <w:trHeight w:val="213"/>
        </w:trPr>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5"/>
              </w:rPr>
              <w:t>Counterparty</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4"/>
              </w:rPr>
              <w:t>Trade Date</w:t>
            </w:r>
          </w:p>
        </w:tc>
        <w:tc>
          <w:tcPr>
            <w:tcW w:w="16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contracts</w:t>
            </w: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Settlement Dates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(USD/EUR)</w:t>
            </w:r>
          </w:p>
        </w:tc>
        <w:tc>
          <w:tcPr>
            <w:tcW w:w="1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r>
      <w:tr>
        <w:trPr>
          <w:trHeight w:val="199"/>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GasLog</w:t>
            </w:r>
          </w:p>
        </w:tc>
        <w:tc>
          <w:tcPr>
            <w:tcW w:w="1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ABN Amro Bank N.V.</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March 2021</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July-September 2021</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1.1964-1.1980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03"/>
        </w:trPr>
        <w:tc>
          <w:tcPr>
            <w:tcW w:w="8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20" w:type="dxa"/>
            <w:vAlign w:val="bottom"/>
          </w:tcPr>
          <w:p>
            <w:pPr>
              <w:jc w:val="center"/>
              <w:spacing w:after="0"/>
              <w:rPr>
                <w:sz w:val="20"/>
                <w:szCs w:val="20"/>
                <w:color w:val="auto"/>
              </w:rPr>
            </w:pPr>
            <w:r>
              <w:rPr>
                <w:rFonts w:ascii="Arial" w:cs="Arial" w:eastAsia="Arial" w:hAnsi="Arial"/>
                <w:sz w:val="16"/>
                <w:szCs w:val="16"/>
                <w:color w:val="auto"/>
                <w:w w:val="95"/>
              </w:rPr>
              <w:t>OCBC</w:t>
            </w:r>
          </w:p>
        </w:tc>
        <w:tc>
          <w:tcPr>
            <w:tcW w:w="960" w:type="dxa"/>
            <w:vAlign w:val="bottom"/>
            <w:gridSpan w:val="2"/>
          </w:tcPr>
          <w:p>
            <w:pPr>
              <w:jc w:val="center"/>
              <w:ind w:left="59"/>
              <w:spacing w:after="0"/>
              <w:rPr>
                <w:sz w:val="20"/>
                <w:szCs w:val="20"/>
                <w:color w:val="auto"/>
              </w:rPr>
            </w:pPr>
            <w:r>
              <w:rPr>
                <w:rFonts w:ascii="Arial" w:cs="Arial" w:eastAsia="Arial" w:hAnsi="Arial"/>
                <w:sz w:val="16"/>
                <w:szCs w:val="16"/>
                <w:color w:val="auto"/>
                <w:w w:val="92"/>
              </w:rPr>
              <w:t>March 2021</w:t>
            </w:r>
          </w:p>
        </w:tc>
        <w:tc>
          <w:tcPr>
            <w:tcW w:w="92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w:t>
            </w:r>
          </w:p>
        </w:tc>
        <w:tc>
          <w:tcPr>
            <w:tcW w:w="160" w:type="dxa"/>
            <w:vAlign w:val="bottom"/>
          </w:tcPr>
          <w:p>
            <w:pPr>
              <w:spacing w:after="0"/>
              <w:rPr>
                <w:sz w:val="17"/>
                <w:szCs w:val="17"/>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October-December 2021</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1.1988-1.2000</w:t>
            </w:r>
          </w:p>
        </w:tc>
        <w:tc>
          <w:tcPr>
            <w:tcW w:w="34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03"/>
        </w:trPr>
        <w:tc>
          <w:tcPr>
            <w:tcW w:w="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DNB</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2021</w:t>
            </w:r>
          </w:p>
        </w:tc>
        <w:tc>
          <w:tcPr>
            <w:tcW w:w="92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w w:val="89"/>
              </w:rPr>
              <w:t>5</w:t>
            </w:r>
          </w:p>
        </w:tc>
        <w:tc>
          <w:tcPr>
            <w:tcW w:w="1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2"/>
              </w:rPr>
              <w:t>August-December 2021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1.1973-1.2000</w:t>
            </w:r>
          </w:p>
        </w:tc>
        <w:tc>
          <w:tcPr>
            <w:tcW w:w="34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03"/>
        </w:trPr>
        <w:tc>
          <w:tcPr>
            <w:tcW w:w="8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720" w:type="dxa"/>
            <w:vAlign w:val="bottom"/>
          </w:tcPr>
          <w:p>
            <w:pPr>
              <w:jc w:val="center"/>
              <w:spacing w:after="0"/>
              <w:rPr>
                <w:sz w:val="20"/>
                <w:szCs w:val="20"/>
                <w:color w:val="auto"/>
              </w:rPr>
            </w:pPr>
            <w:r>
              <w:rPr>
                <w:rFonts w:ascii="Arial" w:cs="Arial" w:eastAsia="Arial" w:hAnsi="Arial"/>
                <w:sz w:val="16"/>
                <w:szCs w:val="16"/>
                <w:color w:val="auto"/>
                <w:w w:val="95"/>
              </w:rPr>
              <w:t>Citibank Europe PLC UK</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8"/>
              </w:rPr>
              <w:t>June 2021</w:t>
            </w:r>
          </w:p>
        </w:tc>
        <w:tc>
          <w:tcPr>
            <w:tcW w:w="92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6</w:t>
            </w:r>
          </w:p>
        </w:tc>
        <w:tc>
          <w:tcPr>
            <w:tcW w:w="160" w:type="dxa"/>
            <w:vAlign w:val="bottom"/>
          </w:tcPr>
          <w:p>
            <w:pPr>
              <w:spacing w:after="0"/>
              <w:rPr>
                <w:sz w:val="17"/>
                <w:szCs w:val="17"/>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October 2021-March 2022</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1.1913-1.1955</w:t>
            </w:r>
          </w:p>
        </w:tc>
        <w:tc>
          <w:tcPr>
            <w:tcW w:w="34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196"/>
        </w:trPr>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28,500</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60" w:right="139" w:firstLine="324"/>
        <w:spacing w:after="0" w:line="293" w:lineRule="auto"/>
        <w:rPr>
          <w:sz w:val="20"/>
          <w:szCs w:val="20"/>
          <w:color w:val="auto"/>
        </w:rPr>
      </w:pPr>
      <w:r>
        <w:rPr>
          <w:rFonts w:ascii="Arial" w:cs="Arial" w:eastAsia="Arial" w:hAnsi="Arial"/>
          <w:sz w:val="16"/>
          <w:szCs w:val="16"/>
          <w:color w:val="auto"/>
        </w:rPr>
        <w:t>Apart from the abovementioned contracts the Group did not enter any other forward foreign exchange contracts, while 19 contracts expired with staggered maturities from January to June 2021.</w:t>
      </w:r>
    </w:p>
    <w:p>
      <w:pPr>
        <w:spacing w:after="0" w:line="131" w:lineRule="exact"/>
        <w:rPr>
          <w:sz w:val="20"/>
          <w:szCs w:val="20"/>
          <w:color w:val="auto"/>
        </w:rPr>
      </w:pPr>
    </w:p>
    <w:p>
      <w:pPr>
        <w:jc w:val="both"/>
        <w:ind w:left="60" w:right="319" w:firstLine="324"/>
        <w:spacing w:after="0" w:line="297" w:lineRule="auto"/>
        <w:rPr>
          <w:sz w:val="20"/>
          <w:szCs w:val="20"/>
          <w:color w:val="auto"/>
        </w:rPr>
      </w:pPr>
      <w:r>
        <w:rPr>
          <w:rFonts w:ascii="Arial" w:cs="Arial" w:eastAsia="Arial" w:hAnsi="Arial"/>
          <w:sz w:val="15"/>
          <w:szCs w:val="15"/>
          <w:color w:val="auto"/>
        </w:rPr>
        <w:t>The Group’s forward foreign exchange contracts were not designated as cash flow hedging instruments as of June 30, 2021. The change in the fair value of these contracts for the three and six months ended June 30, 2021, amounted to a net gain of $331 and a net loss of $587, respectively (for the three and six months ended June 30, 2020: a net gain of $748 and a net loss of $604, respectively), which was recognized against profit or loss in the period incurred and is included in (Loss)/gain on derivatives.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16. Financial Costs and Loss/(gain) on Derivatives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40" w:type="dxa"/>
            <w:vAlign w:val="bottom"/>
            <w:gridSpan w:val="3"/>
          </w:tcPr>
          <w:p>
            <w:pPr>
              <w:ind w:left="300"/>
              <w:spacing w:after="0"/>
              <w:rPr>
                <w:sz w:val="20"/>
                <w:szCs w:val="20"/>
                <w:color w:val="auto"/>
              </w:rPr>
            </w:pPr>
            <w:r>
              <w:rPr>
                <w:rFonts w:ascii="Arial" w:cs="Arial" w:eastAsia="Arial" w:hAnsi="Arial"/>
                <w:sz w:val="16"/>
                <w:szCs w:val="16"/>
                <w:color w:val="auto"/>
              </w:rPr>
              <w:t>An analysis of financial costs and loss/(gain) on derivatives is as follows: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40" w:type="dxa"/>
            <w:vAlign w:val="bottom"/>
            <w:gridSpan w:val="4"/>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1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99"/>
              </w:rPr>
              <w:t>For the 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2020</w:t>
            </w: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2021</w:t>
            </w: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2"/>
              </w:rPr>
              <w:t>June 30, 2021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Amortization and write-off of deferred loan/bond issuance</w:t>
            </w: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costs/premium</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000" w:type="dxa"/>
            <w:vAlign w:val="bottom"/>
          </w:tcPr>
          <w:p>
            <w:pPr>
              <w:jc w:val="right"/>
              <w:spacing w:after="0"/>
              <w:rPr>
                <w:sz w:val="20"/>
                <w:szCs w:val="20"/>
                <w:color w:val="auto"/>
              </w:rPr>
            </w:pPr>
            <w:r>
              <w:rPr>
                <w:rFonts w:ascii="Arial" w:cs="Arial" w:eastAsia="Arial" w:hAnsi="Arial"/>
                <w:sz w:val="16"/>
                <w:szCs w:val="16"/>
                <w:color w:val="auto"/>
              </w:rPr>
              <w:t>25,147</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20,592</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51,973</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on bonds and realized loss on CCS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8,856</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8,608</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Lease charge</w:t>
            </w:r>
          </w:p>
        </w:tc>
        <w:tc>
          <w:tcPr>
            <w:tcW w:w="1000" w:type="dxa"/>
            <w:vAlign w:val="bottom"/>
          </w:tcPr>
          <w:p>
            <w:pPr>
              <w:jc w:val="right"/>
              <w:spacing w:after="0"/>
              <w:rPr>
                <w:sz w:val="20"/>
                <w:szCs w:val="20"/>
                <w:color w:val="auto"/>
              </w:rPr>
            </w:pPr>
            <w:r>
              <w:rPr>
                <w:rFonts w:ascii="Arial" w:cs="Arial" w:eastAsia="Arial" w:hAnsi="Arial"/>
                <w:sz w:val="16"/>
                <w:szCs w:val="16"/>
                <w:color w:val="auto"/>
              </w:rPr>
              <w:t>2,526</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2,412</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5,075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Loss arising on bond repurchase at a premium</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financial costs,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w:t>
            </w: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16,001</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financial costs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43,557</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51,216</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84,998</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w w:val="99"/>
              </w:rPr>
              <w:t>Unrealized loss/(gain) on derivative financial instruments held</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 trading (Note 15)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80,472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Realized loss on interest rate swaps held for trading</w:t>
            </w:r>
          </w:p>
        </w:tc>
        <w:tc>
          <w:tcPr>
            <w:tcW w:w="1000" w:type="dxa"/>
            <w:vAlign w:val="bottom"/>
          </w:tcPr>
          <w:p>
            <w:pPr>
              <w:jc w:val="right"/>
              <w:spacing w:after="0"/>
              <w:rPr>
                <w:sz w:val="20"/>
                <w:szCs w:val="20"/>
                <w:color w:val="auto"/>
              </w:rPr>
            </w:pPr>
            <w:r>
              <w:rPr>
                <w:rFonts w:ascii="Arial" w:cs="Arial" w:eastAsia="Arial" w:hAnsi="Arial"/>
                <w:sz w:val="16"/>
                <w:szCs w:val="16"/>
                <w:color w:val="auto"/>
              </w:rPr>
              <w:t>2,731</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8,946</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w w:val="96"/>
              </w:rPr>
              <w:t>Realized loss/(gain) on forward foreign exchange contracts held</w:t>
            </w: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 trading</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Ineffective portion of cash flow hedges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loss/(gain) on derivatives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13,467</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6,310</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84,591</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0" w:right="139" w:firstLine="324"/>
        <w:spacing w:after="0" w:line="278" w:lineRule="auto"/>
        <w:rPr>
          <w:sz w:val="20"/>
          <w:szCs w:val="20"/>
          <w:color w:val="auto"/>
        </w:rPr>
      </w:pPr>
      <w:r>
        <w:rPr>
          <w:rFonts w:ascii="Arial" w:cs="Arial" w:eastAsia="Arial" w:hAnsi="Arial"/>
          <w:sz w:val="16"/>
          <w:szCs w:val="16"/>
          <w:color w:val="auto"/>
        </w:rPr>
        <w:t>Other financial costs, net includes an amount of $15,652 for the three and six months ended June 30, 2021, respectively relating to fees (bank consent, legal fees, etc.) to obtain the third-party consents and waivers in connection with the de-listing of the Group’s shares from NYSE after the consummation of the Transaction.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17. Cash Flow Reconciliations</w:t>
      </w:r>
    </w:p>
    <w:p>
      <w:pPr>
        <w:spacing w:after="0" w:line="198" w:lineRule="exact"/>
        <w:rPr>
          <w:sz w:val="20"/>
          <w:szCs w:val="20"/>
          <w:color w:val="auto"/>
        </w:rPr>
      </w:pPr>
    </w:p>
    <w:p>
      <w:pPr>
        <w:ind w:left="60" w:right="239" w:firstLine="324"/>
        <w:spacing w:after="0" w:line="293" w:lineRule="auto"/>
        <w:rPr>
          <w:sz w:val="20"/>
          <w:szCs w:val="20"/>
          <w:color w:val="auto"/>
        </w:rPr>
      </w:pPr>
      <w:r>
        <w:rPr>
          <w:rFonts w:ascii="Arial" w:cs="Arial" w:eastAsia="Arial" w:hAnsi="Arial"/>
          <w:sz w:val="16"/>
          <w:szCs w:val="16"/>
          <w:color w:val="auto"/>
        </w:rPr>
        <w:t>The reconciliation of the Group’s financing activities for the periods ended June 30, 2020, and June 30, 2021, are presented in the tables below:</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Other</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Deferred</w:t>
            </w:r>
          </w:p>
        </w:tc>
        <w:tc>
          <w:tcPr>
            <w:tcW w:w="8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comprehensive</w:t>
            </w: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Non-cash</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financing</w:t>
            </w:r>
          </w:p>
        </w:tc>
        <w:tc>
          <w:tcPr>
            <w:tcW w:w="840" w:type="dxa"/>
            <w:vAlign w:val="bottom"/>
          </w:tcPr>
          <w:p>
            <w:pPr>
              <w:spacing w:after="0"/>
              <w:rPr>
                <w:sz w:val="17"/>
                <w:szCs w:val="17"/>
                <w:color w:val="auto"/>
              </w:rPr>
            </w:pPr>
          </w:p>
        </w:tc>
      </w:tr>
      <w:tr>
        <w:trPr>
          <w:trHeight w:val="210"/>
        </w:trPr>
        <w:tc>
          <w:tcPr>
            <w:tcW w:w="25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Opening balance</w:t>
            </w:r>
          </w:p>
        </w:tc>
        <w:tc>
          <w:tcPr>
            <w:tcW w:w="1080" w:type="dxa"/>
            <w:vAlign w:val="bottom"/>
            <w:gridSpan w:val="3"/>
          </w:tcPr>
          <w:p>
            <w:pPr>
              <w:ind w:left="160"/>
              <w:spacing w:after="0"/>
              <w:rPr>
                <w:sz w:val="20"/>
                <w:szCs w:val="20"/>
                <w:color w:val="auto"/>
              </w:rPr>
            </w:pPr>
            <w:r>
              <w:rPr>
                <w:rFonts w:ascii="Arial" w:cs="Arial" w:eastAsia="Arial" w:hAnsi="Arial"/>
                <w:sz w:val="16"/>
                <w:szCs w:val="16"/>
                <w:b w:val="1"/>
                <w:bCs w:val="1"/>
                <w:color w:val="auto"/>
              </w:rPr>
              <w:t>Cash flows</w:t>
            </w: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income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items</w:t>
            </w: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1"/>
              </w:rPr>
              <w:t>costs, assets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9"/>
              </w:rPr>
              <w:t>Borrowings</w:t>
            </w:r>
          </w:p>
        </w:tc>
      </w:tr>
      <w:tr>
        <w:trPr>
          <w:trHeight w:val="202"/>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3,147,395</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3,147,395</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Proceeds from loans</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401,911</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401,911</w:t>
            </w:r>
          </w:p>
        </w:tc>
      </w:tr>
      <w:tr>
        <w:trPr>
          <w:trHeight w:val="203"/>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Loan and bond repayments</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(150,508)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(158,571)</w:t>
            </w: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rPr>
              <w:t>Payment for bond repurchase at a</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2580" w:type="dxa"/>
            <w:vAlign w:val="bottom"/>
          </w:tcPr>
          <w:p>
            <w:pPr>
              <w:ind w:left="120"/>
              <w:spacing w:after="0"/>
              <w:rPr>
                <w:sz w:val="20"/>
                <w:szCs w:val="20"/>
                <w:color w:val="auto"/>
              </w:rPr>
            </w:pPr>
            <w:r>
              <w:rPr>
                <w:rFonts w:ascii="Arial" w:cs="Arial" w:eastAsia="Arial" w:hAnsi="Arial"/>
                <w:sz w:val="16"/>
                <w:szCs w:val="16"/>
                <w:color w:val="auto"/>
              </w:rPr>
              <w:t>premium</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(1,937)</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(1,937)</w:t>
            </w:r>
          </w:p>
        </w:tc>
      </w:tr>
      <w:tr>
        <w:trPr>
          <w:trHeight w:val="20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Additions in deferred loan fees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w:t>
            </w: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rPr>
              <w:t>Amortization and write-off of</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2580" w:type="dxa"/>
            <w:vAlign w:val="bottom"/>
          </w:tcPr>
          <w:p>
            <w:pPr>
              <w:ind w:left="120"/>
              <w:spacing w:after="0"/>
              <w:rPr>
                <w:sz w:val="20"/>
                <w:szCs w:val="20"/>
                <w:color w:val="auto"/>
              </w:rPr>
            </w:pPr>
            <w:r>
              <w:rPr>
                <w:rFonts w:ascii="Arial" w:cs="Arial" w:eastAsia="Arial" w:hAnsi="Arial"/>
                <w:sz w:val="16"/>
                <w:szCs w:val="16"/>
                <w:color w:val="auto"/>
              </w:rPr>
              <w:t>deferred loan/bond issuance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2580" w:type="dxa"/>
            <w:vAlign w:val="bottom"/>
          </w:tcPr>
          <w:p>
            <w:pPr>
              <w:ind w:left="120"/>
              <w:spacing w:after="0"/>
              <w:rPr>
                <w:sz w:val="20"/>
                <w:szCs w:val="20"/>
                <w:color w:val="auto"/>
              </w:rPr>
            </w:pPr>
            <w:r>
              <w:rPr>
                <w:rFonts w:ascii="Arial" w:cs="Arial" w:eastAsia="Arial" w:hAnsi="Arial"/>
                <w:sz w:val="16"/>
                <w:szCs w:val="16"/>
                <w:color w:val="auto"/>
              </w:rPr>
              <w:t>costs/premium (Note 16)</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7,514</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7,514</w:t>
            </w:r>
          </w:p>
        </w:tc>
      </w:tr>
      <w:tr>
        <w:trPr>
          <w:trHeight w:val="19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w w:val="95"/>
              </w:rPr>
              <w:t>Retranslation of the NOK 2024 Bonds</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2"/>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 USD</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(15,272)</w:t>
            </w:r>
          </w:p>
        </w:tc>
      </w:tr>
      <w:tr>
        <w:trPr>
          <w:trHeight w:val="196"/>
        </w:trPr>
        <w:tc>
          <w:tcPr>
            <w:tcW w:w="2580" w:type="dxa"/>
            <w:vAlign w:val="bottom"/>
          </w:tcPr>
          <w:p>
            <w:pPr>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3,147,395</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241,861</w:t>
            </w:r>
          </w:p>
        </w:tc>
        <w:tc>
          <w:tcPr>
            <w:tcW w:w="1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(9,098)</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(5,741)</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(1,375)</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3,373,042</w:t>
            </w: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Deferred</w:t>
            </w:r>
          </w:p>
        </w:tc>
        <w:tc>
          <w:tcPr>
            <w:tcW w:w="86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comprehensive</w:t>
            </w:r>
          </w:p>
        </w:tc>
        <w:tc>
          <w:tcPr>
            <w:tcW w:w="10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0"/>
              </w:rPr>
              <w:t>Non-cash</w:t>
            </w: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financing costs,</w:t>
            </w:r>
          </w:p>
        </w:tc>
        <w:tc>
          <w:tcPr>
            <w:tcW w:w="86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Opening balance</w:t>
            </w:r>
          </w:p>
        </w:tc>
        <w:tc>
          <w:tcPr>
            <w:tcW w:w="1080" w:type="dxa"/>
            <w:vAlign w:val="bottom"/>
            <w:gridSpan w:val="3"/>
          </w:tcPr>
          <w:p>
            <w:pPr>
              <w:ind w:left="160"/>
              <w:spacing w:after="0"/>
              <w:rPr>
                <w:sz w:val="20"/>
                <w:szCs w:val="20"/>
                <w:color w:val="auto"/>
              </w:rPr>
            </w:pPr>
            <w:r>
              <w:rPr>
                <w:rFonts w:ascii="Arial" w:cs="Arial" w:eastAsia="Arial" w:hAnsi="Arial"/>
                <w:sz w:val="16"/>
                <w:szCs w:val="16"/>
                <w:b w:val="1"/>
                <w:bCs w:val="1"/>
                <w:color w:val="auto"/>
              </w:rPr>
              <w:t>Cash flows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items</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0"/>
              </w:rPr>
              <w:t>assets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2"/>
              </w:rPr>
              <w:t>Borrowings</w:t>
            </w:r>
          </w:p>
        </w:tc>
      </w:tr>
      <w:tr>
        <w:trPr>
          <w:trHeight w:val="202"/>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2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3,773,221</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3,773,221</w:t>
            </w:r>
          </w:p>
        </w:tc>
      </w:tr>
      <w:tr>
        <w:trPr>
          <w:trHeight w:val="203"/>
        </w:trPr>
        <w:tc>
          <w:tcPr>
            <w:tcW w:w="2260" w:type="dxa"/>
            <w:vAlign w:val="bottom"/>
          </w:tcPr>
          <w:p>
            <w:pPr>
              <w:spacing w:after="0"/>
              <w:rPr>
                <w:sz w:val="20"/>
                <w:szCs w:val="20"/>
                <w:color w:val="auto"/>
              </w:rPr>
            </w:pPr>
            <w:r>
              <w:rPr>
                <w:rFonts w:ascii="Arial" w:cs="Arial" w:eastAsia="Arial" w:hAnsi="Arial"/>
                <w:sz w:val="16"/>
                <w:szCs w:val="16"/>
                <w:color w:val="auto"/>
              </w:rPr>
              <w:t>Proceeds from loans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318,913</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318,913</w:t>
            </w:r>
          </w:p>
        </w:tc>
      </w:tr>
      <w:tr>
        <w:trPr>
          <w:trHeight w:val="20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Loan and bond repayments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(266,770)</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(266,770)</w:t>
            </w:r>
          </w:p>
        </w:tc>
      </w:tr>
      <w:tr>
        <w:trPr>
          <w:trHeight w:val="203"/>
        </w:trPr>
        <w:tc>
          <w:tcPr>
            <w:tcW w:w="226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(4,329)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(1,905)</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(6,626)</w:t>
            </w: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Amortization and write-off of</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3"/>
        </w:trPr>
        <w:tc>
          <w:tcPr>
            <w:tcW w:w="2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loan/bond issuance</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2"/>
        </w:trPr>
        <w:tc>
          <w:tcPr>
            <w:tcW w:w="2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costs/premium (Note 16)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10,717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10,717</w:t>
            </w: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Retranslation of the NOK 2024</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6"/>
        </w:trPr>
        <w:tc>
          <w:tcPr>
            <w:tcW w:w="2260" w:type="dxa"/>
            <w:vAlign w:val="bottom"/>
          </w:tcPr>
          <w:p>
            <w:pPr>
              <w:ind w:left="120"/>
              <w:spacing w:after="0"/>
              <w:rPr>
                <w:sz w:val="20"/>
                <w:szCs w:val="20"/>
                <w:color w:val="auto"/>
              </w:rPr>
            </w:pPr>
            <w:r>
              <w:rPr>
                <w:rFonts w:ascii="Arial" w:cs="Arial" w:eastAsia="Arial" w:hAnsi="Arial"/>
                <w:sz w:val="16"/>
                <w:szCs w:val="16"/>
                <w:color w:val="auto"/>
              </w:rPr>
              <w:t>Bonds in USD</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02"/>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3,773,221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3,829,248</w:t>
            </w:r>
          </w:p>
        </w:tc>
      </w:tr>
      <w:tr>
        <w:trPr>
          <w:trHeight w:val="20"/>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8"/>
              </w:rPr>
              <w:t>Other</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6"/>
              </w:rPr>
              <w:t>comprehensive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3"/>
              </w:rPr>
              <w:t>Net derivative</w:t>
            </w:r>
          </w:p>
        </w:tc>
      </w:tr>
      <w:tr>
        <w:trPr>
          <w:trHeight w:val="210"/>
        </w:trPr>
        <w:tc>
          <w:tcPr>
            <w:tcW w:w="3160" w:type="dxa"/>
            <w:vAlign w:val="bottom"/>
          </w:tcPr>
          <w:p>
            <w:pPr>
              <w:spacing w:after="0"/>
              <w:rPr>
                <w:sz w:val="18"/>
                <w:szCs w:val="18"/>
                <w:color w:val="auto"/>
              </w:rPr>
            </w:pPr>
          </w:p>
        </w:tc>
        <w:tc>
          <w:tcPr>
            <w:tcW w:w="2100" w:type="dxa"/>
            <w:vAlign w:val="bottom"/>
            <w:gridSpan w:val="7"/>
          </w:tcPr>
          <w:p>
            <w:pPr>
              <w:jc w:val="center"/>
              <w:spacing w:after="0"/>
              <w:rPr>
                <w:sz w:val="20"/>
                <w:szCs w:val="20"/>
                <w:color w:val="auto"/>
              </w:rPr>
            </w:pPr>
            <w:r>
              <w:rPr>
                <w:rFonts w:ascii="Arial" w:cs="Arial" w:eastAsia="Arial" w:hAnsi="Arial"/>
                <w:sz w:val="16"/>
                <w:szCs w:val="16"/>
                <w:b w:val="1"/>
                <w:bCs w:val="1"/>
                <w:color w:val="auto"/>
                <w:w w:val="94"/>
              </w:rPr>
              <w:t>Opening balance  Cash flows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81"/>
              </w:rPr>
              <w:t>loss</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7"/>
              </w:rPr>
              <w:t>Non-cash items</w:t>
            </w:r>
          </w:p>
        </w:tc>
        <w:tc>
          <w:tcPr>
            <w:tcW w:w="1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liabilities</w:t>
            </w:r>
          </w:p>
        </w:tc>
      </w:tr>
      <w:tr>
        <w:trPr>
          <w:trHeight w:val="202"/>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(45,931)</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(45,931)</w:t>
            </w:r>
          </w:p>
        </w:tc>
      </w:tr>
      <w:tr>
        <w:trPr>
          <w:trHeight w:val="193"/>
        </w:trPr>
        <w:tc>
          <w:tcPr>
            <w:tcW w:w="3640" w:type="dxa"/>
            <w:vAlign w:val="bottom"/>
            <w:gridSpan w:val="2"/>
          </w:tcPr>
          <w:p>
            <w:pPr>
              <w:spacing w:after="0"/>
              <w:rPr>
                <w:sz w:val="20"/>
                <w:szCs w:val="20"/>
                <w:color w:val="auto"/>
              </w:rPr>
            </w:pPr>
            <w:r>
              <w:rPr>
                <w:rFonts w:ascii="Arial" w:cs="Arial" w:eastAsia="Arial" w:hAnsi="Arial"/>
                <w:sz w:val="16"/>
                <w:szCs w:val="16"/>
                <w:color w:val="auto"/>
              </w:rPr>
              <w:t>Unrealized loss on derivative financial</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3640" w:type="dxa"/>
            <w:vAlign w:val="bottom"/>
            <w:gridSpan w:val="2"/>
          </w:tcPr>
          <w:p>
            <w:pPr>
              <w:ind w:left="120"/>
              <w:spacing w:after="0"/>
              <w:rPr>
                <w:sz w:val="20"/>
                <w:szCs w:val="20"/>
                <w:color w:val="auto"/>
              </w:rPr>
            </w:pPr>
            <w:r>
              <w:rPr>
                <w:rFonts w:ascii="Arial" w:cs="Arial" w:eastAsia="Arial" w:hAnsi="Arial"/>
                <w:sz w:val="16"/>
                <w:szCs w:val="16"/>
                <w:color w:val="auto"/>
              </w:rPr>
              <w:t>instruments held for trading (Note 16)</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(80,472)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(80,472)</w:t>
            </w:r>
          </w:p>
        </w:tc>
      </w:tr>
      <w:tr>
        <w:trPr>
          <w:trHeight w:val="199"/>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Ineffective portion of cash flow hedges (Note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2"/>
        </w:trPr>
        <w:tc>
          <w:tcPr>
            <w:tcW w:w="3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16)</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Payment for interest rate swaps termination</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10,811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10,811</w:t>
            </w:r>
          </w:p>
        </w:tc>
      </w:tr>
      <w:tr>
        <w:trPr>
          <w:trHeight w:val="19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entering into interest rate</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2"/>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swaps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(10,770)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(10,770)</w:t>
            </w: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Payment for CCS termination/modification</w:t>
            </w: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4,051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(4,051)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portion of changes in the fair value</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3"/>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of derivatives designated as cash flow</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2"/>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hedging instruments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(11,327)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(11,327)</w:t>
            </w:r>
          </w:p>
        </w:tc>
      </w:tr>
      <w:tr>
        <w:trPr>
          <w:trHeight w:val="196"/>
        </w:trPr>
        <w:tc>
          <w:tcPr>
            <w:tcW w:w="3160" w:type="dxa"/>
            <w:vAlign w:val="bottom"/>
          </w:tcPr>
          <w:p>
            <w:pPr>
              <w:spacing w:after="0"/>
              <w:rPr>
                <w:sz w:val="20"/>
                <w:szCs w:val="20"/>
                <w:color w:val="auto"/>
              </w:rPr>
            </w:pPr>
            <w:r>
              <w:rPr>
                <w:rFonts w:ascii="Arial" w:cs="Arial" w:eastAsia="Arial" w:hAnsi="Arial"/>
                <w:sz w:val="16"/>
                <w:szCs w:val="16"/>
                <w:b w:val="1"/>
                <w:bCs w:val="1"/>
                <w:color w:val="auto"/>
              </w:rPr>
              <w:t>June 30, 2020</w:t>
            </w:r>
          </w:p>
        </w:tc>
        <w:tc>
          <w:tcPr>
            <w:tcW w:w="4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(45,931)</w:t>
            </w: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4,092</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(11,327)</w:t>
            </w:r>
          </w:p>
        </w:tc>
        <w:tc>
          <w:tcPr>
            <w:tcW w:w="160" w:type="dxa"/>
            <w:vAlign w:val="bottom"/>
          </w:tcPr>
          <w:p>
            <w:pPr>
              <w:spacing w:after="0"/>
              <w:rPr>
                <w:sz w:val="17"/>
                <w:szCs w:val="17"/>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(84,305)</w:t>
            </w:r>
          </w:p>
        </w:tc>
        <w:tc>
          <w:tcPr>
            <w:tcW w:w="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(137,471)</w:t>
            </w:r>
          </w:p>
        </w:tc>
      </w:tr>
      <w:tr>
        <w:trPr>
          <w:trHeight w:val="20"/>
        </w:trPr>
        <w:tc>
          <w:tcPr>
            <w:tcW w:w="3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9"/>
        </w:trPr>
        <w:tc>
          <w:tcPr>
            <w:tcW w:w="3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6"/>
          </w:tcPr>
          <w:p>
            <w:pPr>
              <w:jc w:val="center"/>
              <w:ind w:right="740"/>
              <w:spacing w:after="0"/>
              <w:rPr>
                <w:sz w:val="20"/>
                <w:szCs w:val="20"/>
                <w:color w:val="auto"/>
              </w:rPr>
            </w:pPr>
            <w:r>
              <w:rPr>
                <w:rFonts w:ascii="Arial" w:cs="Arial" w:eastAsia="Arial" w:hAnsi="Arial"/>
                <w:sz w:val="16"/>
                <w:szCs w:val="16"/>
                <w:b w:val="1"/>
                <w:bCs w:val="1"/>
                <w:color w:val="auto"/>
                <w:w w:val="93"/>
              </w:rPr>
              <w:t>Other</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w w:val="92"/>
              </w:rPr>
              <w:t>Opening</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7"/>
          </w:tcPr>
          <w:p>
            <w:pPr>
              <w:jc w:val="center"/>
              <w:ind w:right="480"/>
              <w:spacing w:after="0"/>
              <w:rPr>
                <w:sz w:val="20"/>
                <w:szCs w:val="20"/>
                <w:color w:val="auto"/>
              </w:rPr>
            </w:pPr>
            <w:r>
              <w:rPr>
                <w:rFonts w:ascii="Arial" w:cs="Arial" w:eastAsia="Arial" w:hAnsi="Arial"/>
                <w:sz w:val="16"/>
                <w:szCs w:val="16"/>
                <w:b w:val="1"/>
                <w:bCs w:val="1"/>
                <w:color w:val="auto"/>
                <w:w w:val="88"/>
              </w:rPr>
              <w:t>comprehensive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derivative</w:t>
            </w:r>
          </w:p>
        </w:tc>
      </w:tr>
      <w:tr>
        <w:trPr>
          <w:trHeight w:val="213"/>
        </w:trPr>
        <w:tc>
          <w:tcPr>
            <w:tcW w:w="3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90"/>
              </w:rPr>
              <w:t>balance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74"/>
              </w:rPr>
              <w:t>loss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2"/>
              </w:rPr>
              <w:t>Non-cash items</w:t>
            </w:r>
          </w:p>
        </w:tc>
        <w:tc>
          <w:tcPr>
            <w:tcW w:w="16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liabilities</w:t>
            </w:r>
          </w:p>
        </w:tc>
      </w:tr>
      <w:tr>
        <w:trPr>
          <w:trHeight w:val="199"/>
        </w:trPr>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(107,760)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(107,760)</w:t>
            </w:r>
          </w:p>
        </w:tc>
      </w:tr>
      <w:tr>
        <w:trPr>
          <w:trHeight w:val="193"/>
        </w:trPr>
        <w:tc>
          <w:tcPr>
            <w:tcW w:w="3640" w:type="dxa"/>
            <w:vAlign w:val="bottom"/>
            <w:gridSpan w:val="2"/>
          </w:tcPr>
          <w:p>
            <w:pPr>
              <w:spacing w:after="0"/>
              <w:rPr>
                <w:sz w:val="20"/>
                <w:szCs w:val="20"/>
                <w:color w:val="auto"/>
              </w:rPr>
            </w:pPr>
            <w:r>
              <w:rPr>
                <w:rFonts w:ascii="Arial" w:cs="Arial" w:eastAsia="Arial" w:hAnsi="Arial"/>
                <w:sz w:val="16"/>
                <w:szCs w:val="16"/>
                <w:color w:val="auto"/>
              </w:rPr>
              <w:t>Unrealized gain on derivative financial instruments</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3640" w:type="dxa"/>
            <w:vAlign w:val="bottom"/>
            <w:gridSpan w:val="2"/>
          </w:tcPr>
          <w:p>
            <w:pPr>
              <w:ind w:left="120"/>
              <w:spacing w:after="0"/>
              <w:rPr>
                <w:sz w:val="20"/>
                <w:szCs w:val="20"/>
                <w:color w:val="auto"/>
              </w:rPr>
            </w:pPr>
            <w:r>
              <w:rPr>
                <w:rFonts w:ascii="Arial" w:cs="Arial" w:eastAsia="Arial" w:hAnsi="Arial"/>
                <w:sz w:val="16"/>
                <w:szCs w:val="16"/>
                <w:color w:val="auto"/>
              </w:rPr>
              <w:t>held for trading (Note 16)</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tcPr>
          <w:p>
            <w:pPr>
              <w:jc w:val="right"/>
              <w:ind w:right="4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31,457</w:t>
            </w: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31,457</w:t>
            </w: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Ineffective portion of cash flow hedges (Note 16)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193"/>
        </w:trPr>
        <w:tc>
          <w:tcPr>
            <w:tcW w:w="3640" w:type="dxa"/>
            <w:vAlign w:val="bottom"/>
            <w:gridSpan w:val="2"/>
          </w:tcPr>
          <w:p>
            <w:pPr>
              <w:spacing w:after="0"/>
              <w:rPr>
                <w:sz w:val="20"/>
                <w:szCs w:val="20"/>
                <w:color w:val="auto"/>
              </w:rPr>
            </w:pPr>
            <w:r>
              <w:rPr>
                <w:rFonts w:ascii="Arial" w:cs="Arial" w:eastAsia="Arial" w:hAnsi="Arial"/>
                <w:sz w:val="16"/>
                <w:szCs w:val="16"/>
                <w:color w:val="auto"/>
              </w:rPr>
              <w:t>Effective portion of changes in the fair value of</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3640" w:type="dxa"/>
            <w:vAlign w:val="bottom"/>
            <w:gridSpan w:val="2"/>
          </w:tcPr>
          <w:p>
            <w:pPr>
              <w:ind w:left="120"/>
              <w:spacing w:after="0"/>
              <w:rPr>
                <w:sz w:val="20"/>
                <w:szCs w:val="20"/>
                <w:color w:val="auto"/>
              </w:rPr>
            </w:pPr>
            <w:r>
              <w:rPr>
                <w:rFonts w:ascii="Arial" w:cs="Arial" w:eastAsia="Arial" w:hAnsi="Arial"/>
                <w:sz w:val="16"/>
                <w:szCs w:val="16"/>
                <w:color w:val="auto"/>
              </w:rPr>
              <w:t>derivatives designated as cash flow hedging</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3640" w:type="dxa"/>
            <w:vAlign w:val="bottom"/>
            <w:gridSpan w:val="2"/>
          </w:tcPr>
          <w:p>
            <w:pPr>
              <w:ind w:left="120"/>
              <w:spacing w:after="0"/>
              <w:rPr>
                <w:sz w:val="20"/>
                <w:szCs w:val="20"/>
                <w:color w:val="auto"/>
              </w:rPr>
            </w:pPr>
            <w:r>
              <w:rPr>
                <w:rFonts w:ascii="Arial" w:cs="Arial" w:eastAsia="Arial" w:hAnsi="Arial"/>
                <w:sz w:val="16"/>
                <w:szCs w:val="16"/>
                <w:color w:val="auto"/>
              </w:rPr>
              <w:t>instruments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4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(310)</w:t>
            </w:r>
          </w:p>
        </w:tc>
      </w:tr>
      <w:tr>
        <w:trPr>
          <w:trHeight w:val="199"/>
        </w:trPr>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June 30, 2021</w:t>
            </w:r>
          </w:p>
        </w:tc>
        <w:tc>
          <w:tcPr>
            <w:tcW w:w="11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(107,760)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31,571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(76,499)</w:t>
            </w:r>
          </w:p>
        </w:tc>
      </w:tr>
      <w:tr>
        <w:trPr>
          <w:trHeight w:val="20"/>
        </w:trPr>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18. Subsequent Events</w:t>
      </w:r>
    </w:p>
    <w:p>
      <w:pPr>
        <w:spacing w:after="0" w:line="212" w:lineRule="exact"/>
        <w:rPr>
          <w:sz w:val="20"/>
          <w:szCs w:val="20"/>
          <w:color w:val="auto"/>
        </w:rPr>
      </w:pPr>
    </w:p>
    <w:p>
      <w:pPr>
        <w:ind w:left="60" w:right="359" w:firstLine="324"/>
        <w:spacing w:after="0" w:line="293" w:lineRule="auto"/>
        <w:rPr>
          <w:sz w:val="20"/>
          <w:szCs w:val="20"/>
          <w:color w:val="auto"/>
        </w:rPr>
      </w:pPr>
      <w:r>
        <w:rPr>
          <w:rFonts w:ascii="Arial" w:cs="Arial" w:eastAsia="Arial" w:hAnsi="Arial"/>
          <w:sz w:val="16"/>
          <w:szCs w:val="16"/>
          <w:color w:val="auto"/>
        </w:rPr>
        <w:t>On August 4, 2021, the board of directors declared a quarterly cash dividend of $0.15 per common share payable on August 11, 2021 to shareholders of record as of August 9,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5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4"/>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10" Type="http://schemas.openxmlformats.org/officeDocument/2006/relationships/hyperlink" Target="https://www.sec.gov/Archives/edgar/data/1534126/000093041314001509/c76956_f3.htm" TargetMode="External"/><Relationship Id="rId11" Type="http://schemas.openxmlformats.org/officeDocument/2006/relationships/hyperlink" Target="https://www.sec.gov/Archives/edgar/data/1534126/000104746919001111/a2237939zf-3.htm" TargetMode="External"/><Relationship Id="rId12" Type="http://schemas.openxmlformats.org/officeDocument/2006/relationships/hyperlink" Target="https://www.sec.gov/Archives/edgar/data/1534126/000104746920004068/a2242042zf-3.htm" TargetMode="External"/><Relationship Id="rId13" Type="http://schemas.openxmlformats.org/officeDocument/2006/relationships/hyperlink" Target="https://www.sec.gov/Archives/edgar/data/1534126/000093041313001382/c72925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2021-08-05T06:00:53Z</dcterms:created>
  <dcterms:modified xsi:type="dcterms:W3CDTF">2021-08-05T06:00:53Z</dcterms:modified>
</cp:coreProperties>
</file>