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Services LNG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20" w:type="dxa"/>
            <w:vAlign w:val="bottom"/>
          </w:tcPr>
          <w:p>
            <w:pPr>
              <w:spacing w:after="0"/>
              <w:rPr>
                <w:sz w:val="20"/>
                <w:szCs w:val="20"/>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22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6"/>
        </w:trPr>
        <w:tc>
          <w:tcPr>
            <w:tcW w:w="10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8"/>
        </w:trPr>
        <w:tc>
          <w:tcPr>
            <w:tcW w:w="10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675"/>
        </w:trPr>
        <w:tc>
          <w:tcPr>
            <w:tcW w:w="10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November 17, 2021 announcing that GasLog Ltd. has declared a dividend on its Series A Preference Shares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Hamilton, Bermuda, November 17, 2021 — </w:t>
      </w:r>
      <w:r>
        <w:rPr>
          <w:rFonts w:ascii="Arial" w:cs="Arial" w:eastAsia="Arial" w:hAnsi="Arial"/>
          <w:sz w:val="16"/>
          <w:szCs w:val="16"/>
          <w:color w:val="auto"/>
        </w:rPr>
        <w:t>GasLog Ltd. (“GasLog” or “Company”) today announced a dividend of $0.546875 per share on its 8.75%</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Cumulative Redeemable Perpetual Preference Shares, payable on January 3, 2022 for all shareholders of record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GasLog is an international owner, operator and manager of LNG carriers providing support to international energy companies as part of their LNG logistics chain. GasLog’s consolidated fleet consists of 35 LNG carriers. Of these vessels, 17 are owned by GasLog, three have been sold and leased back by GasLog under long-term bareboat charters and the remaining 15 LNG carriers are owned by the Company’s subsidiary,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2021-11-17T05:47:19Z</dcterms:created>
  <dcterms:modified xsi:type="dcterms:W3CDTF">2021-11-17T05:47:19Z</dcterms:modified>
</cp:coreProperties>
</file>